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0195B" w14:textId="29C4E203" w:rsidR="0048003C" w:rsidRDefault="00E962AC" w:rsidP="0048003C">
      <w:pPr>
        <w:rPr>
          <w:lang w:val="es-ES"/>
        </w:rPr>
      </w:pPr>
      <w:r>
        <w:rPr>
          <w:noProof/>
        </w:rPr>
        <mc:AlternateContent>
          <mc:Choice Requires="wps">
            <w:drawing>
              <wp:anchor distT="0" distB="0" distL="0" distR="0" simplePos="0" relativeHeight="251749888" behindDoc="0" locked="0" layoutInCell="0" allowOverlap="1" wp14:anchorId="2759D5EB" wp14:editId="427F95DF">
                <wp:simplePos x="0" y="0"/>
                <wp:positionH relativeFrom="column">
                  <wp:posOffset>-576890</wp:posOffset>
                </wp:positionH>
                <wp:positionV relativeFrom="paragraph">
                  <wp:posOffset>193262</wp:posOffset>
                </wp:positionV>
                <wp:extent cx="4708477" cy="286385"/>
                <wp:effectExtent l="0" t="0" r="16510" b="18415"/>
                <wp:wrapNone/>
                <wp:docPr id="7" name="Forma6"/>
                <wp:cNvGraphicFramePr/>
                <a:graphic xmlns:a="http://schemas.openxmlformats.org/drawingml/2006/main">
                  <a:graphicData uri="http://schemas.microsoft.com/office/word/2010/wordprocessingShape">
                    <wps:wsp>
                      <wps:cNvSpPr/>
                      <wps:spPr>
                        <a:xfrm>
                          <a:off x="0" y="0"/>
                          <a:ext cx="4708477" cy="286385"/>
                        </a:xfrm>
                        <a:prstGeom prst="rect">
                          <a:avLst/>
                        </a:prstGeom>
                        <a:noFill/>
                        <a:ln w="0">
                          <a:noFill/>
                        </a:ln>
                      </wps:spPr>
                      <wps:style>
                        <a:lnRef idx="0">
                          <a:scrgbClr r="0" g="0" b="0"/>
                        </a:lnRef>
                        <a:fillRef idx="0">
                          <a:scrgbClr r="0" g="0" b="0"/>
                        </a:fillRef>
                        <a:effectRef idx="0">
                          <a:scrgbClr r="0" g="0" b="0"/>
                        </a:effectRef>
                        <a:fontRef idx="minor"/>
                      </wps:style>
                      <wps:txbx>
                        <w:txbxContent>
                          <w:p w14:paraId="401D5097" w14:textId="77777777" w:rsidR="00E31540" w:rsidRPr="006B5F0D" w:rsidRDefault="00E31540" w:rsidP="0048003C">
                            <w:pPr>
                              <w:pStyle w:val="Contenidodelmarco"/>
                              <w:rPr>
                                <w:b/>
                                <w:sz w:val="38"/>
                                <w:szCs w:val="38"/>
                              </w:rPr>
                            </w:pPr>
                            <w:r w:rsidRPr="006B5F0D">
                              <w:rPr>
                                <w:rFonts w:ascii="Arial" w:hAnsi="Arial"/>
                                <w:b/>
                                <w:color w:val="FFFFFF"/>
                                <w:sz w:val="38"/>
                                <w:szCs w:val="38"/>
                              </w:rPr>
                              <w:t>III INFORME CUATRIMESTRAL Y ANUAL</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759D5EB" id="Forma6" o:spid="_x0000_s1026" style="position:absolute;margin-left:-45.4pt;margin-top:15.2pt;width:370.75pt;height:22.55pt;z-index:25174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" o:allowincell="f" filled="f" stroked="f" strokeweight="0">
                <v:textbox inset="0,0,0,0">
                  <w:txbxContent>
                    <w:p w14:paraId="401D5097" w14:textId="77777777" w:rsidR="00E31540" w:rsidRPr="006B5F0D" w:rsidRDefault="00E31540" w:rsidP="0048003C">
                      <w:pPr>
                        <w:pStyle w:val="Contenidodelmarco"/>
                        <w:rPr>
                          <w:b/>
                          <w:sz w:val="38"/>
                          <w:szCs w:val="38"/>
                        </w:rPr>
                      </w:pPr>
                      <w:r w:rsidRPr="006B5F0D">
                        <w:rPr>
                          <w:rFonts w:ascii="Arial" w:hAnsi="Arial"/>
                          <w:b/>
                          <w:color w:val="FFFFFF"/>
                          <w:sz w:val="38"/>
                          <w:szCs w:val="38"/>
                        </w:rPr>
                        <w:t>III INFORME CUATRIMESTRAL Y ANUAL</w:t>
                      </w:r>
                    </w:p>
                  </w:txbxContent>
                </v:textbox>
              </v:rect>
            </w:pict>
          </mc:Fallback>
        </mc:AlternateContent>
      </w:r>
      <w:r w:rsidR="0048003C">
        <w:rPr>
          <w:noProof/>
        </w:rPr>
        <mc:AlternateContent>
          <mc:Choice Requires="wps">
            <w:drawing>
              <wp:anchor distT="89535" distB="89535" distL="89535" distR="89535" simplePos="0" relativeHeight="251744768" behindDoc="0" locked="0" layoutInCell="0" allowOverlap="1" wp14:anchorId="05101A1C" wp14:editId="774D1538">
                <wp:simplePos x="0" y="0"/>
                <wp:positionH relativeFrom="column">
                  <wp:posOffset>-83848</wp:posOffset>
                </wp:positionH>
                <wp:positionV relativeFrom="paragraph">
                  <wp:posOffset>-56554</wp:posOffset>
                </wp:positionV>
                <wp:extent cx="5540991" cy="5546384"/>
                <wp:effectExtent l="57150" t="133350" r="441325" b="149860"/>
                <wp:wrapNone/>
                <wp:docPr id="900196875" name="Forma2_0"/>
                <wp:cNvGraphicFramePr/>
                <a:graphic xmlns:a="http://schemas.openxmlformats.org/drawingml/2006/main">
                  <a:graphicData uri="http://schemas.microsoft.com/office/word/2010/wordprocessingShape">
                    <wps:wsp>
                      <wps:cNvCnPr/>
                      <wps:spPr>
                        <a:xfrm flipV="1">
                          <a:off x="0" y="0"/>
                          <a:ext cx="5540991" cy="5546384"/>
                        </a:xfrm>
                        <a:prstGeom prst="line">
                          <a:avLst/>
                        </a:prstGeom>
                        <a:ln w="179640">
                          <a:solidFill>
                            <a:schemeClr val="bg1"/>
                          </a:solidFill>
                          <a:round/>
                        </a:ln>
                        <a:effectLst>
                          <a:outerShdw blurRad="88900" dist="355600" dir="21540000" algn="ctr" rotWithShape="0">
                            <a:schemeClr val="tx1">
                              <a:lumMod val="75000"/>
                              <a:lumOff val="25000"/>
                              <a:alpha val="46000"/>
                            </a:scheme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B42BDEB" id="Forma2_0" o:spid="_x0000_s1026" style="position:absolute;flip:y;z-index:251744768;visibility:visible;mso-wrap-style:square;mso-width-percent:0;mso-height-percent:0;mso-wrap-distance-left:7.05pt;mso-wrap-distance-top:7.05pt;mso-wrap-distance-right:7.05pt;mso-wrap-distance-bottom:7.05pt;mso-position-horizontal:absolute;mso-position-horizontal-relative:text;mso-position-vertical:absolute;mso-position-vertical-relative:text;mso-width-percent:0;mso-height-percent:0;mso-width-relative:margin;mso-height-relative:margin" from="-6.6pt,-4.45pt" to="429.7pt,4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" o:allowincell="f" strokecolor="white [3212]" strokeweight="4.99mm">
                <v:shadow on="t" color="#404040 [2429]" opacity="30146f" offset="9.87628mm,-.17239mm"/>
              </v:line>
            </w:pict>
          </mc:Fallback>
        </mc:AlternateContent>
      </w:r>
      <w:r w:rsidR="0048003C">
        <w:rPr>
          <w:noProof/>
        </w:rPr>
        <mc:AlternateContent>
          <mc:Choice Requires="wps">
            <w:drawing>
              <wp:anchor distT="0" distB="0" distL="0" distR="0" simplePos="0" relativeHeight="251743744" behindDoc="1" locked="0" layoutInCell="0" allowOverlap="1" wp14:anchorId="33CFDBFB" wp14:editId="5DAC9670">
                <wp:simplePos x="0" y="0"/>
                <wp:positionH relativeFrom="column">
                  <wp:posOffset>-1110552</wp:posOffset>
                </wp:positionH>
                <wp:positionV relativeFrom="paragraph">
                  <wp:posOffset>-1104463</wp:posOffset>
                </wp:positionV>
                <wp:extent cx="7797783" cy="7846698"/>
                <wp:effectExtent l="32385" t="24765" r="7620" b="26670"/>
                <wp:wrapNone/>
                <wp:docPr id="900196876" name="Forma1"/>
                <wp:cNvGraphicFramePr/>
                <a:graphic xmlns:a="http://schemas.openxmlformats.org/drawingml/2006/main">
                  <a:graphicData uri="http://schemas.microsoft.com/office/word/2010/wordprocessingShape">
                    <wps:wsp>
                      <wps:cNvSpPr/>
                      <wps:spPr>
                        <a:xfrm rot="5396400">
                          <a:off x="0" y="0"/>
                          <a:ext cx="7797783" cy="7846698"/>
                        </a:xfrm>
                        <a:custGeom>
                          <a:avLst/>
                          <a:gdLst/>
                          <a:ahLst/>
                          <a:cxnLst/>
                          <a:rect l="l" t="t" r="r" b="b"/>
                          <a:pathLst>
                            <a:path w="21600" h="21600">
                              <a:moveTo>
                                <a:pt x="0" y="0"/>
                              </a:moveTo>
                              <a:lnTo>
                                <a:pt x="21600" y="21600"/>
                              </a:lnTo>
                              <a:lnTo>
                                <a:pt x="0" y="21600"/>
                              </a:lnTo>
                              <a:lnTo>
                                <a:pt x="0" y="0"/>
                              </a:lnTo>
                              <a:close/>
                            </a:path>
                          </a:pathLst>
                        </a:custGeom>
                        <a:solidFill>
                          <a:schemeClr val="accent5">
                            <a:lumMod val="50000"/>
                          </a:schemeClr>
                        </a:solidFill>
                        <a:ln w="0">
                          <a:solidFill>
                            <a:srgbClr val="3465A4"/>
                          </a:solidFill>
                        </a:ln>
                      </wps:spPr>
                      <wps:style>
                        <a:lnRef idx="0">
                          <a:scrgbClr r="0" g="0" b="0"/>
                        </a:lnRef>
                        <a:fillRef idx="0">
                          <a:scrgbClr r="0" g="0" b="0"/>
                        </a:fillRef>
                        <a:effectRef idx="0">
                          <a:scrgbClr r="0" g="0" b="0"/>
                        </a:effectRef>
                        <a:fontRef idx="minor"/>
                      </wps:style>
                      <wps:txbx>
                        <w:txbxContent>
                          <w:p w14:paraId="3FA98526" w14:textId="77777777" w:rsidR="00E31540" w:rsidRPr="006B5F0D" w:rsidRDefault="00E31540" w:rsidP="0048003C">
                            <w:pPr>
                              <w:jc w:val="center"/>
                              <w:rPr>
                                <w:lang w:val="es-MX"/>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3CFDBFB" id="Forma1" o:spid="_x0000_s1027" style="position:absolute;margin-left:-87.45pt;margin-top:-86.95pt;width:614pt;height:617.85pt;rotation:5894308fd;z-index:-25157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" o:allowincell="f" adj="-11796480,,5400" path="m,l21600,21600,,21600,,xe" fillcolor="#1f4d78 [1608]" strokecolor="#3465a4" strokeweight="0">
                <v:stroke joinstyle="miter"/>
                <v:formulas/>
                <v:path arrowok="t" o:connecttype="custom" textboxrect="0,0,21600,21600"/>
                <v:textbox>
                  <w:txbxContent>
                    <w:p w14:paraId="3FA98526" w14:textId="77777777" w:rsidR="00E31540" w:rsidRPr="006B5F0D" w:rsidRDefault="00E31540" w:rsidP="0048003C">
                      <w:pPr>
                        <w:jc w:val="center"/>
                        <w:rPr>
                          <w:lang w:val="es-MX"/>
                        </w:rPr>
                      </w:pPr>
                    </w:p>
                  </w:txbxContent>
                </v:textbox>
              </v:shape>
            </w:pict>
          </mc:Fallback>
        </mc:AlternateContent>
      </w:r>
    </w:p>
    <w:p w14:paraId="6565E9E7" w14:textId="760730A9" w:rsidR="0048003C" w:rsidRDefault="0098143A" w:rsidP="0048003C">
      <w:pPr>
        <w:rPr>
          <w:color w:val="C9211E"/>
        </w:rPr>
      </w:pPr>
      <w:r>
        <w:rPr>
          <w:noProof/>
        </w:rPr>
        <mc:AlternateContent>
          <mc:Choice Requires="wps">
            <w:drawing>
              <wp:anchor distT="0" distB="0" distL="0" distR="0" simplePos="0" relativeHeight="251751936" behindDoc="0" locked="0" layoutInCell="0" allowOverlap="1" wp14:anchorId="07393D2D" wp14:editId="0FDCEBAE">
                <wp:simplePos x="0" y="0"/>
                <wp:positionH relativeFrom="column">
                  <wp:posOffset>852495</wp:posOffset>
                </wp:positionH>
                <wp:positionV relativeFrom="paragraph">
                  <wp:posOffset>4443804</wp:posOffset>
                </wp:positionV>
                <wp:extent cx="5627075" cy="771525"/>
                <wp:effectExtent l="0" t="0" r="12065" b="9525"/>
                <wp:wrapNone/>
                <wp:docPr id="900196870" name="Forma9"/>
                <wp:cNvGraphicFramePr/>
                <a:graphic xmlns:a="http://schemas.openxmlformats.org/drawingml/2006/main">
                  <a:graphicData uri="http://schemas.microsoft.com/office/word/2010/wordprocessingShape">
                    <wps:wsp>
                      <wps:cNvSpPr/>
                      <wps:spPr>
                        <a:xfrm>
                          <a:off x="0" y="0"/>
                          <a:ext cx="5627075" cy="771525"/>
                        </a:xfrm>
                        <a:prstGeom prst="rect">
                          <a:avLst/>
                        </a:prstGeom>
                        <a:noFill/>
                        <a:ln w="0">
                          <a:noFill/>
                        </a:ln>
                      </wps:spPr>
                      <wps:style>
                        <a:lnRef idx="0">
                          <a:scrgbClr r="0" g="0" b="0"/>
                        </a:lnRef>
                        <a:fillRef idx="0">
                          <a:scrgbClr r="0" g="0" b="0"/>
                        </a:fillRef>
                        <a:effectRef idx="0">
                          <a:scrgbClr r="0" g="0" b="0"/>
                        </a:effectRef>
                        <a:fontRef idx="minor"/>
                      </wps:style>
                      <wps:txbx>
                        <w:txbxContent>
                          <w:p w14:paraId="63487911" w14:textId="77777777" w:rsidR="00E31540" w:rsidRPr="00320A75" w:rsidRDefault="00E31540" w:rsidP="0048003C">
                            <w:pPr>
                              <w:pStyle w:val="Contenidodelmarco"/>
                              <w:jc w:val="center"/>
                              <w:rPr>
                                <w:rFonts w:ascii="Arial" w:hAnsi="Arial"/>
                                <w:b/>
                                <w:color w:val="1F4E79" w:themeColor="accent5" w:themeShade="80"/>
                                <w:sz w:val="36"/>
                                <w:szCs w:val="38"/>
                                <w:lang w:val="es-MX"/>
                              </w:rPr>
                            </w:pPr>
                            <w:r w:rsidRPr="00320A75">
                              <w:rPr>
                                <w:rFonts w:ascii="Arial" w:hAnsi="Arial"/>
                                <w:b/>
                                <w:color w:val="1F4E79" w:themeColor="accent5" w:themeShade="80"/>
                                <w:sz w:val="36"/>
                                <w:szCs w:val="38"/>
                                <w:lang w:val="es-MX"/>
                              </w:rPr>
                              <w:t xml:space="preserve">Evaluación y análisis </w:t>
                            </w:r>
                          </w:p>
                          <w:p w14:paraId="6E597982" w14:textId="77777777" w:rsidR="00E31540" w:rsidRPr="00320A75" w:rsidRDefault="00E31540" w:rsidP="0048003C">
                            <w:pPr>
                              <w:pStyle w:val="Contenidodelmarco"/>
                              <w:jc w:val="center"/>
                              <w:rPr>
                                <w:rFonts w:ascii="Arial" w:hAnsi="Arial"/>
                                <w:b/>
                                <w:color w:val="1F4E79" w:themeColor="accent5" w:themeShade="80"/>
                                <w:sz w:val="36"/>
                                <w:szCs w:val="38"/>
                                <w:lang w:val="es-MX"/>
                              </w:rPr>
                            </w:pPr>
                            <w:r w:rsidRPr="00320A75">
                              <w:rPr>
                                <w:rFonts w:ascii="Arial" w:hAnsi="Arial"/>
                                <w:b/>
                                <w:color w:val="1F4E79" w:themeColor="accent5" w:themeShade="80"/>
                                <w:sz w:val="36"/>
                                <w:szCs w:val="38"/>
                                <w:lang w:val="es-MX"/>
                              </w:rPr>
                              <w:t>sobre la ejecución y resultados del presupuesto del ejercicio fiscal 2022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7393D2D" id="Forma9" o:spid="_x0000_s1028" style="position:absolute;margin-left:67.15pt;margin-top:349.9pt;width:443.1pt;height:60.75pt;z-index:25175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" o:allowincell="f" filled="f" stroked="f" strokeweight="0">
                <v:textbox inset="0,0,0,0">
                  <w:txbxContent>
                    <w:p w14:paraId="63487911" w14:textId="77777777" w:rsidR="00E31540" w:rsidRPr="00320A75" w:rsidRDefault="00E31540" w:rsidP="0048003C">
                      <w:pPr>
                        <w:pStyle w:val="Contenidodelmarco"/>
                        <w:jc w:val="center"/>
                        <w:rPr>
                          <w:rFonts w:ascii="Arial" w:hAnsi="Arial"/>
                          <w:b/>
                          <w:color w:val="1F4E79" w:themeColor="accent5" w:themeShade="80"/>
                          <w:sz w:val="36"/>
                          <w:szCs w:val="38"/>
                          <w:lang w:val="es-MX"/>
                        </w:rPr>
                      </w:pPr>
                      <w:r w:rsidRPr="00320A75">
                        <w:rPr>
                          <w:rFonts w:ascii="Arial" w:hAnsi="Arial"/>
                          <w:b/>
                          <w:color w:val="1F4E79" w:themeColor="accent5" w:themeShade="80"/>
                          <w:sz w:val="36"/>
                          <w:szCs w:val="38"/>
                          <w:lang w:val="es-MX"/>
                        </w:rPr>
                        <w:t xml:space="preserve">Evaluación y análisis </w:t>
                      </w:r>
                    </w:p>
                    <w:p w14:paraId="6E597982" w14:textId="77777777" w:rsidR="00E31540" w:rsidRPr="00320A75" w:rsidRDefault="00E31540" w:rsidP="0048003C">
                      <w:pPr>
                        <w:pStyle w:val="Contenidodelmarco"/>
                        <w:jc w:val="center"/>
                        <w:rPr>
                          <w:rFonts w:ascii="Arial" w:hAnsi="Arial"/>
                          <w:b/>
                          <w:color w:val="1F4E79" w:themeColor="accent5" w:themeShade="80"/>
                          <w:sz w:val="36"/>
                          <w:szCs w:val="38"/>
                          <w:lang w:val="es-MX"/>
                        </w:rPr>
                      </w:pPr>
                      <w:r w:rsidRPr="00320A75">
                        <w:rPr>
                          <w:rFonts w:ascii="Arial" w:hAnsi="Arial"/>
                          <w:b/>
                          <w:color w:val="1F4E79" w:themeColor="accent5" w:themeShade="80"/>
                          <w:sz w:val="36"/>
                          <w:szCs w:val="38"/>
                          <w:lang w:val="es-MX"/>
                        </w:rPr>
                        <w:t>sobre la ejecución y resultados del presupuesto del ejercicio fiscal 2022</w:t>
                      </w:r>
                    </w:p>
                  </w:txbxContent>
                </v:textbox>
              </v:rect>
            </w:pict>
          </mc:Fallback>
        </mc:AlternateContent>
      </w:r>
      <w:r w:rsidR="00E962AC">
        <w:rPr>
          <w:noProof/>
        </w:rPr>
        <mc:AlternateContent>
          <mc:Choice Requires="wps">
            <w:drawing>
              <wp:anchor distT="0" distB="0" distL="0" distR="0" simplePos="0" relativeHeight="251750912" behindDoc="0" locked="0" layoutInCell="0" allowOverlap="1" wp14:anchorId="11CB40BA" wp14:editId="6A021C38">
                <wp:simplePos x="0" y="0"/>
                <wp:positionH relativeFrom="column">
                  <wp:posOffset>-649280</wp:posOffset>
                </wp:positionH>
                <wp:positionV relativeFrom="paragraph">
                  <wp:posOffset>204057</wp:posOffset>
                </wp:positionV>
                <wp:extent cx="1497192" cy="357809"/>
                <wp:effectExtent l="0" t="0" r="8255" b="4445"/>
                <wp:wrapNone/>
                <wp:docPr id="900196866" name="Forma7"/>
                <wp:cNvGraphicFramePr/>
                <a:graphic xmlns:a="http://schemas.openxmlformats.org/drawingml/2006/main">
                  <a:graphicData uri="http://schemas.microsoft.com/office/word/2010/wordprocessingShape">
                    <wps:wsp>
                      <wps:cNvSpPr/>
                      <wps:spPr>
                        <a:xfrm>
                          <a:off x="0" y="0"/>
                          <a:ext cx="1497192" cy="357809"/>
                        </a:xfrm>
                        <a:prstGeom prst="rect">
                          <a:avLst/>
                        </a:prstGeom>
                        <a:noFill/>
                        <a:ln w="0">
                          <a:noFill/>
                        </a:ln>
                      </wps:spPr>
                      <wps:style>
                        <a:lnRef idx="0">
                          <a:scrgbClr r="0" g="0" b="0"/>
                        </a:lnRef>
                        <a:fillRef idx="0">
                          <a:scrgbClr r="0" g="0" b="0"/>
                        </a:fillRef>
                        <a:effectRef idx="0">
                          <a:scrgbClr r="0" g="0" b="0"/>
                        </a:effectRef>
                        <a:fontRef idx="minor"/>
                      </wps:style>
                      <wps:txbx>
                        <w:txbxContent>
                          <w:p w14:paraId="580E5CB9" w14:textId="77777777" w:rsidR="00E31540" w:rsidRPr="00341C51" w:rsidRDefault="00E31540" w:rsidP="0048003C">
                            <w:pPr>
                              <w:pStyle w:val="Contenidodelmarco"/>
                              <w:jc w:val="right"/>
                              <w:rPr>
                                <w:b/>
                                <w:color w:val="FFFFFF" w:themeColor="background1"/>
                                <w:sz w:val="18"/>
                              </w:rPr>
                            </w:pPr>
                            <w:r w:rsidRPr="00341C51">
                              <w:rPr>
                                <w:rFonts w:ascii="Arial" w:hAnsi="Arial"/>
                                <w:b/>
                                <w:color w:val="FFFFFF" w:themeColor="background1"/>
                                <w:sz w:val="48"/>
                                <w:szCs w:val="72"/>
                              </w:rPr>
                              <w:t>AÑO 2022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1CB40BA" id="Forma7" o:spid="_x0000_s1029" style="position:absolute;margin-left:-51.1pt;margin-top:16.05pt;width:117.9pt;height:28.15pt;z-index:25175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" o:allowincell="f" filled="f" stroked="f" strokeweight="0">
                <v:textbox inset="0,0,0,0">
                  <w:txbxContent>
                    <w:p w14:paraId="580E5CB9" w14:textId="77777777" w:rsidR="00E31540" w:rsidRPr="00341C51" w:rsidRDefault="00E31540" w:rsidP="0048003C">
                      <w:pPr>
                        <w:pStyle w:val="Contenidodelmarco"/>
                        <w:jc w:val="right"/>
                        <w:rPr>
                          <w:b/>
                          <w:color w:val="FFFFFF" w:themeColor="background1"/>
                          <w:sz w:val="18"/>
                        </w:rPr>
                      </w:pPr>
                      <w:r w:rsidRPr="00341C51">
                        <w:rPr>
                          <w:rFonts w:ascii="Arial" w:hAnsi="Arial"/>
                          <w:b/>
                          <w:color w:val="FFFFFF" w:themeColor="background1"/>
                          <w:sz w:val="48"/>
                          <w:szCs w:val="72"/>
                        </w:rPr>
                        <w:t>AÑO 2022</w:t>
                      </w:r>
                    </w:p>
                  </w:txbxContent>
                </v:textbox>
              </v:rect>
            </w:pict>
          </mc:Fallback>
        </mc:AlternateContent>
      </w:r>
      <w:r w:rsidR="00320A75">
        <w:rPr>
          <w:noProof/>
        </w:rPr>
        <mc:AlternateContent>
          <mc:Choice Requires="wps">
            <w:drawing>
              <wp:anchor distT="0" distB="0" distL="0" distR="0" simplePos="0" relativeHeight="251755008" behindDoc="0" locked="0" layoutInCell="0" allowOverlap="1" wp14:anchorId="43F6CE18" wp14:editId="6C974779">
                <wp:simplePos x="0" y="0"/>
                <wp:positionH relativeFrom="column">
                  <wp:posOffset>-664845</wp:posOffset>
                </wp:positionH>
                <wp:positionV relativeFrom="paragraph">
                  <wp:posOffset>7979798</wp:posOffset>
                </wp:positionV>
                <wp:extent cx="5294630" cy="201880"/>
                <wp:effectExtent l="0" t="0" r="1270" b="8255"/>
                <wp:wrapNone/>
                <wp:docPr id="900196871" name="Forma6"/>
                <wp:cNvGraphicFramePr/>
                <a:graphic xmlns:a="http://schemas.openxmlformats.org/drawingml/2006/main">
                  <a:graphicData uri="http://schemas.microsoft.com/office/word/2010/wordprocessingShape">
                    <wps:wsp>
                      <wps:cNvSpPr/>
                      <wps:spPr>
                        <a:xfrm>
                          <a:off x="0" y="0"/>
                          <a:ext cx="5294630" cy="201880"/>
                        </a:xfrm>
                        <a:prstGeom prst="rect">
                          <a:avLst/>
                        </a:prstGeom>
                        <a:noFill/>
                        <a:ln w="0">
                          <a:noFill/>
                        </a:ln>
                      </wps:spPr>
                      <wps:style>
                        <a:lnRef idx="0">
                          <a:scrgbClr r="0" g="0" b="0"/>
                        </a:lnRef>
                        <a:fillRef idx="0">
                          <a:scrgbClr r="0" g="0" b="0"/>
                        </a:fillRef>
                        <a:effectRef idx="0">
                          <a:scrgbClr r="0" g="0" b="0"/>
                        </a:effectRef>
                        <a:fontRef idx="minor"/>
                      </wps:style>
                      <wps:txbx>
                        <w:txbxContent>
                          <w:p w14:paraId="7997657C" w14:textId="77777777" w:rsidR="00E31540" w:rsidRPr="00320A75" w:rsidRDefault="00E31540" w:rsidP="0048003C">
                            <w:pPr>
                              <w:pStyle w:val="Contenidodelmarco"/>
                              <w:jc w:val="center"/>
                              <w:rPr>
                                <w:b/>
                                <w:color w:val="1F4E79" w:themeColor="accent5" w:themeShade="80"/>
                                <w:sz w:val="30"/>
                                <w:szCs w:val="38"/>
                                <w:lang w:val="es-MX"/>
                              </w:rPr>
                            </w:pPr>
                            <w:r w:rsidRPr="00320A75">
                              <w:rPr>
                                <w:rFonts w:ascii="Arial" w:hAnsi="Arial"/>
                                <w:b/>
                                <w:color w:val="1F4E79" w:themeColor="accent5" w:themeShade="80"/>
                                <w:szCs w:val="38"/>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3F6CE18" id="_x0000_s1030" style="position:absolute;margin-left:-52.35pt;margin-top:628.35pt;width:416.9pt;height:15.9pt;z-index:25175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" o:allowincell="f" filled="f" stroked="f" strokeweight="0">
                <v:textbox inset="0,0,0,0">
                  <w:txbxContent>
                    <w:p w14:paraId="7997657C" w14:textId="77777777" w:rsidR="00E31540" w:rsidRPr="00320A75" w:rsidRDefault="00E31540" w:rsidP="0048003C">
                      <w:pPr>
                        <w:pStyle w:val="Contenidodelmarco"/>
                        <w:jc w:val="center"/>
                        <w:rPr>
                          <w:b/>
                          <w:color w:val="1F4E79" w:themeColor="accent5" w:themeShade="80"/>
                          <w:sz w:val="30"/>
                          <w:szCs w:val="38"/>
                          <w:lang w:val="es-MX"/>
                        </w:rPr>
                      </w:pPr>
                      <w:r w:rsidRPr="00320A75">
                        <w:rPr>
                          <w:rFonts w:ascii="Arial" w:hAnsi="Arial"/>
                          <w:b/>
                          <w:color w:val="1F4E79" w:themeColor="accent5" w:themeShade="80"/>
                          <w:szCs w:val="38"/>
                          <w:lang w:val="es-MX"/>
                        </w:rPr>
                        <w:t>Secretaría de Planificación y Programación de la Presidencia</w:t>
                      </w:r>
                    </w:p>
                  </w:txbxContent>
                </v:textbox>
              </v:rect>
            </w:pict>
          </mc:Fallback>
        </mc:AlternateContent>
      </w:r>
      <w:r w:rsidR="0048003C">
        <w:rPr>
          <w:noProof/>
        </w:rPr>
        <mc:AlternateContent>
          <mc:Choice Requires="wps">
            <w:drawing>
              <wp:anchor distT="35560" distB="35560" distL="35560" distR="35560" simplePos="0" relativeHeight="251753984" behindDoc="0" locked="0" layoutInCell="0" allowOverlap="1" wp14:anchorId="454DE6B6" wp14:editId="6C65A044">
                <wp:simplePos x="0" y="0"/>
                <wp:positionH relativeFrom="column">
                  <wp:posOffset>-1065505</wp:posOffset>
                </wp:positionH>
                <wp:positionV relativeFrom="paragraph">
                  <wp:posOffset>8286318</wp:posOffset>
                </wp:positionV>
                <wp:extent cx="3686861" cy="0"/>
                <wp:effectExtent l="0" t="38100" r="46990" b="38100"/>
                <wp:wrapNone/>
                <wp:docPr id="900196867" name="Forma3_0"/>
                <wp:cNvGraphicFramePr/>
                <a:graphic xmlns:a="http://schemas.openxmlformats.org/drawingml/2006/main">
                  <a:graphicData uri="http://schemas.microsoft.com/office/word/2010/wordprocessingShape">
                    <wps:wsp>
                      <wps:cNvCnPr/>
                      <wps:spPr>
                        <a:xfrm flipV="1">
                          <a:off x="0" y="0"/>
                          <a:ext cx="3686861" cy="0"/>
                        </a:xfrm>
                        <a:prstGeom prst="line">
                          <a:avLst/>
                        </a:prstGeom>
                        <a:ln w="76200">
                          <a:solidFill>
                            <a:schemeClr val="accent5">
                              <a:lumMod val="50000"/>
                            </a:schemeClr>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B2BCD9A" id="Forma3_0" o:spid="_x0000_s1026" style="position:absolute;flip:y;z-index:251753984;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 from="-83.9pt,652.45pt" to="206.4pt,6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" o:allowincell="f" strokecolor="#1f4d78 [1608]" strokeweight="6pt"/>
            </w:pict>
          </mc:Fallback>
        </mc:AlternateContent>
      </w:r>
      <w:r w:rsidR="0048003C">
        <w:rPr>
          <w:noProof/>
        </w:rPr>
        <mc:AlternateContent>
          <mc:Choice Requires="wps">
            <w:drawing>
              <wp:anchor distT="17780" distB="17780" distL="17780" distR="17780" simplePos="0" relativeHeight="251748864" behindDoc="0" locked="0" layoutInCell="0" allowOverlap="1" wp14:anchorId="768CA832" wp14:editId="2B9EEE09">
                <wp:simplePos x="0" y="0"/>
                <wp:positionH relativeFrom="column">
                  <wp:posOffset>5810782</wp:posOffset>
                </wp:positionH>
                <wp:positionV relativeFrom="paragraph">
                  <wp:posOffset>6658888</wp:posOffset>
                </wp:positionV>
                <wp:extent cx="894665" cy="814451"/>
                <wp:effectExtent l="38100" t="38100" r="20320" b="43180"/>
                <wp:wrapNone/>
                <wp:docPr id="900196868" name="Forma3_1"/>
                <wp:cNvGraphicFramePr/>
                <a:graphic xmlns:a="http://schemas.openxmlformats.org/drawingml/2006/main">
                  <a:graphicData uri="http://schemas.microsoft.com/office/word/2010/wordprocessingShape">
                    <wps:wsp>
                      <wps:cNvCnPr/>
                      <wps:spPr>
                        <a:xfrm flipV="1">
                          <a:off x="0" y="0"/>
                          <a:ext cx="894665" cy="814451"/>
                        </a:xfrm>
                        <a:prstGeom prst="line">
                          <a:avLst/>
                        </a:prstGeom>
                        <a:ln w="76200">
                          <a:solidFill>
                            <a:schemeClr val="accent5">
                              <a:lumMod val="50000"/>
                            </a:schemeClr>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91EBC18" id="Forma3_1" o:spid="_x0000_s1026" style="position:absolute;flip:y;z-index:251748864;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 from="457.55pt,524.3pt" to="528pt,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" o:allowincell="f" strokecolor="#1f4d78 [1608]" strokeweight="6pt"/>
            </w:pict>
          </mc:Fallback>
        </mc:AlternateContent>
      </w:r>
      <w:r w:rsidR="0048003C">
        <w:rPr>
          <w:noProof/>
        </w:rPr>
        <mc:AlternateContent>
          <mc:Choice Requires="wps">
            <w:drawing>
              <wp:anchor distT="0" distB="0" distL="0" distR="0" simplePos="0" relativeHeight="251745792" behindDoc="1" locked="0" layoutInCell="0" allowOverlap="1" wp14:anchorId="24899746" wp14:editId="64508F31">
                <wp:simplePos x="0" y="0"/>
                <wp:positionH relativeFrom="column">
                  <wp:posOffset>3882641</wp:posOffset>
                </wp:positionH>
                <wp:positionV relativeFrom="paragraph">
                  <wp:posOffset>6215730</wp:posOffset>
                </wp:positionV>
                <wp:extent cx="3015548" cy="3287395"/>
                <wp:effectExtent l="0" t="2858" r="11113" b="11112"/>
                <wp:wrapNone/>
                <wp:docPr id="900196872" name="Forma1_0"/>
                <wp:cNvGraphicFramePr/>
                <a:graphic xmlns:a="http://schemas.openxmlformats.org/drawingml/2006/main">
                  <a:graphicData uri="http://schemas.microsoft.com/office/word/2010/wordprocessingShape">
                    <wps:wsp>
                      <wps:cNvSpPr/>
                      <wps:spPr>
                        <a:xfrm rot="16200000">
                          <a:off x="0" y="0"/>
                          <a:ext cx="3015548" cy="3287395"/>
                        </a:xfrm>
                        <a:custGeom>
                          <a:avLst/>
                          <a:gdLst/>
                          <a:ahLst/>
                          <a:cxnLst/>
                          <a:rect l="l" t="t" r="r" b="b"/>
                          <a:pathLst>
                            <a:path w="21600" h="21600">
                              <a:moveTo>
                                <a:pt x="0" y="0"/>
                              </a:moveTo>
                              <a:lnTo>
                                <a:pt x="21600" y="21600"/>
                              </a:lnTo>
                              <a:lnTo>
                                <a:pt x="0" y="21600"/>
                              </a:lnTo>
                              <a:lnTo>
                                <a:pt x="0" y="0"/>
                              </a:lnTo>
                              <a:close/>
                            </a:path>
                          </a:pathLst>
                        </a:custGeom>
                        <a:solidFill>
                          <a:srgbClr val="0070C0"/>
                        </a:solidFill>
                        <a:ln w="0">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01280B12" id="Forma1_0" o:spid="_x0000_s1026" style="position:absolute;margin-left:305.7pt;margin-top:489.45pt;width:237.45pt;height:258.85pt;rotation:-90;z-index:-25157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" o:allowincell="f" path="m,l21600,21600,,21600,,xe" fillcolor="#0070c0" strokecolor="#3465a4" strokeweight="0">
                <v:path arrowok="t"/>
              </v:shape>
            </w:pict>
          </mc:Fallback>
        </mc:AlternateContent>
      </w:r>
      <w:r w:rsidR="0048003C">
        <w:rPr>
          <w:noProof/>
        </w:rPr>
        <mc:AlternateContent>
          <mc:Choice Requires="wps">
            <w:drawing>
              <wp:anchor distT="0" distB="0" distL="0" distR="0" simplePos="0" relativeHeight="251752960" behindDoc="0" locked="0" layoutInCell="0" allowOverlap="1" wp14:anchorId="512D55BA" wp14:editId="2CE34A85">
                <wp:simplePos x="0" y="0"/>
                <wp:positionH relativeFrom="column">
                  <wp:posOffset>-1138657</wp:posOffset>
                </wp:positionH>
                <wp:positionV relativeFrom="paragraph">
                  <wp:posOffset>8286319</wp:posOffset>
                </wp:positionV>
                <wp:extent cx="6072370" cy="1787068"/>
                <wp:effectExtent l="0" t="0" r="5080" b="3810"/>
                <wp:wrapNone/>
                <wp:docPr id="18" name="Forma5"/>
                <wp:cNvGraphicFramePr/>
                <a:graphic xmlns:a="http://schemas.openxmlformats.org/drawingml/2006/main">
                  <a:graphicData uri="http://schemas.microsoft.com/office/word/2010/wordprocessingShape">
                    <wps:wsp>
                      <wps:cNvSpPr/>
                      <wps:spPr>
                        <a:xfrm>
                          <a:off x="0" y="0"/>
                          <a:ext cx="6072370" cy="1787068"/>
                        </a:xfrm>
                        <a:prstGeom prst="rect">
                          <a:avLst/>
                        </a:prstGeom>
                        <a:solidFill>
                          <a:srgbClr val="0070C0"/>
                        </a:solidFill>
                        <a:ln w="0">
                          <a:no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7EB2E335" id="Forma5" o:spid="_x0000_s1026" style="position:absolute;margin-left:-89.65pt;margin-top:652.45pt;width:478.15pt;height:140.7pt;z-index:25175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" o:allowincell="f" fillcolor="#0070c0" stroked="f" strokeweight="0"/>
            </w:pict>
          </mc:Fallback>
        </mc:AlternateContent>
      </w:r>
      <w:r w:rsidR="0048003C">
        <w:rPr>
          <w:lang w:val="es-ES"/>
        </w:rPr>
        <w:br w:type="page"/>
      </w:r>
      <w:r w:rsidR="0048003C">
        <w:rPr>
          <w:noProof/>
        </w:rPr>
        <mc:AlternateContent>
          <mc:Choice Requires="wps">
            <w:drawing>
              <wp:anchor distT="0" distB="0" distL="0" distR="0" simplePos="0" relativeHeight="251756032" behindDoc="0" locked="0" layoutInCell="0" allowOverlap="1" wp14:anchorId="3FB8C17B" wp14:editId="1FE8E19F">
                <wp:simplePos x="0" y="0"/>
                <wp:positionH relativeFrom="column">
                  <wp:posOffset>3128010</wp:posOffset>
                </wp:positionH>
                <wp:positionV relativeFrom="paragraph">
                  <wp:posOffset>5617333</wp:posOffset>
                </wp:positionV>
                <wp:extent cx="995585" cy="284400"/>
                <wp:effectExtent l="0" t="0" r="14605" b="1905"/>
                <wp:wrapNone/>
                <wp:docPr id="900196869" name="Forma6"/>
                <wp:cNvGraphicFramePr/>
                <a:graphic xmlns:a="http://schemas.openxmlformats.org/drawingml/2006/main">
                  <a:graphicData uri="http://schemas.microsoft.com/office/word/2010/wordprocessingShape">
                    <wps:wsp>
                      <wps:cNvSpPr/>
                      <wps:spPr>
                        <a:xfrm>
                          <a:off x="0" y="0"/>
                          <a:ext cx="995585" cy="284400"/>
                        </a:xfrm>
                        <a:prstGeom prst="rect">
                          <a:avLst/>
                        </a:prstGeom>
                        <a:noFill/>
                        <a:ln w="0">
                          <a:noFill/>
                        </a:ln>
                      </wps:spPr>
                      <wps:style>
                        <a:lnRef idx="0">
                          <a:scrgbClr r="0" g="0" b="0"/>
                        </a:lnRef>
                        <a:fillRef idx="0">
                          <a:scrgbClr r="0" g="0" b="0"/>
                        </a:fillRef>
                        <a:effectRef idx="0">
                          <a:scrgbClr r="0" g="0" b="0"/>
                        </a:effectRef>
                        <a:fontRef idx="minor"/>
                      </wps:style>
                      <wps:txbx>
                        <w:txbxContent>
                          <w:p w14:paraId="3A081633" w14:textId="77777777" w:rsidR="00E31540" w:rsidRPr="00F87F45" w:rsidRDefault="00E31540" w:rsidP="0048003C">
                            <w:pPr>
                              <w:pStyle w:val="Contenidodelmarco"/>
                              <w:jc w:val="center"/>
                              <w:rPr>
                                <w:b/>
                                <w:color w:val="1F4E79" w:themeColor="accent5" w:themeShade="80"/>
                                <w:sz w:val="32"/>
                                <w:szCs w:val="38"/>
                                <w:lang w:val="es-MX"/>
                              </w:rPr>
                            </w:pPr>
                            <w:r>
                              <w:rPr>
                                <w:rFonts w:ascii="Arial" w:hAnsi="Arial"/>
                                <w:b/>
                                <w:color w:val="1F4E79" w:themeColor="accent5" w:themeShade="80"/>
                                <w:sz w:val="28"/>
                                <w:szCs w:val="38"/>
                                <w:lang w:val="es-MX"/>
                              </w:rPr>
                              <w:t>Marzo 2023</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FB8C17B" id="_x0000_s1031" style="position:absolute;margin-left:246.3pt;margin-top:442.3pt;width:78.4pt;height:22.4pt;z-index:25175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" o:allowincell="f" filled="f" stroked="f" strokeweight="0">
                <v:textbox inset="0,0,0,0">
                  <w:txbxContent>
                    <w:p w14:paraId="3A081633" w14:textId="77777777" w:rsidR="00E31540" w:rsidRPr="00F87F45" w:rsidRDefault="00E31540" w:rsidP="0048003C">
                      <w:pPr>
                        <w:pStyle w:val="Contenidodelmarco"/>
                        <w:jc w:val="center"/>
                        <w:rPr>
                          <w:b/>
                          <w:color w:val="1F4E79" w:themeColor="accent5" w:themeShade="80"/>
                          <w:sz w:val="32"/>
                          <w:szCs w:val="38"/>
                          <w:lang w:val="es-MX"/>
                        </w:rPr>
                      </w:pPr>
                      <w:r>
                        <w:rPr>
                          <w:rFonts w:ascii="Arial" w:hAnsi="Arial"/>
                          <w:b/>
                          <w:color w:val="1F4E79" w:themeColor="accent5" w:themeShade="80"/>
                          <w:sz w:val="28"/>
                          <w:szCs w:val="38"/>
                          <w:lang w:val="es-MX"/>
                        </w:rPr>
                        <w:t>Marzo 2023</w:t>
                      </w:r>
                    </w:p>
                  </w:txbxContent>
                </v:textbox>
              </v:rect>
            </w:pict>
          </mc:Fallback>
        </mc:AlternateContent>
      </w:r>
    </w:p>
    <w:sdt>
      <w:sdtPr>
        <w:rPr>
          <w:lang w:val="es-ES"/>
        </w:rPr>
        <w:id w:val="-771166994"/>
        <w:docPartObj>
          <w:docPartGallery w:val="Table of Contents"/>
          <w:docPartUnique/>
        </w:docPartObj>
      </w:sdtPr>
      <w:sdtEndPr>
        <w:rPr>
          <w:b/>
          <w:bCs/>
        </w:rPr>
      </w:sdtEndPr>
      <w:sdtContent>
        <w:p w14:paraId="7188EDBB" w14:textId="5869AFDE" w:rsidR="00390F6B" w:rsidRPr="005F29CB" w:rsidRDefault="00390F6B" w:rsidP="005F29CB">
          <w:pPr>
            <w:jc w:val="center"/>
            <w:rPr>
              <w:rFonts w:ascii="Helvetica" w:hAnsi="Helvetica" w:cs="Helvetica"/>
              <w:b/>
              <w:bCs/>
              <w:color w:val="2F5496" w:themeColor="accent1" w:themeShade="BF"/>
              <w:sz w:val="24"/>
              <w:szCs w:val="24"/>
            </w:rPr>
          </w:pPr>
          <w:r w:rsidRPr="005F29CB">
            <w:rPr>
              <w:rFonts w:ascii="Helvetica" w:hAnsi="Helvetica" w:cs="Helvetica"/>
              <w:b/>
              <w:bCs/>
              <w:color w:val="2F5496" w:themeColor="accent1" w:themeShade="BF"/>
              <w:sz w:val="24"/>
              <w:szCs w:val="24"/>
            </w:rPr>
            <w:t>Contenido</w:t>
          </w:r>
        </w:p>
        <w:p w14:paraId="2C3E2264" w14:textId="382B3056" w:rsidR="003276FD" w:rsidRDefault="00390F6B">
          <w:pPr>
            <w:pStyle w:val="TDC1"/>
            <w:rPr>
              <w:rFonts w:cstheme="minorBidi"/>
              <w:noProof/>
            </w:rPr>
          </w:pPr>
          <w:r w:rsidRPr="00630439">
            <w:rPr>
              <w:rFonts w:ascii="Helvetica" w:hAnsi="Helvetica" w:cs="Helvetica"/>
            </w:rPr>
            <w:fldChar w:fldCharType="begin"/>
          </w:r>
          <w:r w:rsidRPr="00630439">
            <w:rPr>
              <w:rFonts w:ascii="Helvetica" w:hAnsi="Helvetica" w:cs="Helvetica"/>
            </w:rPr>
            <w:instrText xml:space="preserve"> TOC \o "1-3" \h \z \u </w:instrText>
          </w:r>
          <w:r w:rsidRPr="00630439">
            <w:rPr>
              <w:rFonts w:ascii="Helvetica" w:hAnsi="Helvetica" w:cs="Helvetica"/>
            </w:rPr>
            <w:fldChar w:fldCharType="separate"/>
          </w:r>
          <w:hyperlink w:anchor="_Toc130301098" w:history="1">
            <w:r w:rsidR="003276FD" w:rsidRPr="00F77505">
              <w:rPr>
                <w:rStyle w:val="Hipervnculo"/>
                <w:rFonts w:eastAsia="Times New Roman" w:cstheme="minorHAnsi"/>
                <w:noProof/>
                <w:lang w:val="es-ES"/>
              </w:rPr>
              <w:t>Presentación</w:t>
            </w:r>
            <w:r w:rsidR="003276FD">
              <w:rPr>
                <w:noProof/>
                <w:webHidden/>
              </w:rPr>
              <w:tab/>
            </w:r>
            <w:r w:rsidR="003276FD">
              <w:rPr>
                <w:noProof/>
                <w:webHidden/>
              </w:rPr>
              <w:fldChar w:fldCharType="begin"/>
            </w:r>
            <w:r w:rsidR="003276FD">
              <w:rPr>
                <w:noProof/>
                <w:webHidden/>
              </w:rPr>
              <w:instrText xml:space="preserve"> PAGEREF _Toc130301098 \h </w:instrText>
            </w:r>
            <w:r w:rsidR="003276FD">
              <w:rPr>
                <w:noProof/>
                <w:webHidden/>
              </w:rPr>
            </w:r>
            <w:r w:rsidR="003276FD">
              <w:rPr>
                <w:noProof/>
                <w:webHidden/>
              </w:rPr>
              <w:fldChar w:fldCharType="separate"/>
            </w:r>
            <w:r w:rsidR="00777974">
              <w:rPr>
                <w:noProof/>
                <w:webHidden/>
              </w:rPr>
              <w:t>1</w:t>
            </w:r>
            <w:r w:rsidR="003276FD">
              <w:rPr>
                <w:noProof/>
                <w:webHidden/>
              </w:rPr>
              <w:fldChar w:fldCharType="end"/>
            </w:r>
          </w:hyperlink>
        </w:p>
        <w:p w14:paraId="66BA217B" w14:textId="35A141FF" w:rsidR="003276FD" w:rsidRDefault="00B843AE">
          <w:pPr>
            <w:pStyle w:val="TDC1"/>
            <w:rPr>
              <w:rFonts w:cstheme="minorBidi"/>
              <w:noProof/>
            </w:rPr>
          </w:pPr>
          <w:hyperlink w:anchor="_Toc130301099" w:history="1">
            <w:r w:rsidR="003276FD" w:rsidRPr="00F77505">
              <w:rPr>
                <w:rStyle w:val="Hipervnculo"/>
                <w:rFonts w:eastAsia="Calibri" w:cstheme="minorHAnsi"/>
                <w:noProof/>
              </w:rPr>
              <w:t>Resultados de la evaluación de la calidad del gasto público de las instituciones y municipalidades durante el año 2022</w:t>
            </w:r>
            <w:r w:rsidR="003276FD">
              <w:rPr>
                <w:noProof/>
                <w:webHidden/>
              </w:rPr>
              <w:tab/>
            </w:r>
            <w:r w:rsidR="003276FD">
              <w:rPr>
                <w:noProof/>
                <w:webHidden/>
              </w:rPr>
              <w:fldChar w:fldCharType="begin"/>
            </w:r>
            <w:r w:rsidR="003276FD">
              <w:rPr>
                <w:noProof/>
                <w:webHidden/>
              </w:rPr>
              <w:instrText xml:space="preserve"> PAGEREF _Toc130301099 \h </w:instrText>
            </w:r>
            <w:r w:rsidR="003276FD">
              <w:rPr>
                <w:noProof/>
                <w:webHidden/>
              </w:rPr>
            </w:r>
            <w:r w:rsidR="003276FD">
              <w:rPr>
                <w:noProof/>
                <w:webHidden/>
              </w:rPr>
              <w:fldChar w:fldCharType="separate"/>
            </w:r>
            <w:r w:rsidR="00777974">
              <w:rPr>
                <w:noProof/>
                <w:webHidden/>
              </w:rPr>
              <w:t>2</w:t>
            </w:r>
            <w:r w:rsidR="003276FD">
              <w:rPr>
                <w:noProof/>
                <w:webHidden/>
              </w:rPr>
              <w:fldChar w:fldCharType="end"/>
            </w:r>
          </w:hyperlink>
        </w:p>
        <w:p w14:paraId="0DA34CA5" w14:textId="3563587F" w:rsidR="003276FD" w:rsidRDefault="00B843AE">
          <w:pPr>
            <w:pStyle w:val="TDC2"/>
            <w:rPr>
              <w:rFonts w:cstheme="minorBidi"/>
              <w:noProof/>
            </w:rPr>
          </w:pPr>
          <w:hyperlink w:anchor="_Toc130301100" w:history="1">
            <w:r w:rsidR="003276FD" w:rsidRPr="00F77505">
              <w:rPr>
                <w:rStyle w:val="Hipervnculo"/>
                <w:rFonts w:eastAsia="Calibri" w:cstheme="minorHAnsi"/>
                <w:noProof/>
              </w:rPr>
              <w:t>Eficacia</w:t>
            </w:r>
            <w:r w:rsidR="003276FD">
              <w:rPr>
                <w:noProof/>
                <w:webHidden/>
              </w:rPr>
              <w:tab/>
            </w:r>
            <w:r w:rsidR="003276FD">
              <w:rPr>
                <w:noProof/>
                <w:webHidden/>
              </w:rPr>
              <w:fldChar w:fldCharType="begin"/>
            </w:r>
            <w:r w:rsidR="003276FD">
              <w:rPr>
                <w:noProof/>
                <w:webHidden/>
              </w:rPr>
              <w:instrText xml:space="preserve"> PAGEREF _Toc130301100 \h </w:instrText>
            </w:r>
            <w:r w:rsidR="003276FD">
              <w:rPr>
                <w:noProof/>
                <w:webHidden/>
              </w:rPr>
            </w:r>
            <w:r w:rsidR="003276FD">
              <w:rPr>
                <w:noProof/>
                <w:webHidden/>
              </w:rPr>
              <w:fldChar w:fldCharType="separate"/>
            </w:r>
            <w:r w:rsidR="00777974">
              <w:rPr>
                <w:noProof/>
                <w:webHidden/>
              </w:rPr>
              <w:t>2</w:t>
            </w:r>
            <w:r w:rsidR="003276FD">
              <w:rPr>
                <w:noProof/>
                <w:webHidden/>
              </w:rPr>
              <w:fldChar w:fldCharType="end"/>
            </w:r>
          </w:hyperlink>
        </w:p>
        <w:p w14:paraId="4CC00B11" w14:textId="1CF4142F" w:rsidR="003276FD" w:rsidRDefault="00B843AE">
          <w:pPr>
            <w:pStyle w:val="TDC2"/>
            <w:rPr>
              <w:rFonts w:cstheme="minorBidi"/>
              <w:noProof/>
            </w:rPr>
          </w:pPr>
          <w:hyperlink w:anchor="_Toc130301101" w:history="1">
            <w:r w:rsidR="003276FD" w:rsidRPr="00F77505">
              <w:rPr>
                <w:rStyle w:val="Hipervnculo"/>
                <w:rFonts w:eastAsia="Calibri" w:cstheme="minorHAnsi"/>
                <w:noProof/>
              </w:rPr>
              <w:t>Eficiencia</w:t>
            </w:r>
            <w:r w:rsidR="003276FD">
              <w:rPr>
                <w:noProof/>
                <w:webHidden/>
              </w:rPr>
              <w:tab/>
            </w:r>
            <w:r w:rsidR="003276FD">
              <w:rPr>
                <w:noProof/>
                <w:webHidden/>
              </w:rPr>
              <w:fldChar w:fldCharType="begin"/>
            </w:r>
            <w:r w:rsidR="003276FD">
              <w:rPr>
                <w:noProof/>
                <w:webHidden/>
              </w:rPr>
              <w:instrText xml:space="preserve"> PAGEREF _Toc130301101 \h </w:instrText>
            </w:r>
            <w:r w:rsidR="003276FD">
              <w:rPr>
                <w:noProof/>
                <w:webHidden/>
              </w:rPr>
            </w:r>
            <w:r w:rsidR="003276FD">
              <w:rPr>
                <w:noProof/>
                <w:webHidden/>
              </w:rPr>
              <w:fldChar w:fldCharType="separate"/>
            </w:r>
            <w:r w:rsidR="00777974">
              <w:rPr>
                <w:noProof/>
                <w:webHidden/>
              </w:rPr>
              <w:t>5</w:t>
            </w:r>
            <w:r w:rsidR="003276FD">
              <w:rPr>
                <w:noProof/>
                <w:webHidden/>
              </w:rPr>
              <w:fldChar w:fldCharType="end"/>
            </w:r>
          </w:hyperlink>
        </w:p>
        <w:p w14:paraId="7E755CB2" w14:textId="3B5F5C15" w:rsidR="003276FD" w:rsidRDefault="00B843AE">
          <w:pPr>
            <w:pStyle w:val="TDC1"/>
            <w:rPr>
              <w:rFonts w:cstheme="minorBidi"/>
              <w:noProof/>
            </w:rPr>
          </w:pPr>
          <w:hyperlink w:anchor="_Toc130301102" w:history="1">
            <w:r w:rsidR="003276FD" w:rsidRPr="00F77505">
              <w:rPr>
                <w:rStyle w:val="Hipervnculo"/>
                <w:rFonts w:ascii="Calibri" w:eastAsia="Calibri" w:hAnsi="Calibri" w:cs="Calibri"/>
                <w:noProof/>
              </w:rPr>
              <w:t>1. Avance de metas y cumplimiento de la calidad del gasto de las instituciones del sector público</w:t>
            </w:r>
            <w:r w:rsidR="003276FD">
              <w:rPr>
                <w:noProof/>
                <w:webHidden/>
              </w:rPr>
              <w:tab/>
            </w:r>
            <w:r w:rsidR="003276FD">
              <w:rPr>
                <w:noProof/>
                <w:webHidden/>
              </w:rPr>
              <w:fldChar w:fldCharType="begin"/>
            </w:r>
            <w:r w:rsidR="003276FD">
              <w:rPr>
                <w:noProof/>
                <w:webHidden/>
              </w:rPr>
              <w:instrText xml:space="preserve"> PAGEREF _Toc130301102 \h </w:instrText>
            </w:r>
            <w:r w:rsidR="003276FD">
              <w:rPr>
                <w:noProof/>
                <w:webHidden/>
              </w:rPr>
            </w:r>
            <w:r w:rsidR="003276FD">
              <w:rPr>
                <w:noProof/>
                <w:webHidden/>
              </w:rPr>
              <w:fldChar w:fldCharType="separate"/>
            </w:r>
            <w:r w:rsidR="00777974">
              <w:rPr>
                <w:noProof/>
                <w:webHidden/>
              </w:rPr>
              <w:t>5</w:t>
            </w:r>
            <w:r w:rsidR="003276FD">
              <w:rPr>
                <w:noProof/>
                <w:webHidden/>
              </w:rPr>
              <w:fldChar w:fldCharType="end"/>
            </w:r>
          </w:hyperlink>
        </w:p>
        <w:p w14:paraId="77720A7A" w14:textId="78B62AB6" w:rsidR="003276FD" w:rsidRDefault="00B843AE">
          <w:pPr>
            <w:pStyle w:val="TDC2"/>
            <w:rPr>
              <w:rFonts w:cstheme="minorBidi"/>
              <w:noProof/>
            </w:rPr>
          </w:pPr>
          <w:hyperlink w:anchor="_Toc130301103" w:history="1">
            <w:r w:rsidR="003276FD" w:rsidRPr="00F77505">
              <w:rPr>
                <w:rStyle w:val="Hipervnculo"/>
                <w:rFonts w:eastAsia="Calibri" w:cstheme="minorHAnsi"/>
                <w:noProof/>
              </w:rPr>
              <w:t>Ministerios</w:t>
            </w:r>
            <w:r w:rsidR="003276FD">
              <w:rPr>
                <w:noProof/>
                <w:webHidden/>
              </w:rPr>
              <w:tab/>
            </w:r>
            <w:r w:rsidR="003276FD">
              <w:rPr>
                <w:noProof/>
                <w:webHidden/>
              </w:rPr>
              <w:fldChar w:fldCharType="begin"/>
            </w:r>
            <w:r w:rsidR="003276FD">
              <w:rPr>
                <w:noProof/>
                <w:webHidden/>
              </w:rPr>
              <w:instrText xml:space="preserve"> PAGEREF _Toc130301103 \h </w:instrText>
            </w:r>
            <w:r w:rsidR="003276FD">
              <w:rPr>
                <w:noProof/>
                <w:webHidden/>
              </w:rPr>
            </w:r>
            <w:r w:rsidR="003276FD">
              <w:rPr>
                <w:noProof/>
                <w:webHidden/>
              </w:rPr>
              <w:fldChar w:fldCharType="separate"/>
            </w:r>
            <w:r w:rsidR="00777974">
              <w:rPr>
                <w:noProof/>
                <w:webHidden/>
              </w:rPr>
              <w:t>7</w:t>
            </w:r>
            <w:r w:rsidR="003276FD">
              <w:rPr>
                <w:noProof/>
                <w:webHidden/>
              </w:rPr>
              <w:fldChar w:fldCharType="end"/>
            </w:r>
          </w:hyperlink>
        </w:p>
        <w:p w14:paraId="6D08E739" w14:textId="0B6CD775" w:rsidR="003276FD" w:rsidRDefault="00B843AE">
          <w:pPr>
            <w:pStyle w:val="TDC2"/>
            <w:rPr>
              <w:rFonts w:cstheme="minorBidi"/>
              <w:noProof/>
            </w:rPr>
          </w:pPr>
          <w:hyperlink w:anchor="_Toc130301104" w:history="1">
            <w:r w:rsidR="003276FD" w:rsidRPr="00F77505">
              <w:rPr>
                <w:rStyle w:val="Hipervnculo"/>
                <w:rFonts w:eastAsia="Calibri" w:cstheme="minorHAnsi"/>
                <w:noProof/>
              </w:rPr>
              <w:t>Secretarías</w:t>
            </w:r>
            <w:r w:rsidR="003276FD">
              <w:rPr>
                <w:noProof/>
                <w:webHidden/>
              </w:rPr>
              <w:tab/>
            </w:r>
            <w:r w:rsidR="003276FD">
              <w:rPr>
                <w:noProof/>
                <w:webHidden/>
              </w:rPr>
              <w:fldChar w:fldCharType="begin"/>
            </w:r>
            <w:r w:rsidR="003276FD">
              <w:rPr>
                <w:noProof/>
                <w:webHidden/>
              </w:rPr>
              <w:instrText xml:space="preserve"> PAGEREF _Toc130301104 \h </w:instrText>
            </w:r>
            <w:r w:rsidR="003276FD">
              <w:rPr>
                <w:noProof/>
                <w:webHidden/>
              </w:rPr>
            </w:r>
            <w:r w:rsidR="003276FD">
              <w:rPr>
                <w:noProof/>
                <w:webHidden/>
              </w:rPr>
              <w:fldChar w:fldCharType="separate"/>
            </w:r>
            <w:r w:rsidR="00777974">
              <w:rPr>
                <w:noProof/>
                <w:webHidden/>
              </w:rPr>
              <w:t>27</w:t>
            </w:r>
            <w:r w:rsidR="003276FD">
              <w:rPr>
                <w:noProof/>
                <w:webHidden/>
              </w:rPr>
              <w:fldChar w:fldCharType="end"/>
            </w:r>
          </w:hyperlink>
        </w:p>
        <w:p w14:paraId="099B6E1F" w14:textId="2C7BFFBD" w:rsidR="003276FD" w:rsidRDefault="00B843AE">
          <w:pPr>
            <w:pStyle w:val="TDC2"/>
            <w:rPr>
              <w:rFonts w:cstheme="minorBidi"/>
              <w:noProof/>
            </w:rPr>
          </w:pPr>
          <w:hyperlink w:anchor="_Toc130301105" w:history="1">
            <w:r w:rsidR="003276FD" w:rsidRPr="00F77505">
              <w:rPr>
                <w:rStyle w:val="Hipervnculo"/>
                <w:rFonts w:eastAsia="Calibri" w:cstheme="minorHAnsi"/>
                <w:noProof/>
              </w:rPr>
              <w:t>Otras dependencias del ejecutivo, empresas y órganos de control</w:t>
            </w:r>
            <w:r w:rsidR="003276FD">
              <w:rPr>
                <w:noProof/>
                <w:webHidden/>
              </w:rPr>
              <w:tab/>
            </w:r>
            <w:r w:rsidR="003276FD">
              <w:rPr>
                <w:noProof/>
                <w:webHidden/>
              </w:rPr>
              <w:fldChar w:fldCharType="begin"/>
            </w:r>
            <w:r w:rsidR="003276FD">
              <w:rPr>
                <w:noProof/>
                <w:webHidden/>
              </w:rPr>
              <w:instrText xml:space="preserve"> PAGEREF _Toc130301105 \h </w:instrText>
            </w:r>
            <w:r w:rsidR="003276FD">
              <w:rPr>
                <w:noProof/>
                <w:webHidden/>
              </w:rPr>
            </w:r>
            <w:r w:rsidR="003276FD">
              <w:rPr>
                <w:noProof/>
                <w:webHidden/>
              </w:rPr>
              <w:fldChar w:fldCharType="separate"/>
            </w:r>
            <w:r w:rsidR="00777974">
              <w:rPr>
                <w:noProof/>
                <w:webHidden/>
              </w:rPr>
              <w:t>33</w:t>
            </w:r>
            <w:r w:rsidR="003276FD">
              <w:rPr>
                <w:noProof/>
                <w:webHidden/>
              </w:rPr>
              <w:fldChar w:fldCharType="end"/>
            </w:r>
          </w:hyperlink>
        </w:p>
        <w:p w14:paraId="2ADC4AD8" w14:textId="4D5848E6" w:rsidR="003276FD" w:rsidRDefault="00B843AE">
          <w:pPr>
            <w:pStyle w:val="TDC2"/>
            <w:rPr>
              <w:rFonts w:cstheme="minorBidi"/>
              <w:noProof/>
            </w:rPr>
          </w:pPr>
          <w:hyperlink w:anchor="_Toc130301106" w:history="1">
            <w:r w:rsidR="003276FD" w:rsidRPr="00F77505">
              <w:rPr>
                <w:rStyle w:val="Hipervnculo"/>
                <w:rFonts w:eastAsia="Calibri" w:cstheme="minorHAnsi"/>
                <w:noProof/>
              </w:rPr>
              <w:t>Entidades descentralizadas y autónomas</w:t>
            </w:r>
            <w:r w:rsidR="003276FD">
              <w:rPr>
                <w:noProof/>
                <w:webHidden/>
              </w:rPr>
              <w:tab/>
            </w:r>
            <w:r w:rsidR="003276FD">
              <w:rPr>
                <w:noProof/>
                <w:webHidden/>
              </w:rPr>
              <w:fldChar w:fldCharType="begin"/>
            </w:r>
            <w:r w:rsidR="003276FD">
              <w:rPr>
                <w:noProof/>
                <w:webHidden/>
              </w:rPr>
              <w:instrText xml:space="preserve"> PAGEREF _Toc130301106 \h </w:instrText>
            </w:r>
            <w:r w:rsidR="003276FD">
              <w:rPr>
                <w:noProof/>
                <w:webHidden/>
              </w:rPr>
            </w:r>
            <w:r w:rsidR="003276FD">
              <w:rPr>
                <w:noProof/>
                <w:webHidden/>
              </w:rPr>
              <w:fldChar w:fldCharType="separate"/>
            </w:r>
            <w:r w:rsidR="00777974">
              <w:rPr>
                <w:noProof/>
                <w:webHidden/>
              </w:rPr>
              <w:t>38</w:t>
            </w:r>
            <w:r w:rsidR="003276FD">
              <w:rPr>
                <w:noProof/>
                <w:webHidden/>
              </w:rPr>
              <w:fldChar w:fldCharType="end"/>
            </w:r>
          </w:hyperlink>
        </w:p>
        <w:p w14:paraId="6030010E" w14:textId="20FEA70A" w:rsidR="003276FD" w:rsidRDefault="00B843AE">
          <w:pPr>
            <w:pStyle w:val="TDC2"/>
            <w:rPr>
              <w:rFonts w:cstheme="minorBidi"/>
              <w:noProof/>
            </w:rPr>
          </w:pPr>
          <w:hyperlink w:anchor="_Toc130301107" w:history="1">
            <w:r w:rsidR="003276FD" w:rsidRPr="00F77505">
              <w:rPr>
                <w:rStyle w:val="Hipervnculo"/>
                <w:rFonts w:eastAsia="Calibri" w:cstheme="minorHAnsi"/>
                <w:noProof/>
              </w:rPr>
              <w:t>Entidades nacionales deportivas</w:t>
            </w:r>
            <w:r w:rsidR="003276FD">
              <w:rPr>
                <w:noProof/>
                <w:webHidden/>
              </w:rPr>
              <w:tab/>
            </w:r>
            <w:r w:rsidR="003276FD">
              <w:rPr>
                <w:noProof/>
                <w:webHidden/>
              </w:rPr>
              <w:fldChar w:fldCharType="begin"/>
            </w:r>
            <w:r w:rsidR="003276FD">
              <w:rPr>
                <w:noProof/>
                <w:webHidden/>
              </w:rPr>
              <w:instrText xml:space="preserve"> PAGEREF _Toc130301107 \h </w:instrText>
            </w:r>
            <w:r w:rsidR="003276FD">
              <w:rPr>
                <w:noProof/>
                <w:webHidden/>
              </w:rPr>
            </w:r>
            <w:r w:rsidR="003276FD">
              <w:rPr>
                <w:noProof/>
                <w:webHidden/>
              </w:rPr>
              <w:fldChar w:fldCharType="separate"/>
            </w:r>
            <w:r w:rsidR="00777974">
              <w:rPr>
                <w:noProof/>
                <w:webHidden/>
              </w:rPr>
              <w:t>51</w:t>
            </w:r>
            <w:r w:rsidR="003276FD">
              <w:rPr>
                <w:noProof/>
                <w:webHidden/>
              </w:rPr>
              <w:fldChar w:fldCharType="end"/>
            </w:r>
          </w:hyperlink>
        </w:p>
        <w:p w14:paraId="2CA565F5" w14:textId="0D58263A" w:rsidR="003276FD" w:rsidRDefault="00B843AE">
          <w:pPr>
            <w:pStyle w:val="TDC1"/>
            <w:rPr>
              <w:rFonts w:cstheme="minorBidi"/>
              <w:noProof/>
            </w:rPr>
          </w:pPr>
          <w:hyperlink w:anchor="_Toc130301108" w:history="1">
            <w:r w:rsidR="003276FD" w:rsidRPr="00F77505">
              <w:rPr>
                <w:rStyle w:val="Hipervnculo"/>
                <w:rFonts w:cstheme="minorHAnsi"/>
                <w:noProof/>
              </w:rPr>
              <w:t>2. Avance de metas y cumplimiento de la calidad del gasto de las Municipalidades</w:t>
            </w:r>
            <w:r w:rsidR="003276FD">
              <w:rPr>
                <w:noProof/>
                <w:webHidden/>
              </w:rPr>
              <w:tab/>
            </w:r>
            <w:r w:rsidR="003276FD">
              <w:rPr>
                <w:noProof/>
                <w:webHidden/>
              </w:rPr>
              <w:fldChar w:fldCharType="begin"/>
            </w:r>
            <w:r w:rsidR="003276FD">
              <w:rPr>
                <w:noProof/>
                <w:webHidden/>
              </w:rPr>
              <w:instrText xml:space="preserve"> PAGEREF _Toc130301108 \h </w:instrText>
            </w:r>
            <w:r w:rsidR="003276FD">
              <w:rPr>
                <w:noProof/>
                <w:webHidden/>
              </w:rPr>
            </w:r>
            <w:r w:rsidR="003276FD">
              <w:rPr>
                <w:noProof/>
                <w:webHidden/>
              </w:rPr>
              <w:fldChar w:fldCharType="separate"/>
            </w:r>
            <w:r w:rsidR="00777974">
              <w:rPr>
                <w:noProof/>
                <w:webHidden/>
              </w:rPr>
              <w:t>57</w:t>
            </w:r>
            <w:r w:rsidR="003276FD">
              <w:rPr>
                <w:noProof/>
                <w:webHidden/>
              </w:rPr>
              <w:fldChar w:fldCharType="end"/>
            </w:r>
          </w:hyperlink>
        </w:p>
        <w:p w14:paraId="604522BF" w14:textId="06E637D4" w:rsidR="003276FD" w:rsidRDefault="00B843AE">
          <w:pPr>
            <w:pStyle w:val="TDC1"/>
            <w:rPr>
              <w:rFonts w:cstheme="minorBidi"/>
              <w:noProof/>
            </w:rPr>
          </w:pPr>
          <w:hyperlink w:anchor="_Toc130301109" w:history="1">
            <w:r w:rsidR="003276FD" w:rsidRPr="00F77505">
              <w:rPr>
                <w:rStyle w:val="Hipervnculo"/>
                <w:rFonts w:cstheme="minorHAnsi"/>
                <w:noProof/>
              </w:rPr>
              <w:t>3. Avance de metas y cumplimiento de la calidad del gasto en la inversión pública</w:t>
            </w:r>
            <w:r w:rsidR="003276FD">
              <w:rPr>
                <w:noProof/>
                <w:webHidden/>
              </w:rPr>
              <w:tab/>
            </w:r>
            <w:r w:rsidR="003276FD">
              <w:rPr>
                <w:noProof/>
                <w:webHidden/>
              </w:rPr>
              <w:fldChar w:fldCharType="begin"/>
            </w:r>
            <w:r w:rsidR="003276FD">
              <w:rPr>
                <w:noProof/>
                <w:webHidden/>
              </w:rPr>
              <w:instrText xml:space="preserve"> PAGEREF _Toc130301109 \h </w:instrText>
            </w:r>
            <w:r w:rsidR="003276FD">
              <w:rPr>
                <w:noProof/>
                <w:webHidden/>
              </w:rPr>
            </w:r>
            <w:r w:rsidR="003276FD">
              <w:rPr>
                <w:noProof/>
                <w:webHidden/>
              </w:rPr>
              <w:fldChar w:fldCharType="separate"/>
            </w:r>
            <w:r w:rsidR="00777974">
              <w:rPr>
                <w:noProof/>
                <w:webHidden/>
              </w:rPr>
              <w:t>78</w:t>
            </w:r>
            <w:r w:rsidR="003276FD">
              <w:rPr>
                <w:noProof/>
                <w:webHidden/>
              </w:rPr>
              <w:fldChar w:fldCharType="end"/>
            </w:r>
          </w:hyperlink>
        </w:p>
        <w:p w14:paraId="5752E2CF" w14:textId="7ECF764E" w:rsidR="003276FD" w:rsidRDefault="00B843AE">
          <w:pPr>
            <w:pStyle w:val="TDC1"/>
            <w:rPr>
              <w:rFonts w:cstheme="minorBidi"/>
              <w:noProof/>
            </w:rPr>
          </w:pPr>
          <w:hyperlink w:anchor="_Toc130301110" w:history="1">
            <w:r w:rsidR="003276FD" w:rsidRPr="00F77505">
              <w:rPr>
                <w:rStyle w:val="Hipervnculo"/>
                <w:rFonts w:cstheme="minorHAnsi"/>
                <w:noProof/>
              </w:rPr>
              <w:t>4. Avance de metas y cumplimiento de la calidad del gasto de la cooperación internacional no reembolsable</w:t>
            </w:r>
            <w:r w:rsidR="003276FD">
              <w:rPr>
                <w:noProof/>
                <w:webHidden/>
              </w:rPr>
              <w:tab/>
            </w:r>
            <w:r w:rsidR="003276FD">
              <w:rPr>
                <w:noProof/>
                <w:webHidden/>
              </w:rPr>
              <w:fldChar w:fldCharType="begin"/>
            </w:r>
            <w:r w:rsidR="003276FD">
              <w:rPr>
                <w:noProof/>
                <w:webHidden/>
              </w:rPr>
              <w:instrText xml:space="preserve"> PAGEREF _Toc130301110 \h </w:instrText>
            </w:r>
            <w:r w:rsidR="003276FD">
              <w:rPr>
                <w:noProof/>
                <w:webHidden/>
              </w:rPr>
            </w:r>
            <w:r w:rsidR="003276FD">
              <w:rPr>
                <w:noProof/>
                <w:webHidden/>
              </w:rPr>
              <w:fldChar w:fldCharType="separate"/>
            </w:r>
            <w:r w:rsidR="00777974">
              <w:rPr>
                <w:noProof/>
                <w:webHidden/>
              </w:rPr>
              <w:t>91</w:t>
            </w:r>
            <w:r w:rsidR="003276FD">
              <w:rPr>
                <w:noProof/>
                <w:webHidden/>
              </w:rPr>
              <w:fldChar w:fldCharType="end"/>
            </w:r>
          </w:hyperlink>
        </w:p>
        <w:p w14:paraId="21D40ED8" w14:textId="5FA5F39F" w:rsidR="003276FD" w:rsidRDefault="00B843AE">
          <w:pPr>
            <w:pStyle w:val="TDC1"/>
            <w:rPr>
              <w:rFonts w:cstheme="minorBidi"/>
              <w:noProof/>
            </w:rPr>
          </w:pPr>
          <w:hyperlink w:anchor="_Toc130301111" w:history="1">
            <w:r w:rsidR="003276FD" w:rsidRPr="00F77505">
              <w:rPr>
                <w:rStyle w:val="Hipervnculo"/>
                <w:rFonts w:cstheme="minorHAnsi"/>
                <w:noProof/>
              </w:rPr>
              <w:t>5. Análisis de la Equidad</w:t>
            </w:r>
            <w:r w:rsidR="003276FD">
              <w:rPr>
                <w:noProof/>
                <w:webHidden/>
              </w:rPr>
              <w:tab/>
            </w:r>
            <w:r w:rsidR="003276FD">
              <w:rPr>
                <w:noProof/>
                <w:webHidden/>
              </w:rPr>
              <w:fldChar w:fldCharType="begin"/>
            </w:r>
            <w:r w:rsidR="003276FD">
              <w:rPr>
                <w:noProof/>
                <w:webHidden/>
              </w:rPr>
              <w:instrText xml:space="preserve"> PAGEREF _Toc130301111 \h </w:instrText>
            </w:r>
            <w:r w:rsidR="003276FD">
              <w:rPr>
                <w:noProof/>
                <w:webHidden/>
              </w:rPr>
            </w:r>
            <w:r w:rsidR="003276FD">
              <w:rPr>
                <w:noProof/>
                <w:webHidden/>
              </w:rPr>
              <w:fldChar w:fldCharType="separate"/>
            </w:r>
            <w:r w:rsidR="00777974">
              <w:rPr>
                <w:noProof/>
                <w:webHidden/>
              </w:rPr>
              <w:t>97</w:t>
            </w:r>
            <w:r w:rsidR="003276FD">
              <w:rPr>
                <w:noProof/>
                <w:webHidden/>
              </w:rPr>
              <w:fldChar w:fldCharType="end"/>
            </w:r>
          </w:hyperlink>
        </w:p>
        <w:p w14:paraId="5F4A40AB" w14:textId="58E50F6B" w:rsidR="003276FD" w:rsidRDefault="00B843AE">
          <w:pPr>
            <w:pStyle w:val="TDC1"/>
            <w:rPr>
              <w:rFonts w:cstheme="minorBidi"/>
              <w:noProof/>
            </w:rPr>
          </w:pPr>
          <w:hyperlink w:anchor="_Toc130301112" w:history="1">
            <w:r w:rsidR="003276FD" w:rsidRPr="00F77505">
              <w:rPr>
                <w:rStyle w:val="Hipervnculo"/>
                <w:rFonts w:eastAsia="Times New Roman"/>
                <w:noProof/>
              </w:rPr>
              <w:t>6. Conclusiones</w:t>
            </w:r>
            <w:r w:rsidR="003276FD">
              <w:rPr>
                <w:noProof/>
                <w:webHidden/>
              </w:rPr>
              <w:tab/>
            </w:r>
            <w:r w:rsidR="003276FD">
              <w:rPr>
                <w:noProof/>
                <w:webHidden/>
              </w:rPr>
              <w:fldChar w:fldCharType="begin"/>
            </w:r>
            <w:r w:rsidR="003276FD">
              <w:rPr>
                <w:noProof/>
                <w:webHidden/>
              </w:rPr>
              <w:instrText xml:space="preserve"> PAGEREF _Toc130301112 \h </w:instrText>
            </w:r>
            <w:r w:rsidR="003276FD">
              <w:rPr>
                <w:noProof/>
                <w:webHidden/>
              </w:rPr>
            </w:r>
            <w:r w:rsidR="003276FD">
              <w:rPr>
                <w:noProof/>
                <w:webHidden/>
              </w:rPr>
              <w:fldChar w:fldCharType="separate"/>
            </w:r>
            <w:r w:rsidR="00777974">
              <w:rPr>
                <w:noProof/>
                <w:webHidden/>
              </w:rPr>
              <w:t>145</w:t>
            </w:r>
            <w:r w:rsidR="003276FD">
              <w:rPr>
                <w:noProof/>
                <w:webHidden/>
              </w:rPr>
              <w:fldChar w:fldCharType="end"/>
            </w:r>
          </w:hyperlink>
        </w:p>
        <w:p w14:paraId="2D151566" w14:textId="5F569638" w:rsidR="00390F6B" w:rsidRDefault="00390F6B">
          <w:r w:rsidRPr="00630439">
            <w:rPr>
              <w:rFonts w:ascii="Helvetica" w:hAnsi="Helvetica" w:cs="Helvetica"/>
              <w:b/>
              <w:bCs/>
              <w:lang w:val="es-ES"/>
            </w:rPr>
            <w:fldChar w:fldCharType="end"/>
          </w:r>
        </w:p>
      </w:sdtContent>
    </w:sdt>
    <w:p w14:paraId="79CF36AA"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1643CF08"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7CCF6596"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334EB4D2"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3EE9F772"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4DA43222"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18ECC35F"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4E06ECF2"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38B8A145"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5AB1ED66"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0A24A391"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361177AA"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48A02484"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684D94A9"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3C7B7DB1"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388B7909" w14:textId="77777777" w:rsidR="00006911" w:rsidRDefault="00006911" w:rsidP="003E1E24">
      <w:pPr>
        <w:spacing w:before="120" w:after="120" w:line="240" w:lineRule="auto"/>
        <w:jc w:val="center"/>
        <w:rPr>
          <w:rFonts w:ascii="Helvetica" w:hAnsi="Helvetica" w:cs="Helvetica"/>
          <w:b/>
          <w:bCs/>
          <w:color w:val="2F5496" w:themeColor="accent1" w:themeShade="BF"/>
          <w:sz w:val="24"/>
          <w:szCs w:val="24"/>
        </w:rPr>
      </w:pPr>
    </w:p>
    <w:p w14:paraId="06A5A2C7" w14:textId="6891B2F6" w:rsidR="003E1E24" w:rsidRDefault="003E1E24" w:rsidP="003E1E24">
      <w:pPr>
        <w:spacing w:before="120" w:after="120" w:line="240" w:lineRule="auto"/>
        <w:jc w:val="center"/>
        <w:rPr>
          <w:caps/>
        </w:rPr>
      </w:pPr>
      <w:r w:rsidRPr="003E1E24">
        <w:rPr>
          <w:rFonts w:ascii="Helvetica" w:hAnsi="Helvetica" w:cs="Helvetica"/>
          <w:b/>
          <w:bCs/>
          <w:color w:val="2F5496" w:themeColor="accent1" w:themeShade="BF"/>
          <w:sz w:val="24"/>
          <w:szCs w:val="24"/>
        </w:rPr>
        <w:lastRenderedPageBreak/>
        <w:t>Índice de</w:t>
      </w:r>
      <w:r>
        <w:rPr>
          <w:caps/>
        </w:rPr>
        <w:t xml:space="preserve"> </w:t>
      </w:r>
      <w:r w:rsidRPr="003E1E24">
        <w:rPr>
          <w:rFonts w:ascii="Helvetica" w:hAnsi="Helvetica" w:cs="Helvetica"/>
          <w:b/>
          <w:bCs/>
          <w:color w:val="2F5496" w:themeColor="accent1" w:themeShade="BF"/>
          <w:sz w:val="24"/>
          <w:szCs w:val="24"/>
        </w:rPr>
        <w:t>Gráficas</w:t>
      </w:r>
    </w:p>
    <w:p w14:paraId="03601089" w14:textId="7578BB6F" w:rsidR="00F07855" w:rsidRDefault="000D669E">
      <w:pPr>
        <w:pStyle w:val="Tabladeilustraciones"/>
        <w:tabs>
          <w:tab w:val="right" w:leader="dot" w:pos="9395"/>
        </w:tabs>
        <w:rPr>
          <w:rFonts w:eastAsiaTheme="minorEastAsia" w:cstheme="minorBidi"/>
          <w:i w:val="0"/>
          <w:iCs w:val="0"/>
          <w:noProof/>
          <w:sz w:val="22"/>
          <w:szCs w:val="22"/>
          <w:lang w:eastAsia="es-GT"/>
        </w:rPr>
      </w:pPr>
      <w:r w:rsidRPr="00894F86">
        <w:rPr>
          <w:rFonts w:ascii="Helvetica" w:hAnsi="Helvetica" w:cs="Helvetica"/>
          <w:i w:val="0"/>
          <w:iCs w:val="0"/>
          <w:caps/>
        </w:rPr>
        <w:fldChar w:fldCharType="begin"/>
      </w:r>
      <w:r w:rsidRPr="00894F86">
        <w:rPr>
          <w:rFonts w:ascii="Helvetica" w:hAnsi="Helvetica" w:cs="Helvetica"/>
          <w:i w:val="0"/>
          <w:iCs w:val="0"/>
          <w:caps/>
        </w:rPr>
        <w:instrText xml:space="preserve"> TOC \h \z \c "Gráfica" </w:instrText>
      </w:r>
      <w:r w:rsidRPr="00894F86">
        <w:rPr>
          <w:rFonts w:ascii="Helvetica" w:hAnsi="Helvetica" w:cs="Helvetica"/>
          <w:i w:val="0"/>
          <w:iCs w:val="0"/>
          <w:caps/>
        </w:rPr>
        <w:fldChar w:fldCharType="separate"/>
      </w:r>
      <w:hyperlink w:anchor="_Toc130204469" w:history="1">
        <w:r w:rsidR="00F07855" w:rsidRPr="00BD12EF">
          <w:rPr>
            <w:rStyle w:val="Hipervnculo"/>
            <w:rFonts w:eastAsia="Times New Roman"/>
            <w:noProof/>
            <w:lang w:val="es-ES"/>
          </w:rPr>
          <w:t xml:space="preserve">Gráfica </w:t>
        </w:r>
        <w:r w:rsidR="00F07855" w:rsidRPr="00BD12EF">
          <w:rPr>
            <w:rStyle w:val="Hipervnculo"/>
            <w:noProof/>
            <w:lang w:val="es"/>
          </w:rPr>
          <w:t>1. comparativo de ejecución física y financiera. Ministerios</w:t>
        </w:r>
        <w:r w:rsidR="00F07855">
          <w:rPr>
            <w:noProof/>
            <w:webHidden/>
          </w:rPr>
          <w:tab/>
        </w:r>
        <w:r w:rsidR="00F07855">
          <w:rPr>
            <w:noProof/>
            <w:webHidden/>
          </w:rPr>
          <w:fldChar w:fldCharType="begin"/>
        </w:r>
        <w:r w:rsidR="00F07855">
          <w:rPr>
            <w:noProof/>
            <w:webHidden/>
          </w:rPr>
          <w:instrText xml:space="preserve"> PAGEREF _Toc130204469 \h </w:instrText>
        </w:r>
        <w:r w:rsidR="00F07855">
          <w:rPr>
            <w:noProof/>
            <w:webHidden/>
          </w:rPr>
        </w:r>
        <w:r w:rsidR="00F07855">
          <w:rPr>
            <w:noProof/>
            <w:webHidden/>
          </w:rPr>
          <w:fldChar w:fldCharType="separate"/>
        </w:r>
        <w:r w:rsidR="00777974">
          <w:rPr>
            <w:noProof/>
            <w:webHidden/>
          </w:rPr>
          <w:t>16</w:t>
        </w:r>
        <w:r w:rsidR="00F07855">
          <w:rPr>
            <w:noProof/>
            <w:webHidden/>
          </w:rPr>
          <w:fldChar w:fldCharType="end"/>
        </w:r>
      </w:hyperlink>
    </w:p>
    <w:p w14:paraId="17670075" w14:textId="3A55619F"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0" w:history="1">
        <w:r w:rsidR="00F07855" w:rsidRPr="00BD12EF">
          <w:rPr>
            <w:rStyle w:val="Hipervnculo"/>
            <w:noProof/>
            <w:lang w:val="es"/>
          </w:rPr>
          <w:t>Gráfica 2. Comparativo de Ejecución Física y Financiera. Secretarías</w:t>
        </w:r>
        <w:r w:rsidR="00F07855">
          <w:rPr>
            <w:noProof/>
            <w:webHidden/>
          </w:rPr>
          <w:tab/>
        </w:r>
        <w:r w:rsidR="00F07855">
          <w:rPr>
            <w:noProof/>
            <w:webHidden/>
          </w:rPr>
          <w:fldChar w:fldCharType="begin"/>
        </w:r>
        <w:r w:rsidR="00F07855">
          <w:rPr>
            <w:noProof/>
            <w:webHidden/>
          </w:rPr>
          <w:instrText xml:space="preserve"> PAGEREF _Toc130204470 \h </w:instrText>
        </w:r>
        <w:r w:rsidR="00F07855">
          <w:rPr>
            <w:noProof/>
            <w:webHidden/>
          </w:rPr>
        </w:r>
        <w:r w:rsidR="00F07855">
          <w:rPr>
            <w:noProof/>
            <w:webHidden/>
          </w:rPr>
          <w:fldChar w:fldCharType="separate"/>
        </w:r>
        <w:r w:rsidR="00777974">
          <w:rPr>
            <w:noProof/>
            <w:webHidden/>
          </w:rPr>
          <w:t>31</w:t>
        </w:r>
        <w:r w:rsidR="00F07855">
          <w:rPr>
            <w:noProof/>
            <w:webHidden/>
          </w:rPr>
          <w:fldChar w:fldCharType="end"/>
        </w:r>
      </w:hyperlink>
    </w:p>
    <w:p w14:paraId="6589542E" w14:textId="1F4376AE"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1" w:history="1">
        <w:r w:rsidR="00F07855" w:rsidRPr="00BD12EF">
          <w:rPr>
            <w:rStyle w:val="Hipervnculo"/>
            <w:noProof/>
            <w:lang w:val="es"/>
          </w:rPr>
          <w:t>Gráfica 3. Comparativo de Ejecución Física y Financiera. Otras Dependencias</w:t>
        </w:r>
        <w:r w:rsidR="00F07855">
          <w:rPr>
            <w:noProof/>
            <w:webHidden/>
          </w:rPr>
          <w:tab/>
        </w:r>
        <w:r w:rsidR="00F07855">
          <w:rPr>
            <w:noProof/>
            <w:webHidden/>
          </w:rPr>
          <w:fldChar w:fldCharType="begin"/>
        </w:r>
        <w:r w:rsidR="00F07855">
          <w:rPr>
            <w:noProof/>
            <w:webHidden/>
          </w:rPr>
          <w:instrText xml:space="preserve"> PAGEREF _Toc130204471 \h </w:instrText>
        </w:r>
        <w:r w:rsidR="00F07855">
          <w:rPr>
            <w:noProof/>
            <w:webHidden/>
          </w:rPr>
        </w:r>
        <w:r w:rsidR="00F07855">
          <w:rPr>
            <w:noProof/>
            <w:webHidden/>
          </w:rPr>
          <w:fldChar w:fldCharType="separate"/>
        </w:r>
        <w:r w:rsidR="00777974">
          <w:rPr>
            <w:noProof/>
            <w:webHidden/>
          </w:rPr>
          <w:t>38</w:t>
        </w:r>
        <w:r w:rsidR="00F07855">
          <w:rPr>
            <w:noProof/>
            <w:webHidden/>
          </w:rPr>
          <w:fldChar w:fldCharType="end"/>
        </w:r>
      </w:hyperlink>
    </w:p>
    <w:p w14:paraId="606F5415" w14:textId="1D3E0B0B"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2" w:history="1">
        <w:r w:rsidR="00F07855" w:rsidRPr="00BD12EF">
          <w:rPr>
            <w:rStyle w:val="Hipervnculo"/>
            <w:noProof/>
            <w:lang w:val="es"/>
          </w:rPr>
          <w:t>Gráfica 4. Comparativo de ejecución física y financiera</w:t>
        </w:r>
        <w:r w:rsidR="00F07855">
          <w:rPr>
            <w:noProof/>
            <w:webHidden/>
          </w:rPr>
          <w:tab/>
        </w:r>
        <w:r w:rsidR="00F07855">
          <w:rPr>
            <w:noProof/>
            <w:webHidden/>
          </w:rPr>
          <w:fldChar w:fldCharType="begin"/>
        </w:r>
        <w:r w:rsidR="00F07855">
          <w:rPr>
            <w:noProof/>
            <w:webHidden/>
          </w:rPr>
          <w:instrText xml:space="preserve"> PAGEREF _Toc130204472 \h </w:instrText>
        </w:r>
        <w:r w:rsidR="00F07855">
          <w:rPr>
            <w:noProof/>
            <w:webHidden/>
          </w:rPr>
        </w:r>
        <w:r w:rsidR="00F07855">
          <w:rPr>
            <w:noProof/>
            <w:webHidden/>
          </w:rPr>
          <w:fldChar w:fldCharType="separate"/>
        </w:r>
        <w:r w:rsidR="00777974">
          <w:rPr>
            <w:noProof/>
            <w:webHidden/>
          </w:rPr>
          <w:t>48</w:t>
        </w:r>
        <w:r w:rsidR="00F07855">
          <w:rPr>
            <w:noProof/>
            <w:webHidden/>
          </w:rPr>
          <w:fldChar w:fldCharType="end"/>
        </w:r>
      </w:hyperlink>
    </w:p>
    <w:p w14:paraId="29F98EA2" w14:textId="0C40CA86"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3" w:history="1">
        <w:r w:rsidR="00F07855" w:rsidRPr="00BD12EF">
          <w:rPr>
            <w:rStyle w:val="Hipervnculo"/>
            <w:noProof/>
            <w:lang w:val="es"/>
          </w:rPr>
          <w:t>Gráfica 5. Comparativo de ejecución física y financiera</w:t>
        </w:r>
        <w:r w:rsidR="00F07855">
          <w:rPr>
            <w:noProof/>
            <w:webHidden/>
          </w:rPr>
          <w:tab/>
        </w:r>
        <w:r w:rsidR="00F07855">
          <w:rPr>
            <w:noProof/>
            <w:webHidden/>
          </w:rPr>
          <w:fldChar w:fldCharType="begin"/>
        </w:r>
        <w:r w:rsidR="00F07855">
          <w:rPr>
            <w:noProof/>
            <w:webHidden/>
          </w:rPr>
          <w:instrText xml:space="preserve"> PAGEREF _Toc130204473 \h </w:instrText>
        </w:r>
        <w:r w:rsidR="00F07855">
          <w:rPr>
            <w:noProof/>
            <w:webHidden/>
          </w:rPr>
        </w:r>
        <w:r w:rsidR="00F07855">
          <w:rPr>
            <w:noProof/>
            <w:webHidden/>
          </w:rPr>
          <w:fldChar w:fldCharType="separate"/>
        </w:r>
        <w:r w:rsidR="00777974">
          <w:rPr>
            <w:noProof/>
            <w:webHidden/>
          </w:rPr>
          <w:t>48</w:t>
        </w:r>
        <w:r w:rsidR="00F07855">
          <w:rPr>
            <w:noProof/>
            <w:webHidden/>
          </w:rPr>
          <w:fldChar w:fldCharType="end"/>
        </w:r>
      </w:hyperlink>
    </w:p>
    <w:p w14:paraId="65E1B0FE" w14:textId="0080719E"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4" w:history="1">
        <w:r w:rsidR="00F07855" w:rsidRPr="00BD12EF">
          <w:rPr>
            <w:rStyle w:val="Hipervnculo"/>
            <w:noProof/>
            <w:lang w:val="es"/>
          </w:rPr>
          <w:t>Gráfica 6. Comparativo de ejecución física y financiera. Federaciones Deportivas</w:t>
        </w:r>
        <w:r w:rsidR="00F07855">
          <w:rPr>
            <w:noProof/>
            <w:webHidden/>
          </w:rPr>
          <w:tab/>
        </w:r>
        <w:r w:rsidR="00F07855">
          <w:rPr>
            <w:noProof/>
            <w:webHidden/>
          </w:rPr>
          <w:fldChar w:fldCharType="begin"/>
        </w:r>
        <w:r w:rsidR="00F07855">
          <w:rPr>
            <w:noProof/>
            <w:webHidden/>
          </w:rPr>
          <w:instrText xml:space="preserve"> PAGEREF _Toc130204474 \h </w:instrText>
        </w:r>
        <w:r w:rsidR="00F07855">
          <w:rPr>
            <w:noProof/>
            <w:webHidden/>
          </w:rPr>
        </w:r>
        <w:r w:rsidR="00F07855">
          <w:rPr>
            <w:noProof/>
            <w:webHidden/>
          </w:rPr>
          <w:fldChar w:fldCharType="separate"/>
        </w:r>
        <w:r w:rsidR="00777974">
          <w:rPr>
            <w:noProof/>
            <w:webHidden/>
          </w:rPr>
          <w:t>54</w:t>
        </w:r>
        <w:r w:rsidR="00F07855">
          <w:rPr>
            <w:noProof/>
            <w:webHidden/>
          </w:rPr>
          <w:fldChar w:fldCharType="end"/>
        </w:r>
      </w:hyperlink>
    </w:p>
    <w:p w14:paraId="1E4FFFCE" w14:textId="6472417A"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5" w:history="1">
        <w:r w:rsidR="00F07855" w:rsidRPr="00BD12EF">
          <w:rPr>
            <w:rStyle w:val="Hipervnculo"/>
            <w:noProof/>
            <w:lang w:val="es"/>
          </w:rPr>
          <w:t>Gráfica 7. Comparativo de ejecución física y financiera. Asociaciones Deportivas</w:t>
        </w:r>
        <w:r w:rsidR="00F07855">
          <w:rPr>
            <w:noProof/>
            <w:webHidden/>
          </w:rPr>
          <w:tab/>
        </w:r>
        <w:r w:rsidR="00F07855">
          <w:rPr>
            <w:noProof/>
            <w:webHidden/>
          </w:rPr>
          <w:fldChar w:fldCharType="begin"/>
        </w:r>
        <w:r w:rsidR="00F07855">
          <w:rPr>
            <w:noProof/>
            <w:webHidden/>
          </w:rPr>
          <w:instrText xml:space="preserve"> PAGEREF _Toc130204475 \h </w:instrText>
        </w:r>
        <w:r w:rsidR="00F07855">
          <w:rPr>
            <w:noProof/>
            <w:webHidden/>
          </w:rPr>
        </w:r>
        <w:r w:rsidR="00F07855">
          <w:rPr>
            <w:noProof/>
            <w:webHidden/>
          </w:rPr>
          <w:fldChar w:fldCharType="separate"/>
        </w:r>
        <w:r w:rsidR="00777974">
          <w:rPr>
            <w:noProof/>
            <w:webHidden/>
          </w:rPr>
          <w:t>56</w:t>
        </w:r>
        <w:r w:rsidR="00F07855">
          <w:rPr>
            <w:noProof/>
            <w:webHidden/>
          </w:rPr>
          <w:fldChar w:fldCharType="end"/>
        </w:r>
      </w:hyperlink>
    </w:p>
    <w:p w14:paraId="7E153B27" w14:textId="4FB804AC"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6" w:history="1">
        <w:r w:rsidR="00F07855" w:rsidRPr="00BD12EF">
          <w:rPr>
            <w:rStyle w:val="Hipervnculo"/>
            <w:rFonts w:eastAsia="Times New Roman"/>
            <w:noProof/>
            <w:lang w:val="es-ES"/>
          </w:rPr>
          <w:t>Gráfica 8. Número de Modificaciones al POA 2022, por departamento</w:t>
        </w:r>
        <w:r w:rsidR="00F07855">
          <w:rPr>
            <w:noProof/>
            <w:webHidden/>
          </w:rPr>
          <w:tab/>
        </w:r>
        <w:r w:rsidR="00F07855">
          <w:rPr>
            <w:noProof/>
            <w:webHidden/>
          </w:rPr>
          <w:fldChar w:fldCharType="begin"/>
        </w:r>
        <w:r w:rsidR="00F07855">
          <w:rPr>
            <w:noProof/>
            <w:webHidden/>
          </w:rPr>
          <w:instrText xml:space="preserve"> PAGEREF _Toc130204476 \h </w:instrText>
        </w:r>
        <w:r w:rsidR="00F07855">
          <w:rPr>
            <w:noProof/>
            <w:webHidden/>
          </w:rPr>
        </w:r>
        <w:r w:rsidR="00F07855">
          <w:rPr>
            <w:noProof/>
            <w:webHidden/>
          </w:rPr>
          <w:fldChar w:fldCharType="separate"/>
        </w:r>
        <w:r w:rsidR="00777974">
          <w:rPr>
            <w:noProof/>
            <w:webHidden/>
          </w:rPr>
          <w:t>77</w:t>
        </w:r>
        <w:r w:rsidR="00F07855">
          <w:rPr>
            <w:noProof/>
            <w:webHidden/>
          </w:rPr>
          <w:fldChar w:fldCharType="end"/>
        </w:r>
      </w:hyperlink>
    </w:p>
    <w:p w14:paraId="0F8B45A6" w14:textId="229E2256"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7" w:history="1">
        <w:r w:rsidR="00F07855" w:rsidRPr="00BD12EF">
          <w:rPr>
            <w:rStyle w:val="Hipervnculo"/>
            <w:rFonts w:eastAsia="Times New Roman"/>
            <w:noProof/>
            <w:lang w:val="es-ES"/>
          </w:rPr>
          <w:t xml:space="preserve">Gráfica 9. Proyectos registrados y con asignación a nivel nacional  </w:t>
        </w:r>
        <w:r w:rsidR="00F07855" w:rsidRPr="00BD12EF">
          <w:rPr>
            <w:rStyle w:val="Hipervnculo"/>
            <w:noProof/>
          </w:rPr>
          <w:t>Ejercicio fiscal 2022</w:t>
        </w:r>
        <w:r w:rsidR="00F07855">
          <w:rPr>
            <w:noProof/>
            <w:webHidden/>
          </w:rPr>
          <w:tab/>
        </w:r>
        <w:r w:rsidR="00F07855">
          <w:rPr>
            <w:noProof/>
            <w:webHidden/>
          </w:rPr>
          <w:fldChar w:fldCharType="begin"/>
        </w:r>
        <w:r w:rsidR="00F07855">
          <w:rPr>
            <w:noProof/>
            <w:webHidden/>
          </w:rPr>
          <w:instrText xml:space="preserve"> PAGEREF _Toc130204477 \h </w:instrText>
        </w:r>
        <w:r w:rsidR="00F07855">
          <w:rPr>
            <w:noProof/>
            <w:webHidden/>
          </w:rPr>
        </w:r>
        <w:r w:rsidR="00F07855">
          <w:rPr>
            <w:noProof/>
            <w:webHidden/>
          </w:rPr>
          <w:fldChar w:fldCharType="separate"/>
        </w:r>
        <w:r w:rsidR="00777974">
          <w:rPr>
            <w:noProof/>
            <w:webHidden/>
          </w:rPr>
          <w:t>79</w:t>
        </w:r>
        <w:r w:rsidR="00F07855">
          <w:rPr>
            <w:noProof/>
            <w:webHidden/>
          </w:rPr>
          <w:fldChar w:fldCharType="end"/>
        </w:r>
      </w:hyperlink>
    </w:p>
    <w:p w14:paraId="6CFBBC28" w14:textId="0B7BEEB3"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8" w:history="1">
        <w:r w:rsidR="00F07855" w:rsidRPr="00BD12EF">
          <w:rPr>
            <w:rStyle w:val="Hipervnculo"/>
            <w:noProof/>
          </w:rPr>
          <w:t>Gráfica 10. Seguimiento mensual acumulado de proyectos aprobados registrados,</w:t>
        </w:r>
        <w:r w:rsidR="00F07855">
          <w:rPr>
            <w:noProof/>
            <w:webHidden/>
          </w:rPr>
          <w:tab/>
        </w:r>
        <w:r w:rsidR="00F07855">
          <w:rPr>
            <w:noProof/>
            <w:webHidden/>
          </w:rPr>
          <w:fldChar w:fldCharType="begin"/>
        </w:r>
        <w:r w:rsidR="00F07855">
          <w:rPr>
            <w:noProof/>
            <w:webHidden/>
          </w:rPr>
          <w:instrText xml:space="preserve"> PAGEREF _Toc130204478 \h </w:instrText>
        </w:r>
        <w:r w:rsidR="00F07855">
          <w:rPr>
            <w:noProof/>
            <w:webHidden/>
          </w:rPr>
        </w:r>
        <w:r w:rsidR="00F07855">
          <w:rPr>
            <w:noProof/>
            <w:webHidden/>
          </w:rPr>
          <w:fldChar w:fldCharType="separate"/>
        </w:r>
        <w:r w:rsidR="00777974">
          <w:rPr>
            <w:noProof/>
            <w:webHidden/>
          </w:rPr>
          <w:t>82</w:t>
        </w:r>
        <w:r w:rsidR="00F07855">
          <w:rPr>
            <w:noProof/>
            <w:webHidden/>
          </w:rPr>
          <w:fldChar w:fldCharType="end"/>
        </w:r>
      </w:hyperlink>
    </w:p>
    <w:p w14:paraId="106E35FB" w14:textId="6C46C851"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79" w:history="1">
        <w:r w:rsidR="00F07855" w:rsidRPr="00BD12EF">
          <w:rPr>
            <w:rStyle w:val="Hipervnculo"/>
            <w:noProof/>
          </w:rPr>
          <w:t>Gráfica 11. Proyectos registrados, con asignación y ejecución,</w:t>
        </w:r>
        <w:r w:rsidR="00F07855">
          <w:rPr>
            <w:noProof/>
            <w:webHidden/>
          </w:rPr>
          <w:tab/>
        </w:r>
        <w:r w:rsidR="00F07855">
          <w:rPr>
            <w:noProof/>
            <w:webHidden/>
          </w:rPr>
          <w:fldChar w:fldCharType="begin"/>
        </w:r>
        <w:r w:rsidR="00F07855">
          <w:rPr>
            <w:noProof/>
            <w:webHidden/>
          </w:rPr>
          <w:instrText xml:space="preserve"> PAGEREF _Toc130204479 \h </w:instrText>
        </w:r>
        <w:r w:rsidR="00F07855">
          <w:rPr>
            <w:noProof/>
            <w:webHidden/>
          </w:rPr>
        </w:r>
        <w:r w:rsidR="00F07855">
          <w:rPr>
            <w:noProof/>
            <w:webHidden/>
          </w:rPr>
          <w:fldChar w:fldCharType="separate"/>
        </w:r>
        <w:r w:rsidR="00777974">
          <w:rPr>
            <w:noProof/>
            <w:webHidden/>
          </w:rPr>
          <w:t>84</w:t>
        </w:r>
        <w:r w:rsidR="00F07855">
          <w:rPr>
            <w:noProof/>
            <w:webHidden/>
          </w:rPr>
          <w:fldChar w:fldCharType="end"/>
        </w:r>
      </w:hyperlink>
    </w:p>
    <w:p w14:paraId="6F19A3F0" w14:textId="28D6B224"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80" w:history="1">
        <w:r w:rsidR="00F07855" w:rsidRPr="00BD12EF">
          <w:rPr>
            <w:rStyle w:val="Hipervnculo"/>
            <w:noProof/>
            <w:lang w:eastAsia="es-GT"/>
          </w:rPr>
          <w:t>Gráfica 12. Presupuesto de donaciones a diciembre 2022</w:t>
        </w:r>
        <w:r w:rsidR="00F07855">
          <w:rPr>
            <w:noProof/>
            <w:webHidden/>
          </w:rPr>
          <w:tab/>
        </w:r>
        <w:r w:rsidR="00F07855">
          <w:rPr>
            <w:noProof/>
            <w:webHidden/>
          </w:rPr>
          <w:fldChar w:fldCharType="begin"/>
        </w:r>
        <w:r w:rsidR="00F07855">
          <w:rPr>
            <w:noProof/>
            <w:webHidden/>
          </w:rPr>
          <w:instrText xml:space="preserve"> PAGEREF _Toc130204480 \h </w:instrText>
        </w:r>
        <w:r w:rsidR="00F07855">
          <w:rPr>
            <w:noProof/>
            <w:webHidden/>
          </w:rPr>
        </w:r>
        <w:r w:rsidR="00F07855">
          <w:rPr>
            <w:noProof/>
            <w:webHidden/>
          </w:rPr>
          <w:fldChar w:fldCharType="separate"/>
        </w:r>
        <w:r w:rsidR="00777974">
          <w:rPr>
            <w:noProof/>
            <w:webHidden/>
          </w:rPr>
          <w:t>92</w:t>
        </w:r>
        <w:r w:rsidR="00F07855">
          <w:rPr>
            <w:noProof/>
            <w:webHidden/>
          </w:rPr>
          <w:fldChar w:fldCharType="end"/>
        </w:r>
      </w:hyperlink>
    </w:p>
    <w:p w14:paraId="45B33283" w14:textId="0273F9EA" w:rsidR="00F07855" w:rsidRDefault="00B843AE">
      <w:pPr>
        <w:pStyle w:val="Tabladeilustraciones"/>
        <w:tabs>
          <w:tab w:val="right" w:leader="dot" w:pos="9395"/>
        </w:tabs>
        <w:rPr>
          <w:rFonts w:eastAsiaTheme="minorEastAsia" w:cstheme="minorBidi"/>
          <w:i w:val="0"/>
          <w:iCs w:val="0"/>
          <w:noProof/>
          <w:sz w:val="22"/>
          <w:szCs w:val="22"/>
          <w:lang w:eastAsia="es-GT"/>
        </w:rPr>
      </w:pPr>
      <w:hyperlink w:anchor="_Toc130204481" w:history="1">
        <w:r w:rsidR="00F07855" w:rsidRPr="00BD12EF">
          <w:rPr>
            <w:rStyle w:val="Hipervnculo"/>
            <w:noProof/>
            <w:lang w:eastAsia="es-GT"/>
          </w:rPr>
          <w:t>Gráfica 13. Distribución del presupuesto asignado y vigente</w:t>
        </w:r>
        <w:r w:rsidR="00F07855">
          <w:rPr>
            <w:noProof/>
            <w:webHidden/>
          </w:rPr>
          <w:tab/>
        </w:r>
        <w:r w:rsidR="00F07855">
          <w:rPr>
            <w:noProof/>
            <w:webHidden/>
          </w:rPr>
          <w:fldChar w:fldCharType="begin"/>
        </w:r>
        <w:r w:rsidR="00F07855">
          <w:rPr>
            <w:noProof/>
            <w:webHidden/>
          </w:rPr>
          <w:instrText xml:space="preserve"> PAGEREF _Toc130204481 \h </w:instrText>
        </w:r>
        <w:r w:rsidR="00F07855">
          <w:rPr>
            <w:noProof/>
            <w:webHidden/>
          </w:rPr>
        </w:r>
        <w:r w:rsidR="00F07855">
          <w:rPr>
            <w:noProof/>
            <w:webHidden/>
          </w:rPr>
          <w:fldChar w:fldCharType="separate"/>
        </w:r>
        <w:r w:rsidR="00777974">
          <w:rPr>
            <w:noProof/>
            <w:webHidden/>
          </w:rPr>
          <w:t>96</w:t>
        </w:r>
        <w:r w:rsidR="00F07855">
          <w:rPr>
            <w:noProof/>
            <w:webHidden/>
          </w:rPr>
          <w:fldChar w:fldCharType="end"/>
        </w:r>
      </w:hyperlink>
    </w:p>
    <w:p w14:paraId="7C639C03" w14:textId="13DB7704" w:rsidR="00C0493C" w:rsidRPr="00894F86" w:rsidRDefault="000D669E" w:rsidP="00DC2646">
      <w:pPr>
        <w:rPr>
          <w:rFonts w:ascii="Helvetica" w:hAnsi="Helvetica" w:cs="Helvetica"/>
        </w:rPr>
      </w:pPr>
      <w:r w:rsidRPr="00894F86">
        <w:rPr>
          <w:rFonts w:ascii="Helvetica" w:hAnsi="Helvetica" w:cs="Helvetica"/>
          <w:caps/>
          <w:sz w:val="20"/>
          <w:szCs w:val="20"/>
        </w:rPr>
        <w:fldChar w:fldCharType="end"/>
      </w:r>
    </w:p>
    <w:p w14:paraId="7AB69D77" w14:textId="76187371" w:rsidR="0018772F" w:rsidRPr="001A3760" w:rsidRDefault="001A3760" w:rsidP="001A3760">
      <w:pPr>
        <w:spacing w:before="120" w:after="120" w:line="240" w:lineRule="auto"/>
        <w:jc w:val="center"/>
        <w:rPr>
          <w:rFonts w:ascii="Helvetica" w:hAnsi="Helvetica" w:cs="Helvetica"/>
          <w:b/>
          <w:bCs/>
          <w:color w:val="2F5496" w:themeColor="accent1" w:themeShade="BF"/>
          <w:sz w:val="24"/>
          <w:szCs w:val="24"/>
        </w:rPr>
      </w:pPr>
      <w:r w:rsidRPr="001A3760">
        <w:rPr>
          <w:rFonts w:ascii="Helvetica" w:hAnsi="Helvetica" w:cs="Helvetica"/>
          <w:b/>
          <w:bCs/>
          <w:color w:val="2F5496" w:themeColor="accent1" w:themeShade="BF"/>
          <w:sz w:val="24"/>
          <w:szCs w:val="24"/>
        </w:rPr>
        <w:t>Índice de Tablas</w:t>
      </w:r>
    </w:p>
    <w:p w14:paraId="33C087D0" w14:textId="6513601E" w:rsidR="00D40E91" w:rsidRDefault="001A3760">
      <w:pPr>
        <w:pStyle w:val="Tabladeilustraciones"/>
        <w:tabs>
          <w:tab w:val="right" w:leader="dot" w:pos="9395"/>
        </w:tabs>
        <w:rPr>
          <w:rFonts w:eastAsiaTheme="minorEastAsia" w:cstheme="minorBidi"/>
          <w:i w:val="0"/>
          <w:iCs w:val="0"/>
          <w:noProof/>
          <w:sz w:val="22"/>
          <w:szCs w:val="22"/>
          <w:lang w:eastAsia="es-GT"/>
        </w:rPr>
      </w:pPr>
      <w:r w:rsidRPr="00894F86">
        <w:rPr>
          <w:rFonts w:ascii="Helvetica" w:hAnsi="Helvetica" w:cs="Helvetica"/>
          <w:i w:val="0"/>
          <w:iCs w:val="0"/>
        </w:rPr>
        <w:fldChar w:fldCharType="begin"/>
      </w:r>
      <w:r w:rsidRPr="00894F86">
        <w:rPr>
          <w:rFonts w:ascii="Helvetica" w:hAnsi="Helvetica" w:cs="Helvetica"/>
          <w:i w:val="0"/>
          <w:iCs w:val="0"/>
        </w:rPr>
        <w:instrText xml:space="preserve"> TOC \h \z \c "Tabla" </w:instrText>
      </w:r>
      <w:r w:rsidRPr="00894F86">
        <w:rPr>
          <w:rFonts w:ascii="Helvetica" w:hAnsi="Helvetica" w:cs="Helvetica"/>
          <w:i w:val="0"/>
          <w:iCs w:val="0"/>
        </w:rPr>
        <w:fldChar w:fldCharType="separate"/>
      </w:r>
      <w:hyperlink w:anchor="_Toc130199589" w:history="1">
        <w:r w:rsidR="00D40E91" w:rsidRPr="00E57005">
          <w:rPr>
            <w:rStyle w:val="Hipervnculo"/>
            <w:rFonts w:eastAsia="Times New Roman"/>
            <w:noProof/>
            <w:lang w:val="es-ES"/>
          </w:rPr>
          <w:t>Tabla 1. Presupuesto General de Egresos del Estado 2022</w:t>
        </w:r>
        <w:r w:rsidR="00D40E91">
          <w:rPr>
            <w:noProof/>
            <w:webHidden/>
          </w:rPr>
          <w:tab/>
        </w:r>
        <w:r w:rsidR="00D40E91">
          <w:rPr>
            <w:noProof/>
            <w:webHidden/>
          </w:rPr>
          <w:fldChar w:fldCharType="begin"/>
        </w:r>
        <w:r w:rsidR="00D40E91">
          <w:rPr>
            <w:noProof/>
            <w:webHidden/>
          </w:rPr>
          <w:instrText xml:space="preserve"> PAGEREF _Toc130199589 \h </w:instrText>
        </w:r>
        <w:r w:rsidR="00D40E91">
          <w:rPr>
            <w:noProof/>
            <w:webHidden/>
          </w:rPr>
        </w:r>
        <w:r w:rsidR="00D40E91">
          <w:rPr>
            <w:noProof/>
            <w:webHidden/>
          </w:rPr>
          <w:fldChar w:fldCharType="separate"/>
        </w:r>
        <w:r w:rsidR="00777974">
          <w:rPr>
            <w:noProof/>
            <w:webHidden/>
          </w:rPr>
          <w:t>3</w:t>
        </w:r>
        <w:r w:rsidR="00D40E91">
          <w:rPr>
            <w:noProof/>
            <w:webHidden/>
          </w:rPr>
          <w:fldChar w:fldCharType="end"/>
        </w:r>
      </w:hyperlink>
    </w:p>
    <w:p w14:paraId="7C270C80" w14:textId="4EFE0C6D"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0" w:history="1">
        <w:r w:rsidR="00D40E91" w:rsidRPr="00E57005">
          <w:rPr>
            <w:rStyle w:val="Hipervnculo"/>
            <w:rFonts w:eastAsia="Times New Roman"/>
            <w:noProof/>
            <w:lang w:val="es-ES"/>
          </w:rPr>
          <w:t>Tabla 2.  Presupuesto de ingresos municipales, por fuente de financiamiento</w:t>
        </w:r>
        <w:r w:rsidR="00D40E91">
          <w:rPr>
            <w:noProof/>
            <w:webHidden/>
          </w:rPr>
          <w:tab/>
        </w:r>
        <w:r w:rsidR="00D40E91">
          <w:rPr>
            <w:noProof/>
            <w:webHidden/>
          </w:rPr>
          <w:fldChar w:fldCharType="begin"/>
        </w:r>
        <w:r w:rsidR="00D40E91">
          <w:rPr>
            <w:noProof/>
            <w:webHidden/>
          </w:rPr>
          <w:instrText xml:space="preserve"> PAGEREF _Toc130199590 \h </w:instrText>
        </w:r>
        <w:r w:rsidR="00D40E91">
          <w:rPr>
            <w:noProof/>
            <w:webHidden/>
          </w:rPr>
        </w:r>
        <w:r w:rsidR="00D40E91">
          <w:rPr>
            <w:noProof/>
            <w:webHidden/>
          </w:rPr>
          <w:fldChar w:fldCharType="separate"/>
        </w:r>
        <w:r w:rsidR="00777974">
          <w:rPr>
            <w:noProof/>
            <w:webHidden/>
          </w:rPr>
          <w:t>4</w:t>
        </w:r>
        <w:r w:rsidR="00D40E91">
          <w:rPr>
            <w:noProof/>
            <w:webHidden/>
          </w:rPr>
          <w:fldChar w:fldCharType="end"/>
        </w:r>
      </w:hyperlink>
    </w:p>
    <w:p w14:paraId="011797D2" w14:textId="50BA883B"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1" w:history="1">
        <w:r w:rsidR="00D40E91" w:rsidRPr="00E57005">
          <w:rPr>
            <w:rStyle w:val="Hipervnculo"/>
            <w:rFonts w:eastAsia="Times New Roman"/>
            <w:noProof/>
            <w:lang w:val="es-ES"/>
          </w:rPr>
          <w:t>Tabla 3. Presupuesto de Egresos municipales 2022, por fuente de financiamiento</w:t>
        </w:r>
        <w:r w:rsidR="00D40E91">
          <w:rPr>
            <w:noProof/>
            <w:webHidden/>
          </w:rPr>
          <w:tab/>
        </w:r>
        <w:r w:rsidR="00D40E91">
          <w:rPr>
            <w:noProof/>
            <w:webHidden/>
          </w:rPr>
          <w:fldChar w:fldCharType="begin"/>
        </w:r>
        <w:r w:rsidR="00D40E91">
          <w:rPr>
            <w:noProof/>
            <w:webHidden/>
          </w:rPr>
          <w:instrText xml:space="preserve"> PAGEREF _Toc130199591 \h </w:instrText>
        </w:r>
        <w:r w:rsidR="00D40E91">
          <w:rPr>
            <w:noProof/>
            <w:webHidden/>
          </w:rPr>
        </w:r>
        <w:r w:rsidR="00D40E91">
          <w:rPr>
            <w:noProof/>
            <w:webHidden/>
          </w:rPr>
          <w:fldChar w:fldCharType="separate"/>
        </w:r>
        <w:r w:rsidR="00777974">
          <w:rPr>
            <w:noProof/>
            <w:webHidden/>
          </w:rPr>
          <w:t>4</w:t>
        </w:r>
        <w:r w:rsidR="00D40E91">
          <w:rPr>
            <w:noProof/>
            <w:webHidden/>
          </w:rPr>
          <w:fldChar w:fldCharType="end"/>
        </w:r>
      </w:hyperlink>
    </w:p>
    <w:p w14:paraId="0127F696" w14:textId="3D128479"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2" w:history="1">
        <w:r w:rsidR="00D40E91" w:rsidRPr="00E57005">
          <w:rPr>
            <w:rStyle w:val="Hipervnculo"/>
            <w:rFonts w:eastAsia="Times New Roman"/>
            <w:noProof/>
            <w:lang w:val="es-ES"/>
          </w:rPr>
          <w:t>Tabla 4. Ejecución física y financiera. Ministerios</w:t>
        </w:r>
        <w:r w:rsidR="00D40E91">
          <w:rPr>
            <w:noProof/>
            <w:webHidden/>
          </w:rPr>
          <w:tab/>
        </w:r>
        <w:r w:rsidR="00D40E91">
          <w:rPr>
            <w:noProof/>
            <w:webHidden/>
          </w:rPr>
          <w:fldChar w:fldCharType="begin"/>
        </w:r>
        <w:r w:rsidR="00D40E91">
          <w:rPr>
            <w:noProof/>
            <w:webHidden/>
          </w:rPr>
          <w:instrText xml:space="preserve"> PAGEREF _Toc130199592 \h </w:instrText>
        </w:r>
        <w:r w:rsidR="00D40E91">
          <w:rPr>
            <w:noProof/>
            <w:webHidden/>
          </w:rPr>
        </w:r>
        <w:r w:rsidR="00D40E91">
          <w:rPr>
            <w:noProof/>
            <w:webHidden/>
          </w:rPr>
          <w:fldChar w:fldCharType="separate"/>
        </w:r>
        <w:r w:rsidR="00777974">
          <w:rPr>
            <w:noProof/>
            <w:webHidden/>
          </w:rPr>
          <w:t>7</w:t>
        </w:r>
        <w:r w:rsidR="00D40E91">
          <w:rPr>
            <w:noProof/>
            <w:webHidden/>
          </w:rPr>
          <w:fldChar w:fldCharType="end"/>
        </w:r>
      </w:hyperlink>
    </w:p>
    <w:p w14:paraId="752B7ACF" w14:textId="296739E3"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3" w:history="1">
        <w:r w:rsidR="00D40E91" w:rsidRPr="00E57005">
          <w:rPr>
            <w:rStyle w:val="Hipervnculo"/>
            <w:noProof/>
            <w:lang w:val="es-ES"/>
          </w:rPr>
          <w:t>Tabla 5. Avance Físico y Financiero. Pilar 1: Economía, Competitividad y Prosperidad</w:t>
        </w:r>
        <w:r w:rsidR="00D40E91">
          <w:rPr>
            <w:noProof/>
            <w:webHidden/>
          </w:rPr>
          <w:tab/>
        </w:r>
        <w:r w:rsidR="00D40E91">
          <w:rPr>
            <w:noProof/>
            <w:webHidden/>
          </w:rPr>
          <w:fldChar w:fldCharType="begin"/>
        </w:r>
        <w:r w:rsidR="00D40E91">
          <w:rPr>
            <w:noProof/>
            <w:webHidden/>
          </w:rPr>
          <w:instrText xml:space="preserve"> PAGEREF _Toc130199593 \h </w:instrText>
        </w:r>
        <w:r w:rsidR="00D40E91">
          <w:rPr>
            <w:noProof/>
            <w:webHidden/>
          </w:rPr>
        </w:r>
        <w:r w:rsidR="00D40E91">
          <w:rPr>
            <w:noProof/>
            <w:webHidden/>
          </w:rPr>
          <w:fldChar w:fldCharType="separate"/>
        </w:r>
        <w:r w:rsidR="00777974">
          <w:rPr>
            <w:noProof/>
            <w:webHidden/>
          </w:rPr>
          <w:t>19</w:t>
        </w:r>
        <w:r w:rsidR="00D40E91">
          <w:rPr>
            <w:noProof/>
            <w:webHidden/>
          </w:rPr>
          <w:fldChar w:fldCharType="end"/>
        </w:r>
      </w:hyperlink>
    </w:p>
    <w:p w14:paraId="201343E2" w14:textId="2BB5C5B8"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4" w:history="1">
        <w:r w:rsidR="00D40E91" w:rsidRPr="00E57005">
          <w:rPr>
            <w:rStyle w:val="Hipervnculo"/>
            <w:noProof/>
            <w:lang w:val="es"/>
          </w:rPr>
          <w:t>Tabla 6. Avance Físico y Financiero Pilar 2: Desarrollo Social</w:t>
        </w:r>
        <w:r w:rsidR="00D40E91">
          <w:rPr>
            <w:noProof/>
            <w:webHidden/>
          </w:rPr>
          <w:tab/>
        </w:r>
        <w:r w:rsidR="00D40E91">
          <w:rPr>
            <w:noProof/>
            <w:webHidden/>
          </w:rPr>
          <w:fldChar w:fldCharType="begin"/>
        </w:r>
        <w:r w:rsidR="00D40E91">
          <w:rPr>
            <w:noProof/>
            <w:webHidden/>
          </w:rPr>
          <w:instrText xml:space="preserve"> PAGEREF _Toc130199594 \h </w:instrText>
        </w:r>
        <w:r w:rsidR="00D40E91">
          <w:rPr>
            <w:noProof/>
            <w:webHidden/>
          </w:rPr>
        </w:r>
        <w:r w:rsidR="00D40E91">
          <w:rPr>
            <w:noProof/>
            <w:webHidden/>
          </w:rPr>
          <w:fldChar w:fldCharType="separate"/>
        </w:r>
        <w:r w:rsidR="00777974">
          <w:rPr>
            <w:noProof/>
            <w:webHidden/>
          </w:rPr>
          <w:t>21</w:t>
        </w:r>
        <w:r w:rsidR="00D40E91">
          <w:rPr>
            <w:noProof/>
            <w:webHidden/>
          </w:rPr>
          <w:fldChar w:fldCharType="end"/>
        </w:r>
      </w:hyperlink>
    </w:p>
    <w:p w14:paraId="1E1FF6D1" w14:textId="77157F1B"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5" w:history="1">
        <w:r w:rsidR="00D40E91" w:rsidRPr="00E57005">
          <w:rPr>
            <w:rStyle w:val="Hipervnculo"/>
            <w:noProof/>
            <w:lang w:val="es"/>
          </w:rPr>
          <w:t>Tabla 7. Avance Físico y Financiero. Pilar 3: Gobernabilidad y Seguridad en Desarrollo</w:t>
        </w:r>
        <w:r w:rsidR="00D40E91">
          <w:rPr>
            <w:noProof/>
            <w:webHidden/>
          </w:rPr>
          <w:tab/>
        </w:r>
        <w:r w:rsidR="00D40E91">
          <w:rPr>
            <w:noProof/>
            <w:webHidden/>
          </w:rPr>
          <w:fldChar w:fldCharType="begin"/>
        </w:r>
        <w:r w:rsidR="00D40E91">
          <w:rPr>
            <w:noProof/>
            <w:webHidden/>
          </w:rPr>
          <w:instrText xml:space="preserve"> PAGEREF _Toc130199595 \h </w:instrText>
        </w:r>
        <w:r w:rsidR="00D40E91">
          <w:rPr>
            <w:noProof/>
            <w:webHidden/>
          </w:rPr>
        </w:r>
        <w:r w:rsidR="00D40E91">
          <w:rPr>
            <w:noProof/>
            <w:webHidden/>
          </w:rPr>
          <w:fldChar w:fldCharType="separate"/>
        </w:r>
        <w:r w:rsidR="00777974">
          <w:rPr>
            <w:noProof/>
            <w:webHidden/>
          </w:rPr>
          <w:t>24</w:t>
        </w:r>
        <w:r w:rsidR="00D40E91">
          <w:rPr>
            <w:noProof/>
            <w:webHidden/>
          </w:rPr>
          <w:fldChar w:fldCharType="end"/>
        </w:r>
      </w:hyperlink>
    </w:p>
    <w:p w14:paraId="4B4C6EDD" w14:textId="17C156CE"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6" w:history="1">
        <w:r w:rsidR="00D40E91" w:rsidRPr="00E57005">
          <w:rPr>
            <w:rStyle w:val="Hipervnculo"/>
            <w:noProof/>
            <w:lang w:val="es"/>
          </w:rPr>
          <w:t>Tabla 8. Avance Físico y Financiero. Pilar 4: Estado Responsable, Transparente y Efectivo</w:t>
        </w:r>
        <w:r w:rsidR="00D40E91">
          <w:rPr>
            <w:noProof/>
            <w:webHidden/>
          </w:rPr>
          <w:tab/>
        </w:r>
        <w:r w:rsidR="00D40E91">
          <w:rPr>
            <w:noProof/>
            <w:webHidden/>
          </w:rPr>
          <w:fldChar w:fldCharType="begin"/>
        </w:r>
        <w:r w:rsidR="00D40E91">
          <w:rPr>
            <w:noProof/>
            <w:webHidden/>
          </w:rPr>
          <w:instrText xml:space="preserve"> PAGEREF _Toc130199596 \h </w:instrText>
        </w:r>
        <w:r w:rsidR="00D40E91">
          <w:rPr>
            <w:noProof/>
            <w:webHidden/>
          </w:rPr>
        </w:r>
        <w:r w:rsidR="00D40E91">
          <w:rPr>
            <w:noProof/>
            <w:webHidden/>
          </w:rPr>
          <w:fldChar w:fldCharType="separate"/>
        </w:r>
        <w:r w:rsidR="00777974">
          <w:rPr>
            <w:noProof/>
            <w:webHidden/>
          </w:rPr>
          <w:t>25</w:t>
        </w:r>
        <w:r w:rsidR="00D40E91">
          <w:rPr>
            <w:noProof/>
            <w:webHidden/>
          </w:rPr>
          <w:fldChar w:fldCharType="end"/>
        </w:r>
      </w:hyperlink>
    </w:p>
    <w:p w14:paraId="4E46044D" w14:textId="00AC6A2D"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7" w:history="1">
        <w:r w:rsidR="00D40E91" w:rsidRPr="00E57005">
          <w:rPr>
            <w:rStyle w:val="Hipervnculo"/>
            <w:noProof/>
            <w:lang w:val="es-ES"/>
          </w:rPr>
          <w:t>Tabla 9. Ejecución Física y Financiera. Secretarías</w:t>
        </w:r>
        <w:r w:rsidR="00D40E91">
          <w:rPr>
            <w:noProof/>
            <w:webHidden/>
          </w:rPr>
          <w:tab/>
        </w:r>
        <w:r w:rsidR="00D40E91">
          <w:rPr>
            <w:noProof/>
            <w:webHidden/>
          </w:rPr>
          <w:fldChar w:fldCharType="begin"/>
        </w:r>
        <w:r w:rsidR="00D40E91">
          <w:rPr>
            <w:noProof/>
            <w:webHidden/>
          </w:rPr>
          <w:instrText xml:space="preserve"> PAGEREF _Toc130199597 \h </w:instrText>
        </w:r>
        <w:r w:rsidR="00D40E91">
          <w:rPr>
            <w:noProof/>
            <w:webHidden/>
          </w:rPr>
        </w:r>
        <w:r w:rsidR="00D40E91">
          <w:rPr>
            <w:noProof/>
            <w:webHidden/>
          </w:rPr>
          <w:fldChar w:fldCharType="separate"/>
        </w:r>
        <w:r w:rsidR="00777974">
          <w:rPr>
            <w:noProof/>
            <w:webHidden/>
          </w:rPr>
          <w:t>27</w:t>
        </w:r>
        <w:r w:rsidR="00D40E91">
          <w:rPr>
            <w:noProof/>
            <w:webHidden/>
          </w:rPr>
          <w:fldChar w:fldCharType="end"/>
        </w:r>
      </w:hyperlink>
    </w:p>
    <w:p w14:paraId="6F1FED04" w14:textId="3B1F7D46"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8" w:history="1">
        <w:r w:rsidR="00D40E91" w:rsidRPr="00E57005">
          <w:rPr>
            <w:rStyle w:val="Hipervnculo"/>
            <w:noProof/>
            <w:lang w:val="es-ES"/>
          </w:rPr>
          <w:t>Tabla 10. Avance Físico y Financiero. Vinculación a Metas PGG</w:t>
        </w:r>
        <w:r w:rsidR="00D40E91">
          <w:rPr>
            <w:noProof/>
            <w:webHidden/>
          </w:rPr>
          <w:tab/>
        </w:r>
        <w:r w:rsidR="00D40E91">
          <w:rPr>
            <w:noProof/>
            <w:webHidden/>
          </w:rPr>
          <w:fldChar w:fldCharType="begin"/>
        </w:r>
        <w:r w:rsidR="00D40E91">
          <w:rPr>
            <w:noProof/>
            <w:webHidden/>
          </w:rPr>
          <w:instrText xml:space="preserve"> PAGEREF _Toc130199598 \h </w:instrText>
        </w:r>
        <w:r w:rsidR="00D40E91">
          <w:rPr>
            <w:noProof/>
            <w:webHidden/>
          </w:rPr>
        </w:r>
        <w:r w:rsidR="00D40E91">
          <w:rPr>
            <w:noProof/>
            <w:webHidden/>
          </w:rPr>
          <w:fldChar w:fldCharType="separate"/>
        </w:r>
        <w:r w:rsidR="00777974">
          <w:rPr>
            <w:noProof/>
            <w:webHidden/>
          </w:rPr>
          <w:t>32</w:t>
        </w:r>
        <w:r w:rsidR="00D40E91">
          <w:rPr>
            <w:noProof/>
            <w:webHidden/>
          </w:rPr>
          <w:fldChar w:fldCharType="end"/>
        </w:r>
      </w:hyperlink>
    </w:p>
    <w:p w14:paraId="36D493A3" w14:textId="58D1197A"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599" w:history="1">
        <w:r w:rsidR="00D40E91" w:rsidRPr="00E57005">
          <w:rPr>
            <w:rStyle w:val="Hipervnculo"/>
            <w:noProof/>
            <w:lang w:val="es-ES"/>
          </w:rPr>
          <w:t>Tabla 11. Ejecución Física y Financiera. Otras Dependencias del Ejecutivo, Empresas y Órganos de Control</w:t>
        </w:r>
        <w:r w:rsidR="00D40E91">
          <w:rPr>
            <w:noProof/>
            <w:webHidden/>
          </w:rPr>
          <w:tab/>
        </w:r>
        <w:r w:rsidR="00D40E91">
          <w:rPr>
            <w:noProof/>
            <w:webHidden/>
          </w:rPr>
          <w:fldChar w:fldCharType="begin"/>
        </w:r>
        <w:r w:rsidR="00D40E91">
          <w:rPr>
            <w:noProof/>
            <w:webHidden/>
          </w:rPr>
          <w:instrText xml:space="preserve"> PAGEREF _Toc130199599 \h </w:instrText>
        </w:r>
        <w:r w:rsidR="00D40E91">
          <w:rPr>
            <w:noProof/>
            <w:webHidden/>
          </w:rPr>
        </w:r>
        <w:r w:rsidR="00D40E91">
          <w:rPr>
            <w:noProof/>
            <w:webHidden/>
          </w:rPr>
          <w:fldChar w:fldCharType="separate"/>
        </w:r>
        <w:r w:rsidR="00777974">
          <w:rPr>
            <w:noProof/>
            <w:webHidden/>
          </w:rPr>
          <w:t>33</w:t>
        </w:r>
        <w:r w:rsidR="00D40E91">
          <w:rPr>
            <w:noProof/>
            <w:webHidden/>
          </w:rPr>
          <w:fldChar w:fldCharType="end"/>
        </w:r>
      </w:hyperlink>
    </w:p>
    <w:p w14:paraId="14309E52" w14:textId="58DBDCDF"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0" w:history="1">
        <w:r w:rsidR="00D40E91" w:rsidRPr="00E57005">
          <w:rPr>
            <w:rStyle w:val="Hipervnculo"/>
            <w:noProof/>
            <w:lang w:val="es"/>
          </w:rPr>
          <w:t>Tabla 12. Ejecución Física y Financiera. Descentralizadas y Autónomas</w:t>
        </w:r>
        <w:r w:rsidR="00D40E91">
          <w:rPr>
            <w:noProof/>
            <w:webHidden/>
          </w:rPr>
          <w:tab/>
        </w:r>
        <w:r w:rsidR="00D40E91">
          <w:rPr>
            <w:noProof/>
            <w:webHidden/>
          </w:rPr>
          <w:fldChar w:fldCharType="begin"/>
        </w:r>
        <w:r w:rsidR="00D40E91">
          <w:rPr>
            <w:noProof/>
            <w:webHidden/>
          </w:rPr>
          <w:instrText xml:space="preserve"> PAGEREF _Toc130199600 \h </w:instrText>
        </w:r>
        <w:r w:rsidR="00D40E91">
          <w:rPr>
            <w:noProof/>
            <w:webHidden/>
          </w:rPr>
        </w:r>
        <w:r w:rsidR="00D40E91">
          <w:rPr>
            <w:noProof/>
            <w:webHidden/>
          </w:rPr>
          <w:fldChar w:fldCharType="separate"/>
        </w:r>
        <w:r w:rsidR="00777974">
          <w:rPr>
            <w:noProof/>
            <w:webHidden/>
          </w:rPr>
          <w:t>39</w:t>
        </w:r>
        <w:r w:rsidR="00D40E91">
          <w:rPr>
            <w:noProof/>
            <w:webHidden/>
          </w:rPr>
          <w:fldChar w:fldCharType="end"/>
        </w:r>
      </w:hyperlink>
    </w:p>
    <w:p w14:paraId="28367BEB" w14:textId="17BA77D9"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1" w:history="1">
        <w:r w:rsidR="00D40E91" w:rsidRPr="00E57005">
          <w:rPr>
            <w:rStyle w:val="Hipervnculo"/>
            <w:noProof/>
            <w:lang w:val="es"/>
          </w:rPr>
          <w:t>Tabla 13. Avance Físico y Financiero. Vinculación a Metas PGG</w:t>
        </w:r>
        <w:r w:rsidR="00D40E91">
          <w:rPr>
            <w:noProof/>
            <w:webHidden/>
          </w:rPr>
          <w:tab/>
        </w:r>
        <w:r w:rsidR="00D40E91">
          <w:rPr>
            <w:noProof/>
            <w:webHidden/>
          </w:rPr>
          <w:fldChar w:fldCharType="begin"/>
        </w:r>
        <w:r w:rsidR="00D40E91">
          <w:rPr>
            <w:noProof/>
            <w:webHidden/>
          </w:rPr>
          <w:instrText xml:space="preserve"> PAGEREF _Toc130199601 \h </w:instrText>
        </w:r>
        <w:r w:rsidR="00D40E91">
          <w:rPr>
            <w:noProof/>
            <w:webHidden/>
          </w:rPr>
        </w:r>
        <w:r w:rsidR="00D40E91">
          <w:rPr>
            <w:noProof/>
            <w:webHidden/>
          </w:rPr>
          <w:fldChar w:fldCharType="separate"/>
        </w:r>
        <w:r w:rsidR="00777974">
          <w:rPr>
            <w:noProof/>
            <w:webHidden/>
          </w:rPr>
          <w:t>50</w:t>
        </w:r>
        <w:r w:rsidR="00D40E91">
          <w:rPr>
            <w:noProof/>
            <w:webHidden/>
          </w:rPr>
          <w:fldChar w:fldCharType="end"/>
        </w:r>
      </w:hyperlink>
    </w:p>
    <w:p w14:paraId="4D3CAED4" w14:textId="44C7F2FE"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2" w:history="1">
        <w:r w:rsidR="00D40E91" w:rsidRPr="00E57005">
          <w:rPr>
            <w:rStyle w:val="Hipervnculo"/>
            <w:noProof/>
            <w:lang w:val="es"/>
          </w:rPr>
          <w:t>Tabla 14. Ejecución Física y Financiera. Federaciones Deportivas</w:t>
        </w:r>
        <w:r w:rsidR="00D40E91">
          <w:rPr>
            <w:noProof/>
            <w:webHidden/>
          </w:rPr>
          <w:tab/>
        </w:r>
        <w:r w:rsidR="00D40E91">
          <w:rPr>
            <w:noProof/>
            <w:webHidden/>
          </w:rPr>
          <w:fldChar w:fldCharType="begin"/>
        </w:r>
        <w:r w:rsidR="00D40E91">
          <w:rPr>
            <w:noProof/>
            <w:webHidden/>
          </w:rPr>
          <w:instrText xml:space="preserve"> PAGEREF _Toc130199602 \h </w:instrText>
        </w:r>
        <w:r w:rsidR="00D40E91">
          <w:rPr>
            <w:noProof/>
            <w:webHidden/>
          </w:rPr>
        </w:r>
        <w:r w:rsidR="00D40E91">
          <w:rPr>
            <w:noProof/>
            <w:webHidden/>
          </w:rPr>
          <w:fldChar w:fldCharType="separate"/>
        </w:r>
        <w:r w:rsidR="00777974">
          <w:rPr>
            <w:noProof/>
            <w:webHidden/>
          </w:rPr>
          <w:t>51</w:t>
        </w:r>
        <w:r w:rsidR="00D40E91">
          <w:rPr>
            <w:noProof/>
            <w:webHidden/>
          </w:rPr>
          <w:fldChar w:fldCharType="end"/>
        </w:r>
      </w:hyperlink>
    </w:p>
    <w:p w14:paraId="2C0BC74B" w14:textId="37ED6E77"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3" w:history="1">
        <w:r w:rsidR="00D40E91" w:rsidRPr="00E57005">
          <w:rPr>
            <w:rStyle w:val="Hipervnculo"/>
            <w:noProof/>
            <w:lang w:val="es"/>
          </w:rPr>
          <w:t>Tabla 15. Ejecución física y financiera. Asociaciones Deportivas</w:t>
        </w:r>
        <w:r w:rsidR="00D40E91">
          <w:rPr>
            <w:noProof/>
            <w:webHidden/>
          </w:rPr>
          <w:tab/>
        </w:r>
        <w:r w:rsidR="00D40E91">
          <w:rPr>
            <w:noProof/>
            <w:webHidden/>
          </w:rPr>
          <w:fldChar w:fldCharType="begin"/>
        </w:r>
        <w:r w:rsidR="00D40E91">
          <w:rPr>
            <w:noProof/>
            <w:webHidden/>
          </w:rPr>
          <w:instrText xml:space="preserve"> PAGEREF _Toc130199603 \h </w:instrText>
        </w:r>
        <w:r w:rsidR="00D40E91">
          <w:rPr>
            <w:noProof/>
            <w:webHidden/>
          </w:rPr>
        </w:r>
        <w:r w:rsidR="00D40E91">
          <w:rPr>
            <w:noProof/>
            <w:webHidden/>
          </w:rPr>
          <w:fldChar w:fldCharType="separate"/>
        </w:r>
        <w:r w:rsidR="00777974">
          <w:rPr>
            <w:noProof/>
            <w:webHidden/>
          </w:rPr>
          <w:t>54</w:t>
        </w:r>
        <w:r w:rsidR="00D40E91">
          <w:rPr>
            <w:noProof/>
            <w:webHidden/>
          </w:rPr>
          <w:fldChar w:fldCharType="end"/>
        </w:r>
      </w:hyperlink>
    </w:p>
    <w:p w14:paraId="5AE95EA3" w14:textId="49FB67C3"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4" w:history="1">
        <w:r w:rsidR="00D40E91" w:rsidRPr="00E57005">
          <w:rPr>
            <w:rStyle w:val="Hipervnculo"/>
            <w:rFonts w:eastAsia="Times New Roman"/>
            <w:noProof/>
            <w:lang w:val="es-ES"/>
          </w:rPr>
          <w:t>Tabla 16. Ejecución física y financiera, departamento de Alta Verapaz</w:t>
        </w:r>
        <w:r w:rsidR="00D40E91">
          <w:rPr>
            <w:noProof/>
            <w:webHidden/>
          </w:rPr>
          <w:tab/>
        </w:r>
        <w:r w:rsidR="00D40E91">
          <w:rPr>
            <w:noProof/>
            <w:webHidden/>
          </w:rPr>
          <w:fldChar w:fldCharType="begin"/>
        </w:r>
        <w:r w:rsidR="00D40E91">
          <w:rPr>
            <w:noProof/>
            <w:webHidden/>
          </w:rPr>
          <w:instrText xml:space="preserve"> PAGEREF _Toc130199604 \h </w:instrText>
        </w:r>
        <w:r w:rsidR="00D40E91">
          <w:rPr>
            <w:noProof/>
            <w:webHidden/>
          </w:rPr>
        </w:r>
        <w:r w:rsidR="00D40E91">
          <w:rPr>
            <w:noProof/>
            <w:webHidden/>
          </w:rPr>
          <w:fldChar w:fldCharType="separate"/>
        </w:r>
        <w:r w:rsidR="00777974">
          <w:rPr>
            <w:noProof/>
            <w:webHidden/>
          </w:rPr>
          <w:t>59</w:t>
        </w:r>
        <w:r w:rsidR="00D40E91">
          <w:rPr>
            <w:noProof/>
            <w:webHidden/>
          </w:rPr>
          <w:fldChar w:fldCharType="end"/>
        </w:r>
      </w:hyperlink>
    </w:p>
    <w:p w14:paraId="45E07D9D" w14:textId="417C1A0A"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5" w:history="1">
        <w:r w:rsidR="00D40E91" w:rsidRPr="00E57005">
          <w:rPr>
            <w:rStyle w:val="Hipervnculo"/>
            <w:rFonts w:eastAsia="Times New Roman"/>
            <w:noProof/>
            <w:lang w:val="es-ES"/>
          </w:rPr>
          <w:t>Tabla 17. Ejecución Física y Financiera, departamento de Baja Verapaz</w:t>
        </w:r>
        <w:r w:rsidR="00D40E91">
          <w:rPr>
            <w:noProof/>
            <w:webHidden/>
          </w:rPr>
          <w:tab/>
        </w:r>
        <w:r w:rsidR="00D40E91">
          <w:rPr>
            <w:noProof/>
            <w:webHidden/>
          </w:rPr>
          <w:fldChar w:fldCharType="begin"/>
        </w:r>
        <w:r w:rsidR="00D40E91">
          <w:rPr>
            <w:noProof/>
            <w:webHidden/>
          </w:rPr>
          <w:instrText xml:space="preserve"> PAGEREF _Toc130199605 \h </w:instrText>
        </w:r>
        <w:r w:rsidR="00D40E91">
          <w:rPr>
            <w:noProof/>
            <w:webHidden/>
          </w:rPr>
        </w:r>
        <w:r w:rsidR="00D40E91">
          <w:rPr>
            <w:noProof/>
            <w:webHidden/>
          </w:rPr>
          <w:fldChar w:fldCharType="separate"/>
        </w:r>
        <w:r w:rsidR="00777974">
          <w:rPr>
            <w:noProof/>
            <w:webHidden/>
          </w:rPr>
          <w:t>60</w:t>
        </w:r>
        <w:r w:rsidR="00D40E91">
          <w:rPr>
            <w:noProof/>
            <w:webHidden/>
          </w:rPr>
          <w:fldChar w:fldCharType="end"/>
        </w:r>
      </w:hyperlink>
    </w:p>
    <w:p w14:paraId="503FC72D" w14:textId="00AC2CF1"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6" w:history="1">
        <w:r w:rsidR="00D40E91" w:rsidRPr="00E57005">
          <w:rPr>
            <w:rStyle w:val="Hipervnculo"/>
            <w:rFonts w:eastAsia="Times New Roman"/>
            <w:noProof/>
            <w:lang w:val="es-ES"/>
          </w:rPr>
          <w:t>Tabla 18. Ejecución Física y Financiera, departamento de Chimaltenango</w:t>
        </w:r>
        <w:r w:rsidR="00D40E91">
          <w:rPr>
            <w:noProof/>
            <w:webHidden/>
          </w:rPr>
          <w:tab/>
        </w:r>
        <w:r w:rsidR="00D40E91">
          <w:rPr>
            <w:noProof/>
            <w:webHidden/>
          </w:rPr>
          <w:fldChar w:fldCharType="begin"/>
        </w:r>
        <w:r w:rsidR="00D40E91">
          <w:rPr>
            <w:noProof/>
            <w:webHidden/>
          </w:rPr>
          <w:instrText xml:space="preserve"> PAGEREF _Toc130199606 \h </w:instrText>
        </w:r>
        <w:r w:rsidR="00D40E91">
          <w:rPr>
            <w:noProof/>
            <w:webHidden/>
          </w:rPr>
        </w:r>
        <w:r w:rsidR="00D40E91">
          <w:rPr>
            <w:noProof/>
            <w:webHidden/>
          </w:rPr>
          <w:fldChar w:fldCharType="separate"/>
        </w:r>
        <w:r w:rsidR="00777974">
          <w:rPr>
            <w:noProof/>
            <w:webHidden/>
          </w:rPr>
          <w:t>61</w:t>
        </w:r>
        <w:r w:rsidR="00D40E91">
          <w:rPr>
            <w:noProof/>
            <w:webHidden/>
          </w:rPr>
          <w:fldChar w:fldCharType="end"/>
        </w:r>
      </w:hyperlink>
    </w:p>
    <w:p w14:paraId="39C8ECB4" w14:textId="33FB85E3"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7" w:history="1">
        <w:r w:rsidR="00D40E91" w:rsidRPr="00E57005">
          <w:rPr>
            <w:rStyle w:val="Hipervnculo"/>
            <w:rFonts w:eastAsia="Times New Roman"/>
            <w:noProof/>
            <w:lang w:val="es-ES"/>
          </w:rPr>
          <w:t>Tabla 19. Ejecución Física y Financiera, departamento de Chiquimula</w:t>
        </w:r>
        <w:r w:rsidR="00D40E91">
          <w:rPr>
            <w:noProof/>
            <w:webHidden/>
          </w:rPr>
          <w:tab/>
        </w:r>
        <w:r w:rsidR="00D40E91">
          <w:rPr>
            <w:noProof/>
            <w:webHidden/>
          </w:rPr>
          <w:fldChar w:fldCharType="begin"/>
        </w:r>
        <w:r w:rsidR="00D40E91">
          <w:rPr>
            <w:noProof/>
            <w:webHidden/>
          </w:rPr>
          <w:instrText xml:space="preserve"> PAGEREF _Toc130199607 \h </w:instrText>
        </w:r>
        <w:r w:rsidR="00D40E91">
          <w:rPr>
            <w:noProof/>
            <w:webHidden/>
          </w:rPr>
        </w:r>
        <w:r w:rsidR="00D40E91">
          <w:rPr>
            <w:noProof/>
            <w:webHidden/>
          </w:rPr>
          <w:fldChar w:fldCharType="separate"/>
        </w:r>
        <w:r w:rsidR="00777974">
          <w:rPr>
            <w:noProof/>
            <w:webHidden/>
          </w:rPr>
          <w:t>62</w:t>
        </w:r>
        <w:r w:rsidR="00D40E91">
          <w:rPr>
            <w:noProof/>
            <w:webHidden/>
          </w:rPr>
          <w:fldChar w:fldCharType="end"/>
        </w:r>
      </w:hyperlink>
    </w:p>
    <w:p w14:paraId="6C2D89AF" w14:textId="2C217C1F"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8" w:history="1">
        <w:r w:rsidR="00D40E91" w:rsidRPr="00E57005">
          <w:rPr>
            <w:rStyle w:val="Hipervnculo"/>
            <w:rFonts w:eastAsia="Times New Roman"/>
            <w:noProof/>
            <w:lang w:val="es-ES"/>
          </w:rPr>
          <w:t>Tabla 20. Ejecución Física y Financiera, departamento de El Progreso</w:t>
        </w:r>
        <w:r w:rsidR="00D40E91">
          <w:rPr>
            <w:noProof/>
            <w:webHidden/>
          </w:rPr>
          <w:tab/>
        </w:r>
        <w:r w:rsidR="00D40E91">
          <w:rPr>
            <w:noProof/>
            <w:webHidden/>
          </w:rPr>
          <w:fldChar w:fldCharType="begin"/>
        </w:r>
        <w:r w:rsidR="00D40E91">
          <w:rPr>
            <w:noProof/>
            <w:webHidden/>
          </w:rPr>
          <w:instrText xml:space="preserve"> PAGEREF _Toc130199608 \h </w:instrText>
        </w:r>
        <w:r w:rsidR="00D40E91">
          <w:rPr>
            <w:noProof/>
            <w:webHidden/>
          </w:rPr>
        </w:r>
        <w:r w:rsidR="00D40E91">
          <w:rPr>
            <w:noProof/>
            <w:webHidden/>
          </w:rPr>
          <w:fldChar w:fldCharType="separate"/>
        </w:r>
        <w:r w:rsidR="00777974">
          <w:rPr>
            <w:noProof/>
            <w:webHidden/>
          </w:rPr>
          <w:t>62</w:t>
        </w:r>
        <w:r w:rsidR="00D40E91">
          <w:rPr>
            <w:noProof/>
            <w:webHidden/>
          </w:rPr>
          <w:fldChar w:fldCharType="end"/>
        </w:r>
      </w:hyperlink>
    </w:p>
    <w:p w14:paraId="2A07E5AD" w14:textId="6B83DCF8"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09" w:history="1">
        <w:r w:rsidR="00D40E91" w:rsidRPr="00E57005">
          <w:rPr>
            <w:rStyle w:val="Hipervnculo"/>
            <w:rFonts w:eastAsia="Times New Roman"/>
            <w:noProof/>
            <w:lang w:val="es-ES"/>
          </w:rPr>
          <w:t>Tabla 21. Ejecución Física y Financiera, departamento de Petén</w:t>
        </w:r>
        <w:r w:rsidR="00D40E91">
          <w:rPr>
            <w:noProof/>
            <w:webHidden/>
          </w:rPr>
          <w:tab/>
        </w:r>
        <w:r w:rsidR="00D40E91">
          <w:rPr>
            <w:noProof/>
            <w:webHidden/>
          </w:rPr>
          <w:fldChar w:fldCharType="begin"/>
        </w:r>
        <w:r w:rsidR="00D40E91">
          <w:rPr>
            <w:noProof/>
            <w:webHidden/>
          </w:rPr>
          <w:instrText xml:space="preserve"> PAGEREF _Toc130199609 \h </w:instrText>
        </w:r>
        <w:r w:rsidR="00D40E91">
          <w:rPr>
            <w:noProof/>
            <w:webHidden/>
          </w:rPr>
        </w:r>
        <w:r w:rsidR="00D40E91">
          <w:rPr>
            <w:noProof/>
            <w:webHidden/>
          </w:rPr>
          <w:fldChar w:fldCharType="separate"/>
        </w:r>
        <w:r w:rsidR="00777974">
          <w:rPr>
            <w:noProof/>
            <w:webHidden/>
          </w:rPr>
          <w:t>63</w:t>
        </w:r>
        <w:r w:rsidR="00D40E91">
          <w:rPr>
            <w:noProof/>
            <w:webHidden/>
          </w:rPr>
          <w:fldChar w:fldCharType="end"/>
        </w:r>
      </w:hyperlink>
    </w:p>
    <w:p w14:paraId="0C02F54B" w14:textId="54ACA85C"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0" w:history="1">
        <w:r w:rsidR="00D40E91" w:rsidRPr="00E57005">
          <w:rPr>
            <w:rStyle w:val="Hipervnculo"/>
            <w:rFonts w:eastAsia="Times New Roman"/>
            <w:noProof/>
            <w:lang w:val="es-ES"/>
          </w:rPr>
          <w:t>Tabla 22. Ejecución Física y Financiera, departamento de Totonicapán</w:t>
        </w:r>
        <w:r w:rsidR="00D40E91">
          <w:rPr>
            <w:noProof/>
            <w:webHidden/>
          </w:rPr>
          <w:tab/>
        </w:r>
        <w:r w:rsidR="00D40E91">
          <w:rPr>
            <w:noProof/>
            <w:webHidden/>
          </w:rPr>
          <w:fldChar w:fldCharType="begin"/>
        </w:r>
        <w:r w:rsidR="00D40E91">
          <w:rPr>
            <w:noProof/>
            <w:webHidden/>
          </w:rPr>
          <w:instrText xml:space="preserve"> PAGEREF _Toc130199610 \h </w:instrText>
        </w:r>
        <w:r w:rsidR="00D40E91">
          <w:rPr>
            <w:noProof/>
            <w:webHidden/>
          </w:rPr>
        </w:r>
        <w:r w:rsidR="00D40E91">
          <w:rPr>
            <w:noProof/>
            <w:webHidden/>
          </w:rPr>
          <w:fldChar w:fldCharType="separate"/>
        </w:r>
        <w:r w:rsidR="00777974">
          <w:rPr>
            <w:noProof/>
            <w:webHidden/>
          </w:rPr>
          <w:t>64</w:t>
        </w:r>
        <w:r w:rsidR="00D40E91">
          <w:rPr>
            <w:noProof/>
            <w:webHidden/>
          </w:rPr>
          <w:fldChar w:fldCharType="end"/>
        </w:r>
      </w:hyperlink>
    </w:p>
    <w:p w14:paraId="6888F0BF" w14:textId="366AFA09"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1" w:history="1">
        <w:r w:rsidR="00D40E91" w:rsidRPr="00E57005">
          <w:rPr>
            <w:rStyle w:val="Hipervnculo"/>
            <w:rFonts w:eastAsia="Times New Roman"/>
            <w:noProof/>
            <w:lang w:val="es-ES"/>
          </w:rPr>
          <w:t>Tabla 23. Ejecución Física y Financiera, departamento de Zacapa</w:t>
        </w:r>
        <w:r w:rsidR="00D40E91">
          <w:rPr>
            <w:noProof/>
            <w:webHidden/>
          </w:rPr>
          <w:tab/>
        </w:r>
        <w:r w:rsidR="00D40E91">
          <w:rPr>
            <w:noProof/>
            <w:webHidden/>
          </w:rPr>
          <w:fldChar w:fldCharType="begin"/>
        </w:r>
        <w:r w:rsidR="00D40E91">
          <w:rPr>
            <w:noProof/>
            <w:webHidden/>
          </w:rPr>
          <w:instrText xml:space="preserve"> PAGEREF _Toc130199611 \h </w:instrText>
        </w:r>
        <w:r w:rsidR="00D40E91">
          <w:rPr>
            <w:noProof/>
            <w:webHidden/>
          </w:rPr>
        </w:r>
        <w:r w:rsidR="00D40E91">
          <w:rPr>
            <w:noProof/>
            <w:webHidden/>
          </w:rPr>
          <w:fldChar w:fldCharType="separate"/>
        </w:r>
        <w:r w:rsidR="00777974">
          <w:rPr>
            <w:noProof/>
            <w:webHidden/>
          </w:rPr>
          <w:t>64</w:t>
        </w:r>
        <w:r w:rsidR="00D40E91">
          <w:rPr>
            <w:noProof/>
            <w:webHidden/>
          </w:rPr>
          <w:fldChar w:fldCharType="end"/>
        </w:r>
      </w:hyperlink>
    </w:p>
    <w:p w14:paraId="6888B98F" w14:textId="430BAF7C"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2" w:history="1">
        <w:r w:rsidR="00D40E91" w:rsidRPr="00E57005">
          <w:rPr>
            <w:rStyle w:val="Hipervnculo"/>
            <w:rFonts w:eastAsia="Times New Roman"/>
            <w:noProof/>
            <w:lang w:val="es-ES"/>
          </w:rPr>
          <w:t>Tabla 24. Ejecución Financiera, departamento de Jalapa</w:t>
        </w:r>
        <w:r w:rsidR="00D40E91">
          <w:rPr>
            <w:noProof/>
            <w:webHidden/>
          </w:rPr>
          <w:tab/>
        </w:r>
        <w:r w:rsidR="00D40E91">
          <w:rPr>
            <w:noProof/>
            <w:webHidden/>
          </w:rPr>
          <w:fldChar w:fldCharType="begin"/>
        </w:r>
        <w:r w:rsidR="00D40E91">
          <w:rPr>
            <w:noProof/>
            <w:webHidden/>
          </w:rPr>
          <w:instrText xml:space="preserve"> PAGEREF _Toc130199612 \h </w:instrText>
        </w:r>
        <w:r w:rsidR="00D40E91">
          <w:rPr>
            <w:noProof/>
            <w:webHidden/>
          </w:rPr>
        </w:r>
        <w:r w:rsidR="00D40E91">
          <w:rPr>
            <w:noProof/>
            <w:webHidden/>
          </w:rPr>
          <w:fldChar w:fldCharType="separate"/>
        </w:r>
        <w:r w:rsidR="00777974">
          <w:rPr>
            <w:noProof/>
            <w:webHidden/>
          </w:rPr>
          <w:t>65</w:t>
        </w:r>
        <w:r w:rsidR="00D40E91">
          <w:rPr>
            <w:noProof/>
            <w:webHidden/>
          </w:rPr>
          <w:fldChar w:fldCharType="end"/>
        </w:r>
      </w:hyperlink>
    </w:p>
    <w:p w14:paraId="60438B8C" w14:textId="75F9AB60"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3" w:history="1">
        <w:r w:rsidR="00D40E91" w:rsidRPr="00E57005">
          <w:rPr>
            <w:rStyle w:val="Hipervnculo"/>
            <w:rFonts w:eastAsia="Times New Roman"/>
            <w:noProof/>
            <w:lang w:val="es-ES"/>
          </w:rPr>
          <w:t>Tabla 25. Ejecución Física y Financiera, departamento de El Quiché</w:t>
        </w:r>
        <w:r w:rsidR="00D40E91">
          <w:rPr>
            <w:noProof/>
            <w:webHidden/>
          </w:rPr>
          <w:tab/>
        </w:r>
        <w:r w:rsidR="00D40E91">
          <w:rPr>
            <w:noProof/>
            <w:webHidden/>
          </w:rPr>
          <w:fldChar w:fldCharType="begin"/>
        </w:r>
        <w:r w:rsidR="00D40E91">
          <w:rPr>
            <w:noProof/>
            <w:webHidden/>
          </w:rPr>
          <w:instrText xml:space="preserve"> PAGEREF _Toc130199613 \h </w:instrText>
        </w:r>
        <w:r w:rsidR="00D40E91">
          <w:rPr>
            <w:noProof/>
            <w:webHidden/>
          </w:rPr>
        </w:r>
        <w:r w:rsidR="00D40E91">
          <w:rPr>
            <w:noProof/>
            <w:webHidden/>
          </w:rPr>
          <w:fldChar w:fldCharType="separate"/>
        </w:r>
        <w:r w:rsidR="00777974">
          <w:rPr>
            <w:noProof/>
            <w:webHidden/>
          </w:rPr>
          <w:t>66</w:t>
        </w:r>
        <w:r w:rsidR="00D40E91">
          <w:rPr>
            <w:noProof/>
            <w:webHidden/>
          </w:rPr>
          <w:fldChar w:fldCharType="end"/>
        </w:r>
      </w:hyperlink>
    </w:p>
    <w:p w14:paraId="1A4D6995" w14:textId="0B5A6947"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4" w:history="1">
        <w:r w:rsidR="00D40E91" w:rsidRPr="00E57005">
          <w:rPr>
            <w:rStyle w:val="Hipervnculo"/>
            <w:rFonts w:eastAsia="Times New Roman"/>
            <w:noProof/>
            <w:lang w:val="es-ES"/>
          </w:rPr>
          <w:t>Tabla 26. Ejecución Física y Financiera, Departamento de Huehuetenango</w:t>
        </w:r>
        <w:r w:rsidR="00D40E91">
          <w:rPr>
            <w:noProof/>
            <w:webHidden/>
          </w:rPr>
          <w:tab/>
        </w:r>
        <w:r w:rsidR="00D40E91">
          <w:rPr>
            <w:noProof/>
            <w:webHidden/>
          </w:rPr>
          <w:fldChar w:fldCharType="begin"/>
        </w:r>
        <w:r w:rsidR="00D40E91">
          <w:rPr>
            <w:noProof/>
            <w:webHidden/>
          </w:rPr>
          <w:instrText xml:space="preserve"> PAGEREF _Toc130199614 \h </w:instrText>
        </w:r>
        <w:r w:rsidR="00D40E91">
          <w:rPr>
            <w:noProof/>
            <w:webHidden/>
          </w:rPr>
        </w:r>
        <w:r w:rsidR="00D40E91">
          <w:rPr>
            <w:noProof/>
            <w:webHidden/>
          </w:rPr>
          <w:fldChar w:fldCharType="separate"/>
        </w:r>
        <w:r w:rsidR="00777974">
          <w:rPr>
            <w:noProof/>
            <w:webHidden/>
          </w:rPr>
          <w:t>67</w:t>
        </w:r>
        <w:r w:rsidR="00D40E91">
          <w:rPr>
            <w:noProof/>
            <w:webHidden/>
          </w:rPr>
          <w:fldChar w:fldCharType="end"/>
        </w:r>
      </w:hyperlink>
    </w:p>
    <w:p w14:paraId="26D825F0" w14:textId="6BC0806F"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5" w:history="1">
        <w:r w:rsidR="00D40E91" w:rsidRPr="00E57005">
          <w:rPr>
            <w:rStyle w:val="Hipervnculo"/>
            <w:rFonts w:eastAsia="Times New Roman"/>
            <w:noProof/>
            <w:lang w:val="es-ES"/>
          </w:rPr>
          <w:t>Tabla 27. Ejecución Física y Financiera, Departamento de Escuintla</w:t>
        </w:r>
        <w:r w:rsidR="00D40E91">
          <w:rPr>
            <w:noProof/>
            <w:webHidden/>
          </w:rPr>
          <w:tab/>
        </w:r>
        <w:r w:rsidR="00D40E91">
          <w:rPr>
            <w:noProof/>
            <w:webHidden/>
          </w:rPr>
          <w:fldChar w:fldCharType="begin"/>
        </w:r>
        <w:r w:rsidR="00D40E91">
          <w:rPr>
            <w:noProof/>
            <w:webHidden/>
          </w:rPr>
          <w:instrText xml:space="preserve"> PAGEREF _Toc130199615 \h </w:instrText>
        </w:r>
        <w:r w:rsidR="00D40E91">
          <w:rPr>
            <w:noProof/>
            <w:webHidden/>
          </w:rPr>
        </w:r>
        <w:r w:rsidR="00D40E91">
          <w:rPr>
            <w:noProof/>
            <w:webHidden/>
          </w:rPr>
          <w:fldChar w:fldCharType="separate"/>
        </w:r>
        <w:r w:rsidR="00777974">
          <w:rPr>
            <w:noProof/>
            <w:webHidden/>
          </w:rPr>
          <w:t>68</w:t>
        </w:r>
        <w:r w:rsidR="00D40E91">
          <w:rPr>
            <w:noProof/>
            <w:webHidden/>
          </w:rPr>
          <w:fldChar w:fldCharType="end"/>
        </w:r>
      </w:hyperlink>
    </w:p>
    <w:p w14:paraId="4D34337D" w14:textId="0E8AC0EF"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6" w:history="1">
        <w:r w:rsidR="00D40E91" w:rsidRPr="00E57005">
          <w:rPr>
            <w:rStyle w:val="Hipervnculo"/>
            <w:rFonts w:eastAsia="Times New Roman"/>
            <w:noProof/>
            <w:lang w:val="es-ES"/>
          </w:rPr>
          <w:t>Tabla 28. Ejecución Física y Financiera, Departamento de Izabal</w:t>
        </w:r>
        <w:r w:rsidR="00D40E91">
          <w:rPr>
            <w:noProof/>
            <w:webHidden/>
          </w:rPr>
          <w:tab/>
        </w:r>
        <w:r w:rsidR="00D40E91">
          <w:rPr>
            <w:noProof/>
            <w:webHidden/>
          </w:rPr>
          <w:fldChar w:fldCharType="begin"/>
        </w:r>
        <w:r w:rsidR="00D40E91">
          <w:rPr>
            <w:noProof/>
            <w:webHidden/>
          </w:rPr>
          <w:instrText xml:space="preserve"> PAGEREF _Toc130199616 \h </w:instrText>
        </w:r>
        <w:r w:rsidR="00D40E91">
          <w:rPr>
            <w:noProof/>
            <w:webHidden/>
          </w:rPr>
        </w:r>
        <w:r w:rsidR="00D40E91">
          <w:rPr>
            <w:noProof/>
            <w:webHidden/>
          </w:rPr>
          <w:fldChar w:fldCharType="separate"/>
        </w:r>
        <w:r w:rsidR="00777974">
          <w:rPr>
            <w:noProof/>
            <w:webHidden/>
          </w:rPr>
          <w:t>69</w:t>
        </w:r>
        <w:r w:rsidR="00D40E91">
          <w:rPr>
            <w:noProof/>
            <w:webHidden/>
          </w:rPr>
          <w:fldChar w:fldCharType="end"/>
        </w:r>
      </w:hyperlink>
    </w:p>
    <w:p w14:paraId="66A8314D" w14:textId="4D5C88FA"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7" w:history="1">
        <w:r w:rsidR="00D40E91" w:rsidRPr="00E57005">
          <w:rPr>
            <w:rStyle w:val="Hipervnculo"/>
            <w:rFonts w:eastAsia="Times New Roman"/>
            <w:noProof/>
            <w:lang w:val="es-ES"/>
          </w:rPr>
          <w:t>Tabla 29. Ejecución Física y Financiera, Departamento de Jutiapa</w:t>
        </w:r>
        <w:r w:rsidR="00D40E91">
          <w:rPr>
            <w:noProof/>
            <w:webHidden/>
          </w:rPr>
          <w:tab/>
        </w:r>
        <w:r w:rsidR="00D40E91">
          <w:rPr>
            <w:noProof/>
            <w:webHidden/>
          </w:rPr>
          <w:fldChar w:fldCharType="begin"/>
        </w:r>
        <w:r w:rsidR="00D40E91">
          <w:rPr>
            <w:noProof/>
            <w:webHidden/>
          </w:rPr>
          <w:instrText xml:space="preserve"> PAGEREF _Toc130199617 \h </w:instrText>
        </w:r>
        <w:r w:rsidR="00D40E91">
          <w:rPr>
            <w:noProof/>
            <w:webHidden/>
          </w:rPr>
        </w:r>
        <w:r w:rsidR="00D40E91">
          <w:rPr>
            <w:noProof/>
            <w:webHidden/>
          </w:rPr>
          <w:fldChar w:fldCharType="separate"/>
        </w:r>
        <w:r w:rsidR="00777974">
          <w:rPr>
            <w:noProof/>
            <w:webHidden/>
          </w:rPr>
          <w:t>69</w:t>
        </w:r>
        <w:r w:rsidR="00D40E91">
          <w:rPr>
            <w:noProof/>
            <w:webHidden/>
          </w:rPr>
          <w:fldChar w:fldCharType="end"/>
        </w:r>
      </w:hyperlink>
    </w:p>
    <w:p w14:paraId="5D785094" w14:textId="799E4599"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8" w:history="1">
        <w:r w:rsidR="00D40E91" w:rsidRPr="00E57005">
          <w:rPr>
            <w:rStyle w:val="Hipervnculo"/>
            <w:rFonts w:eastAsia="Times New Roman"/>
            <w:noProof/>
            <w:lang w:val="es-ES"/>
          </w:rPr>
          <w:t>Tabla 30. Ejecución Física y Financiera, departamento de Guatemala</w:t>
        </w:r>
        <w:r w:rsidR="00D40E91">
          <w:rPr>
            <w:noProof/>
            <w:webHidden/>
          </w:rPr>
          <w:tab/>
        </w:r>
        <w:r w:rsidR="00D40E91">
          <w:rPr>
            <w:noProof/>
            <w:webHidden/>
          </w:rPr>
          <w:fldChar w:fldCharType="begin"/>
        </w:r>
        <w:r w:rsidR="00D40E91">
          <w:rPr>
            <w:noProof/>
            <w:webHidden/>
          </w:rPr>
          <w:instrText xml:space="preserve"> PAGEREF _Toc130199618 \h </w:instrText>
        </w:r>
        <w:r w:rsidR="00D40E91">
          <w:rPr>
            <w:noProof/>
            <w:webHidden/>
          </w:rPr>
        </w:r>
        <w:r w:rsidR="00D40E91">
          <w:rPr>
            <w:noProof/>
            <w:webHidden/>
          </w:rPr>
          <w:fldChar w:fldCharType="separate"/>
        </w:r>
        <w:r w:rsidR="00777974">
          <w:rPr>
            <w:noProof/>
            <w:webHidden/>
          </w:rPr>
          <w:t>70</w:t>
        </w:r>
        <w:r w:rsidR="00D40E91">
          <w:rPr>
            <w:noProof/>
            <w:webHidden/>
          </w:rPr>
          <w:fldChar w:fldCharType="end"/>
        </w:r>
      </w:hyperlink>
    </w:p>
    <w:p w14:paraId="6BB83666" w14:textId="1E0E3198"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19" w:history="1">
        <w:r w:rsidR="00D40E91" w:rsidRPr="00E57005">
          <w:rPr>
            <w:rStyle w:val="Hipervnculo"/>
            <w:rFonts w:eastAsia="Times New Roman"/>
            <w:noProof/>
            <w:lang w:val="es-ES"/>
          </w:rPr>
          <w:t>Tabla 31. Ejecución Física y Financiera, departamento de Retalhuleu</w:t>
        </w:r>
        <w:r w:rsidR="00D40E91">
          <w:rPr>
            <w:noProof/>
            <w:webHidden/>
          </w:rPr>
          <w:tab/>
        </w:r>
        <w:r w:rsidR="00D40E91">
          <w:rPr>
            <w:noProof/>
            <w:webHidden/>
          </w:rPr>
          <w:fldChar w:fldCharType="begin"/>
        </w:r>
        <w:r w:rsidR="00D40E91">
          <w:rPr>
            <w:noProof/>
            <w:webHidden/>
          </w:rPr>
          <w:instrText xml:space="preserve"> PAGEREF _Toc130199619 \h </w:instrText>
        </w:r>
        <w:r w:rsidR="00D40E91">
          <w:rPr>
            <w:noProof/>
            <w:webHidden/>
          </w:rPr>
        </w:r>
        <w:r w:rsidR="00D40E91">
          <w:rPr>
            <w:noProof/>
            <w:webHidden/>
          </w:rPr>
          <w:fldChar w:fldCharType="separate"/>
        </w:r>
        <w:r w:rsidR="00777974">
          <w:rPr>
            <w:noProof/>
            <w:webHidden/>
          </w:rPr>
          <w:t>71</w:t>
        </w:r>
        <w:r w:rsidR="00D40E91">
          <w:rPr>
            <w:noProof/>
            <w:webHidden/>
          </w:rPr>
          <w:fldChar w:fldCharType="end"/>
        </w:r>
      </w:hyperlink>
    </w:p>
    <w:p w14:paraId="150BD1D5" w14:textId="627D2F87"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0" w:history="1">
        <w:r w:rsidR="00D40E91" w:rsidRPr="00E57005">
          <w:rPr>
            <w:rStyle w:val="Hipervnculo"/>
            <w:rFonts w:eastAsia="Times New Roman"/>
            <w:noProof/>
            <w:lang w:val="es-ES"/>
          </w:rPr>
          <w:t>Tabla 32. Ejecución Física y Financiera, departamento de Sacatepéquez</w:t>
        </w:r>
        <w:r w:rsidR="00D40E91">
          <w:rPr>
            <w:noProof/>
            <w:webHidden/>
          </w:rPr>
          <w:tab/>
        </w:r>
        <w:r w:rsidR="00D40E91">
          <w:rPr>
            <w:noProof/>
            <w:webHidden/>
          </w:rPr>
          <w:fldChar w:fldCharType="begin"/>
        </w:r>
        <w:r w:rsidR="00D40E91">
          <w:rPr>
            <w:noProof/>
            <w:webHidden/>
          </w:rPr>
          <w:instrText xml:space="preserve"> PAGEREF _Toc130199620 \h </w:instrText>
        </w:r>
        <w:r w:rsidR="00D40E91">
          <w:rPr>
            <w:noProof/>
            <w:webHidden/>
          </w:rPr>
        </w:r>
        <w:r w:rsidR="00D40E91">
          <w:rPr>
            <w:noProof/>
            <w:webHidden/>
          </w:rPr>
          <w:fldChar w:fldCharType="separate"/>
        </w:r>
        <w:r w:rsidR="00777974">
          <w:rPr>
            <w:noProof/>
            <w:webHidden/>
          </w:rPr>
          <w:t>71</w:t>
        </w:r>
        <w:r w:rsidR="00D40E91">
          <w:rPr>
            <w:noProof/>
            <w:webHidden/>
          </w:rPr>
          <w:fldChar w:fldCharType="end"/>
        </w:r>
      </w:hyperlink>
    </w:p>
    <w:p w14:paraId="017D85B7" w14:textId="2FFCBCB7"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1" w:history="1">
        <w:r w:rsidR="00D40E91" w:rsidRPr="00E57005">
          <w:rPr>
            <w:rStyle w:val="Hipervnculo"/>
            <w:rFonts w:eastAsia="Times New Roman"/>
            <w:noProof/>
            <w:lang w:val="es-ES"/>
          </w:rPr>
          <w:t>Tabla 33. Ejecución Física y Financiera, departamento de San Marcos</w:t>
        </w:r>
        <w:r w:rsidR="00D40E91">
          <w:rPr>
            <w:noProof/>
            <w:webHidden/>
          </w:rPr>
          <w:tab/>
        </w:r>
        <w:r w:rsidR="00D40E91">
          <w:rPr>
            <w:noProof/>
            <w:webHidden/>
          </w:rPr>
          <w:fldChar w:fldCharType="begin"/>
        </w:r>
        <w:r w:rsidR="00D40E91">
          <w:rPr>
            <w:noProof/>
            <w:webHidden/>
          </w:rPr>
          <w:instrText xml:space="preserve"> PAGEREF _Toc130199621 \h </w:instrText>
        </w:r>
        <w:r w:rsidR="00D40E91">
          <w:rPr>
            <w:noProof/>
            <w:webHidden/>
          </w:rPr>
        </w:r>
        <w:r w:rsidR="00D40E91">
          <w:rPr>
            <w:noProof/>
            <w:webHidden/>
          </w:rPr>
          <w:fldChar w:fldCharType="separate"/>
        </w:r>
        <w:r w:rsidR="00777974">
          <w:rPr>
            <w:noProof/>
            <w:webHidden/>
          </w:rPr>
          <w:t>72</w:t>
        </w:r>
        <w:r w:rsidR="00D40E91">
          <w:rPr>
            <w:noProof/>
            <w:webHidden/>
          </w:rPr>
          <w:fldChar w:fldCharType="end"/>
        </w:r>
      </w:hyperlink>
    </w:p>
    <w:p w14:paraId="477F6CD6" w14:textId="790FBFD7"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2" w:history="1">
        <w:r w:rsidR="00D40E91" w:rsidRPr="00E57005">
          <w:rPr>
            <w:rStyle w:val="Hipervnculo"/>
            <w:rFonts w:eastAsia="Times New Roman"/>
            <w:noProof/>
            <w:lang w:val="es-ES"/>
          </w:rPr>
          <w:t>Tabla 34. Ejecución Física y Financiera, departamento de Sololá</w:t>
        </w:r>
        <w:r w:rsidR="00D40E91">
          <w:rPr>
            <w:noProof/>
            <w:webHidden/>
          </w:rPr>
          <w:tab/>
        </w:r>
        <w:r w:rsidR="00D40E91">
          <w:rPr>
            <w:noProof/>
            <w:webHidden/>
          </w:rPr>
          <w:fldChar w:fldCharType="begin"/>
        </w:r>
        <w:r w:rsidR="00D40E91">
          <w:rPr>
            <w:noProof/>
            <w:webHidden/>
          </w:rPr>
          <w:instrText xml:space="preserve"> PAGEREF _Toc130199622 \h </w:instrText>
        </w:r>
        <w:r w:rsidR="00D40E91">
          <w:rPr>
            <w:noProof/>
            <w:webHidden/>
          </w:rPr>
        </w:r>
        <w:r w:rsidR="00D40E91">
          <w:rPr>
            <w:noProof/>
            <w:webHidden/>
          </w:rPr>
          <w:fldChar w:fldCharType="separate"/>
        </w:r>
        <w:r w:rsidR="00777974">
          <w:rPr>
            <w:noProof/>
            <w:webHidden/>
          </w:rPr>
          <w:t>73</w:t>
        </w:r>
        <w:r w:rsidR="00D40E91">
          <w:rPr>
            <w:noProof/>
            <w:webHidden/>
          </w:rPr>
          <w:fldChar w:fldCharType="end"/>
        </w:r>
      </w:hyperlink>
    </w:p>
    <w:p w14:paraId="7E7F1FC9" w14:textId="5EA63DE9"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3" w:history="1">
        <w:r w:rsidR="00D40E91" w:rsidRPr="00E57005">
          <w:rPr>
            <w:rStyle w:val="Hipervnculo"/>
            <w:rFonts w:eastAsia="Times New Roman"/>
            <w:noProof/>
            <w:lang w:val="es-ES"/>
          </w:rPr>
          <w:t>Tabla 35. Ejecución Física y Financiera, departamento de Suchitepéquez</w:t>
        </w:r>
        <w:r w:rsidR="00D40E91">
          <w:rPr>
            <w:noProof/>
            <w:webHidden/>
          </w:rPr>
          <w:tab/>
        </w:r>
        <w:r w:rsidR="00D40E91">
          <w:rPr>
            <w:noProof/>
            <w:webHidden/>
          </w:rPr>
          <w:fldChar w:fldCharType="begin"/>
        </w:r>
        <w:r w:rsidR="00D40E91">
          <w:rPr>
            <w:noProof/>
            <w:webHidden/>
          </w:rPr>
          <w:instrText xml:space="preserve"> PAGEREF _Toc130199623 \h </w:instrText>
        </w:r>
        <w:r w:rsidR="00D40E91">
          <w:rPr>
            <w:noProof/>
            <w:webHidden/>
          </w:rPr>
        </w:r>
        <w:r w:rsidR="00D40E91">
          <w:rPr>
            <w:noProof/>
            <w:webHidden/>
          </w:rPr>
          <w:fldChar w:fldCharType="separate"/>
        </w:r>
        <w:r w:rsidR="00777974">
          <w:rPr>
            <w:noProof/>
            <w:webHidden/>
          </w:rPr>
          <w:t>74</w:t>
        </w:r>
        <w:r w:rsidR="00D40E91">
          <w:rPr>
            <w:noProof/>
            <w:webHidden/>
          </w:rPr>
          <w:fldChar w:fldCharType="end"/>
        </w:r>
      </w:hyperlink>
    </w:p>
    <w:p w14:paraId="6DF369B6" w14:textId="243F9BC5"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4" w:history="1">
        <w:r w:rsidR="00D40E91" w:rsidRPr="00E57005">
          <w:rPr>
            <w:rStyle w:val="Hipervnculo"/>
            <w:rFonts w:eastAsia="Times New Roman"/>
            <w:noProof/>
            <w:lang w:val="es-ES"/>
          </w:rPr>
          <w:t>Tabla 36. Ejecución Física y Financiera, departamento de Santa Rosa</w:t>
        </w:r>
        <w:r w:rsidR="00D40E91">
          <w:rPr>
            <w:noProof/>
            <w:webHidden/>
          </w:rPr>
          <w:tab/>
        </w:r>
        <w:r w:rsidR="00D40E91">
          <w:rPr>
            <w:noProof/>
            <w:webHidden/>
          </w:rPr>
          <w:fldChar w:fldCharType="begin"/>
        </w:r>
        <w:r w:rsidR="00D40E91">
          <w:rPr>
            <w:noProof/>
            <w:webHidden/>
          </w:rPr>
          <w:instrText xml:space="preserve"> PAGEREF _Toc130199624 \h </w:instrText>
        </w:r>
        <w:r w:rsidR="00D40E91">
          <w:rPr>
            <w:noProof/>
            <w:webHidden/>
          </w:rPr>
        </w:r>
        <w:r w:rsidR="00D40E91">
          <w:rPr>
            <w:noProof/>
            <w:webHidden/>
          </w:rPr>
          <w:fldChar w:fldCharType="separate"/>
        </w:r>
        <w:r w:rsidR="00777974">
          <w:rPr>
            <w:noProof/>
            <w:webHidden/>
          </w:rPr>
          <w:t>75</w:t>
        </w:r>
        <w:r w:rsidR="00D40E91">
          <w:rPr>
            <w:noProof/>
            <w:webHidden/>
          </w:rPr>
          <w:fldChar w:fldCharType="end"/>
        </w:r>
      </w:hyperlink>
    </w:p>
    <w:p w14:paraId="2E2B6986" w14:textId="4EF2D764"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5" w:history="1">
        <w:r w:rsidR="00D40E91" w:rsidRPr="00E57005">
          <w:rPr>
            <w:rStyle w:val="Hipervnculo"/>
            <w:rFonts w:eastAsia="Times New Roman"/>
            <w:noProof/>
            <w:lang w:val="es-ES"/>
          </w:rPr>
          <w:t>Tabla 37. Ejecución Física y Financiera, Departamento de Quetzaltenango</w:t>
        </w:r>
        <w:r w:rsidR="00D40E91">
          <w:rPr>
            <w:noProof/>
            <w:webHidden/>
          </w:rPr>
          <w:tab/>
        </w:r>
        <w:r w:rsidR="00D40E91">
          <w:rPr>
            <w:noProof/>
            <w:webHidden/>
          </w:rPr>
          <w:fldChar w:fldCharType="begin"/>
        </w:r>
        <w:r w:rsidR="00D40E91">
          <w:rPr>
            <w:noProof/>
            <w:webHidden/>
          </w:rPr>
          <w:instrText xml:space="preserve"> PAGEREF _Toc130199625 \h </w:instrText>
        </w:r>
        <w:r w:rsidR="00D40E91">
          <w:rPr>
            <w:noProof/>
            <w:webHidden/>
          </w:rPr>
        </w:r>
        <w:r w:rsidR="00D40E91">
          <w:rPr>
            <w:noProof/>
            <w:webHidden/>
          </w:rPr>
          <w:fldChar w:fldCharType="separate"/>
        </w:r>
        <w:r w:rsidR="00777974">
          <w:rPr>
            <w:noProof/>
            <w:webHidden/>
          </w:rPr>
          <w:t>76</w:t>
        </w:r>
        <w:r w:rsidR="00D40E91">
          <w:rPr>
            <w:noProof/>
            <w:webHidden/>
          </w:rPr>
          <w:fldChar w:fldCharType="end"/>
        </w:r>
      </w:hyperlink>
    </w:p>
    <w:p w14:paraId="527BFDA4" w14:textId="450088CB"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6" w:history="1">
        <w:r w:rsidR="00D40E91" w:rsidRPr="00E57005">
          <w:rPr>
            <w:rStyle w:val="Hipervnculo"/>
            <w:rFonts w:eastAsia="Times New Roman"/>
            <w:noProof/>
            <w:lang w:val="es-ES"/>
          </w:rPr>
          <w:t>Tabla 38. Presupuesto de inversión pública</w:t>
        </w:r>
        <w:r w:rsidR="00D40E91">
          <w:rPr>
            <w:noProof/>
            <w:webHidden/>
          </w:rPr>
          <w:tab/>
        </w:r>
        <w:r w:rsidR="00D40E91">
          <w:rPr>
            <w:noProof/>
            <w:webHidden/>
          </w:rPr>
          <w:fldChar w:fldCharType="begin"/>
        </w:r>
        <w:r w:rsidR="00D40E91">
          <w:rPr>
            <w:noProof/>
            <w:webHidden/>
          </w:rPr>
          <w:instrText xml:space="preserve"> PAGEREF _Toc130199626 \h </w:instrText>
        </w:r>
        <w:r w:rsidR="00D40E91">
          <w:rPr>
            <w:noProof/>
            <w:webHidden/>
          </w:rPr>
        </w:r>
        <w:r w:rsidR="00D40E91">
          <w:rPr>
            <w:noProof/>
            <w:webHidden/>
          </w:rPr>
          <w:fldChar w:fldCharType="separate"/>
        </w:r>
        <w:r w:rsidR="00777974">
          <w:rPr>
            <w:noProof/>
            <w:webHidden/>
          </w:rPr>
          <w:t>78</w:t>
        </w:r>
        <w:r w:rsidR="00D40E91">
          <w:rPr>
            <w:noProof/>
            <w:webHidden/>
          </w:rPr>
          <w:fldChar w:fldCharType="end"/>
        </w:r>
      </w:hyperlink>
    </w:p>
    <w:p w14:paraId="79BE4CC0" w14:textId="6E87B533"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7" w:history="1">
        <w:r w:rsidR="00D40E91" w:rsidRPr="00E57005">
          <w:rPr>
            <w:rStyle w:val="Hipervnculo"/>
            <w:rFonts w:eastAsia="Times New Roman"/>
            <w:noProof/>
            <w:lang w:val="es-ES"/>
          </w:rPr>
          <w:t>Tabla 39. Proyectos registrados,</w:t>
        </w:r>
        <w:r w:rsidR="00D40E91">
          <w:rPr>
            <w:noProof/>
            <w:webHidden/>
          </w:rPr>
          <w:tab/>
        </w:r>
        <w:r w:rsidR="00D40E91">
          <w:rPr>
            <w:noProof/>
            <w:webHidden/>
          </w:rPr>
          <w:fldChar w:fldCharType="begin"/>
        </w:r>
        <w:r w:rsidR="00D40E91">
          <w:rPr>
            <w:noProof/>
            <w:webHidden/>
          </w:rPr>
          <w:instrText xml:space="preserve"> PAGEREF _Toc130199627 \h </w:instrText>
        </w:r>
        <w:r w:rsidR="00D40E91">
          <w:rPr>
            <w:noProof/>
            <w:webHidden/>
          </w:rPr>
        </w:r>
        <w:r w:rsidR="00D40E91">
          <w:rPr>
            <w:noProof/>
            <w:webHidden/>
          </w:rPr>
          <w:fldChar w:fldCharType="separate"/>
        </w:r>
        <w:r w:rsidR="00777974">
          <w:rPr>
            <w:noProof/>
            <w:webHidden/>
          </w:rPr>
          <w:t>80</w:t>
        </w:r>
        <w:r w:rsidR="00D40E91">
          <w:rPr>
            <w:noProof/>
            <w:webHidden/>
          </w:rPr>
          <w:fldChar w:fldCharType="end"/>
        </w:r>
      </w:hyperlink>
    </w:p>
    <w:p w14:paraId="1493493B" w14:textId="0234F677"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8" w:history="1">
        <w:r w:rsidR="00D40E91" w:rsidRPr="00E57005">
          <w:rPr>
            <w:rStyle w:val="Hipervnculo"/>
            <w:rFonts w:eastAsia="Times New Roman"/>
            <w:noProof/>
            <w:lang w:val="es-ES"/>
          </w:rPr>
          <w:t>Tabla 40. Proyectos e inversión registrada,</w:t>
        </w:r>
        <w:r w:rsidR="00D40E91" w:rsidRPr="00E57005">
          <w:rPr>
            <w:rStyle w:val="Hipervnculo"/>
            <w:noProof/>
          </w:rPr>
          <w:t xml:space="preserve"> con asignación según opinión técnica</w:t>
        </w:r>
        <w:r w:rsidR="00D40E91">
          <w:rPr>
            <w:noProof/>
            <w:webHidden/>
          </w:rPr>
          <w:tab/>
        </w:r>
        <w:r w:rsidR="00D40E91">
          <w:rPr>
            <w:noProof/>
            <w:webHidden/>
          </w:rPr>
          <w:fldChar w:fldCharType="begin"/>
        </w:r>
        <w:r w:rsidR="00D40E91">
          <w:rPr>
            <w:noProof/>
            <w:webHidden/>
          </w:rPr>
          <w:instrText xml:space="preserve"> PAGEREF _Toc130199628 \h </w:instrText>
        </w:r>
        <w:r w:rsidR="00D40E91">
          <w:rPr>
            <w:noProof/>
            <w:webHidden/>
          </w:rPr>
        </w:r>
        <w:r w:rsidR="00D40E91">
          <w:rPr>
            <w:noProof/>
            <w:webHidden/>
          </w:rPr>
          <w:fldChar w:fldCharType="separate"/>
        </w:r>
        <w:r w:rsidR="00777974">
          <w:rPr>
            <w:noProof/>
            <w:webHidden/>
          </w:rPr>
          <w:t>81</w:t>
        </w:r>
        <w:r w:rsidR="00D40E91">
          <w:rPr>
            <w:noProof/>
            <w:webHidden/>
          </w:rPr>
          <w:fldChar w:fldCharType="end"/>
        </w:r>
      </w:hyperlink>
    </w:p>
    <w:p w14:paraId="716D0A10" w14:textId="5DC4D25D"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29" w:history="1">
        <w:r w:rsidR="00D40E91" w:rsidRPr="00E57005">
          <w:rPr>
            <w:rStyle w:val="Hipervnculo"/>
            <w:noProof/>
          </w:rPr>
          <w:t>Tabla 41. Resultado de emisión de opinión técnica por tipo de entidad,</w:t>
        </w:r>
        <w:r w:rsidR="00D40E91">
          <w:rPr>
            <w:noProof/>
            <w:webHidden/>
          </w:rPr>
          <w:tab/>
        </w:r>
        <w:r w:rsidR="00D40E91">
          <w:rPr>
            <w:noProof/>
            <w:webHidden/>
          </w:rPr>
          <w:fldChar w:fldCharType="begin"/>
        </w:r>
        <w:r w:rsidR="00D40E91">
          <w:rPr>
            <w:noProof/>
            <w:webHidden/>
          </w:rPr>
          <w:instrText xml:space="preserve"> PAGEREF _Toc130199629 \h </w:instrText>
        </w:r>
        <w:r w:rsidR="00D40E91">
          <w:rPr>
            <w:noProof/>
            <w:webHidden/>
          </w:rPr>
        </w:r>
        <w:r w:rsidR="00D40E91">
          <w:rPr>
            <w:noProof/>
            <w:webHidden/>
          </w:rPr>
          <w:fldChar w:fldCharType="separate"/>
        </w:r>
        <w:r w:rsidR="00777974">
          <w:rPr>
            <w:noProof/>
            <w:webHidden/>
          </w:rPr>
          <w:t>83</w:t>
        </w:r>
        <w:r w:rsidR="00D40E91">
          <w:rPr>
            <w:noProof/>
            <w:webHidden/>
          </w:rPr>
          <w:fldChar w:fldCharType="end"/>
        </w:r>
      </w:hyperlink>
    </w:p>
    <w:p w14:paraId="7F27F966" w14:textId="0E8741EA"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30" w:history="1">
        <w:r w:rsidR="00D40E91" w:rsidRPr="00E57005">
          <w:rPr>
            <w:rStyle w:val="Hipervnculo"/>
            <w:noProof/>
          </w:rPr>
          <w:t>Tabla 42. Inversión asignada y ejecutada a nivel nacional por función y cantidad de proyectos</w:t>
        </w:r>
        <w:r w:rsidR="00D40E91">
          <w:rPr>
            <w:noProof/>
            <w:webHidden/>
          </w:rPr>
          <w:tab/>
        </w:r>
        <w:r w:rsidR="00D40E91">
          <w:rPr>
            <w:noProof/>
            <w:webHidden/>
          </w:rPr>
          <w:fldChar w:fldCharType="begin"/>
        </w:r>
        <w:r w:rsidR="00D40E91">
          <w:rPr>
            <w:noProof/>
            <w:webHidden/>
          </w:rPr>
          <w:instrText xml:space="preserve"> PAGEREF _Toc130199630 \h </w:instrText>
        </w:r>
        <w:r w:rsidR="00D40E91">
          <w:rPr>
            <w:noProof/>
            <w:webHidden/>
          </w:rPr>
        </w:r>
        <w:r w:rsidR="00D40E91">
          <w:rPr>
            <w:noProof/>
            <w:webHidden/>
          </w:rPr>
          <w:fldChar w:fldCharType="separate"/>
        </w:r>
        <w:r w:rsidR="00777974">
          <w:rPr>
            <w:noProof/>
            <w:webHidden/>
          </w:rPr>
          <w:t>85</w:t>
        </w:r>
        <w:r w:rsidR="00D40E91">
          <w:rPr>
            <w:noProof/>
            <w:webHidden/>
          </w:rPr>
          <w:fldChar w:fldCharType="end"/>
        </w:r>
      </w:hyperlink>
    </w:p>
    <w:p w14:paraId="3B97CC58" w14:textId="56F40A5F"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31" w:history="1">
        <w:r w:rsidR="00D40E91" w:rsidRPr="00E57005">
          <w:rPr>
            <w:rStyle w:val="Hipervnculo"/>
            <w:noProof/>
          </w:rPr>
          <w:t>Tabla 43. Inversión asignada y ejecutada a nivel nacional por territorio</w:t>
        </w:r>
        <w:r w:rsidR="00D40E91">
          <w:rPr>
            <w:noProof/>
            <w:webHidden/>
          </w:rPr>
          <w:tab/>
        </w:r>
        <w:r w:rsidR="00D40E91">
          <w:rPr>
            <w:noProof/>
            <w:webHidden/>
          </w:rPr>
          <w:fldChar w:fldCharType="begin"/>
        </w:r>
        <w:r w:rsidR="00D40E91">
          <w:rPr>
            <w:noProof/>
            <w:webHidden/>
          </w:rPr>
          <w:instrText xml:space="preserve"> PAGEREF _Toc130199631 \h </w:instrText>
        </w:r>
        <w:r w:rsidR="00D40E91">
          <w:rPr>
            <w:noProof/>
            <w:webHidden/>
          </w:rPr>
        </w:r>
        <w:r w:rsidR="00D40E91">
          <w:rPr>
            <w:noProof/>
            <w:webHidden/>
          </w:rPr>
          <w:fldChar w:fldCharType="separate"/>
        </w:r>
        <w:r w:rsidR="00777974">
          <w:rPr>
            <w:noProof/>
            <w:webHidden/>
          </w:rPr>
          <w:t>87</w:t>
        </w:r>
        <w:r w:rsidR="00D40E91">
          <w:rPr>
            <w:noProof/>
            <w:webHidden/>
          </w:rPr>
          <w:fldChar w:fldCharType="end"/>
        </w:r>
      </w:hyperlink>
    </w:p>
    <w:p w14:paraId="49872369" w14:textId="5FD72A81"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32" w:history="1">
        <w:r w:rsidR="00D40E91" w:rsidRPr="00E57005">
          <w:rPr>
            <w:rStyle w:val="Hipervnculo"/>
            <w:noProof/>
            <w:lang w:eastAsia="es-GT"/>
          </w:rPr>
          <w:t>Tabla 44. Presupuesto asignado, vigente y ejecutado, a diciembre 2022</w:t>
        </w:r>
        <w:r w:rsidR="00D40E91">
          <w:rPr>
            <w:noProof/>
            <w:webHidden/>
          </w:rPr>
          <w:tab/>
        </w:r>
        <w:r w:rsidR="00D40E91">
          <w:rPr>
            <w:noProof/>
            <w:webHidden/>
          </w:rPr>
          <w:fldChar w:fldCharType="begin"/>
        </w:r>
        <w:r w:rsidR="00D40E91">
          <w:rPr>
            <w:noProof/>
            <w:webHidden/>
          </w:rPr>
          <w:instrText xml:space="preserve"> PAGEREF _Toc130199632 \h </w:instrText>
        </w:r>
        <w:r w:rsidR="00D40E91">
          <w:rPr>
            <w:noProof/>
            <w:webHidden/>
          </w:rPr>
        </w:r>
        <w:r w:rsidR="00D40E91">
          <w:rPr>
            <w:noProof/>
            <w:webHidden/>
          </w:rPr>
          <w:fldChar w:fldCharType="separate"/>
        </w:r>
        <w:r w:rsidR="00777974">
          <w:rPr>
            <w:noProof/>
            <w:webHidden/>
          </w:rPr>
          <w:t>91</w:t>
        </w:r>
        <w:r w:rsidR="00D40E91">
          <w:rPr>
            <w:noProof/>
            <w:webHidden/>
          </w:rPr>
          <w:fldChar w:fldCharType="end"/>
        </w:r>
      </w:hyperlink>
    </w:p>
    <w:p w14:paraId="60664C02" w14:textId="2F16DE9D"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33" w:history="1">
        <w:r w:rsidR="00D40E91" w:rsidRPr="00E57005">
          <w:rPr>
            <w:rStyle w:val="Hipervnculo"/>
            <w:noProof/>
            <w:lang w:eastAsia="es-GT"/>
          </w:rPr>
          <w:t>Tabla 45. Ejecución por tipo de institución a diciembre 2022</w:t>
        </w:r>
        <w:r w:rsidR="00D40E91">
          <w:rPr>
            <w:noProof/>
            <w:webHidden/>
          </w:rPr>
          <w:tab/>
        </w:r>
        <w:r w:rsidR="00D40E91">
          <w:rPr>
            <w:noProof/>
            <w:webHidden/>
          </w:rPr>
          <w:fldChar w:fldCharType="begin"/>
        </w:r>
        <w:r w:rsidR="00D40E91">
          <w:rPr>
            <w:noProof/>
            <w:webHidden/>
          </w:rPr>
          <w:instrText xml:space="preserve"> PAGEREF _Toc130199633 \h </w:instrText>
        </w:r>
        <w:r w:rsidR="00D40E91">
          <w:rPr>
            <w:noProof/>
            <w:webHidden/>
          </w:rPr>
        </w:r>
        <w:r w:rsidR="00D40E91">
          <w:rPr>
            <w:noProof/>
            <w:webHidden/>
          </w:rPr>
          <w:fldChar w:fldCharType="separate"/>
        </w:r>
        <w:r w:rsidR="00777974">
          <w:rPr>
            <w:noProof/>
            <w:webHidden/>
          </w:rPr>
          <w:t>92</w:t>
        </w:r>
        <w:r w:rsidR="00D40E91">
          <w:rPr>
            <w:noProof/>
            <w:webHidden/>
          </w:rPr>
          <w:fldChar w:fldCharType="end"/>
        </w:r>
      </w:hyperlink>
    </w:p>
    <w:p w14:paraId="4F7ED2E6" w14:textId="56CAFBB9"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34" w:history="1">
        <w:r w:rsidR="00D40E91" w:rsidRPr="00E57005">
          <w:rPr>
            <w:rStyle w:val="Hipervnculo"/>
            <w:noProof/>
            <w:lang w:eastAsia="es-GT"/>
          </w:rPr>
          <w:t>Tabla 46. Ejecución de donaciones a diciembre 2022</w:t>
        </w:r>
        <w:r w:rsidR="00D40E91">
          <w:rPr>
            <w:noProof/>
            <w:webHidden/>
          </w:rPr>
          <w:tab/>
        </w:r>
        <w:r w:rsidR="00D40E91">
          <w:rPr>
            <w:noProof/>
            <w:webHidden/>
          </w:rPr>
          <w:fldChar w:fldCharType="begin"/>
        </w:r>
        <w:r w:rsidR="00D40E91">
          <w:rPr>
            <w:noProof/>
            <w:webHidden/>
          </w:rPr>
          <w:instrText xml:space="preserve"> PAGEREF _Toc130199634 \h </w:instrText>
        </w:r>
        <w:r w:rsidR="00D40E91">
          <w:rPr>
            <w:noProof/>
            <w:webHidden/>
          </w:rPr>
        </w:r>
        <w:r w:rsidR="00D40E91">
          <w:rPr>
            <w:noProof/>
            <w:webHidden/>
          </w:rPr>
          <w:fldChar w:fldCharType="separate"/>
        </w:r>
        <w:r w:rsidR="00777974">
          <w:rPr>
            <w:noProof/>
            <w:webHidden/>
          </w:rPr>
          <w:t>92</w:t>
        </w:r>
        <w:r w:rsidR="00D40E91">
          <w:rPr>
            <w:noProof/>
            <w:webHidden/>
          </w:rPr>
          <w:fldChar w:fldCharType="end"/>
        </w:r>
      </w:hyperlink>
    </w:p>
    <w:p w14:paraId="4F6DAA27" w14:textId="46CFFB10"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35" w:history="1">
        <w:r w:rsidR="00D40E91" w:rsidRPr="00E57005">
          <w:rPr>
            <w:rStyle w:val="Hipervnculo"/>
            <w:noProof/>
            <w:lang w:eastAsia="es-GT"/>
          </w:rPr>
          <w:t>Tabla 47. Ejecución por programa o proyecto 2022</w:t>
        </w:r>
        <w:r w:rsidR="00D40E91">
          <w:rPr>
            <w:noProof/>
            <w:webHidden/>
          </w:rPr>
          <w:tab/>
        </w:r>
        <w:r w:rsidR="00D40E91">
          <w:rPr>
            <w:noProof/>
            <w:webHidden/>
          </w:rPr>
          <w:fldChar w:fldCharType="begin"/>
        </w:r>
        <w:r w:rsidR="00D40E91">
          <w:rPr>
            <w:noProof/>
            <w:webHidden/>
          </w:rPr>
          <w:instrText xml:space="preserve"> PAGEREF _Toc130199635 \h </w:instrText>
        </w:r>
        <w:r w:rsidR="00D40E91">
          <w:rPr>
            <w:noProof/>
            <w:webHidden/>
          </w:rPr>
        </w:r>
        <w:r w:rsidR="00D40E91">
          <w:rPr>
            <w:noProof/>
            <w:webHidden/>
          </w:rPr>
          <w:fldChar w:fldCharType="separate"/>
        </w:r>
        <w:r w:rsidR="00777974">
          <w:rPr>
            <w:noProof/>
            <w:webHidden/>
          </w:rPr>
          <w:t>93</w:t>
        </w:r>
        <w:r w:rsidR="00D40E91">
          <w:rPr>
            <w:noProof/>
            <w:webHidden/>
          </w:rPr>
          <w:fldChar w:fldCharType="end"/>
        </w:r>
      </w:hyperlink>
    </w:p>
    <w:p w14:paraId="3D2589E3" w14:textId="1D379342"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36" w:history="1">
        <w:r w:rsidR="00D40E91" w:rsidRPr="00E57005">
          <w:rPr>
            <w:rStyle w:val="Hipervnculo"/>
            <w:noProof/>
            <w:lang w:eastAsia="es-GT"/>
          </w:rPr>
          <w:t>Tabla 48. Ejecución de Donaciones Instituciones Descentralizadas, año 2022</w:t>
        </w:r>
        <w:r w:rsidR="00D40E91">
          <w:rPr>
            <w:noProof/>
            <w:webHidden/>
          </w:rPr>
          <w:tab/>
        </w:r>
        <w:r w:rsidR="00D40E91">
          <w:rPr>
            <w:noProof/>
            <w:webHidden/>
          </w:rPr>
          <w:fldChar w:fldCharType="begin"/>
        </w:r>
        <w:r w:rsidR="00D40E91">
          <w:rPr>
            <w:noProof/>
            <w:webHidden/>
          </w:rPr>
          <w:instrText xml:space="preserve"> PAGEREF _Toc130199636 \h </w:instrText>
        </w:r>
        <w:r w:rsidR="00D40E91">
          <w:rPr>
            <w:noProof/>
            <w:webHidden/>
          </w:rPr>
        </w:r>
        <w:r w:rsidR="00D40E91">
          <w:rPr>
            <w:noProof/>
            <w:webHidden/>
          </w:rPr>
          <w:fldChar w:fldCharType="separate"/>
        </w:r>
        <w:r w:rsidR="00777974">
          <w:rPr>
            <w:noProof/>
            <w:webHidden/>
          </w:rPr>
          <w:t>95</w:t>
        </w:r>
        <w:r w:rsidR="00D40E91">
          <w:rPr>
            <w:noProof/>
            <w:webHidden/>
          </w:rPr>
          <w:fldChar w:fldCharType="end"/>
        </w:r>
      </w:hyperlink>
    </w:p>
    <w:p w14:paraId="64279CA2" w14:textId="724DF527" w:rsidR="00D40E91" w:rsidRDefault="00B843AE">
      <w:pPr>
        <w:pStyle w:val="Tabladeilustraciones"/>
        <w:tabs>
          <w:tab w:val="right" w:leader="dot" w:pos="9395"/>
        </w:tabs>
        <w:rPr>
          <w:rFonts w:eastAsiaTheme="minorEastAsia" w:cstheme="minorBidi"/>
          <w:i w:val="0"/>
          <w:iCs w:val="0"/>
          <w:noProof/>
          <w:sz w:val="22"/>
          <w:szCs w:val="22"/>
          <w:lang w:eastAsia="es-GT"/>
        </w:rPr>
      </w:pPr>
      <w:hyperlink w:anchor="_Toc130199637" w:history="1">
        <w:r w:rsidR="00D40E91" w:rsidRPr="00E57005">
          <w:rPr>
            <w:rStyle w:val="Hipervnculo"/>
            <w:noProof/>
            <w:lang w:eastAsia="es-GT"/>
          </w:rPr>
          <w:t>Tabla 49. Ejecución por programa o proyecto al mes de diciembre 2022</w:t>
        </w:r>
        <w:r w:rsidR="00D40E91">
          <w:rPr>
            <w:noProof/>
            <w:webHidden/>
          </w:rPr>
          <w:tab/>
        </w:r>
        <w:r w:rsidR="00D40E91">
          <w:rPr>
            <w:noProof/>
            <w:webHidden/>
          </w:rPr>
          <w:fldChar w:fldCharType="begin"/>
        </w:r>
        <w:r w:rsidR="00D40E91">
          <w:rPr>
            <w:noProof/>
            <w:webHidden/>
          </w:rPr>
          <w:instrText xml:space="preserve"> PAGEREF _Toc130199637 \h </w:instrText>
        </w:r>
        <w:r w:rsidR="00D40E91">
          <w:rPr>
            <w:noProof/>
            <w:webHidden/>
          </w:rPr>
        </w:r>
        <w:r w:rsidR="00D40E91">
          <w:rPr>
            <w:noProof/>
            <w:webHidden/>
          </w:rPr>
          <w:fldChar w:fldCharType="separate"/>
        </w:r>
        <w:r w:rsidR="00777974">
          <w:rPr>
            <w:noProof/>
            <w:webHidden/>
          </w:rPr>
          <w:t>95</w:t>
        </w:r>
        <w:r w:rsidR="00D40E91">
          <w:rPr>
            <w:noProof/>
            <w:webHidden/>
          </w:rPr>
          <w:fldChar w:fldCharType="end"/>
        </w:r>
      </w:hyperlink>
    </w:p>
    <w:p w14:paraId="4018F40C" w14:textId="38551983" w:rsidR="0018772F" w:rsidRPr="00894F86" w:rsidRDefault="001A3760" w:rsidP="00DC2646">
      <w:pPr>
        <w:rPr>
          <w:rFonts w:ascii="Helvetica" w:hAnsi="Helvetica" w:cs="Helvetica"/>
        </w:rPr>
      </w:pPr>
      <w:r w:rsidRPr="00894F86">
        <w:rPr>
          <w:rFonts w:ascii="Helvetica" w:hAnsi="Helvetica" w:cs="Helvetica"/>
          <w:sz w:val="20"/>
          <w:szCs w:val="20"/>
        </w:rPr>
        <w:fldChar w:fldCharType="end"/>
      </w:r>
    </w:p>
    <w:p w14:paraId="19A81EEE" w14:textId="5ADBC9C2" w:rsidR="0018772F" w:rsidRPr="00894F86" w:rsidRDefault="0018772F" w:rsidP="00DC2646">
      <w:pPr>
        <w:rPr>
          <w:rFonts w:ascii="Helvetica" w:hAnsi="Helvetica" w:cs="Helvetica"/>
        </w:rPr>
      </w:pPr>
    </w:p>
    <w:p w14:paraId="3CD80F5D" w14:textId="1738DB7F" w:rsidR="0018772F" w:rsidRPr="00894F86" w:rsidRDefault="0018772F" w:rsidP="00DC2646">
      <w:pPr>
        <w:rPr>
          <w:rFonts w:ascii="Helvetica" w:hAnsi="Helvetica" w:cs="Helvetica"/>
        </w:rPr>
      </w:pPr>
    </w:p>
    <w:p w14:paraId="5DECE85A" w14:textId="5ADAF7B1" w:rsidR="001905EC" w:rsidRDefault="001905EC" w:rsidP="00DC2646">
      <w:pPr>
        <w:sectPr w:rsidR="001905EC" w:rsidSect="001905EC">
          <w:headerReference w:type="default" r:id="rId11"/>
          <w:footerReference w:type="default" r:id="rId12"/>
          <w:footerReference w:type="first" r:id="rId13"/>
          <w:pgSz w:w="12240" w:h="15840" w:code="1"/>
          <w:pgMar w:top="1577" w:right="1134" w:bottom="1418" w:left="1701" w:header="1083" w:footer="966" w:gutter="0"/>
          <w:pgNumType w:fmt="lowerRoman" w:start="1"/>
          <w:cols w:space="708"/>
          <w:titlePg/>
          <w:docGrid w:linePitch="360"/>
        </w:sectPr>
      </w:pPr>
    </w:p>
    <w:p w14:paraId="1E231B4A" w14:textId="697B1E5A" w:rsidR="00431FEA" w:rsidRPr="00B5079E" w:rsidRDefault="00431FEA" w:rsidP="00B5079E">
      <w:pPr>
        <w:pStyle w:val="Ttulo1"/>
        <w:numPr>
          <w:ilvl w:val="0"/>
          <w:numId w:val="0"/>
        </w:numPr>
        <w:spacing w:after="120"/>
        <w:ind w:left="432" w:hanging="432"/>
        <w:rPr>
          <w:rFonts w:asciiTheme="minorHAnsi" w:eastAsia="Times New Roman" w:hAnsiTheme="minorHAnsi" w:cstheme="minorHAnsi"/>
          <w:lang w:val="es-ES"/>
        </w:rPr>
      </w:pPr>
      <w:bookmarkStart w:id="0" w:name="_Toc386641254"/>
      <w:bookmarkStart w:id="1" w:name="_Toc130301098"/>
      <w:r w:rsidRPr="00B5079E">
        <w:rPr>
          <w:rFonts w:asciiTheme="minorHAnsi" w:eastAsia="Times New Roman" w:hAnsiTheme="minorHAnsi" w:cstheme="minorHAnsi"/>
          <w:lang w:val="es-ES"/>
        </w:rPr>
        <w:t>Presentación</w:t>
      </w:r>
      <w:bookmarkEnd w:id="0"/>
      <w:bookmarkEnd w:id="1"/>
    </w:p>
    <w:p w14:paraId="3650D80A" w14:textId="77777777" w:rsidR="00431FEA" w:rsidRPr="00B5079E" w:rsidRDefault="00431FEA" w:rsidP="00B5079E">
      <w:pPr>
        <w:autoSpaceDE w:val="0"/>
        <w:autoSpaceDN w:val="0"/>
        <w:adjustRightInd w:val="0"/>
        <w:spacing w:after="120" w:line="240" w:lineRule="auto"/>
        <w:jc w:val="both"/>
        <w:rPr>
          <w:rFonts w:eastAsia="Times New Roman" w:cstheme="minorHAnsi"/>
          <w:sz w:val="24"/>
          <w:szCs w:val="24"/>
          <w:lang w:val="es-ES"/>
        </w:rPr>
      </w:pPr>
      <w:r w:rsidRPr="00B5079E">
        <w:rPr>
          <w:rFonts w:eastAsia="Times New Roman" w:cstheme="minorHAnsi"/>
          <w:sz w:val="24"/>
          <w:szCs w:val="24"/>
          <w:lang w:val="es-ES"/>
        </w:rPr>
        <w:t>La Secretaría de Planificación y Programación de la Presidencia -SEGEPLAN-, tiene entre sus funciones la planificación y programación de políticas públicas y planes, así como otras actividades orientadas a la asesoría en los procesos de formulación, el acompañamiento técnico-metodológico y el análisis, seguimiento y evaluación de las acciones institucionales programadas en los instrumentos de planificación para cada ejercicio fiscal. Las acciones que SEGEPLAN analiza y evalúa son desarrolladas por las instituciones que conforman la administración pública en Guatemala, tanto las que integran el Gobierno Central (Ministerios de Estado y Secretarías de la Presidencia), como las entidades descentralizadas y autónomas, así como las 340 municipalidades que constituyen los gobiernos locales.</w:t>
      </w:r>
    </w:p>
    <w:p w14:paraId="0D88601D" w14:textId="4605B50A" w:rsidR="00431FEA" w:rsidRPr="00B5079E" w:rsidRDefault="00431FEA" w:rsidP="00B5079E">
      <w:pPr>
        <w:spacing w:after="120" w:line="240" w:lineRule="auto"/>
        <w:jc w:val="both"/>
        <w:rPr>
          <w:rFonts w:eastAsia="Times New Roman" w:cstheme="minorHAnsi"/>
          <w:sz w:val="24"/>
          <w:szCs w:val="24"/>
          <w:lang w:val="es-ES"/>
        </w:rPr>
      </w:pPr>
      <w:r w:rsidRPr="00B5079E">
        <w:rPr>
          <w:rFonts w:eastAsia="Times New Roman" w:cstheme="minorHAnsi"/>
          <w:sz w:val="24"/>
          <w:szCs w:val="24"/>
          <w:lang w:val="es-ES"/>
        </w:rPr>
        <w:t>En este contexto figura el Informe Cuatrimestral, que es un documento con información analítica para la toma de decisiones</w:t>
      </w:r>
      <w:r w:rsidR="006A3648" w:rsidRPr="00B5079E">
        <w:rPr>
          <w:rFonts w:eastAsia="Times New Roman" w:cstheme="minorHAnsi"/>
          <w:sz w:val="24"/>
          <w:szCs w:val="24"/>
          <w:lang w:val="es-ES"/>
        </w:rPr>
        <w:t xml:space="preserve">, </w:t>
      </w:r>
      <w:r w:rsidRPr="00B5079E">
        <w:rPr>
          <w:rFonts w:eastAsia="Times New Roman" w:cstheme="minorHAnsi"/>
          <w:sz w:val="24"/>
          <w:szCs w:val="24"/>
          <w:lang w:val="es-ES"/>
        </w:rPr>
        <w:t xml:space="preserve">en el cual se da cuenta de los avances en la utilización de los recursos públicos, expresado en las metas e indicadores de desempeño de las instituciones y entidades del Sector Público.  El documento, según lo establece el mandato legal (ver marco legal) debe entregarse al Congreso de la República, por conducto de SEGEPLAN, </w:t>
      </w:r>
      <w:r w:rsidR="006A3648" w:rsidRPr="00B5079E">
        <w:rPr>
          <w:rFonts w:eastAsia="Times New Roman" w:cstheme="minorHAnsi"/>
          <w:sz w:val="24"/>
          <w:szCs w:val="24"/>
          <w:lang w:val="es-ES"/>
        </w:rPr>
        <w:t>en los plazos establecidos.</w:t>
      </w:r>
    </w:p>
    <w:p w14:paraId="6A301BC6" w14:textId="11A58F0E" w:rsidR="00431FEA" w:rsidRPr="00B5079E" w:rsidRDefault="00431FEA" w:rsidP="00B5079E">
      <w:pPr>
        <w:autoSpaceDE w:val="0"/>
        <w:autoSpaceDN w:val="0"/>
        <w:adjustRightInd w:val="0"/>
        <w:spacing w:after="120" w:line="240" w:lineRule="auto"/>
        <w:jc w:val="both"/>
        <w:rPr>
          <w:rFonts w:eastAsia="Times New Roman" w:cstheme="minorHAnsi"/>
          <w:sz w:val="24"/>
          <w:szCs w:val="24"/>
          <w:lang w:val="es-ES"/>
        </w:rPr>
      </w:pPr>
      <w:r w:rsidRPr="00B5079E">
        <w:rPr>
          <w:rFonts w:eastAsia="Times New Roman" w:cstheme="minorHAnsi"/>
          <w:sz w:val="24"/>
          <w:szCs w:val="24"/>
          <w:lang w:val="es-ES"/>
        </w:rPr>
        <w:t xml:space="preserve">Es importante destacar que el presente Informe Anual y III Informe Cuatrimestral </w:t>
      </w:r>
      <w:r w:rsidR="00BD1BD3" w:rsidRPr="00B5079E">
        <w:rPr>
          <w:rFonts w:eastAsia="Times New Roman" w:cstheme="minorHAnsi"/>
          <w:sz w:val="24"/>
          <w:szCs w:val="24"/>
          <w:lang w:val="es-ES"/>
        </w:rPr>
        <w:t>2022</w:t>
      </w:r>
      <w:r w:rsidRPr="00B5079E">
        <w:rPr>
          <w:rFonts w:eastAsia="Times New Roman" w:cstheme="minorHAnsi"/>
          <w:sz w:val="24"/>
          <w:szCs w:val="24"/>
          <w:lang w:val="es-ES"/>
        </w:rPr>
        <w:t xml:space="preserve"> experimentará un cambio de enfoque respecto a los anteriores. En efecto, a partir del presente año cada Informe Cuatrimestral pondrá un mayor énfasis en un aspecto que constituirá el elemento central del mismo: la evaluación de la calidad del gasto, en los ámbitos principales del accionar gubernamental y en las dependencias más relevantes del sector público. Se buscará de esta forma analizar más a fondo el grado de cumplimiento de las políticas y los planes de las instituciones analizadas, no solo en términos cuantitativos sino también cualitativos, mediante la evaluación del avance logrado en los aspectos de máxima prioridad dentro de la planificación inicial.</w:t>
      </w:r>
    </w:p>
    <w:p w14:paraId="51FBCC00" w14:textId="64ABD81D" w:rsidR="006A3648" w:rsidRPr="00B5079E" w:rsidRDefault="006A3648" w:rsidP="00B5079E">
      <w:pPr>
        <w:autoSpaceDE w:val="0"/>
        <w:autoSpaceDN w:val="0"/>
        <w:adjustRightInd w:val="0"/>
        <w:spacing w:after="120" w:line="240" w:lineRule="auto"/>
        <w:jc w:val="both"/>
        <w:rPr>
          <w:rFonts w:eastAsia="Times New Roman" w:cstheme="minorHAnsi"/>
          <w:sz w:val="24"/>
          <w:szCs w:val="24"/>
          <w:lang w:val="es-ES"/>
        </w:rPr>
      </w:pPr>
      <w:r w:rsidRPr="00B5079E">
        <w:rPr>
          <w:rFonts w:eastAsia="Times New Roman" w:cstheme="minorHAnsi"/>
          <w:sz w:val="24"/>
          <w:szCs w:val="24"/>
          <w:lang w:val="es-ES"/>
        </w:rPr>
        <w:t>A continuación, para facilitar al lector la comprensión del documento, se presenta el marco legal, marco conceptual y objetivos del Informe:</w:t>
      </w:r>
    </w:p>
    <w:p w14:paraId="2DD40636" w14:textId="143D4AF4" w:rsidR="00431FEA" w:rsidRPr="00B5079E" w:rsidRDefault="00431FEA" w:rsidP="00B5079E">
      <w:pPr>
        <w:pStyle w:val="normalinforme"/>
        <w:spacing w:after="120" w:line="240" w:lineRule="auto"/>
        <w:rPr>
          <w:rFonts w:cstheme="minorHAnsi"/>
          <w:b/>
          <w:bCs/>
          <w:color w:val="1F3864" w:themeColor="accent1" w:themeShade="80"/>
          <w:sz w:val="28"/>
          <w:szCs w:val="28"/>
        </w:rPr>
      </w:pPr>
      <w:bookmarkStart w:id="2" w:name="_Toc386641256"/>
      <w:r w:rsidRPr="00B5079E">
        <w:rPr>
          <w:rFonts w:cstheme="minorHAnsi"/>
          <w:b/>
          <w:bCs/>
          <w:color w:val="1F3864" w:themeColor="accent1" w:themeShade="80"/>
          <w:sz w:val="28"/>
          <w:szCs w:val="28"/>
        </w:rPr>
        <w:t>Marco Legal</w:t>
      </w:r>
      <w:bookmarkEnd w:id="2"/>
    </w:p>
    <w:p w14:paraId="0ADCA363" w14:textId="77777777" w:rsidR="00431FEA" w:rsidRPr="00B5079E" w:rsidRDefault="00431FEA" w:rsidP="00B5079E">
      <w:pPr>
        <w:autoSpaceDE w:val="0"/>
        <w:autoSpaceDN w:val="0"/>
        <w:adjustRightInd w:val="0"/>
        <w:spacing w:after="120" w:line="240" w:lineRule="auto"/>
        <w:jc w:val="both"/>
        <w:rPr>
          <w:rFonts w:eastAsia="Times New Roman" w:cstheme="minorHAnsi"/>
          <w:b/>
          <w:bCs/>
          <w:color w:val="0000FF"/>
          <w:sz w:val="24"/>
          <w:szCs w:val="24"/>
          <w:lang w:eastAsia="es-GT"/>
        </w:rPr>
      </w:pPr>
      <w:r w:rsidRPr="00B5079E">
        <w:rPr>
          <w:rFonts w:eastAsia="Times New Roman" w:cstheme="minorHAnsi"/>
          <w:b/>
          <w:bCs/>
          <w:color w:val="0000FF"/>
          <w:sz w:val="24"/>
          <w:szCs w:val="24"/>
          <w:lang w:eastAsia="es-GT"/>
        </w:rPr>
        <w:t>Para instituciones públicas:</w:t>
      </w:r>
    </w:p>
    <w:p w14:paraId="13DC3728" w14:textId="77777777" w:rsidR="00431FEA" w:rsidRPr="00B5079E" w:rsidRDefault="00431FEA" w:rsidP="00B5079E">
      <w:pPr>
        <w:autoSpaceDE w:val="0"/>
        <w:autoSpaceDN w:val="0"/>
        <w:adjustRightInd w:val="0"/>
        <w:spacing w:after="120" w:line="240" w:lineRule="auto"/>
        <w:jc w:val="both"/>
        <w:rPr>
          <w:rFonts w:eastAsia="Times New Roman" w:cstheme="minorHAnsi"/>
          <w:sz w:val="24"/>
          <w:szCs w:val="24"/>
          <w:lang w:val="es-ES"/>
        </w:rPr>
      </w:pPr>
      <w:r w:rsidRPr="00B5079E">
        <w:rPr>
          <w:rFonts w:eastAsia="Times New Roman" w:cstheme="minorHAnsi"/>
          <w:sz w:val="24"/>
          <w:szCs w:val="24"/>
          <w:lang w:val="es-ES"/>
        </w:rPr>
        <w:t>La base legal en la cual se fundamenta la elaboración del Informe Cuatrimestral es la Ley Orgánica del Presupuesto (Decreto 101-97 del Congreso de la República) y sus Modificaciones (Decreto13-2013), así como el Reglamento de dicha Ley (Acuerdo Gubernativo 540-2013).</w:t>
      </w:r>
    </w:p>
    <w:p w14:paraId="6CFF74CF" w14:textId="4C4F143D" w:rsidR="00431FEA" w:rsidRPr="00B5079E" w:rsidRDefault="00431FEA" w:rsidP="00B5079E">
      <w:pPr>
        <w:autoSpaceDE w:val="0"/>
        <w:autoSpaceDN w:val="0"/>
        <w:adjustRightInd w:val="0"/>
        <w:spacing w:after="120" w:line="240" w:lineRule="auto"/>
        <w:jc w:val="both"/>
        <w:rPr>
          <w:rFonts w:eastAsia="Times New Roman" w:cstheme="minorHAnsi"/>
          <w:b/>
          <w:sz w:val="24"/>
          <w:szCs w:val="24"/>
        </w:rPr>
      </w:pPr>
      <w:r w:rsidRPr="00B5079E">
        <w:rPr>
          <w:rFonts w:eastAsia="Times New Roman" w:cstheme="minorHAnsi"/>
          <w:b/>
          <w:bCs/>
          <w:sz w:val="24"/>
          <w:szCs w:val="24"/>
          <w:lang w:eastAsia="es-GT"/>
        </w:rPr>
        <w:t>“</w:t>
      </w:r>
      <w:bookmarkStart w:id="3" w:name="_Hlk67584683"/>
      <w:r w:rsidRPr="00B5079E">
        <w:rPr>
          <w:rFonts w:eastAsia="Times New Roman" w:cstheme="minorHAnsi"/>
          <w:b/>
          <w:bCs/>
          <w:sz w:val="24"/>
          <w:szCs w:val="24"/>
          <w:lang w:eastAsia="es-GT"/>
        </w:rPr>
        <w:t>A</w:t>
      </w:r>
      <w:r w:rsidR="00DB5C36" w:rsidRPr="00B5079E">
        <w:rPr>
          <w:rFonts w:eastAsia="Times New Roman" w:cstheme="minorHAnsi"/>
          <w:b/>
          <w:bCs/>
          <w:sz w:val="24"/>
          <w:szCs w:val="24"/>
          <w:lang w:eastAsia="es-GT"/>
        </w:rPr>
        <w:t>rtículo</w:t>
      </w:r>
      <w:bookmarkEnd w:id="3"/>
      <w:r w:rsidR="00DB5C36" w:rsidRPr="00B5079E">
        <w:rPr>
          <w:rFonts w:eastAsia="Times New Roman" w:cstheme="minorHAnsi"/>
          <w:b/>
          <w:bCs/>
          <w:sz w:val="24"/>
          <w:szCs w:val="24"/>
          <w:lang w:eastAsia="es-GT"/>
        </w:rPr>
        <w:t xml:space="preserve"> </w:t>
      </w:r>
      <w:r w:rsidRPr="00B5079E">
        <w:rPr>
          <w:rFonts w:eastAsia="Times New Roman" w:cstheme="minorHAnsi"/>
          <w:b/>
          <w:bCs/>
          <w:sz w:val="24"/>
          <w:szCs w:val="24"/>
          <w:lang w:eastAsia="es-GT"/>
        </w:rPr>
        <w:t>17 Bis. Acceso a la Información de la Gestión Presupuestaria por Resultados. (</w:t>
      </w:r>
      <w:hyperlink r:id="rId14" w:anchor="11" w:history="1">
        <w:r w:rsidRPr="00B5079E">
          <w:rPr>
            <w:rFonts w:eastAsia="Times New Roman" w:cstheme="minorHAnsi"/>
            <w:b/>
            <w:bCs/>
            <w:sz w:val="24"/>
            <w:szCs w:val="24"/>
            <w:lang w:eastAsia="es-GT"/>
          </w:rPr>
          <w:t>*Reformado por el Artículo 8, del Decreto Número 13-2013 el 20-11-2013</w:t>
        </w:r>
      </w:hyperlink>
      <w:r w:rsidRPr="00B5079E">
        <w:rPr>
          <w:rFonts w:eastAsia="Times New Roman" w:cstheme="minorHAnsi"/>
          <w:b/>
          <w:bCs/>
          <w:sz w:val="24"/>
          <w:szCs w:val="24"/>
          <w:lang w:eastAsia="es-GT"/>
        </w:rPr>
        <w:t>) (Tercer párrafo)</w:t>
      </w:r>
    </w:p>
    <w:p w14:paraId="36BCA702" w14:textId="1DDC9330" w:rsidR="00431FEA" w:rsidRPr="00B5079E" w:rsidRDefault="00431FEA" w:rsidP="00B5079E">
      <w:pPr>
        <w:autoSpaceDE w:val="0"/>
        <w:autoSpaceDN w:val="0"/>
        <w:adjustRightInd w:val="0"/>
        <w:spacing w:after="120" w:line="240" w:lineRule="auto"/>
        <w:jc w:val="both"/>
        <w:rPr>
          <w:rFonts w:eastAsia="Times New Roman" w:cstheme="minorHAnsi"/>
          <w:sz w:val="24"/>
          <w:szCs w:val="24"/>
          <w:lang w:eastAsia="es-GT"/>
        </w:rPr>
      </w:pPr>
      <w:r w:rsidRPr="00B5079E">
        <w:rPr>
          <w:rFonts w:eastAsia="Times New Roman" w:cstheme="minorHAnsi"/>
          <w:sz w:val="24"/>
          <w:szCs w:val="24"/>
          <w:lang w:eastAsia="es-GT"/>
        </w:rPr>
        <w:t>La Presidencia de la República, por medio de la Secretaría de Planificación y Programación de la Presidencia, con el objeto de efectuar un adecuado seguimiento que permita verificar la calidad del gasto público, deberá entregar en los primeros quince días de finalizado cada cuatrimestre del ejercicio fiscal al Congreso de la República, las metas y sus respectivos indicadores de desempeño y calidad del gasto, así como la información oportuna que actualice los avances cada cuatro meses. También facilitará el acceso a los sistemas informáticos en que se operen los mismos y los planes operativos anuales.</w:t>
      </w:r>
    </w:p>
    <w:p w14:paraId="3C7EBEC8" w14:textId="77777777" w:rsidR="00431FEA" w:rsidRPr="00B5079E" w:rsidRDefault="00431FEA" w:rsidP="00B5079E">
      <w:pPr>
        <w:autoSpaceDE w:val="0"/>
        <w:autoSpaceDN w:val="0"/>
        <w:adjustRightInd w:val="0"/>
        <w:spacing w:after="120" w:line="240" w:lineRule="auto"/>
        <w:jc w:val="both"/>
        <w:rPr>
          <w:rFonts w:eastAsia="Times New Roman" w:cstheme="minorHAnsi"/>
          <w:b/>
          <w:sz w:val="24"/>
          <w:szCs w:val="24"/>
        </w:rPr>
      </w:pPr>
      <w:r w:rsidRPr="00B5079E">
        <w:rPr>
          <w:rFonts w:eastAsia="Times New Roman" w:cstheme="minorHAnsi"/>
          <w:sz w:val="24"/>
          <w:szCs w:val="24"/>
          <w:lang w:eastAsia="es-GT"/>
        </w:rPr>
        <w:t>Se exceptúa el último informe de cuatrimestre que deberá estar incluido en el informe anual contenido en el artículo 8 de esta Ley.”</w:t>
      </w:r>
    </w:p>
    <w:p w14:paraId="25C372EB" w14:textId="497528FF" w:rsidR="00431FEA" w:rsidRPr="00B5079E" w:rsidRDefault="00431FEA" w:rsidP="00B5079E">
      <w:pPr>
        <w:autoSpaceDE w:val="0"/>
        <w:autoSpaceDN w:val="0"/>
        <w:adjustRightInd w:val="0"/>
        <w:spacing w:after="120" w:line="240" w:lineRule="auto"/>
        <w:jc w:val="both"/>
        <w:rPr>
          <w:rFonts w:eastAsia="Times New Roman" w:cstheme="minorHAnsi"/>
          <w:b/>
          <w:bCs/>
          <w:sz w:val="24"/>
          <w:szCs w:val="24"/>
          <w:lang w:eastAsia="es-GT"/>
        </w:rPr>
      </w:pPr>
      <w:r w:rsidRPr="00B5079E">
        <w:rPr>
          <w:rFonts w:eastAsia="Times New Roman" w:cstheme="minorHAnsi"/>
          <w:b/>
          <w:bCs/>
          <w:sz w:val="24"/>
          <w:szCs w:val="24"/>
          <w:lang w:eastAsia="es-GT"/>
        </w:rPr>
        <w:t>“</w:t>
      </w:r>
      <w:r w:rsidR="00DB5C36" w:rsidRPr="00B5079E">
        <w:rPr>
          <w:rFonts w:eastAsia="Times New Roman" w:cstheme="minorHAnsi"/>
          <w:b/>
          <w:bCs/>
          <w:sz w:val="24"/>
          <w:szCs w:val="24"/>
          <w:lang w:eastAsia="es-GT"/>
        </w:rPr>
        <w:t xml:space="preserve">Artículo </w:t>
      </w:r>
      <w:r w:rsidR="003C786E" w:rsidRPr="00B5079E">
        <w:rPr>
          <w:rFonts w:eastAsia="Times New Roman" w:cstheme="minorHAnsi"/>
          <w:b/>
          <w:bCs/>
          <w:sz w:val="24"/>
          <w:szCs w:val="24"/>
          <w:lang w:eastAsia="es-GT"/>
        </w:rPr>
        <w:t>8. *</w:t>
      </w:r>
      <w:r w:rsidRPr="00B5079E">
        <w:rPr>
          <w:rFonts w:eastAsia="Times New Roman" w:cstheme="minorHAnsi"/>
          <w:b/>
          <w:bCs/>
          <w:sz w:val="24"/>
          <w:szCs w:val="24"/>
          <w:lang w:eastAsia="es-GT"/>
        </w:rPr>
        <w:t xml:space="preserve"> Vinculación plan-presupuesto. (</w:t>
      </w:r>
      <w:hyperlink r:id="rId15" w:anchor="9" w:history="1">
        <w:r w:rsidRPr="00B5079E">
          <w:rPr>
            <w:rFonts w:eastAsia="Times New Roman" w:cstheme="minorHAnsi"/>
            <w:b/>
            <w:bCs/>
            <w:sz w:val="24"/>
            <w:szCs w:val="24"/>
            <w:lang w:eastAsia="es-GT"/>
          </w:rPr>
          <w:t>*Reformado el segundo párrafo y adicionado el tercer párrafo por el Artículo 6, del Decreto Número 13-2013 el 20-11-2013</w:t>
        </w:r>
      </w:hyperlink>
      <w:r w:rsidRPr="00B5079E">
        <w:rPr>
          <w:rFonts w:eastAsia="Times New Roman" w:cstheme="minorHAnsi"/>
          <w:b/>
          <w:bCs/>
          <w:sz w:val="24"/>
          <w:szCs w:val="24"/>
          <w:lang w:eastAsia="es-GT"/>
        </w:rPr>
        <w:t>). (Tercer párrafo)</w:t>
      </w:r>
    </w:p>
    <w:p w14:paraId="1ABE7A2D" w14:textId="77777777" w:rsidR="00431FEA" w:rsidRPr="00B5079E" w:rsidRDefault="00431FEA" w:rsidP="00B5079E">
      <w:pPr>
        <w:spacing w:after="120" w:line="240" w:lineRule="auto"/>
        <w:jc w:val="both"/>
        <w:rPr>
          <w:rFonts w:eastAsia="Times New Roman" w:cstheme="minorHAnsi"/>
          <w:sz w:val="24"/>
          <w:szCs w:val="24"/>
          <w:lang w:eastAsia="es-GT"/>
        </w:rPr>
      </w:pPr>
      <w:r w:rsidRPr="00B5079E">
        <w:rPr>
          <w:rFonts w:eastAsia="Times New Roman" w:cstheme="minorHAnsi"/>
          <w:sz w:val="24"/>
          <w:szCs w:val="24"/>
          <w:lang w:eastAsia="es-GT"/>
        </w:rPr>
        <w:t>La Secretaría de Planificación y Programación de la Presidencia enviará a la Junta Directiva del Congreso de la República durante el primer trimestre de cada año, un informe de evaluación y análisis sobre la ejecución y resultados del presupuesto del ejercicio fiscal anterior haciendo énfasis en los criterios de calidad del gasto y el impacto de las políticas públicas, sus metas e indicadores. Dicha información se considerará información pública de oficio de acuerdo a la Ley de Acceso a la Información Pública.”</w:t>
      </w:r>
    </w:p>
    <w:p w14:paraId="7A65BE87" w14:textId="77A7B9E3" w:rsidR="00431FEA" w:rsidRPr="00B5079E" w:rsidRDefault="00431FEA" w:rsidP="00B5079E">
      <w:pPr>
        <w:spacing w:after="120" w:line="240" w:lineRule="auto"/>
        <w:jc w:val="both"/>
        <w:rPr>
          <w:rFonts w:eastAsia="Times New Roman" w:cstheme="minorHAnsi"/>
          <w:sz w:val="24"/>
          <w:szCs w:val="24"/>
          <w:lang w:eastAsia="es-GT"/>
        </w:rPr>
      </w:pPr>
      <w:r w:rsidRPr="00B5079E">
        <w:rPr>
          <w:rFonts w:eastAsia="Times New Roman" w:cstheme="minorHAnsi"/>
          <w:b/>
          <w:bCs/>
          <w:sz w:val="24"/>
          <w:szCs w:val="24"/>
          <w:lang w:eastAsia="es-GT"/>
        </w:rPr>
        <w:t>“</w:t>
      </w:r>
      <w:r w:rsidR="00DB5C36" w:rsidRPr="00B5079E">
        <w:rPr>
          <w:rFonts w:eastAsia="Times New Roman" w:cstheme="minorHAnsi"/>
          <w:b/>
          <w:bCs/>
          <w:sz w:val="24"/>
          <w:szCs w:val="24"/>
          <w:lang w:eastAsia="es-GT"/>
        </w:rPr>
        <w:t>Artículo</w:t>
      </w:r>
      <w:r w:rsidRPr="00B5079E">
        <w:rPr>
          <w:rFonts w:eastAsia="Times New Roman" w:cstheme="minorHAnsi"/>
          <w:b/>
          <w:bCs/>
          <w:sz w:val="24"/>
          <w:szCs w:val="24"/>
          <w:lang w:eastAsia="es-GT"/>
        </w:rPr>
        <w:t xml:space="preserve"> </w:t>
      </w:r>
      <w:r w:rsidR="00DB5C36" w:rsidRPr="00B5079E">
        <w:rPr>
          <w:rFonts w:eastAsia="Times New Roman" w:cstheme="minorHAnsi"/>
          <w:b/>
          <w:bCs/>
          <w:sz w:val="24"/>
          <w:szCs w:val="24"/>
          <w:lang w:eastAsia="es-GT"/>
        </w:rPr>
        <w:t>16</w:t>
      </w:r>
      <w:r w:rsidRPr="00B5079E">
        <w:rPr>
          <w:rFonts w:eastAsia="Times New Roman" w:cstheme="minorHAnsi"/>
          <w:b/>
          <w:bCs/>
          <w:sz w:val="24"/>
          <w:szCs w:val="24"/>
          <w:lang w:eastAsia="es-GT"/>
        </w:rPr>
        <w:t xml:space="preserve">. </w:t>
      </w:r>
      <w:r w:rsidR="005E4110" w:rsidRPr="00B5079E">
        <w:rPr>
          <w:rFonts w:eastAsia="Times New Roman" w:cstheme="minorHAnsi"/>
          <w:b/>
          <w:bCs/>
          <w:sz w:val="24"/>
          <w:szCs w:val="24"/>
          <w:lang w:eastAsia="es-GT"/>
        </w:rPr>
        <w:t>EVALUACIÓN Y POLÍTICAS PRESUPUESTARIAS</w:t>
      </w:r>
      <w:r w:rsidRPr="00B5079E">
        <w:rPr>
          <w:rFonts w:eastAsia="Times New Roman" w:cstheme="minorHAnsi"/>
          <w:b/>
          <w:bCs/>
          <w:sz w:val="24"/>
          <w:szCs w:val="24"/>
          <w:lang w:eastAsia="es-GT"/>
        </w:rPr>
        <w:t xml:space="preserve"> (Reglamento de la Ley Orgánica del Presupuesto, Acuerdo Gubernativo 540-2013)</w:t>
      </w:r>
    </w:p>
    <w:p w14:paraId="5C413495" w14:textId="77777777" w:rsidR="00431FEA" w:rsidRPr="00B5079E" w:rsidRDefault="00431FEA" w:rsidP="00B5079E">
      <w:pPr>
        <w:spacing w:after="120" w:line="240" w:lineRule="auto"/>
        <w:jc w:val="both"/>
        <w:rPr>
          <w:rFonts w:eastAsia="Times New Roman" w:cstheme="minorHAnsi"/>
          <w:sz w:val="24"/>
          <w:szCs w:val="24"/>
          <w:lang w:eastAsia="es-GT"/>
        </w:rPr>
      </w:pPr>
      <w:r w:rsidRPr="00B5079E">
        <w:rPr>
          <w:rFonts w:eastAsia="Times New Roman" w:cstheme="minorHAnsi"/>
          <w:sz w:val="24"/>
          <w:szCs w:val="24"/>
          <w:lang w:eastAsia="es-GT"/>
        </w:rPr>
        <w:t>Así mismo, dicha Secretaría, presentará al Congreso de la República, a más tardar el último día hábil del mes de marzo de cada año, un informe consolidado de evaluación y análisis de la ejecución y resultados del presupuesto del ejercicio fiscal anterior, de conformidad con el Artículo 8 de la Ley.”</w:t>
      </w:r>
    </w:p>
    <w:p w14:paraId="118762E0" w14:textId="77777777" w:rsidR="00431FEA" w:rsidRPr="00B5079E" w:rsidRDefault="00431FEA" w:rsidP="00B5079E">
      <w:pPr>
        <w:autoSpaceDE w:val="0"/>
        <w:autoSpaceDN w:val="0"/>
        <w:adjustRightInd w:val="0"/>
        <w:spacing w:after="120" w:line="240" w:lineRule="auto"/>
        <w:jc w:val="both"/>
        <w:rPr>
          <w:rFonts w:eastAsia="Times New Roman" w:cstheme="minorHAnsi"/>
          <w:b/>
          <w:bCs/>
          <w:color w:val="0000FF"/>
          <w:sz w:val="24"/>
          <w:szCs w:val="24"/>
          <w:lang w:eastAsia="es-GT"/>
        </w:rPr>
      </w:pPr>
      <w:r w:rsidRPr="00B5079E">
        <w:rPr>
          <w:rFonts w:eastAsia="Times New Roman" w:cstheme="minorHAnsi"/>
          <w:b/>
          <w:bCs/>
          <w:color w:val="0000FF"/>
          <w:sz w:val="24"/>
          <w:szCs w:val="24"/>
          <w:lang w:eastAsia="es-GT"/>
        </w:rPr>
        <w:t>Para Municipalidades:</w:t>
      </w:r>
    </w:p>
    <w:p w14:paraId="30AE20DB" w14:textId="6E0673B0" w:rsidR="00431FEA" w:rsidRPr="00B5079E" w:rsidRDefault="00431FEA" w:rsidP="00B5079E">
      <w:pPr>
        <w:spacing w:after="120" w:line="240" w:lineRule="auto"/>
        <w:jc w:val="both"/>
        <w:rPr>
          <w:rFonts w:eastAsia="Calibri" w:cstheme="minorHAnsi"/>
          <w:b/>
          <w:bCs/>
          <w:sz w:val="24"/>
          <w:szCs w:val="24"/>
        </w:rPr>
      </w:pPr>
      <w:r w:rsidRPr="00B5079E">
        <w:rPr>
          <w:rFonts w:eastAsia="Calibri" w:cstheme="minorHAnsi"/>
          <w:b/>
          <w:bCs/>
          <w:sz w:val="24"/>
          <w:szCs w:val="24"/>
        </w:rPr>
        <w:t>“DECRETO 12-2002. Código Municipal</w:t>
      </w:r>
    </w:p>
    <w:p w14:paraId="789936B8" w14:textId="77777777" w:rsidR="00431FEA" w:rsidRPr="00B5079E" w:rsidRDefault="00431FEA" w:rsidP="00B5079E">
      <w:pPr>
        <w:spacing w:after="120" w:line="240" w:lineRule="auto"/>
        <w:jc w:val="both"/>
        <w:rPr>
          <w:rFonts w:eastAsia="Calibri" w:cstheme="minorHAnsi"/>
          <w:sz w:val="24"/>
          <w:szCs w:val="24"/>
        </w:rPr>
      </w:pPr>
      <w:r w:rsidRPr="00B5079E">
        <w:rPr>
          <w:rFonts w:eastAsia="Calibri" w:cstheme="minorHAnsi"/>
          <w:sz w:val="24"/>
          <w:szCs w:val="24"/>
        </w:rPr>
        <w:t>Artículo 135. “El Alcalde debe informar cuatrimestralmente a su Concejo Municipal sobre la Ejecución del Presupuesto de Ingresos y Egresos de su Municipio. Además, según la tecnología de la información utilizada para el registro de las transacciones financieras y de realizaciones físicas, pondrá a la disposición de la Contraloría General de Cuentas, de manera constante o mensual, según sea el caso, el registro de las transacciones presupuestarias, extrapresupuestarias y patrimoniales para su control, fiscalización y asesoría. Igualmente, con fines de consolidación presupuestaria del sector público y actualización de los portales de transparencia fiscal, dicha información, de manera agregada, estará disponible para el Ministerio de Finanzas Públicas y la Secretaría de Planificación y Programación de la Presidencia de la República.”</w:t>
      </w:r>
    </w:p>
    <w:p w14:paraId="3D0E4E46" w14:textId="67092E5E" w:rsidR="00F85BD4" w:rsidRPr="00B5079E" w:rsidRDefault="00DC2646" w:rsidP="00E31540">
      <w:pPr>
        <w:pStyle w:val="Ttulo1"/>
        <w:numPr>
          <w:ilvl w:val="0"/>
          <w:numId w:val="0"/>
        </w:numPr>
        <w:spacing w:after="120"/>
        <w:jc w:val="both"/>
        <w:rPr>
          <w:rFonts w:asciiTheme="minorHAnsi" w:eastAsia="Calibri" w:hAnsiTheme="minorHAnsi" w:cstheme="minorHAnsi"/>
          <w:color w:val="FF0000"/>
        </w:rPr>
      </w:pPr>
      <w:bookmarkStart w:id="4" w:name="_Toc130301099"/>
      <w:r w:rsidRPr="00B5079E">
        <w:rPr>
          <w:rFonts w:asciiTheme="minorHAnsi" w:eastAsia="Calibri" w:hAnsiTheme="minorHAnsi" w:cstheme="minorHAnsi"/>
        </w:rPr>
        <w:t xml:space="preserve">Resultados de la evaluación de la calidad del gasto público de las instituciones y municipalidades durante el año </w:t>
      </w:r>
      <w:r w:rsidR="00BD1BD3" w:rsidRPr="00B5079E">
        <w:rPr>
          <w:rFonts w:asciiTheme="minorHAnsi" w:eastAsia="Calibri" w:hAnsiTheme="minorHAnsi" w:cstheme="minorHAnsi"/>
        </w:rPr>
        <w:t>2022</w:t>
      </w:r>
      <w:bookmarkEnd w:id="4"/>
      <w:r w:rsidR="00D80CD5" w:rsidRPr="00B5079E">
        <w:rPr>
          <w:rFonts w:asciiTheme="minorHAnsi" w:eastAsia="Calibri" w:hAnsiTheme="minorHAnsi" w:cstheme="minorHAnsi"/>
        </w:rPr>
        <w:t xml:space="preserve"> </w:t>
      </w:r>
    </w:p>
    <w:p w14:paraId="57B857CF" w14:textId="43EA2F42" w:rsidR="00F85BD4" w:rsidRPr="00B5079E" w:rsidRDefault="006936D2" w:rsidP="00B5079E">
      <w:pPr>
        <w:spacing w:after="120" w:line="240" w:lineRule="auto"/>
        <w:jc w:val="both"/>
        <w:rPr>
          <w:rFonts w:cstheme="minorHAnsi"/>
          <w:sz w:val="24"/>
          <w:szCs w:val="24"/>
        </w:rPr>
      </w:pPr>
      <w:r w:rsidRPr="00B5079E">
        <w:rPr>
          <w:rFonts w:cstheme="minorHAnsi"/>
          <w:sz w:val="24"/>
          <w:szCs w:val="24"/>
        </w:rPr>
        <w:t>En el presente documento, se presentan los resultados de</w:t>
      </w:r>
      <w:r w:rsidR="00F85BD4" w:rsidRPr="00B5079E">
        <w:rPr>
          <w:rFonts w:cstheme="minorHAnsi"/>
          <w:sz w:val="24"/>
          <w:szCs w:val="24"/>
        </w:rPr>
        <w:t xml:space="preserve">l desempeño de las instituciones y municipalidades durante el año </w:t>
      </w:r>
      <w:r w:rsidR="00BD1BD3" w:rsidRPr="00B5079E">
        <w:rPr>
          <w:rFonts w:cstheme="minorHAnsi"/>
          <w:sz w:val="24"/>
          <w:szCs w:val="24"/>
        </w:rPr>
        <w:t>2022</w:t>
      </w:r>
      <w:r w:rsidR="00F85BD4" w:rsidRPr="00B5079E">
        <w:rPr>
          <w:rFonts w:cstheme="minorHAnsi"/>
          <w:sz w:val="24"/>
          <w:szCs w:val="24"/>
        </w:rPr>
        <w:t>, respecto a la eficiencia, eficacia y equidad en la que fueron empleados los recursos públicos</w:t>
      </w:r>
      <w:r w:rsidRPr="00B5079E">
        <w:rPr>
          <w:rFonts w:cstheme="minorHAnsi"/>
          <w:sz w:val="24"/>
          <w:szCs w:val="24"/>
        </w:rPr>
        <w:t>.</w:t>
      </w:r>
    </w:p>
    <w:p w14:paraId="66BCCE64" w14:textId="3FEEEE0F" w:rsidR="00BA17A3" w:rsidRPr="00644EA2" w:rsidRDefault="00BA17A3" w:rsidP="00644EA2">
      <w:pPr>
        <w:pStyle w:val="Ttulo2"/>
        <w:numPr>
          <w:ilvl w:val="0"/>
          <w:numId w:val="0"/>
        </w:numPr>
        <w:rPr>
          <w:rFonts w:asciiTheme="minorHAnsi" w:eastAsia="Calibri" w:hAnsiTheme="minorHAnsi" w:cstheme="minorHAnsi"/>
          <w:color w:val="002060"/>
          <w:sz w:val="32"/>
        </w:rPr>
      </w:pPr>
      <w:bookmarkStart w:id="5" w:name="_Toc130301100"/>
      <w:r w:rsidRPr="00644EA2">
        <w:rPr>
          <w:rFonts w:asciiTheme="minorHAnsi" w:eastAsia="Calibri" w:hAnsiTheme="minorHAnsi" w:cstheme="minorHAnsi"/>
          <w:color w:val="002060"/>
          <w:sz w:val="32"/>
        </w:rPr>
        <w:t>Eficacia</w:t>
      </w:r>
      <w:bookmarkEnd w:id="5"/>
      <w:r w:rsidR="00F61921" w:rsidRPr="00644EA2">
        <w:rPr>
          <w:rFonts w:asciiTheme="minorHAnsi" w:eastAsia="Calibri" w:hAnsiTheme="minorHAnsi" w:cstheme="minorHAnsi"/>
          <w:color w:val="002060"/>
          <w:sz w:val="32"/>
        </w:rPr>
        <w:t xml:space="preserve"> </w:t>
      </w:r>
    </w:p>
    <w:p w14:paraId="588C652B" w14:textId="4B1AA09B" w:rsidR="00BA17A3" w:rsidRDefault="00BA17A3" w:rsidP="00B5079E">
      <w:pPr>
        <w:spacing w:before="120" w:after="120" w:line="240" w:lineRule="auto"/>
        <w:jc w:val="both"/>
        <w:rPr>
          <w:rFonts w:eastAsia="Calibri" w:cstheme="minorHAnsi"/>
          <w:sz w:val="24"/>
          <w:szCs w:val="24"/>
        </w:rPr>
      </w:pPr>
      <w:bookmarkStart w:id="6" w:name="_Hlk65823155"/>
      <w:r w:rsidRPr="00B5079E">
        <w:rPr>
          <w:rFonts w:eastAsia="Calibri" w:cstheme="minorHAnsi"/>
          <w:sz w:val="24"/>
          <w:szCs w:val="24"/>
        </w:rPr>
        <w:t xml:space="preserve">En este apartado del informe se </w:t>
      </w:r>
      <w:r w:rsidR="006936D2" w:rsidRPr="00B5079E">
        <w:rPr>
          <w:rFonts w:eastAsia="Calibri" w:cstheme="minorHAnsi"/>
          <w:sz w:val="24"/>
          <w:szCs w:val="24"/>
        </w:rPr>
        <w:t>refiere a</w:t>
      </w:r>
      <w:r w:rsidR="007E67C4" w:rsidRPr="00B5079E">
        <w:rPr>
          <w:rFonts w:eastAsia="Calibri" w:cstheme="minorHAnsi"/>
          <w:sz w:val="24"/>
          <w:szCs w:val="24"/>
        </w:rPr>
        <w:t xml:space="preserve">l nivel de la consecución de las metas </w:t>
      </w:r>
      <w:r w:rsidR="00F61921" w:rsidRPr="00B5079E">
        <w:rPr>
          <w:rFonts w:eastAsia="Calibri" w:cstheme="minorHAnsi"/>
          <w:sz w:val="24"/>
          <w:szCs w:val="24"/>
        </w:rPr>
        <w:t>respecto a</w:t>
      </w:r>
      <w:r w:rsidRPr="00B5079E">
        <w:rPr>
          <w:rFonts w:eastAsia="Calibri" w:cstheme="minorHAnsi"/>
          <w:sz w:val="24"/>
          <w:szCs w:val="24"/>
        </w:rPr>
        <w:t xml:space="preserve"> la ejecución financiera del Presupuesto General de Ingresos y Egresos del Estado </w:t>
      </w:r>
      <w:r w:rsidR="006936D2" w:rsidRPr="00B5079E">
        <w:rPr>
          <w:rFonts w:eastAsia="Calibri" w:cstheme="minorHAnsi"/>
          <w:sz w:val="24"/>
          <w:szCs w:val="24"/>
        </w:rPr>
        <w:t xml:space="preserve">y </w:t>
      </w:r>
      <w:r w:rsidR="00F61921" w:rsidRPr="00B5079E">
        <w:rPr>
          <w:rFonts w:eastAsia="Calibri" w:cstheme="minorHAnsi"/>
          <w:sz w:val="24"/>
          <w:szCs w:val="24"/>
        </w:rPr>
        <w:t xml:space="preserve">del presupuesto de </w:t>
      </w:r>
      <w:r w:rsidR="006936D2" w:rsidRPr="00B5079E">
        <w:rPr>
          <w:rFonts w:eastAsia="Calibri" w:cstheme="minorHAnsi"/>
          <w:sz w:val="24"/>
          <w:szCs w:val="24"/>
        </w:rPr>
        <w:t xml:space="preserve">los gobiernos locales para el año </w:t>
      </w:r>
      <w:r w:rsidR="00BD1BD3" w:rsidRPr="00B5079E">
        <w:rPr>
          <w:rFonts w:eastAsia="Calibri" w:cstheme="minorHAnsi"/>
          <w:sz w:val="24"/>
          <w:szCs w:val="24"/>
        </w:rPr>
        <w:t>2022</w:t>
      </w:r>
      <w:r w:rsidR="006936D2" w:rsidRPr="00B5079E">
        <w:rPr>
          <w:rFonts w:eastAsia="Calibri" w:cstheme="minorHAnsi"/>
          <w:sz w:val="24"/>
          <w:szCs w:val="24"/>
        </w:rPr>
        <w:t xml:space="preserve">. </w:t>
      </w:r>
      <w:r w:rsidRPr="00B5079E">
        <w:rPr>
          <w:rFonts w:eastAsia="Calibri" w:cstheme="minorHAnsi"/>
          <w:sz w:val="24"/>
          <w:szCs w:val="24"/>
        </w:rPr>
        <w:t xml:space="preserve"> </w:t>
      </w:r>
    </w:p>
    <w:p w14:paraId="57904814" w14:textId="77777777" w:rsidR="001905EC" w:rsidRPr="00B5079E" w:rsidRDefault="001905EC" w:rsidP="00B5079E">
      <w:pPr>
        <w:spacing w:before="120" w:after="120" w:line="240" w:lineRule="auto"/>
        <w:jc w:val="both"/>
        <w:rPr>
          <w:rFonts w:eastAsia="Calibri" w:cstheme="minorHAnsi"/>
          <w:sz w:val="24"/>
          <w:szCs w:val="24"/>
        </w:rPr>
      </w:pPr>
    </w:p>
    <w:bookmarkEnd w:id="6"/>
    <w:p w14:paraId="656B4CA9" w14:textId="462E8F65" w:rsidR="00BA17A3" w:rsidRPr="00B5079E" w:rsidRDefault="00BA17A3" w:rsidP="00B5079E">
      <w:pPr>
        <w:pStyle w:val="normalinforme"/>
        <w:spacing w:after="120" w:line="240" w:lineRule="auto"/>
        <w:rPr>
          <w:rFonts w:cstheme="minorHAnsi"/>
          <w:b/>
          <w:bCs/>
          <w:color w:val="1F3864" w:themeColor="accent1" w:themeShade="80"/>
          <w:sz w:val="28"/>
          <w:szCs w:val="28"/>
        </w:rPr>
      </w:pPr>
      <w:r w:rsidRPr="00B5079E">
        <w:rPr>
          <w:rFonts w:cstheme="minorHAnsi"/>
          <w:b/>
          <w:bCs/>
          <w:color w:val="1F3864" w:themeColor="accent1" w:themeShade="80"/>
          <w:sz w:val="28"/>
          <w:szCs w:val="28"/>
        </w:rPr>
        <w:t xml:space="preserve">Presupuesto General de Ingresos y Egresos del Estado </w:t>
      </w:r>
      <w:r w:rsidR="00BD1BD3" w:rsidRPr="00B5079E">
        <w:rPr>
          <w:rFonts w:cstheme="minorHAnsi"/>
          <w:b/>
          <w:bCs/>
          <w:color w:val="1F3864" w:themeColor="accent1" w:themeShade="80"/>
          <w:sz w:val="28"/>
          <w:szCs w:val="28"/>
        </w:rPr>
        <w:t>2022</w:t>
      </w:r>
    </w:p>
    <w:p w14:paraId="1FB3D390" w14:textId="788DCBE4" w:rsidR="008A7A9F" w:rsidRPr="00B5079E" w:rsidRDefault="00E07501" w:rsidP="00B5079E">
      <w:pPr>
        <w:pStyle w:val="ttulosgrficas"/>
        <w:spacing w:after="120"/>
        <w:jc w:val="both"/>
        <w:rPr>
          <w:rFonts w:asciiTheme="minorHAnsi" w:hAnsiTheme="minorHAnsi" w:cstheme="minorHAnsi"/>
          <w:b w:val="0"/>
          <w:bCs w:val="0"/>
          <w:color w:val="auto"/>
        </w:rPr>
      </w:pPr>
      <w:r w:rsidRPr="00B5079E">
        <w:rPr>
          <w:rFonts w:asciiTheme="minorHAnsi" w:hAnsiTheme="minorHAnsi" w:cstheme="minorHAnsi"/>
          <w:b w:val="0"/>
          <w:bCs w:val="0"/>
          <w:color w:val="auto"/>
        </w:rPr>
        <w:t>E</w:t>
      </w:r>
      <w:r w:rsidR="008A7A9F" w:rsidRPr="00B5079E">
        <w:rPr>
          <w:rFonts w:asciiTheme="minorHAnsi" w:hAnsiTheme="minorHAnsi" w:cstheme="minorHAnsi"/>
          <w:b w:val="0"/>
          <w:bCs w:val="0"/>
          <w:color w:val="auto"/>
        </w:rPr>
        <w:t xml:space="preserve">l proyecto de presupuesto General de Ingresos y Egresos del Estado para el Ejercicio Fiscal </w:t>
      </w:r>
      <w:r w:rsidR="00BD1BD3" w:rsidRPr="00B5079E">
        <w:rPr>
          <w:rFonts w:asciiTheme="minorHAnsi" w:hAnsiTheme="minorHAnsi" w:cstheme="minorHAnsi"/>
          <w:b w:val="0"/>
          <w:bCs w:val="0"/>
          <w:color w:val="auto"/>
        </w:rPr>
        <w:t>2022</w:t>
      </w:r>
      <w:r w:rsidR="008A7A9F" w:rsidRPr="00B5079E">
        <w:rPr>
          <w:rFonts w:asciiTheme="minorHAnsi" w:hAnsiTheme="minorHAnsi" w:cstheme="minorHAnsi"/>
          <w:b w:val="0"/>
          <w:bCs w:val="0"/>
          <w:color w:val="auto"/>
        </w:rPr>
        <w:t xml:space="preserve">, </w:t>
      </w:r>
      <w:r w:rsidR="00D1158B" w:rsidRPr="00B5079E">
        <w:rPr>
          <w:rFonts w:asciiTheme="minorHAnsi" w:hAnsiTheme="minorHAnsi" w:cstheme="minorHAnsi"/>
          <w:b w:val="0"/>
          <w:bCs w:val="0"/>
          <w:color w:val="auto"/>
        </w:rPr>
        <w:t>fue aprobado en Decreto 16-2021 más las ampliaciones aprobadas por el Congreso de la República en el año 2022, según decreto 21-2022;</w:t>
      </w:r>
      <w:r w:rsidR="008A7A9F" w:rsidRPr="00B5079E">
        <w:rPr>
          <w:rFonts w:asciiTheme="minorHAnsi" w:hAnsiTheme="minorHAnsi" w:cstheme="minorHAnsi"/>
          <w:b w:val="0"/>
          <w:bCs w:val="0"/>
          <w:color w:val="auto"/>
        </w:rPr>
        <w:t xml:space="preserve"> en consecuencia, el presupuesto</w:t>
      </w:r>
      <w:r w:rsidR="00D1158B" w:rsidRPr="00B5079E">
        <w:rPr>
          <w:rFonts w:asciiTheme="minorHAnsi" w:hAnsiTheme="minorHAnsi" w:cstheme="minorHAnsi"/>
          <w:b w:val="0"/>
          <w:bCs w:val="0"/>
          <w:color w:val="auto"/>
        </w:rPr>
        <w:t xml:space="preserve"> por tipo de gasto al finalizar el mes de diciembre</w:t>
      </w:r>
      <w:r w:rsidR="008A7A9F" w:rsidRPr="00B5079E">
        <w:rPr>
          <w:rFonts w:asciiTheme="minorHAnsi" w:hAnsiTheme="minorHAnsi" w:cstheme="minorHAnsi"/>
          <w:b w:val="0"/>
          <w:bCs w:val="0"/>
          <w:color w:val="auto"/>
        </w:rPr>
        <w:t xml:space="preserve">, </w:t>
      </w:r>
      <w:r w:rsidR="00D1158B" w:rsidRPr="00B5079E">
        <w:rPr>
          <w:rFonts w:asciiTheme="minorHAnsi" w:hAnsiTheme="minorHAnsi" w:cstheme="minorHAnsi"/>
          <w:b w:val="0"/>
          <w:bCs w:val="0"/>
          <w:color w:val="auto"/>
        </w:rPr>
        <w:t>presenta la distribución según</w:t>
      </w:r>
      <w:r w:rsidR="008A7A9F" w:rsidRPr="00B5079E">
        <w:rPr>
          <w:rFonts w:asciiTheme="minorHAnsi" w:hAnsiTheme="minorHAnsi" w:cstheme="minorHAnsi"/>
          <w:b w:val="0"/>
          <w:bCs w:val="0"/>
          <w:color w:val="auto"/>
        </w:rPr>
        <w:t xml:space="preserve"> l</w:t>
      </w:r>
      <w:r w:rsidR="009F746E" w:rsidRPr="00B5079E">
        <w:rPr>
          <w:rFonts w:asciiTheme="minorHAnsi" w:hAnsiTheme="minorHAnsi" w:cstheme="minorHAnsi"/>
          <w:b w:val="0"/>
          <w:bCs w:val="0"/>
          <w:color w:val="auto"/>
        </w:rPr>
        <w:t>a tabla 1.</w:t>
      </w:r>
    </w:p>
    <w:p w14:paraId="45F7E61B" w14:textId="5E276747" w:rsidR="00DD404D" w:rsidRPr="006F21F0" w:rsidRDefault="0004362D" w:rsidP="006F21F0">
      <w:pPr>
        <w:pStyle w:val="ttulosgrficas"/>
        <w:rPr>
          <w:rFonts w:asciiTheme="minorHAnsi" w:eastAsia="Times New Roman" w:hAnsiTheme="minorHAnsi" w:cstheme="minorHAnsi"/>
          <w:color w:val="4472C4" w:themeColor="accent1"/>
          <w:lang w:val="es-ES"/>
        </w:rPr>
      </w:pPr>
      <w:bookmarkStart w:id="7" w:name="_Hlk98328871"/>
      <w:bookmarkStart w:id="8" w:name="_Toc130199589"/>
      <w:r w:rsidRPr="00B5079E">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1</w:t>
      </w:r>
      <w:r w:rsidR="006E5E0A">
        <w:rPr>
          <w:rFonts w:asciiTheme="minorHAnsi" w:eastAsia="Times New Roman" w:hAnsiTheme="minorHAnsi" w:cstheme="minorHAnsi"/>
          <w:color w:val="4472C4" w:themeColor="accent1"/>
          <w:lang w:val="es-ES"/>
        </w:rPr>
        <w:fldChar w:fldCharType="end"/>
      </w:r>
      <w:r w:rsidR="00A55633">
        <w:rPr>
          <w:rFonts w:asciiTheme="minorHAnsi" w:eastAsia="Times New Roman" w:hAnsiTheme="minorHAnsi" w:cstheme="minorHAnsi"/>
          <w:color w:val="4472C4" w:themeColor="accent1"/>
          <w:lang w:val="es-ES"/>
        </w:rPr>
        <w:t>.</w:t>
      </w:r>
      <w:r w:rsidR="00E92111" w:rsidRPr="00B5079E">
        <w:rPr>
          <w:rFonts w:asciiTheme="minorHAnsi" w:eastAsia="Times New Roman" w:hAnsiTheme="minorHAnsi" w:cstheme="minorHAnsi"/>
          <w:color w:val="4472C4" w:themeColor="accent1"/>
          <w:lang w:val="es-ES"/>
        </w:rPr>
        <w:t xml:space="preserve"> </w:t>
      </w:r>
      <w:r w:rsidR="00BA17A3" w:rsidRPr="00B5079E">
        <w:rPr>
          <w:rFonts w:asciiTheme="minorHAnsi" w:eastAsia="Times New Roman" w:hAnsiTheme="minorHAnsi" w:cstheme="minorHAnsi"/>
          <w:color w:val="4472C4" w:themeColor="accent1"/>
          <w:lang w:val="es-ES"/>
        </w:rPr>
        <w:t>Presupuesto General de Egresos del Estado</w:t>
      </w:r>
      <w:r w:rsidR="00CE3D5C" w:rsidRPr="00B5079E">
        <w:rPr>
          <w:rFonts w:asciiTheme="minorHAnsi" w:eastAsia="Times New Roman" w:hAnsiTheme="minorHAnsi" w:cstheme="minorHAnsi"/>
          <w:color w:val="4472C4" w:themeColor="accent1"/>
          <w:lang w:val="es-ES"/>
        </w:rPr>
        <w:t xml:space="preserve"> </w:t>
      </w:r>
      <w:r w:rsidR="00BD1BD3" w:rsidRPr="00B5079E">
        <w:rPr>
          <w:rFonts w:asciiTheme="minorHAnsi" w:eastAsia="Times New Roman" w:hAnsiTheme="minorHAnsi" w:cstheme="minorHAnsi"/>
          <w:color w:val="4472C4" w:themeColor="accent1"/>
          <w:lang w:val="es-ES"/>
        </w:rPr>
        <w:t>2022</w:t>
      </w:r>
      <w:bookmarkEnd w:id="7"/>
      <w:bookmarkEnd w:id="8"/>
      <w:r w:rsidR="00DD404D">
        <w:rPr>
          <w:bCs w:val="0"/>
        </w:rPr>
        <w:fldChar w:fldCharType="begin"/>
      </w:r>
      <w:r w:rsidR="00DD404D">
        <w:rPr>
          <w:bCs w:val="0"/>
        </w:rPr>
        <w:instrText xml:space="preserve"> LINK Excel.Sheet.12 "C:\\Users\\byron.marroquin\\Desktop\\DASPP 2022\\Tercer informe cuatrimestral 2022\\Consolidado tercer cuatrimestre 2022.xlsx" "Hoja2!F3C2:F13C8" \a \f 4 \h </w:instrText>
      </w:r>
      <w:r w:rsidR="00DD404D">
        <w:instrText xml:space="preserve"> \* MERGEFORMAT </w:instrText>
      </w:r>
      <w:r w:rsidR="00DD404D">
        <w:rPr>
          <w:bCs w:val="0"/>
        </w:rPr>
        <w:fldChar w:fldCharType="separate"/>
      </w:r>
    </w:p>
    <w:tbl>
      <w:tblPr>
        <w:tblW w:w="9062" w:type="dxa"/>
        <w:tblCellMar>
          <w:left w:w="70" w:type="dxa"/>
          <w:right w:w="70" w:type="dxa"/>
        </w:tblCellMar>
        <w:tblLook w:val="04A0" w:firstRow="1" w:lastRow="0" w:firstColumn="1" w:lastColumn="0" w:noHBand="0" w:noVBand="1"/>
      </w:tblPr>
      <w:tblGrid>
        <w:gridCol w:w="1653"/>
        <w:gridCol w:w="1217"/>
        <w:gridCol w:w="1402"/>
        <w:gridCol w:w="1217"/>
        <w:gridCol w:w="1178"/>
        <w:gridCol w:w="1178"/>
        <w:gridCol w:w="1310"/>
      </w:tblGrid>
      <w:tr w:rsidR="00DD404D" w:rsidRPr="006F21F0" w14:paraId="4C63253E" w14:textId="77777777" w:rsidTr="006F21F0">
        <w:trPr>
          <w:trHeight w:val="691"/>
        </w:trPr>
        <w:tc>
          <w:tcPr>
            <w:tcW w:w="1653" w:type="dxa"/>
            <w:tcBorders>
              <w:top w:val="single" w:sz="8" w:space="0" w:color="5B9BD5"/>
              <w:left w:val="single" w:sz="8" w:space="0" w:color="5B9BD5"/>
              <w:bottom w:val="single" w:sz="4" w:space="0" w:color="9BC2E6"/>
              <w:right w:val="nil"/>
            </w:tcBorders>
            <w:shd w:val="clear" w:color="000000" w:fill="5B9BD5"/>
            <w:vAlign w:val="center"/>
            <w:hideMark/>
          </w:tcPr>
          <w:p w14:paraId="1F9D0B76" w14:textId="0CC6E97C" w:rsidR="00DD404D" w:rsidRPr="00DD404D" w:rsidRDefault="00DD404D" w:rsidP="00DD404D">
            <w:pPr>
              <w:spacing w:after="0" w:line="240" w:lineRule="auto"/>
              <w:jc w:val="center"/>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Tipo de gasto</w:t>
            </w:r>
          </w:p>
        </w:tc>
        <w:tc>
          <w:tcPr>
            <w:tcW w:w="1217" w:type="dxa"/>
            <w:tcBorders>
              <w:top w:val="single" w:sz="8" w:space="0" w:color="5B9BD5"/>
              <w:left w:val="nil"/>
              <w:bottom w:val="single" w:sz="4" w:space="0" w:color="9BC2E6"/>
              <w:right w:val="nil"/>
            </w:tcBorders>
            <w:shd w:val="clear" w:color="000000" w:fill="5B9BD5"/>
            <w:vAlign w:val="center"/>
            <w:hideMark/>
          </w:tcPr>
          <w:p w14:paraId="66CD7AAB" w14:textId="77777777" w:rsidR="00DD404D" w:rsidRPr="00DD404D" w:rsidRDefault="00DD404D" w:rsidP="00DD404D">
            <w:pPr>
              <w:spacing w:after="0" w:line="240" w:lineRule="auto"/>
              <w:jc w:val="center"/>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Presupuesto asignado inicial</w:t>
            </w:r>
          </w:p>
        </w:tc>
        <w:tc>
          <w:tcPr>
            <w:tcW w:w="1367" w:type="dxa"/>
            <w:tcBorders>
              <w:top w:val="single" w:sz="8" w:space="0" w:color="5B9BD5"/>
              <w:left w:val="nil"/>
              <w:bottom w:val="single" w:sz="4" w:space="0" w:color="9BC2E6"/>
              <w:right w:val="nil"/>
            </w:tcBorders>
            <w:shd w:val="clear" w:color="000000" w:fill="5B9BD5"/>
            <w:vAlign w:val="center"/>
            <w:hideMark/>
          </w:tcPr>
          <w:p w14:paraId="73E7D2ED" w14:textId="77777777" w:rsidR="00DD404D" w:rsidRPr="00DD404D" w:rsidRDefault="00DD404D" w:rsidP="00DD404D">
            <w:pPr>
              <w:spacing w:after="0" w:line="240" w:lineRule="auto"/>
              <w:jc w:val="center"/>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Modificaciones</w:t>
            </w:r>
          </w:p>
        </w:tc>
        <w:tc>
          <w:tcPr>
            <w:tcW w:w="1217" w:type="dxa"/>
            <w:tcBorders>
              <w:top w:val="single" w:sz="8" w:space="0" w:color="5B9BD5"/>
              <w:left w:val="nil"/>
              <w:bottom w:val="single" w:sz="4" w:space="0" w:color="9BC2E6"/>
              <w:right w:val="nil"/>
            </w:tcBorders>
            <w:shd w:val="clear" w:color="000000" w:fill="5B9BD5"/>
            <w:vAlign w:val="center"/>
            <w:hideMark/>
          </w:tcPr>
          <w:p w14:paraId="1F93C204" w14:textId="77777777" w:rsidR="00DD404D" w:rsidRPr="00DD404D" w:rsidRDefault="00DD404D" w:rsidP="00DD404D">
            <w:pPr>
              <w:spacing w:after="0" w:line="240" w:lineRule="auto"/>
              <w:jc w:val="center"/>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Presupuesto vigente</w:t>
            </w:r>
          </w:p>
        </w:tc>
        <w:tc>
          <w:tcPr>
            <w:tcW w:w="1149" w:type="dxa"/>
            <w:tcBorders>
              <w:top w:val="single" w:sz="8" w:space="0" w:color="5B9BD5"/>
              <w:left w:val="nil"/>
              <w:bottom w:val="single" w:sz="4" w:space="0" w:color="9BC2E6"/>
              <w:right w:val="nil"/>
            </w:tcBorders>
            <w:shd w:val="clear" w:color="000000" w:fill="5B9BD5"/>
            <w:vAlign w:val="center"/>
            <w:hideMark/>
          </w:tcPr>
          <w:p w14:paraId="0286C6EF" w14:textId="77777777" w:rsidR="00DD404D" w:rsidRPr="00DD404D" w:rsidRDefault="00DD404D" w:rsidP="00DD404D">
            <w:pPr>
              <w:spacing w:after="0" w:line="240" w:lineRule="auto"/>
              <w:jc w:val="center"/>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 Presupuesto Vigente</w:t>
            </w:r>
          </w:p>
        </w:tc>
        <w:tc>
          <w:tcPr>
            <w:tcW w:w="1149" w:type="dxa"/>
            <w:tcBorders>
              <w:top w:val="single" w:sz="8" w:space="0" w:color="5B9BD5"/>
              <w:left w:val="nil"/>
              <w:bottom w:val="single" w:sz="4" w:space="0" w:color="9BC2E6"/>
              <w:right w:val="nil"/>
            </w:tcBorders>
            <w:shd w:val="clear" w:color="000000" w:fill="5B9BD5"/>
            <w:vAlign w:val="center"/>
            <w:hideMark/>
          </w:tcPr>
          <w:p w14:paraId="078A6A23" w14:textId="77777777" w:rsidR="00DD404D" w:rsidRPr="00DD404D" w:rsidRDefault="00DD404D" w:rsidP="00DD404D">
            <w:pPr>
              <w:spacing w:after="0" w:line="240" w:lineRule="auto"/>
              <w:jc w:val="center"/>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Presupuesto ejecutado</w:t>
            </w:r>
          </w:p>
        </w:tc>
        <w:tc>
          <w:tcPr>
            <w:tcW w:w="1310" w:type="dxa"/>
            <w:tcBorders>
              <w:top w:val="single" w:sz="8" w:space="0" w:color="5B9BD5"/>
              <w:left w:val="nil"/>
              <w:bottom w:val="single" w:sz="4" w:space="0" w:color="9BC2E6"/>
              <w:right w:val="single" w:sz="8" w:space="0" w:color="5B9BD5"/>
            </w:tcBorders>
            <w:shd w:val="clear" w:color="000000" w:fill="5B9BD5"/>
            <w:vAlign w:val="center"/>
            <w:hideMark/>
          </w:tcPr>
          <w:p w14:paraId="641673BE" w14:textId="77777777" w:rsidR="00DD404D" w:rsidRPr="00DD404D" w:rsidRDefault="00DD404D" w:rsidP="00DD404D">
            <w:pPr>
              <w:spacing w:after="0" w:line="240" w:lineRule="auto"/>
              <w:jc w:val="center"/>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 presupuesto ejecutado</w:t>
            </w:r>
          </w:p>
        </w:tc>
      </w:tr>
      <w:tr w:rsidR="006F21F0" w:rsidRPr="006F21F0" w14:paraId="3380A270" w14:textId="77777777" w:rsidTr="006F21F0">
        <w:trPr>
          <w:trHeight w:val="238"/>
        </w:trPr>
        <w:tc>
          <w:tcPr>
            <w:tcW w:w="1653" w:type="dxa"/>
            <w:tcBorders>
              <w:top w:val="single" w:sz="4" w:space="0" w:color="9BC2E6"/>
              <w:left w:val="single" w:sz="8" w:space="0" w:color="9CC2E5"/>
              <w:bottom w:val="single" w:sz="8" w:space="0" w:color="9CC2E5"/>
              <w:right w:val="single" w:sz="8" w:space="0" w:color="9CC2E5"/>
            </w:tcBorders>
            <w:shd w:val="clear" w:color="000000" w:fill="DEEAF6"/>
            <w:noWrap/>
            <w:vAlign w:val="center"/>
            <w:hideMark/>
          </w:tcPr>
          <w:p w14:paraId="1298954A" w14:textId="77777777" w:rsidR="00DD404D" w:rsidRPr="00DD404D" w:rsidRDefault="00DD404D" w:rsidP="00DD404D">
            <w:pPr>
              <w:spacing w:after="0" w:line="240" w:lineRule="auto"/>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Funcionamiento</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02A40297"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72,184.18</w:t>
            </w:r>
          </w:p>
        </w:tc>
        <w:tc>
          <w:tcPr>
            <w:tcW w:w="1367" w:type="dxa"/>
            <w:tcBorders>
              <w:top w:val="single" w:sz="4" w:space="0" w:color="9BC2E6"/>
              <w:left w:val="nil"/>
              <w:bottom w:val="single" w:sz="8" w:space="0" w:color="9CC2E5"/>
              <w:right w:val="single" w:sz="8" w:space="0" w:color="9CC2E5"/>
            </w:tcBorders>
            <w:shd w:val="clear" w:color="000000" w:fill="DEEAF6"/>
            <w:noWrap/>
            <w:vAlign w:val="center"/>
            <w:hideMark/>
          </w:tcPr>
          <w:p w14:paraId="69041200"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4,817.82</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5C337E37"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77,002.00</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3E7DEA42"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68.18%</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7F90BD7D"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75,008.35</w:t>
            </w:r>
          </w:p>
        </w:tc>
        <w:tc>
          <w:tcPr>
            <w:tcW w:w="1310" w:type="dxa"/>
            <w:tcBorders>
              <w:top w:val="single" w:sz="4" w:space="0" w:color="9BC2E6"/>
              <w:left w:val="nil"/>
              <w:bottom w:val="single" w:sz="8" w:space="0" w:color="9CC2E5"/>
              <w:right w:val="single" w:sz="8" w:space="0" w:color="9CC2E5"/>
            </w:tcBorders>
            <w:shd w:val="clear" w:color="000000" w:fill="DEEAF6"/>
            <w:noWrap/>
            <w:vAlign w:val="center"/>
            <w:hideMark/>
          </w:tcPr>
          <w:p w14:paraId="6EC26A9B"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97.41%</w:t>
            </w:r>
          </w:p>
        </w:tc>
      </w:tr>
      <w:tr w:rsidR="006F21F0" w:rsidRPr="006F21F0" w14:paraId="04622618" w14:textId="77777777" w:rsidTr="006F21F0">
        <w:trPr>
          <w:trHeight w:val="238"/>
        </w:trPr>
        <w:tc>
          <w:tcPr>
            <w:tcW w:w="1653" w:type="dxa"/>
            <w:tcBorders>
              <w:top w:val="single" w:sz="4" w:space="0" w:color="9BC2E6"/>
              <w:left w:val="single" w:sz="8" w:space="0" w:color="9CC2E5"/>
              <w:bottom w:val="single" w:sz="8" w:space="0" w:color="9CC2E5"/>
              <w:right w:val="single" w:sz="8" w:space="0" w:color="9CC2E5"/>
            </w:tcBorders>
            <w:shd w:val="clear" w:color="auto" w:fill="auto"/>
            <w:noWrap/>
            <w:vAlign w:val="center"/>
            <w:hideMark/>
          </w:tcPr>
          <w:p w14:paraId="68E46C57" w14:textId="77777777" w:rsidR="00DD404D" w:rsidRPr="00DD404D" w:rsidRDefault="00DD404D" w:rsidP="00DD404D">
            <w:pPr>
              <w:spacing w:after="0" w:line="240" w:lineRule="auto"/>
              <w:ind w:firstLineChars="100" w:firstLine="200"/>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Administración</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1E1D34A7"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9,717.60</w:t>
            </w:r>
          </w:p>
        </w:tc>
        <w:tc>
          <w:tcPr>
            <w:tcW w:w="1367" w:type="dxa"/>
            <w:tcBorders>
              <w:top w:val="single" w:sz="4" w:space="0" w:color="9BC2E6"/>
              <w:left w:val="nil"/>
              <w:bottom w:val="single" w:sz="8" w:space="0" w:color="9CC2E5"/>
              <w:right w:val="single" w:sz="8" w:space="0" w:color="9CC2E5"/>
            </w:tcBorders>
            <w:shd w:val="clear" w:color="auto" w:fill="auto"/>
            <w:noWrap/>
            <w:vAlign w:val="center"/>
            <w:hideMark/>
          </w:tcPr>
          <w:p w14:paraId="6179A57C"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1,516.27</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12CE7671"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11,233.87</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15A29236"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9.95%</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18CFEE32"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10,722.99</w:t>
            </w:r>
          </w:p>
        </w:tc>
        <w:tc>
          <w:tcPr>
            <w:tcW w:w="1310" w:type="dxa"/>
            <w:tcBorders>
              <w:top w:val="single" w:sz="4" w:space="0" w:color="9BC2E6"/>
              <w:left w:val="nil"/>
              <w:bottom w:val="single" w:sz="8" w:space="0" w:color="9CC2E5"/>
              <w:right w:val="single" w:sz="8" w:space="0" w:color="9CC2E5"/>
            </w:tcBorders>
            <w:shd w:val="clear" w:color="auto" w:fill="auto"/>
            <w:noWrap/>
            <w:vAlign w:val="center"/>
            <w:hideMark/>
          </w:tcPr>
          <w:p w14:paraId="7BF1C010"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95.45%</w:t>
            </w:r>
          </w:p>
        </w:tc>
      </w:tr>
      <w:tr w:rsidR="006F21F0" w:rsidRPr="006F21F0" w14:paraId="4B98F2BD" w14:textId="77777777" w:rsidTr="006F21F0">
        <w:trPr>
          <w:trHeight w:val="238"/>
        </w:trPr>
        <w:tc>
          <w:tcPr>
            <w:tcW w:w="1653" w:type="dxa"/>
            <w:tcBorders>
              <w:top w:val="single" w:sz="4" w:space="0" w:color="9BC2E6"/>
              <w:left w:val="single" w:sz="8" w:space="0" w:color="9CC2E5"/>
              <w:bottom w:val="single" w:sz="8" w:space="0" w:color="9CC2E5"/>
              <w:right w:val="single" w:sz="8" w:space="0" w:color="9CC2E5"/>
            </w:tcBorders>
            <w:shd w:val="clear" w:color="000000" w:fill="DEEAF6"/>
            <w:noWrap/>
            <w:vAlign w:val="center"/>
            <w:hideMark/>
          </w:tcPr>
          <w:p w14:paraId="445C18FF" w14:textId="77777777" w:rsidR="00DD404D" w:rsidRPr="00DD404D" w:rsidRDefault="00DD404D" w:rsidP="00DD404D">
            <w:pPr>
              <w:spacing w:after="0" w:line="240" w:lineRule="auto"/>
              <w:ind w:firstLineChars="100" w:firstLine="200"/>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Desarrollo humano</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1C37C3E8"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38,256.94</w:t>
            </w:r>
          </w:p>
        </w:tc>
        <w:tc>
          <w:tcPr>
            <w:tcW w:w="1367" w:type="dxa"/>
            <w:tcBorders>
              <w:top w:val="single" w:sz="4" w:space="0" w:color="9BC2E6"/>
              <w:left w:val="nil"/>
              <w:bottom w:val="single" w:sz="8" w:space="0" w:color="9CC2E5"/>
              <w:right w:val="single" w:sz="8" w:space="0" w:color="9CC2E5"/>
            </w:tcBorders>
            <w:shd w:val="clear" w:color="000000" w:fill="DEEAF6"/>
            <w:noWrap/>
            <w:vAlign w:val="center"/>
            <w:hideMark/>
          </w:tcPr>
          <w:p w14:paraId="226369E2"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-98.73</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5AE1CB55"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38,158.21</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2342599E"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33.79%</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4374BECA"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36,995.38</w:t>
            </w:r>
          </w:p>
        </w:tc>
        <w:tc>
          <w:tcPr>
            <w:tcW w:w="1310" w:type="dxa"/>
            <w:tcBorders>
              <w:top w:val="single" w:sz="4" w:space="0" w:color="9BC2E6"/>
              <w:left w:val="nil"/>
              <w:bottom w:val="single" w:sz="8" w:space="0" w:color="9CC2E5"/>
              <w:right w:val="single" w:sz="8" w:space="0" w:color="9CC2E5"/>
            </w:tcBorders>
            <w:shd w:val="clear" w:color="000000" w:fill="DEEAF6"/>
            <w:noWrap/>
            <w:vAlign w:val="center"/>
            <w:hideMark/>
          </w:tcPr>
          <w:p w14:paraId="70C834A8"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96.95%</w:t>
            </w:r>
          </w:p>
        </w:tc>
      </w:tr>
      <w:tr w:rsidR="006F21F0" w:rsidRPr="006F21F0" w14:paraId="2603E372" w14:textId="77777777" w:rsidTr="006F21F0">
        <w:trPr>
          <w:trHeight w:val="238"/>
        </w:trPr>
        <w:tc>
          <w:tcPr>
            <w:tcW w:w="1653" w:type="dxa"/>
            <w:tcBorders>
              <w:top w:val="single" w:sz="4" w:space="0" w:color="9BC2E6"/>
              <w:left w:val="single" w:sz="8" w:space="0" w:color="9CC2E5"/>
              <w:bottom w:val="single" w:sz="8" w:space="0" w:color="9CC2E5"/>
              <w:right w:val="single" w:sz="8" w:space="0" w:color="9CC2E5"/>
            </w:tcBorders>
            <w:shd w:val="clear" w:color="auto" w:fill="auto"/>
            <w:noWrap/>
            <w:vAlign w:val="center"/>
            <w:hideMark/>
          </w:tcPr>
          <w:p w14:paraId="45A5111B" w14:textId="77777777" w:rsidR="00DD404D" w:rsidRPr="00DD404D" w:rsidRDefault="00DD404D" w:rsidP="00DD404D">
            <w:pPr>
              <w:spacing w:after="0" w:line="240" w:lineRule="auto"/>
              <w:ind w:firstLineChars="100" w:firstLine="200"/>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Transferencias corrientes</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688E077B"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24,209.64</w:t>
            </w:r>
          </w:p>
        </w:tc>
        <w:tc>
          <w:tcPr>
            <w:tcW w:w="1367" w:type="dxa"/>
            <w:tcBorders>
              <w:top w:val="single" w:sz="4" w:space="0" w:color="9BC2E6"/>
              <w:left w:val="nil"/>
              <w:bottom w:val="single" w:sz="8" w:space="0" w:color="9CC2E5"/>
              <w:right w:val="single" w:sz="8" w:space="0" w:color="9CC2E5"/>
            </w:tcBorders>
            <w:shd w:val="clear" w:color="auto" w:fill="auto"/>
            <w:noWrap/>
            <w:vAlign w:val="center"/>
            <w:hideMark/>
          </w:tcPr>
          <w:p w14:paraId="2BC1EF3F"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3,400.28</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4A041D80"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27,609.92</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1AEC9AA2"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24.45%</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01F4F83F"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27,289.98</w:t>
            </w:r>
          </w:p>
        </w:tc>
        <w:tc>
          <w:tcPr>
            <w:tcW w:w="1310" w:type="dxa"/>
            <w:tcBorders>
              <w:top w:val="single" w:sz="4" w:space="0" w:color="9BC2E6"/>
              <w:left w:val="nil"/>
              <w:bottom w:val="single" w:sz="8" w:space="0" w:color="9CC2E5"/>
              <w:right w:val="single" w:sz="8" w:space="0" w:color="9CC2E5"/>
            </w:tcBorders>
            <w:shd w:val="clear" w:color="auto" w:fill="auto"/>
            <w:noWrap/>
            <w:vAlign w:val="center"/>
            <w:hideMark/>
          </w:tcPr>
          <w:p w14:paraId="2DE42FA0"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98.84%</w:t>
            </w:r>
          </w:p>
        </w:tc>
      </w:tr>
      <w:tr w:rsidR="006F21F0" w:rsidRPr="006F21F0" w14:paraId="3003B6F0" w14:textId="77777777" w:rsidTr="006F21F0">
        <w:trPr>
          <w:trHeight w:val="238"/>
        </w:trPr>
        <w:tc>
          <w:tcPr>
            <w:tcW w:w="1653" w:type="dxa"/>
            <w:tcBorders>
              <w:top w:val="single" w:sz="4" w:space="0" w:color="9BC2E6"/>
              <w:left w:val="single" w:sz="8" w:space="0" w:color="9CC2E5"/>
              <w:bottom w:val="single" w:sz="8" w:space="0" w:color="9CC2E5"/>
              <w:right w:val="single" w:sz="8" w:space="0" w:color="9CC2E5"/>
            </w:tcBorders>
            <w:shd w:val="clear" w:color="000000" w:fill="DEEAF6"/>
            <w:noWrap/>
            <w:vAlign w:val="center"/>
            <w:hideMark/>
          </w:tcPr>
          <w:p w14:paraId="7E39607B" w14:textId="77777777" w:rsidR="00DD404D" w:rsidRPr="00DD404D" w:rsidRDefault="00DD404D" w:rsidP="00DD404D">
            <w:pPr>
              <w:spacing w:after="0" w:line="240" w:lineRule="auto"/>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Inversión</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7A37473D"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18,733.29</w:t>
            </w:r>
          </w:p>
        </w:tc>
        <w:tc>
          <w:tcPr>
            <w:tcW w:w="1367" w:type="dxa"/>
            <w:tcBorders>
              <w:top w:val="single" w:sz="4" w:space="0" w:color="9BC2E6"/>
              <w:left w:val="nil"/>
              <w:bottom w:val="single" w:sz="8" w:space="0" w:color="9CC2E5"/>
              <w:right w:val="single" w:sz="8" w:space="0" w:color="9CC2E5"/>
            </w:tcBorders>
            <w:shd w:val="clear" w:color="000000" w:fill="DEEAF6"/>
            <w:noWrap/>
            <w:vAlign w:val="center"/>
            <w:hideMark/>
          </w:tcPr>
          <w:p w14:paraId="35B4F967"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1,892.55</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7AD0C333"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20,625.84</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35DD731D"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18.26%</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0B95F57B"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18,445.30</w:t>
            </w:r>
          </w:p>
        </w:tc>
        <w:tc>
          <w:tcPr>
            <w:tcW w:w="1310" w:type="dxa"/>
            <w:tcBorders>
              <w:top w:val="single" w:sz="4" w:space="0" w:color="9BC2E6"/>
              <w:left w:val="nil"/>
              <w:bottom w:val="single" w:sz="8" w:space="0" w:color="9CC2E5"/>
              <w:right w:val="single" w:sz="8" w:space="0" w:color="9CC2E5"/>
            </w:tcBorders>
            <w:shd w:val="clear" w:color="000000" w:fill="DEEAF6"/>
            <w:noWrap/>
            <w:vAlign w:val="center"/>
            <w:hideMark/>
          </w:tcPr>
          <w:p w14:paraId="12F73046"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89.43%</w:t>
            </w:r>
          </w:p>
        </w:tc>
      </w:tr>
      <w:tr w:rsidR="006F21F0" w:rsidRPr="006F21F0" w14:paraId="40B04DA1" w14:textId="77777777" w:rsidTr="006F21F0">
        <w:trPr>
          <w:trHeight w:val="238"/>
        </w:trPr>
        <w:tc>
          <w:tcPr>
            <w:tcW w:w="1653" w:type="dxa"/>
            <w:tcBorders>
              <w:top w:val="single" w:sz="4" w:space="0" w:color="9BC2E6"/>
              <w:left w:val="single" w:sz="8" w:space="0" w:color="9CC2E5"/>
              <w:bottom w:val="single" w:sz="8" w:space="0" w:color="9CC2E5"/>
              <w:right w:val="single" w:sz="8" w:space="0" w:color="9CC2E5"/>
            </w:tcBorders>
            <w:shd w:val="clear" w:color="auto" w:fill="auto"/>
            <w:noWrap/>
            <w:vAlign w:val="center"/>
            <w:hideMark/>
          </w:tcPr>
          <w:p w14:paraId="198DCFEF" w14:textId="77777777" w:rsidR="00DD404D" w:rsidRPr="00DD404D" w:rsidRDefault="00DD404D" w:rsidP="00DD404D">
            <w:pPr>
              <w:spacing w:after="0" w:line="240" w:lineRule="auto"/>
              <w:ind w:firstLineChars="100" w:firstLine="200"/>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Inversión física</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706EC6E2"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4,387.95</w:t>
            </w:r>
          </w:p>
        </w:tc>
        <w:tc>
          <w:tcPr>
            <w:tcW w:w="1367" w:type="dxa"/>
            <w:tcBorders>
              <w:top w:val="single" w:sz="4" w:space="0" w:color="9BC2E6"/>
              <w:left w:val="nil"/>
              <w:bottom w:val="single" w:sz="8" w:space="0" w:color="9CC2E5"/>
              <w:right w:val="single" w:sz="8" w:space="0" w:color="9CC2E5"/>
            </w:tcBorders>
            <w:shd w:val="clear" w:color="auto" w:fill="auto"/>
            <w:noWrap/>
            <w:vAlign w:val="center"/>
            <w:hideMark/>
          </w:tcPr>
          <w:p w14:paraId="64D0BBBE"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1,371.34</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36BF5ABD"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5,759.30</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6608E205"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5.10%</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7DD3C017"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4,610.01</w:t>
            </w:r>
          </w:p>
        </w:tc>
        <w:tc>
          <w:tcPr>
            <w:tcW w:w="1310" w:type="dxa"/>
            <w:tcBorders>
              <w:top w:val="single" w:sz="4" w:space="0" w:color="9BC2E6"/>
              <w:left w:val="nil"/>
              <w:bottom w:val="single" w:sz="8" w:space="0" w:color="9CC2E5"/>
              <w:right w:val="single" w:sz="8" w:space="0" w:color="9CC2E5"/>
            </w:tcBorders>
            <w:shd w:val="clear" w:color="auto" w:fill="auto"/>
            <w:noWrap/>
            <w:vAlign w:val="center"/>
            <w:hideMark/>
          </w:tcPr>
          <w:p w14:paraId="3F7D303C"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80.04%</w:t>
            </w:r>
          </w:p>
        </w:tc>
      </w:tr>
      <w:tr w:rsidR="006F21F0" w:rsidRPr="006F21F0" w14:paraId="7798FD8A" w14:textId="77777777" w:rsidTr="006F21F0">
        <w:trPr>
          <w:trHeight w:val="238"/>
        </w:trPr>
        <w:tc>
          <w:tcPr>
            <w:tcW w:w="1653" w:type="dxa"/>
            <w:tcBorders>
              <w:top w:val="single" w:sz="4" w:space="0" w:color="9BC2E6"/>
              <w:left w:val="single" w:sz="8" w:space="0" w:color="9CC2E5"/>
              <w:bottom w:val="single" w:sz="8" w:space="0" w:color="9CC2E5"/>
              <w:right w:val="single" w:sz="8" w:space="0" w:color="9CC2E5"/>
            </w:tcBorders>
            <w:shd w:val="clear" w:color="000000" w:fill="DEEAF6"/>
            <w:noWrap/>
            <w:vAlign w:val="center"/>
            <w:hideMark/>
          </w:tcPr>
          <w:p w14:paraId="469EFF8A" w14:textId="77777777" w:rsidR="00DD404D" w:rsidRPr="00DD404D" w:rsidRDefault="00DD404D" w:rsidP="00DD404D">
            <w:pPr>
              <w:spacing w:after="0" w:line="240" w:lineRule="auto"/>
              <w:ind w:firstLineChars="100" w:firstLine="200"/>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Transferencias de capital</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5CBE3A1B"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14,184.43</w:t>
            </w:r>
          </w:p>
        </w:tc>
        <w:tc>
          <w:tcPr>
            <w:tcW w:w="1367" w:type="dxa"/>
            <w:tcBorders>
              <w:top w:val="single" w:sz="4" w:space="0" w:color="9BC2E6"/>
              <w:left w:val="nil"/>
              <w:bottom w:val="single" w:sz="8" w:space="0" w:color="9CC2E5"/>
              <w:right w:val="single" w:sz="8" w:space="0" w:color="9CC2E5"/>
            </w:tcBorders>
            <w:shd w:val="clear" w:color="000000" w:fill="DEEAF6"/>
            <w:noWrap/>
            <w:vAlign w:val="center"/>
            <w:hideMark/>
          </w:tcPr>
          <w:p w14:paraId="08C80A02"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658.85</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7D34AD4A"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14,843.28</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68E8E36C"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13.14%</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496983AB"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13,815.23</w:t>
            </w:r>
          </w:p>
        </w:tc>
        <w:tc>
          <w:tcPr>
            <w:tcW w:w="1310" w:type="dxa"/>
            <w:tcBorders>
              <w:top w:val="single" w:sz="4" w:space="0" w:color="9BC2E6"/>
              <w:left w:val="nil"/>
              <w:bottom w:val="single" w:sz="8" w:space="0" w:color="9CC2E5"/>
              <w:right w:val="single" w:sz="8" w:space="0" w:color="9CC2E5"/>
            </w:tcBorders>
            <w:shd w:val="clear" w:color="000000" w:fill="DEEAF6"/>
            <w:noWrap/>
            <w:vAlign w:val="center"/>
            <w:hideMark/>
          </w:tcPr>
          <w:p w14:paraId="6FED245D"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93.07%</w:t>
            </w:r>
          </w:p>
        </w:tc>
      </w:tr>
      <w:tr w:rsidR="006F21F0" w:rsidRPr="006F21F0" w14:paraId="5D87F900" w14:textId="77777777" w:rsidTr="006F21F0">
        <w:trPr>
          <w:trHeight w:val="238"/>
        </w:trPr>
        <w:tc>
          <w:tcPr>
            <w:tcW w:w="1653" w:type="dxa"/>
            <w:tcBorders>
              <w:top w:val="single" w:sz="4" w:space="0" w:color="9BC2E6"/>
              <w:left w:val="single" w:sz="8" w:space="0" w:color="9CC2E5"/>
              <w:bottom w:val="single" w:sz="8" w:space="0" w:color="9CC2E5"/>
              <w:right w:val="single" w:sz="8" w:space="0" w:color="9CC2E5"/>
            </w:tcBorders>
            <w:shd w:val="clear" w:color="auto" w:fill="auto"/>
            <w:noWrap/>
            <w:vAlign w:val="center"/>
            <w:hideMark/>
          </w:tcPr>
          <w:p w14:paraId="43439DC7" w14:textId="77777777" w:rsidR="00DD404D" w:rsidRPr="00DD404D" w:rsidRDefault="00DD404D" w:rsidP="00DD404D">
            <w:pPr>
              <w:spacing w:after="0" w:line="240" w:lineRule="auto"/>
              <w:ind w:firstLineChars="100" w:firstLine="200"/>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Inversión Financiera</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1408C4DF"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160.91</w:t>
            </w:r>
          </w:p>
        </w:tc>
        <w:tc>
          <w:tcPr>
            <w:tcW w:w="1367" w:type="dxa"/>
            <w:tcBorders>
              <w:top w:val="single" w:sz="4" w:space="0" w:color="9BC2E6"/>
              <w:left w:val="nil"/>
              <w:bottom w:val="single" w:sz="8" w:space="0" w:color="9CC2E5"/>
              <w:right w:val="single" w:sz="8" w:space="0" w:color="9CC2E5"/>
            </w:tcBorders>
            <w:shd w:val="clear" w:color="auto" w:fill="auto"/>
            <w:noWrap/>
            <w:vAlign w:val="center"/>
            <w:hideMark/>
          </w:tcPr>
          <w:p w14:paraId="2F754FDE"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-137.64</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4285BB9C"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23.26</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1F7B1FD9"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0.02%</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518188F2"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20.06</w:t>
            </w:r>
          </w:p>
        </w:tc>
        <w:tc>
          <w:tcPr>
            <w:tcW w:w="1310" w:type="dxa"/>
            <w:tcBorders>
              <w:top w:val="single" w:sz="4" w:space="0" w:color="9BC2E6"/>
              <w:left w:val="nil"/>
              <w:bottom w:val="single" w:sz="8" w:space="0" w:color="9CC2E5"/>
              <w:right w:val="single" w:sz="8" w:space="0" w:color="9CC2E5"/>
            </w:tcBorders>
            <w:shd w:val="clear" w:color="auto" w:fill="auto"/>
            <w:noWrap/>
            <w:vAlign w:val="center"/>
            <w:hideMark/>
          </w:tcPr>
          <w:p w14:paraId="716F7FD5"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86.24%</w:t>
            </w:r>
          </w:p>
        </w:tc>
      </w:tr>
      <w:tr w:rsidR="006F21F0" w:rsidRPr="006F21F0" w14:paraId="12E4A6A7" w14:textId="77777777" w:rsidTr="006F21F0">
        <w:trPr>
          <w:trHeight w:val="238"/>
        </w:trPr>
        <w:tc>
          <w:tcPr>
            <w:tcW w:w="1653" w:type="dxa"/>
            <w:tcBorders>
              <w:top w:val="single" w:sz="4" w:space="0" w:color="9BC2E6"/>
              <w:left w:val="single" w:sz="8" w:space="0" w:color="9CC2E5"/>
              <w:bottom w:val="single" w:sz="8" w:space="0" w:color="9CC2E5"/>
              <w:right w:val="single" w:sz="8" w:space="0" w:color="9CC2E5"/>
            </w:tcBorders>
            <w:shd w:val="clear" w:color="000000" w:fill="DEEAF6"/>
            <w:noWrap/>
            <w:vAlign w:val="center"/>
            <w:hideMark/>
          </w:tcPr>
          <w:p w14:paraId="4468611F" w14:textId="77777777" w:rsidR="00DD404D" w:rsidRPr="00DD404D" w:rsidRDefault="00DD404D" w:rsidP="00DD404D">
            <w:pPr>
              <w:spacing w:after="0" w:line="240" w:lineRule="auto"/>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Deuda Pública</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7362C038"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15,312.00</w:t>
            </w:r>
          </w:p>
        </w:tc>
        <w:tc>
          <w:tcPr>
            <w:tcW w:w="1367" w:type="dxa"/>
            <w:tcBorders>
              <w:top w:val="single" w:sz="4" w:space="0" w:color="9BC2E6"/>
              <w:left w:val="nil"/>
              <w:bottom w:val="single" w:sz="8" w:space="0" w:color="9CC2E5"/>
              <w:right w:val="single" w:sz="8" w:space="0" w:color="9CC2E5"/>
            </w:tcBorders>
            <w:shd w:val="clear" w:color="000000" w:fill="DEEAF6"/>
            <w:noWrap/>
            <w:vAlign w:val="center"/>
            <w:hideMark/>
          </w:tcPr>
          <w:p w14:paraId="2E751C01"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0</w:t>
            </w:r>
          </w:p>
        </w:tc>
        <w:tc>
          <w:tcPr>
            <w:tcW w:w="1217" w:type="dxa"/>
            <w:tcBorders>
              <w:top w:val="single" w:sz="4" w:space="0" w:color="9BC2E6"/>
              <w:left w:val="nil"/>
              <w:bottom w:val="single" w:sz="8" w:space="0" w:color="9CC2E5"/>
              <w:right w:val="single" w:sz="8" w:space="0" w:color="9CC2E5"/>
            </w:tcBorders>
            <w:shd w:val="clear" w:color="000000" w:fill="DEEAF6"/>
            <w:noWrap/>
            <w:vAlign w:val="center"/>
            <w:hideMark/>
          </w:tcPr>
          <w:p w14:paraId="5DC02F59"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15,312.00</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30E55322"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13.56%</w:t>
            </w:r>
          </w:p>
        </w:tc>
        <w:tc>
          <w:tcPr>
            <w:tcW w:w="1149" w:type="dxa"/>
            <w:tcBorders>
              <w:top w:val="single" w:sz="4" w:space="0" w:color="9BC2E6"/>
              <w:left w:val="nil"/>
              <w:bottom w:val="single" w:sz="8" w:space="0" w:color="9CC2E5"/>
              <w:right w:val="single" w:sz="8" w:space="0" w:color="9CC2E5"/>
            </w:tcBorders>
            <w:shd w:val="clear" w:color="000000" w:fill="DEEAF6"/>
            <w:noWrap/>
            <w:vAlign w:val="center"/>
            <w:hideMark/>
          </w:tcPr>
          <w:p w14:paraId="68B3051C" w14:textId="77777777" w:rsidR="00DD404D" w:rsidRPr="00DD404D" w:rsidRDefault="00DD404D" w:rsidP="00DD404D">
            <w:pPr>
              <w:spacing w:after="0" w:line="240" w:lineRule="auto"/>
              <w:jc w:val="right"/>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15,132.31</w:t>
            </w:r>
          </w:p>
        </w:tc>
        <w:tc>
          <w:tcPr>
            <w:tcW w:w="1310" w:type="dxa"/>
            <w:tcBorders>
              <w:top w:val="single" w:sz="4" w:space="0" w:color="9BC2E6"/>
              <w:left w:val="nil"/>
              <w:bottom w:val="single" w:sz="8" w:space="0" w:color="9CC2E5"/>
              <w:right w:val="single" w:sz="8" w:space="0" w:color="9CC2E5"/>
            </w:tcBorders>
            <w:shd w:val="clear" w:color="000000" w:fill="DEEAF6"/>
            <w:noWrap/>
            <w:vAlign w:val="center"/>
            <w:hideMark/>
          </w:tcPr>
          <w:p w14:paraId="36D7E122" w14:textId="77777777" w:rsidR="00DD404D" w:rsidRPr="00DD404D" w:rsidRDefault="00DD404D" w:rsidP="00DD404D">
            <w:pPr>
              <w:spacing w:after="0" w:line="240" w:lineRule="auto"/>
              <w:jc w:val="center"/>
              <w:rPr>
                <w:rFonts w:eastAsia="Times New Roman" w:cstheme="minorHAnsi"/>
                <w:color w:val="000000"/>
                <w:sz w:val="20"/>
                <w:szCs w:val="20"/>
                <w:lang w:eastAsia="es-GT"/>
              </w:rPr>
            </w:pPr>
            <w:r w:rsidRPr="00DD404D">
              <w:rPr>
                <w:rFonts w:eastAsia="Times New Roman" w:cstheme="minorHAnsi"/>
                <w:color w:val="000000"/>
                <w:sz w:val="20"/>
                <w:szCs w:val="20"/>
                <w:lang w:val="es-ES" w:eastAsia="es-GT"/>
              </w:rPr>
              <w:t>98.83%</w:t>
            </w:r>
          </w:p>
        </w:tc>
      </w:tr>
      <w:tr w:rsidR="006F21F0" w:rsidRPr="006F21F0" w14:paraId="4158F54A" w14:textId="77777777" w:rsidTr="006F21F0">
        <w:trPr>
          <w:trHeight w:val="226"/>
        </w:trPr>
        <w:tc>
          <w:tcPr>
            <w:tcW w:w="1653" w:type="dxa"/>
            <w:tcBorders>
              <w:top w:val="single" w:sz="4" w:space="0" w:color="9BC2E6"/>
              <w:left w:val="single" w:sz="8" w:space="0" w:color="9CC2E5"/>
              <w:bottom w:val="single" w:sz="8" w:space="0" w:color="9CC2E5"/>
              <w:right w:val="single" w:sz="8" w:space="0" w:color="9CC2E5"/>
            </w:tcBorders>
            <w:shd w:val="clear" w:color="auto" w:fill="auto"/>
            <w:noWrap/>
            <w:vAlign w:val="center"/>
            <w:hideMark/>
          </w:tcPr>
          <w:p w14:paraId="68DA0B37" w14:textId="77777777" w:rsidR="00DD404D" w:rsidRPr="00DD404D" w:rsidRDefault="00DD404D" w:rsidP="00DD404D">
            <w:pPr>
              <w:spacing w:after="0" w:line="240" w:lineRule="auto"/>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Total</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0FED1FD0" w14:textId="77777777" w:rsidR="00DD404D" w:rsidRPr="00DD404D" w:rsidRDefault="00DD404D" w:rsidP="00DD404D">
            <w:pPr>
              <w:spacing w:after="0" w:line="240" w:lineRule="auto"/>
              <w:jc w:val="right"/>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106,229.47</w:t>
            </w:r>
          </w:p>
        </w:tc>
        <w:tc>
          <w:tcPr>
            <w:tcW w:w="1367" w:type="dxa"/>
            <w:tcBorders>
              <w:top w:val="single" w:sz="4" w:space="0" w:color="9BC2E6"/>
              <w:left w:val="nil"/>
              <w:bottom w:val="single" w:sz="8" w:space="0" w:color="9CC2E5"/>
              <w:right w:val="single" w:sz="8" w:space="0" w:color="9CC2E5"/>
            </w:tcBorders>
            <w:shd w:val="clear" w:color="auto" w:fill="auto"/>
            <w:noWrap/>
            <w:vAlign w:val="center"/>
            <w:hideMark/>
          </w:tcPr>
          <w:p w14:paraId="16EA3872" w14:textId="77777777" w:rsidR="00DD404D" w:rsidRPr="00DD404D" w:rsidRDefault="00DD404D" w:rsidP="00DD404D">
            <w:pPr>
              <w:spacing w:after="0" w:line="240" w:lineRule="auto"/>
              <w:jc w:val="right"/>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6,710.37</w:t>
            </w:r>
          </w:p>
        </w:tc>
        <w:tc>
          <w:tcPr>
            <w:tcW w:w="1217" w:type="dxa"/>
            <w:tcBorders>
              <w:top w:val="single" w:sz="4" w:space="0" w:color="9BC2E6"/>
              <w:left w:val="nil"/>
              <w:bottom w:val="single" w:sz="8" w:space="0" w:color="9CC2E5"/>
              <w:right w:val="single" w:sz="8" w:space="0" w:color="9CC2E5"/>
            </w:tcBorders>
            <w:shd w:val="clear" w:color="auto" w:fill="auto"/>
            <w:noWrap/>
            <w:vAlign w:val="center"/>
            <w:hideMark/>
          </w:tcPr>
          <w:p w14:paraId="328424A3" w14:textId="77777777" w:rsidR="00DD404D" w:rsidRPr="00DD404D" w:rsidRDefault="00DD404D" w:rsidP="00DD404D">
            <w:pPr>
              <w:spacing w:after="0" w:line="240" w:lineRule="auto"/>
              <w:jc w:val="right"/>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112,939.84</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127E5609" w14:textId="77777777" w:rsidR="00DD404D" w:rsidRPr="00DD404D" w:rsidRDefault="00DD404D" w:rsidP="00DD404D">
            <w:pPr>
              <w:spacing w:after="0" w:line="240" w:lineRule="auto"/>
              <w:jc w:val="center"/>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100.00%</w:t>
            </w:r>
          </w:p>
        </w:tc>
        <w:tc>
          <w:tcPr>
            <w:tcW w:w="1149" w:type="dxa"/>
            <w:tcBorders>
              <w:top w:val="single" w:sz="4" w:space="0" w:color="9BC2E6"/>
              <w:left w:val="nil"/>
              <w:bottom w:val="single" w:sz="8" w:space="0" w:color="9CC2E5"/>
              <w:right w:val="single" w:sz="8" w:space="0" w:color="9CC2E5"/>
            </w:tcBorders>
            <w:shd w:val="clear" w:color="auto" w:fill="auto"/>
            <w:noWrap/>
            <w:vAlign w:val="center"/>
            <w:hideMark/>
          </w:tcPr>
          <w:p w14:paraId="13B7626D" w14:textId="77777777" w:rsidR="00DD404D" w:rsidRPr="00DD404D" w:rsidRDefault="00DD404D" w:rsidP="00DD404D">
            <w:pPr>
              <w:spacing w:after="0" w:line="240" w:lineRule="auto"/>
              <w:jc w:val="right"/>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108,585.96</w:t>
            </w:r>
          </w:p>
        </w:tc>
        <w:tc>
          <w:tcPr>
            <w:tcW w:w="1310" w:type="dxa"/>
            <w:tcBorders>
              <w:top w:val="single" w:sz="4" w:space="0" w:color="9BC2E6"/>
              <w:left w:val="nil"/>
              <w:bottom w:val="single" w:sz="8" w:space="0" w:color="9CC2E5"/>
              <w:right w:val="single" w:sz="8" w:space="0" w:color="9CC2E5"/>
            </w:tcBorders>
            <w:shd w:val="clear" w:color="auto" w:fill="auto"/>
            <w:noWrap/>
            <w:vAlign w:val="center"/>
            <w:hideMark/>
          </w:tcPr>
          <w:p w14:paraId="7D47AA30" w14:textId="77777777" w:rsidR="00DD404D" w:rsidRPr="00DD404D" w:rsidRDefault="00DD404D" w:rsidP="00DD404D">
            <w:pPr>
              <w:spacing w:after="0" w:line="240" w:lineRule="auto"/>
              <w:jc w:val="center"/>
              <w:rPr>
                <w:rFonts w:eastAsia="Times New Roman" w:cstheme="minorHAnsi"/>
                <w:b/>
                <w:bCs/>
                <w:color w:val="000000"/>
                <w:sz w:val="20"/>
                <w:szCs w:val="20"/>
                <w:lang w:eastAsia="es-GT"/>
              </w:rPr>
            </w:pPr>
            <w:r w:rsidRPr="00DD404D">
              <w:rPr>
                <w:rFonts w:eastAsia="Times New Roman" w:cstheme="minorHAnsi"/>
                <w:b/>
                <w:bCs/>
                <w:color w:val="000000"/>
                <w:sz w:val="20"/>
                <w:szCs w:val="20"/>
                <w:lang w:val="es-ES" w:eastAsia="es-GT"/>
              </w:rPr>
              <w:t>96.14%</w:t>
            </w:r>
          </w:p>
        </w:tc>
      </w:tr>
    </w:tbl>
    <w:p w14:paraId="2C5E09B3" w14:textId="6255DB8D" w:rsidR="00BA17A3" w:rsidRPr="008D6172" w:rsidRDefault="00DD404D" w:rsidP="00BA17A3">
      <w:pPr>
        <w:spacing w:after="0" w:line="240" w:lineRule="auto"/>
        <w:rPr>
          <w:rFonts w:ascii="Helvetica" w:hAnsi="Helvetica" w:cs="Helvetica"/>
          <w:bCs/>
          <w:color w:val="000000"/>
          <w:spacing w:val="-3"/>
          <w:sz w:val="16"/>
          <w:szCs w:val="16"/>
        </w:rPr>
      </w:pPr>
      <w:r>
        <w:rPr>
          <w:rFonts w:ascii="Helvetica" w:hAnsi="Helvetica" w:cs="Helvetica"/>
          <w:bCs/>
          <w:color w:val="000000"/>
          <w:spacing w:val="-3"/>
          <w:sz w:val="16"/>
          <w:szCs w:val="16"/>
        </w:rPr>
        <w:fldChar w:fldCharType="end"/>
      </w:r>
      <w:r w:rsidR="00BA17A3" w:rsidRPr="008D6172">
        <w:rPr>
          <w:rFonts w:ascii="Helvetica" w:hAnsi="Helvetica" w:cs="Helvetica"/>
          <w:bCs/>
          <w:color w:val="000000"/>
          <w:spacing w:val="-3"/>
          <w:sz w:val="16"/>
          <w:szCs w:val="16"/>
        </w:rPr>
        <w:t>Fuente: Elaboración SEGEPLAN con información del SICOIN</w:t>
      </w:r>
      <w:r w:rsidR="00D80CD5" w:rsidRPr="008D6172">
        <w:rPr>
          <w:rFonts w:ascii="Helvetica" w:hAnsi="Helvetica" w:cs="Helvetica"/>
          <w:bCs/>
          <w:color w:val="000000"/>
          <w:spacing w:val="-3"/>
          <w:sz w:val="16"/>
          <w:szCs w:val="16"/>
        </w:rPr>
        <w:t>.</w:t>
      </w:r>
      <w:r w:rsidR="00D1158B">
        <w:rPr>
          <w:rFonts w:ascii="Helvetica" w:hAnsi="Helvetica" w:cs="Helvetica"/>
          <w:bCs/>
          <w:color w:val="000000"/>
          <w:spacing w:val="-3"/>
          <w:sz w:val="16"/>
          <w:szCs w:val="16"/>
        </w:rPr>
        <w:t xml:space="preserve"> 3.1.2023</w:t>
      </w:r>
    </w:p>
    <w:p w14:paraId="2EA6F5D7" w14:textId="77777777" w:rsidR="00BA17A3" w:rsidRPr="001B0AC7" w:rsidRDefault="00BA17A3" w:rsidP="00BA17A3">
      <w:pPr>
        <w:spacing w:after="0" w:line="240" w:lineRule="auto"/>
        <w:ind w:left="62"/>
        <w:jc w:val="center"/>
        <w:rPr>
          <w:rFonts w:ascii="Times New Roman" w:hAnsi="Times New Roman" w:cs="Times New Roman"/>
          <w:sz w:val="18"/>
          <w:szCs w:val="18"/>
        </w:rPr>
      </w:pPr>
    </w:p>
    <w:p w14:paraId="5631FC77" w14:textId="206C794B" w:rsidR="00BA17A3" w:rsidRPr="00B5079E" w:rsidRDefault="00BA17A3" w:rsidP="00B5079E">
      <w:pPr>
        <w:spacing w:after="120" w:line="240" w:lineRule="auto"/>
        <w:jc w:val="both"/>
        <w:rPr>
          <w:rFonts w:cstheme="minorHAnsi"/>
          <w:sz w:val="24"/>
          <w:szCs w:val="24"/>
        </w:rPr>
      </w:pPr>
      <w:r w:rsidRPr="00B5079E">
        <w:rPr>
          <w:rFonts w:cstheme="minorHAnsi"/>
          <w:sz w:val="24"/>
          <w:szCs w:val="24"/>
        </w:rPr>
        <w:t xml:space="preserve">Como se puede observar en </w:t>
      </w:r>
      <w:r w:rsidR="00D1158B" w:rsidRPr="00B5079E">
        <w:rPr>
          <w:rFonts w:cstheme="minorHAnsi"/>
          <w:sz w:val="24"/>
          <w:szCs w:val="24"/>
        </w:rPr>
        <w:t>la tabla 1</w:t>
      </w:r>
      <w:r w:rsidRPr="00B5079E">
        <w:rPr>
          <w:rFonts w:cstheme="minorHAnsi"/>
          <w:sz w:val="24"/>
          <w:szCs w:val="24"/>
        </w:rPr>
        <w:t xml:space="preserve">, la composición de la estructura presupuestaria por tipo de gasto </w:t>
      </w:r>
      <w:r w:rsidR="00F61921" w:rsidRPr="00B5079E">
        <w:rPr>
          <w:rFonts w:cstheme="minorHAnsi"/>
          <w:sz w:val="24"/>
          <w:szCs w:val="24"/>
        </w:rPr>
        <w:t>corresponde el 6</w:t>
      </w:r>
      <w:r w:rsidR="00D1158B" w:rsidRPr="00B5079E">
        <w:rPr>
          <w:rFonts w:cstheme="minorHAnsi"/>
          <w:sz w:val="24"/>
          <w:szCs w:val="24"/>
        </w:rPr>
        <w:t>8</w:t>
      </w:r>
      <w:r w:rsidR="00F61921" w:rsidRPr="00B5079E">
        <w:rPr>
          <w:rFonts w:cstheme="minorHAnsi"/>
          <w:sz w:val="24"/>
          <w:szCs w:val="24"/>
        </w:rPr>
        <w:t>.</w:t>
      </w:r>
      <w:r w:rsidR="00D1158B" w:rsidRPr="00B5079E">
        <w:rPr>
          <w:rFonts w:cstheme="minorHAnsi"/>
          <w:sz w:val="24"/>
          <w:szCs w:val="24"/>
        </w:rPr>
        <w:t>1</w:t>
      </w:r>
      <w:r w:rsidRPr="00B5079E">
        <w:rPr>
          <w:rFonts w:cstheme="minorHAnsi"/>
          <w:sz w:val="24"/>
          <w:szCs w:val="24"/>
        </w:rPr>
        <w:t xml:space="preserve">8% </w:t>
      </w:r>
      <w:r w:rsidR="00F61921" w:rsidRPr="00B5079E">
        <w:rPr>
          <w:rFonts w:cstheme="minorHAnsi"/>
          <w:sz w:val="24"/>
          <w:szCs w:val="24"/>
        </w:rPr>
        <w:t>a</w:t>
      </w:r>
      <w:r w:rsidRPr="00B5079E">
        <w:rPr>
          <w:rFonts w:cstheme="minorHAnsi"/>
          <w:sz w:val="24"/>
          <w:szCs w:val="24"/>
        </w:rPr>
        <w:t xml:space="preserve"> gastos de funcionamiento, el </w:t>
      </w:r>
      <w:r w:rsidR="00D1158B" w:rsidRPr="00B5079E">
        <w:rPr>
          <w:rFonts w:cstheme="minorHAnsi"/>
          <w:sz w:val="24"/>
          <w:szCs w:val="24"/>
        </w:rPr>
        <w:t>18</w:t>
      </w:r>
      <w:r w:rsidRPr="00B5079E">
        <w:rPr>
          <w:rFonts w:cstheme="minorHAnsi"/>
          <w:sz w:val="24"/>
          <w:szCs w:val="24"/>
        </w:rPr>
        <w:t>.</w:t>
      </w:r>
      <w:r w:rsidR="00D1158B" w:rsidRPr="00B5079E">
        <w:rPr>
          <w:rFonts w:cstheme="minorHAnsi"/>
          <w:sz w:val="24"/>
          <w:szCs w:val="24"/>
        </w:rPr>
        <w:t>26</w:t>
      </w:r>
      <w:r w:rsidRPr="00B5079E">
        <w:rPr>
          <w:rFonts w:cstheme="minorHAnsi"/>
          <w:sz w:val="24"/>
          <w:szCs w:val="24"/>
        </w:rPr>
        <w:t>% gastos de inversión y el 13.5</w:t>
      </w:r>
      <w:r w:rsidR="00D1158B" w:rsidRPr="00B5079E">
        <w:rPr>
          <w:rFonts w:cstheme="minorHAnsi"/>
          <w:sz w:val="24"/>
          <w:szCs w:val="24"/>
        </w:rPr>
        <w:t>6</w:t>
      </w:r>
      <w:r w:rsidRPr="00B5079E">
        <w:rPr>
          <w:rFonts w:cstheme="minorHAnsi"/>
          <w:sz w:val="24"/>
          <w:szCs w:val="24"/>
        </w:rPr>
        <w:t xml:space="preserve">% a gastos de la deuda pública, alcanzando en promedio una ejecución presupuestaria al 31 de diciembre del </w:t>
      </w:r>
      <w:r w:rsidR="00BD1BD3" w:rsidRPr="00B5079E">
        <w:rPr>
          <w:rFonts w:cstheme="minorHAnsi"/>
          <w:sz w:val="24"/>
          <w:szCs w:val="24"/>
        </w:rPr>
        <w:t>2022</w:t>
      </w:r>
      <w:r w:rsidRPr="00B5079E">
        <w:rPr>
          <w:rFonts w:cstheme="minorHAnsi"/>
          <w:sz w:val="24"/>
          <w:szCs w:val="24"/>
        </w:rPr>
        <w:t xml:space="preserve"> del </w:t>
      </w:r>
      <w:r w:rsidR="00D1158B" w:rsidRPr="00B5079E">
        <w:rPr>
          <w:rFonts w:cstheme="minorHAnsi"/>
          <w:sz w:val="24"/>
          <w:szCs w:val="24"/>
        </w:rPr>
        <w:t>96.14</w:t>
      </w:r>
      <w:r w:rsidRPr="00B5079E">
        <w:rPr>
          <w:rFonts w:cstheme="minorHAnsi"/>
          <w:sz w:val="24"/>
          <w:szCs w:val="24"/>
        </w:rPr>
        <w:t xml:space="preserve">%.     </w:t>
      </w:r>
    </w:p>
    <w:p w14:paraId="3B272A23" w14:textId="06FBD23B" w:rsidR="00CE3D5C" w:rsidRPr="00B5079E" w:rsidRDefault="6BDFCF16" w:rsidP="00B5079E">
      <w:pPr>
        <w:pStyle w:val="normalinforme"/>
        <w:spacing w:after="120" w:line="240" w:lineRule="auto"/>
        <w:rPr>
          <w:rFonts w:cstheme="minorHAnsi"/>
          <w:b/>
          <w:bCs/>
          <w:color w:val="1F3864" w:themeColor="accent1" w:themeShade="80"/>
          <w:sz w:val="28"/>
          <w:szCs w:val="28"/>
        </w:rPr>
      </w:pPr>
      <w:r w:rsidRPr="00B5079E">
        <w:rPr>
          <w:rFonts w:cstheme="minorHAnsi"/>
          <w:b/>
          <w:bCs/>
          <w:color w:val="1F3864" w:themeColor="accent1" w:themeShade="80"/>
          <w:sz w:val="28"/>
          <w:szCs w:val="28"/>
        </w:rPr>
        <w:t>Presupuesto asignado a las Municipalidades 2022</w:t>
      </w:r>
    </w:p>
    <w:p w14:paraId="5BCBB4C4" w14:textId="0A0AACF6" w:rsidR="6BDFCF16" w:rsidRDefault="6BDFCF16" w:rsidP="00B5079E">
      <w:pPr>
        <w:spacing w:after="120" w:line="240" w:lineRule="auto"/>
        <w:jc w:val="both"/>
        <w:rPr>
          <w:rFonts w:ascii="Calibri" w:eastAsia="Calibri" w:hAnsi="Calibri" w:cs="Calibri"/>
          <w:color w:val="000000" w:themeColor="text1"/>
          <w:sz w:val="24"/>
          <w:szCs w:val="24"/>
          <w:lang w:val="es"/>
        </w:rPr>
      </w:pPr>
      <w:r w:rsidRPr="00B5079E">
        <w:rPr>
          <w:rFonts w:eastAsia="Calibri" w:cstheme="minorHAnsi"/>
          <w:sz w:val="24"/>
          <w:szCs w:val="24"/>
          <w:lang w:val="es"/>
        </w:rPr>
        <w:t>L</w:t>
      </w:r>
      <w:r w:rsidRPr="6BDFCF16">
        <w:rPr>
          <w:rFonts w:ascii="Calibri" w:eastAsia="Calibri" w:hAnsi="Calibri" w:cs="Calibri"/>
          <w:sz w:val="24"/>
          <w:szCs w:val="24"/>
          <w:lang w:val="es"/>
        </w:rPr>
        <w:t>os gobiernos locales, reportaron al finalizar el año 2022 una meta vigente de ingresos de Q.</w:t>
      </w:r>
      <w:r w:rsidRPr="6BDFCF16">
        <w:rPr>
          <w:rFonts w:ascii="Calibri" w:eastAsia="Calibri" w:hAnsi="Calibri" w:cs="Calibri"/>
          <w:color w:val="000000" w:themeColor="text1"/>
          <w:sz w:val="24"/>
          <w:szCs w:val="24"/>
          <w:lang w:val="es"/>
        </w:rPr>
        <w:t xml:space="preserve">23,507.61 </w:t>
      </w:r>
      <w:r w:rsidRPr="6BDFCF16">
        <w:rPr>
          <w:rFonts w:ascii="Calibri" w:eastAsia="Calibri" w:hAnsi="Calibri" w:cs="Calibri"/>
          <w:sz w:val="24"/>
          <w:szCs w:val="24"/>
          <w:lang w:val="es"/>
        </w:rPr>
        <w:t>millones de quetzales, logrando percibir Q.</w:t>
      </w:r>
      <w:r w:rsidRPr="6BDFCF16">
        <w:rPr>
          <w:rFonts w:ascii="Calibri" w:eastAsia="Calibri" w:hAnsi="Calibri" w:cs="Calibri"/>
          <w:color w:val="000000" w:themeColor="text1"/>
          <w:sz w:val="24"/>
          <w:szCs w:val="24"/>
          <w:lang w:val="es"/>
        </w:rPr>
        <w:t xml:space="preserve">17,418.77 millones, que representan </w:t>
      </w:r>
      <w:r w:rsidRPr="6BDFCF16">
        <w:rPr>
          <w:rFonts w:ascii="Calibri" w:eastAsia="Calibri" w:hAnsi="Calibri" w:cs="Calibri"/>
          <w:sz w:val="24"/>
          <w:szCs w:val="24"/>
          <w:lang w:val="es"/>
        </w:rPr>
        <w:t xml:space="preserve">un 74% de lo planificado. Los </w:t>
      </w:r>
      <w:r w:rsidRPr="00B5079E">
        <w:rPr>
          <w:rFonts w:eastAsia="Calibri" w:cstheme="minorHAnsi"/>
          <w:sz w:val="24"/>
          <w:szCs w:val="24"/>
          <w:lang w:val="es"/>
        </w:rPr>
        <w:t>ingresos</w:t>
      </w:r>
      <w:r w:rsidRPr="6BDFCF16">
        <w:rPr>
          <w:rFonts w:ascii="Calibri" w:eastAsia="Calibri" w:hAnsi="Calibri" w:cs="Calibri"/>
          <w:sz w:val="24"/>
          <w:szCs w:val="24"/>
          <w:lang w:val="es"/>
        </w:rPr>
        <w:t xml:space="preserve"> propios sobresalen de todas las fuentes de financiamiento, representando un 47.52% (Q. </w:t>
      </w:r>
      <w:r w:rsidRPr="6BDFCF16">
        <w:rPr>
          <w:rFonts w:ascii="Calibri" w:eastAsia="Calibri" w:hAnsi="Calibri" w:cs="Calibri"/>
          <w:color w:val="000000" w:themeColor="text1"/>
          <w:sz w:val="24"/>
          <w:szCs w:val="24"/>
          <w:lang w:val="es"/>
        </w:rPr>
        <w:t xml:space="preserve">8,277.40 millones) </w:t>
      </w:r>
      <w:r w:rsidRPr="6BDFCF16">
        <w:rPr>
          <w:rFonts w:ascii="Calibri" w:eastAsia="Calibri" w:hAnsi="Calibri" w:cs="Calibri"/>
          <w:sz w:val="24"/>
          <w:szCs w:val="24"/>
          <w:lang w:val="es"/>
        </w:rPr>
        <w:t xml:space="preserve">de lo percibido, seguido de los Ingresos Tributarios IVA PAZ con 25.34% (Q. </w:t>
      </w:r>
      <w:r w:rsidRPr="6BDFCF16">
        <w:rPr>
          <w:rFonts w:ascii="Calibri" w:eastAsia="Calibri" w:hAnsi="Calibri" w:cs="Calibri"/>
          <w:color w:val="000000" w:themeColor="text1"/>
          <w:sz w:val="24"/>
          <w:szCs w:val="24"/>
          <w:lang w:val="es"/>
        </w:rPr>
        <w:t>4,413.22 millones) y los Ingresos Ordinarios de Aporte Constitucional 21.41% (Q. 3,730.02 millones). Así mismo, se puede notar que, durante el año, hubo modificaciones que aumentaron el monto asignado inicial por Q. 9,234.44 millones. Ver tabla siguiente.</w:t>
      </w:r>
      <w:bookmarkStart w:id="9" w:name="_Toc67376500"/>
      <w:bookmarkStart w:id="10" w:name="_Toc67376518"/>
      <w:bookmarkStart w:id="11" w:name="_Toc67376558"/>
      <w:bookmarkStart w:id="12" w:name="_Toc67377808"/>
      <w:bookmarkStart w:id="13" w:name="_Toc67381551"/>
    </w:p>
    <w:p w14:paraId="569A21E6" w14:textId="74006140" w:rsidR="00D7316E" w:rsidRDefault="00D7316E" w:rsidP="00B5079E">
      <w:pPr>
        <w:spacing w:after="120" w:line="240" w:lineRule="auto"/>
        <w:jc w:val="both"/>
        <w:rPr>
          <w:rFonts w:ascii="Helvetica" w:eastAsia="Helvetica" w:hAnsi="Helvetica" w:cs="Helvetica"/>
          <w:sz w:val="24"/>
          <w:szCs w:val="24"/>
          <w:highlight w:val="yellow"/>
          <w:lang w:val="es"/>
        </w:rPr>
      </w:pPr>
    </w:p>
    <w:p w14:paraId="4D9FDB45" w14:textId="4C905819" w:rsidR="00D7316E" w:rsidRDefault="00D7316E" w:rsidP="00B5079E">
      <w:pPr>
        <w:spacing w:after="120" w:line="240" w:lineRule="auto"/>
        <w:jc w:val="both"/>
        <w:rPr>
          <w:rFonts w:ascii="Helvetica" w:eastAsia="Helvetica" w:hAnsi="Helvetica" w:cs="Helvetica"/>
          <w:sz w:val="24"/>
          <w:szCs w:val="24"/>
          <w:highlight w:val="yellow"/>
          <w:lang w:val="es"/>
        </w:rPr>
      </w:pPr>
    </w:p>
    <w:p w14:paraId="58909C62" w14:textId="7D585F3B" w:rsidR="00D7316E" w:rsidRDefault="00D7316E" w:rsidP="00B5079E">
      <w:pPr>
        <w:spacing w:after="120" w:line="240" w:lineRule="auto"/>
        <w:jc w:val="both"/>
        <w:rPr>
          <w:rFonts w:ascii="Helvetica" w:eastAsia="Helvetica" w:hAnsi="Helvetica" w:cs="Helvetica"/>
          <w:sz w:val="24"/>
          <w:szCs w:val="24"/>
          <w:highlight w:val="yellow"/>
          <w:lang w:val="es"/>
        </w:rPr>
      </w:pPr>
    </w:p>
    <w:p w14:paraId="424A4AD4" w14:textId="58E33E00" w:rsidR="00D7316E" w:rsidRDefault="00D7316E" w:rsidP="00B5079E">
      <w:pPr>
        <w:spacing w:after="120" w:line="240" w:lineRule="auto"/>
        <w:jc w:val="both"/>
        <w:rPr>
          <w:rFonts w:ascii="Helvetica" w:eastAsia="Helvetica" w:hAnsi="Helvetica" w:cs="Helvetica"/>
          <w:sz w:val="24"/>
          <w:szCs w:val="24"/>
          <w:highlight w:val="yellow"/>
          <w:lang w:val="es"/>
        </w:rPr>
      </w:pPr>
    </w:p>
    <w:p w14:paraId="20CE5FEB" w14:textId="77777777" w:rsidR="00D7316E" w:rsidRDefault="00D7316E" w:rsidP="00B5079E">
      <w:pPr>
        <w:spacing w:after="120" w:line="240" w:lineRule="auto"/>
        <w:jc w:val="both"/>
        <w:rPr>
          <w:rFonts w:ascii="Helvetica" w:eastAsia="Helvetica" w:hAnsi="Helvetica" w:cs="Helvetica"/>
          <w:sz w:val="24"/>
          <w:szCs w:val="24"/>
          <w:highlight w:val="yellow"/>
          <w:lang w:val="es"/>
        </w:rPr>
      </w:pPr>
    </w:p>
    <w:p w14:paraId="58D02AE1" w14:textId="6057F5A1" w:rsidR="00693BD9" w:rsidRPr="00937739" w:rsidRDefault="0D5760DF" w:rsidP="00E5024C">
      <w:pPr>
        <w:pStyle w:val="ttulosgrficas"/>
        <w:rPr>
          <w:rFonts w:asciiTheme="minorHAnsi" w:eastAsia="Times New Roman" w:hAnsiTheme="minorHAnsi" w:cstheme="minorHAnsi"/>
          <w:color w:val="4472C4" w:themeColor="accent1"/>
          <w:lang w:val="es-ES"/>
        </w:rPr>
      </w:pPr>
      <w:bookmarkStart w:id="14" w:name="_Toc130199590"/>
      <w:bookmarkEnd w:id="9"/>
      <w:bookmarkEnd w:id="10"/>
      <w:bookmarkEnd w:id="11"/>
      <w:bookmarkEnd w:id="12"/>
      <w:bookmarkEnd w:id="13"/>
      <w:r w:rsidRPr="00937739">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w:t>
      </w:r>
      <w:r w:rsidR="006E5E0A">
        <w:rPr>
          <w:rFonts w:asciiTheme="minorHAnsi" w:eastAsia="Times New Roman" w:hAnsiTheme="minorHAnsi" w:cstheme="minorHAnsi"/>
          <w:color w:val="4472C4" w:themeColor="accent1"/>
          <w:lang w:val="es-ES"/>
        </w:rPr>
        <w:fldChar w:fldCharType="end"/>
      </w:r>
      <w:r w:rsidR="00A55633">
        <w:rPr>
          <w:rFonts w:asciiTheme="minorHAnsi" w:eastAsia="Times New Roman" w:hAnsiTheme="minorHAnsi" w:cstheme="minorHAnsi"/>
          <w:color w:val="4472C4" w:themeColor="accent1"/>
          <w:lang w:val="es-ES"/>
        </w:rPr>
        <w:t>.</w:t>
      </w:r>
      <w:r w:rsidRPr="00937739">
        <w:rPr>
          <w:rFonts w:asciiTheme="minorHAnsi" w:eastAsia="Times New Roman" w:hAnsiTheme="minorHAnsi" w:cstheme="minorHAnsi"/>
          <w:color w:val="4472C4" w:themeColor="accent1"/>
          <w:lang w:val="es-ES"/>
        </w:rPr>
        <w:t xml:space="preserve">  Presupuesto de ingresos municipales, por fuente de financiamiento</w:t>
      </w:r>
      <w:bookmarkEnd w:id="14"/>
    </w:p>
    <w:tbl>
      <w:tblPr>
        <w:tblStyle w:val="Tabladelista4-nfasis5"/>
        <w:tblpPr w:leftFromText="141" w:rightFromText="141" w:vertAnchor="text" w:horzAnchor="margin" w:tblpY="59"/>
        <w:tblW w:w="9435" w:type="dxa"/>
        <w:tblLayout w:type="fixed"/>
        <w:tblLook w:val="04A0" w:firstRow="1" w:lastRow="0" w:firstColumn="1" w:lastColumn="0" w:noHBand="0" w:noVBand="1"/>
      </w:tblPr>
      <w:tblGrid>
        <w:gridCol w:w="2400"/>
        <w:gridCol w:w="1418"/>
        <w:gridCol w:w="1417"/>
        <w:gridCol w:w="1418"/>
        <w:gridCol w:w="1417"/>
        <w:gridCol w:w="1365"/>
      </w:tblGrid>
      <w:tr w:rsidR="00937739" w14:paraId="3386F43D" w14:textId="77777777" w:rsidTr="005A771F">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5B9BD5" w:themeColor="accent5"/>
              <w:left w:val="single" w:sz="8" w:space="0" w:color="5B9BD5" w:themeColor="accent5"/>
              <w:bottom w:val="single" w:sz="8" w:space="0" w:color="5B9BD5" w:themeColor="accent5"/>
              <w:right w:val="single" w:sz="8" w:space="0" w:color="9CC2E5" w:themeColor="accent5" w:themeTint="99"/>
            </w:tcBorders>
            <w:tcMar>
              <w:left w:w="108" w:type="dxa"/>
              <w:right w:w="108" w:type="dxa"/>
            </w:tcMar>
            <w:vAlign w:val="center"/>
          </w:tcPr>
          <w:p w14:paraId="605BB65B" w14:textId="77777777" w:rsidR="00937739" w:rsidRDefault="00937739" w:rsidP="005A771F">
            <w:pPr>
              <w:jc w:val="center"/>
            </w:pPr>
            <w:r w:rsidRPr="6BDFCF16">
              <w:rPr>
                <w:rFonts w:ascii="Calibri" w:eastAsia="Calibri" w:hAnsi="Calibri" w:cs="Calibri"/>
                <w:color w:val="000000" w:themeColor="text1"/>
              </w:rPr>
              <w:t>Fuente Financiamiento</w:t>
            </w:r>
          </w:p>
        </w:tc>
        <w:tc>
          <w:tcPr>
            <w:tcW w:w="1418"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vAlign w:val="center"/>
          </w:tcPr>
          <w:p w14:paraId="396FBB7E" w14:textId="77777777" w:rsidR="00937739" w:rsidRDefault="00937739" w:rsidP="005A771F">
            <w:pPr>
              <w:jc w:val="center"/>
              <w:cnfStyle w:val="100000000000" w:firstRow="1"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Presupuesto Asignado*</w:t>
            </w:r>
          </w:p>
        </w:tc>
        <w:tc>
          <w:tcPr>
            <w:tcW w:w="1417"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vAlign w:val="center"/>
          </w:tcPr>
          <w:p w14:paraId="0E78A2F9" w14:textId="77777777" w:rsidR="00937739" w:rsidRDefault="00937739" w:rsidP="005A771F">
            <w:pPr>
              <w:jc w:val="center"/>
              <w:cnfStyle w:val="100000000000" w:firstRow="1"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Presupuesto Modificado*</w:t>
            </w:r>
          </w:p>
        </w:tc>
        <w:tc>
          <w:tcPr>
            <w:tcW w:w="1418"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vAlign w:val="center"/>
          </w:tcPr>
          <w:p w14:paraId="4510E7E6" w14:textId="77777777" w:rsidR="00937739" w:rsidRDefault="00937739" w:rsidP="005A771F">
            <w:pPr>
              <w:jc w:val="center"/>
              <w:cnfStyle w:val="100000000000" w:firstRow="1"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Presupuesto Vigente*</w:t>
            </w:r>
          </w:p>
        </w:tc>
        <w:tc>
          <w:tcPr>
            <w:tcW w:w="1417"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vAlign w:val="center"/>
          </w:tcPr>
          <w:p w14:paraId="349D3A4C" w14:textId="77777777" w:rsidR="00937739" w:rsidRDefault="00937739" w:rsidP="005A771F">
            <w:pPr>
              <w:jc w:val="center"/>
              <w:cnfStyle w:val="100000000000" w:firstRow="1"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Presupuesto Percibido*</w:t>
            </w:r>
          </w:p>
        </w:tc>
        <w:tc>
          <w:tcPr>
            <w:tcW w:w="1365" w:type="dxa"/>
            <w:tcBorders>
              <w:top w:val="single" w:sz="8" w:space="0" w:color="5B9BD5" w:themeColor="accent5"/>
              <w:left w:val="single" w:sz="8" w:space="0" w:color="9CC2E5" w:themeColor="accent5" w:themeTint="99"/>
              <w:bottom w:val="single" w:sz="8" w:space="0" w:color="5B9BD5" w:themeColor="accent5"/>
              <w:right w:val="single" w:sz="8" w:space="0" w:color="5B9BD5" w:themeColor="accent5"/>
            </w:tcBorders>
            <w:tcMar>
              <w:left w:w="108" w:type="dxa"/>
              <w:right w:w="108" w:type="dxa"/>
            </w:tcMar>
            <w:vAlign w:val="center"/>
          </w:tcPr>
          <w:p w14:paraId="687894D6" w14:textId="77777777" w:rsidR="002C6AD1" w:rsidRDefault="00937739" w:rsidP="005A771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rPr>
            </w:pPr>
            <w:r w:rsidRPr="008C4C7F">
              <w:rPr>
                <w:rFonts w:ascii="Calibri" w:eastAsia="Calibri" w:hAnsi="Calibri" w:cs="Calibri"/>
                <w:color w:val="000000" w:themeColor="text1"/>
              </w:rPr>
              <w:t>%</w:t>
            </w:r>
          </w:p>
          <w:p w14:paraId="0ED243FD" w14:textId="219C46E2" w:rsidR="00937739" w:rsidRDefault="008C4C7F" w:rsidP="005A771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sz w:val="16"/>
                <w:szCs w:val="16"/>
              </w:rPr>
            </w:pPr>
            <w:r w:rsidRPr="008C4C7F">
              <w:rPr>
                <w:rFonts w:ascii="Calibri" w:eastAsia="Calibri" w:hAnsi="Calibri" w:cs="Calibri"/>
                <w:color w:val="000000" w:themeColor="text1"/>
              </w:rPr>
              <w:t>Presupuesto Percibido</w:t>
            </w:r>
          </w:p>
        </w:tc>
      </w:tr>
      <w:tr w:rsidR="00937739" w14:paraId="2FCD6CAF" w14:textId="77777777" w:rsidTr="005A7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B548BE5" w14:textId="77777777" w:rsidR="00937739" w:rsidRDefault="00937739" w:rsidP="00937739">
            <w:r w:rsidRPr="6BDFCF16">
              <w:rPr>
                <w:rFonts w:ascii="Calibri" w:eastAsia="Calibri" w:hAnsi="Calibri" w:cs="Calibri"/>
                <w:color w:val="000000" w:themeColor="text1"/>
              </w:rPr>
              <w:t>Total</w:t>
            </w:r>
          </w:p>
        </w:tc>
        <w:tc>
          <w:tcPr>
            <w:tcW w:w="1418"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587B1D2" w14:textId="77777777" w:rsidR="00937739" w:rsidRDefault="00937739" w:rsidP="00937739">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b/>
                <w:bCs/>
                <w:color w:val="000000" w:themeColor="text1"/>
              </w:rPr>
              <w:t>14,273.17</w:t>
            </w:r>
          </w:p>
        </w:tc>
        <w:tc>
          <w:tcPr>
            <w:tcW w:w="1417"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1BDB921" w14:textId="77777777" w:rsidR="00937739" w:rsidRDefault="00937739" w:rsidP="00937739">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b/>
                <w:bCs/>
                <w:color w:val="000000" w:themeColor="text1"/>
              </w:rPr>
              <w:t>9,234.44</w:t>
            </w:r>
          </w:p>
        </w:tc>
        <w:tc>
          <w:tcPr>
            <w:tcW w:w="1418"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673F9C8" w14:textId="77777777" w:rsidR="00937739" w:rsidRDefault="00937739" w:rsidP="00937739">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b/>
                <w:bCs/>
                <w:color w:val="000000" w:themeColor="text1"/>
              </w:rPr>
              <w:t>23,507.61</w:t>
            </w:r>
          </w:p>
        </w:tc>
        <w:tc>
          <w:tcPr>
            <w:tcW w:w="1417"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A4262D8" w14:textId="77777777" w:rsidR="00937739" w:rsidRDefault="00937739" w:rsidP="00937739">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b/>
                <w:bCs/>
                <w:color w:val="000000" w:themeColor="text1"/>
              </w:rPr>
              <w:t>17,418.77</w:t>
            </w:r>
          </w:p>
        </w:tc>
        <w:tc>
          <w:tcPr>
            <w:tcW w:w="1365"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FD6D59B" w14:textId="3B809048" w:rsidR="00937739" w:rsidRDefault="00937739" w:rsidP="005A771F">
            <w:pPr>
              <w:jc w:val="center"/>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b/>
                <w:bCs/>
                <w:color w:val="000000" w:themeColor="text1"/>
              </w:rPr>
              <w:t>74.09%</w:t>
            </w:r>
          </w:p>
        </w:tc>
      </w:tr>
      <w:tr w:rsidR="00937739" w14:paraId="34062F37" w14:textId="77777777" w:rsidTr="005A771F">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6CF3316"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Ingresos Propios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05E7D812"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5,665.12</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2A58CE6E"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5,142.42</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2BF42C07"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10,807.54</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149C8C1"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8,277.40</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16A78781" w14:textId="77777777" w:rsidR="00937739" w:rsidRDefault="00937739" w:rsidP="005A771F">
            <w:pPr>
              <w:jc w:val="center"/>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47.52%</w:t>
            </w:r>
          </w:p>
        </w:tc>
      </w:tr>
      <w:tr w:rsidR="00937739" w14:paraId="32529B2E" w14:textId="77777777" w:rsidTr="005A7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C4E122A"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Ingresos Tributarios Iva Paz</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0A1BD683"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4,183.28</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69011FCD"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515.71</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6B2DEEDC"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4,698.99</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C3163A2"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4,413.22</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6DC8257A" w14:textId="77777777" w:rsidR="00937739" w:rsidRDefault="00937739" w:rsidP="005A771F">
            <w:pPr>
              <w:jc w:val="center"/>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25.34%</w:t>
            </w:r>
          </w:p>
        </w:tc>
      </w:tr>
      <w:tr w:rsidR="00937739" w14:paraId="74A2FE0D" w14:textId="77777777" w:rsidTr="005A771F">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617EFE1"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Ingresos Ordinarios de Aporte Constitucional</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7F5A5F1B"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3,547.35</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48FF7CE1"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388.90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0C669723"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3,936.25</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6C0D38F"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3,730.02</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E80F77B" w14:textId="77777777" w:rsidR="00937739" w:rsidRDefault="00937739" w:rsidP="005A771F">
            <w:pPr>
              <w:jc w:val="center"/>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21.41%</w:t>
            </w:r>
          </w:p>
        </w:tc>
      </w:tr>
      <w:tr w:rsidR="00937739" w14:paraId="5353C4EB" w14:textId="77777777" w:rsidTr="005A7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BF926CB"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Otros Recursos del Tesoro con Afectación Específica</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10520D25"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666.38</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6CEFE49"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51.02</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DFE190D"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717.40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813DC17"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635.58</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0CEF4C6E" w14:textId="77777777" w:rsidR="00937739" w:rsidRDefault="00937739" w:rsidP="005A771F">
            <w:pPr>
              <w:jc w:val="center"/>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3.65%</w:t>
            </w:r>
          </w:p>
        </w:tc>
      </w:tr>
      <w:tr w:rsidR="00937739" w14:paraId="3143A949" w14:textId="77777777" w:rsidTr="005A771F">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FB6449C"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Préstamos Internos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1E72FB53"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100.00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C207326"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553.24</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43EE4408"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653.24</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26B4CED5"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6BDFCF16">
              <w:rPr>
                <w:rFonts w:ascii="Calibri" w:eastAsia="Calibri" w:hAnsi="Calibri" w:cs="Calibri"/>
                <w:color w:val="000000" w:themeColor="text1"/>
              </w:rPr>
              <w:t>343.88</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016F98C0" w14:textId="77777777" w:rsidR="00937739" w:rsidRDefault="00937739" w:rsidP="005A771F">
            <w:pPr>
              <w:jc w:val="center"/>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1.97%</w:t>
            </w:r>
          </w:p>
        </w:tc>
      </w:tr>
      <w:tr w:rsidR="00937739" w14:paraId="04022175" w14:textId="77777777" w:rsidTr="005A7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BC21D75"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Donaciones Externas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0F0B881"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30.04</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1DE30864"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21.10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29C5A628"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51.13</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1E8402BF"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6BDFCF16">
              <w:rPr>
                <w:rFonts w:ascii="Calibri" w:eastAsia="Calibri" w:hAnsi="Calibri" w:cs="Calibri"/>
                <w:color w:val="000000" w:themeColor="text1"/>
              </w:rPr>
              <w:t>11.48</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496A09AE" w14:textId="77777777" w:rsidR="00937739" w:rsidRDefault="00937739" w:rsidP="005A771F">
            <w:pPr>
              <w:jc w:val="center"/>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0.07%</w:t>
            </w:r>
          </w:p>
        </w:tc>
      </w:tr>
      <w:tr w:rsidR="00937739" w14:paraId="0775CCEE" w14:textId="77777777" w:rsidTr="005A771F">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0CA3B00"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Donaciones Internas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4946635D"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1.00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2C5EC3FF"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11.05</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4A91E5FA"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12.05</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A308794"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6BDFCF16">
              <w:rPr>
                <w:rFonts w:ascii="Calibri" w:eastAsia="Calibri" w:hAnsi="Calibri" w:cs="Calibri"/>
                <w:color w:val="000000" w:themeColor="text1"/>
              </w:rPr>
              <w:t>6.99</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12CE17DA" w14:textId="77777777" w:rsidR="00937739" w:rsidRDefault="00937739" w:rsidP="005A771F">
            <w:pPr>
              <w:jc w:val="center"/>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0.04%</w:t>
            </w:r>
          </w:p>
        </w:tc>
      </w:tr>
      <w:tr w:rsidR="00937739" w14:paraId="07A115C2" w14:textId="77777777" w:rsidTr="005A7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D438BEB"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Disminución de Caja y Bancos de Ingresos Propios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35B9ED2"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30.00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CE8C012"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2,550.96</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681D4DF3"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2,580.96</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47445432"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6BDFCF16">
              <w:rPr>
                <w:rFonts w:ascii="Calibri" w:eastAsia="Calibri" w:hAnsi="Calibri" w:cs="Calibri"/>
                <w:color w:val="000000" w:themeColor="text1"/>
              </w:rPr>
              <w:t>0.20</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235ED1BD" w14:textId="77777777" w:rsidR="00937739" w:rsidRDefault="00937739" w:rsidP="005A771F">
            <w:pPr>
              <w:jc w:val="center"/>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r>
      <w:tr w:rsidR="00937739" w14:paraId="47F5FED3" w14:textId="77777777" w:rsidTr="005A771F">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9CC5BA3"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Aumentos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FE463D7"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7D710F6"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0B28FBF"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6D417F2E"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04B8FE07" w14:textId="77777777" w:rsidR="00937739" w:rsidRDefault="00937739" w:rsidP="005A771F">
            <w:pPr>
              <w:jc w:val="center"/>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r>
      <w:tr w:rsidR="00937739" w14:paraId="56995E32" w14:textId="77777777" w:rsidTr="005A7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33DCBE7"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Disminución de Caja y Bancos de Donaciones Internas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4C4424C"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68302E3B"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0.04</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1B6A785C"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0.04</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E981C9D"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0C8E9FE9" w14:textId="77777777" w:rsidR="00937739" w:rsidRDefault="00937739" w:rsidP="005A771F">
            <w:pPr>
              <w:jc w:val="center"/>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r>
      <w:tr w:rsidR="00937739" w14:paraId="609A5DF2" w14:textId="77777777" w:rsidTr="005A771F">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4BF98FA"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Disminución de Caja y Bancos de Préstamos Internos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55C8F7A"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AF9214C"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227F429E"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072B715B" w14:textId="77777777" w:rsidR="00937739" w:rsidRDefault="00937739" w:rsidP="005A771F">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28A86E40" w14:textId="77777777" w:rsidR="00937739" w:rsidRDefault="00937739" w:rsidP="005A771F">
            <w:pPr>
              <w:jc w:val="center"/>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r>
      <w:tr w:rsidR="00937739" w14:paraId="680AF314" w14:textId="77777777" w:rsidTr="005A7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D12FECF" w14:textId="77777777" w:rsidR="00937739" w:rsidRDefault="00937739" w:rsidP="00937739">
            <w:pPr>
              <w:rPr>
                <w:rFonts w:ascii="Calibri" w:eastAsia="Calibri" w:hAnsi="Calibri" w:cs="Calibri"/>
                <w:b w:val="0"/>
                <w:color w:val="000000" w:themeColor="text1"/>
              </w:rPr>
            </w:pPr>
            <w:r w:rsidRPr="01D9CEE3">
              <w:rPr>
                <w:rFonts w:ascii="Calibri" w:eastAsia="Calibri" w:hAnsi="Calibri" w:cs="Calibri"/>
                <w:b w:val="0"/>
                <w:color w:val="000000" w:themeColor="text1"/>
              </w:rPr>
              <w:t>Operaciones Patrimoniales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7CC60245"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351FE50"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0B96169C"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17EE2675" w14:textId="77777777" w:rsidR="00937739" w:rsidRDefault="00937739" w:rsidP="005A771F">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365"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26460A6E" w14:textId="77777777" w:rsidR="00937739" w:rsidRDefault="00937739" w:rsidP="005A771F">
            <w:pPr>
              <w:jc w:val="center"/>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r>
    </w:tbl>
    <w:p w14:paraId="30ED3186" w14:textId="77777777" w:rsidR="6BDFCF16" w:rsidRPr="00937739" w:rsidRDefault="6BDFCF16" w:rsidP="6BDFCF16">
      <w:pPr>
        <w:spacing w:after="0" w:line="240" w:lineRule="auto"/>
        <w:jc w:val="both"/>
        <w:rPr>
          <w:rFonts w:eastAsia="Times New Roman" w:cstheme="minorHAnsi"/>
          <w:sz w:val="18"/>
          <w:szCs w:val="18"/>
          <w:lang w:val="es-ES"/>
        </w:rPr>
      </w:pPr>
      <w:r w:rsidRPr="00937739">
        <w:rPr>
          <w:rFonts w:eastAsia="Times New Roman" w:cstheme="minorHAnsi"/>
          <w:sz w:val="18"/>
          <w:szCs w:val="18"/>
          <w:lang w:val="es-ES"/>
        </w:rPr>
        <w:t>*Cantidades expresadas en millones de quetzales.</w:t>
      </w:r>
    </w:p>
    <w:p w14:paraId="67505856" w14:textId="30118CB9" w:rsidR="6BDFCF16" w:rsidRPr="00937739" w:rsidRDefault="6BDFCF16" w:rsidP="00B5079E">
      <w:pPr>
        <w:spacing w:after="120" w:line="240" w:lineRule="auto"/>
        <w:jc w:val="both"/>
        <w:rPr>
          <w:rFonts w:cstheme="minorHAnsi"/>
        </w:rPr>
      </w:pPr>
      <w:r w:rsidRPr="00937739">
        <w:rPr>
          <w:rFonts w:eastAsia="Calibri" w:cstheme="minorHAnsi"/>
          <w:sz w:val="16"/>
          <w:szCs w:val="16"/>
          <w:lang w:val="es"/>
        </w:rPr>
        <w:t xml:space="preserve">Fuente: </w:t>
      </w:r>
      <w:hyperlink r:id="rId16">
        <w:r w:rsidRPr="00937739">
          <w:rPr>
            <w:rStyle w:val="Hipervnculo"/>
            <w:rFonts w:eastAsia="Calibri" w:cstheme="minorHAnsi"/>
            <w:sz w:val="16"/>
            <w:szCs w:val="16"/>
            <w:lang w:val="es"/>
          </w:rPr>
          <w:t>https://portalgl.minfin.gob.gt/index.php/reporte-de-ingresos/</w:t>
        </w:r>
      </w:hyperlink>
    </w:p>
    <w:p w14:paraId="6B995023" w14:textId="5793C99F" w:rsidR="005008A4" w:rsidRPr="00681322" w:rsidRDefault="6BDFCF16" w:rsidP="00B5079E">
      <w:pPr>
        <w:spacing w:after="120" w:line="240" w:lineRule="auto"/>
        <w:jc w:val="both"/>
        <w:rPr>
          <w:sz w:val="24"/>
        </w:rPr>
      </w:pPr>
      <w:r w:rsidRPr="00681322">
        <w:rPr>
          <w:rFonts w:eastAsia="Calibri" w:cs="Calibri"/>
          <w:sz w:val="24"/>
        </w:rPr>
        <w:t>En relación al presupuesto de egresos municipales, al finalizar el año 2022, los gobiernos locales ejecutaron un 75.12% (Q.</w:t>
      </w:r>
      <w:r w:rsidRPr="00681322">
        <w:rPr>
          <w:rFonts w:eastAsia="Calibri" w:cs="Calibri"/>
          <w:color w:val="000000" w:themeColor="text1"/>
          <w:sz w:val="24"/>
        </w:rPr>
        <w:t>17,658.52 millones</w:t>
      </w:r>
      <w:r w:rsidRPr="00681322">
        <w:rPr>
          <w:rFonts w:eastAsia="Calibri" w:cs="Calibri"/>
          <w:b/>
          <w:bCs/>
          <w:color w:val="000000" w:themeColor="text1"/>
          <w:sz w:val="24"/>
        </w:rPr>
        <w:t xml:space="preserve">) </w:t>
      </w:r>
      <w:r w:rsidRPr="00681322">
        <w:rPr>
          <w:rFonts w:eastAsia="Calibri" w:cs="Calibri"/>
          <w:sz w:val="24"/>
        </w:rPr>
        <w:t>de lo planificado; siendo la fuente de financiamiento de los Ingresos Propios, los que más se ejecutó, representando un 44.91% (Q. 7,930.72 millones), seguido de los Ingresos Tributarios IVA PAZ con un 21.37% (Q. 3,773.80 millones) e Ingresos Ordinarios de Aporte Constitucional con un 18.37% (Q. 3,244.24 millones). Ver tabla siguiente.</w:t>
      </w:r>
    </w:p>
    <w:p w14:paraId="645477AE" w14:textId="48249A40" w:rsidR="00FD48C9" w:rsidRPr="005008A4" w:rsidRDefault="6BDFCF16" w:rsidP="00B5079E">
      <w:pPr>
        <w:pStyle w:val="ttulosgrficas"/>
        <w:spacing w:after="120"/>
        <w:rPr>
          <w:rFonts w:asciiTheme="minorHAnsi" w:eastAsia="Times New Roman" w:hAnsiTheme="minorHAnsi" w:cstheme="minorHAnsi"/>
          <w:color w:val="4472C4" w:themeColor="accent1"/>
          <w:lang w:val="es-ES"/>
        </w:rPr>
      </w:pPr>
      <w:bookmarkStart w:id="15" w:name="_Toc130199591"/>
      <w:r w:rsidRPr="005008A4">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w:t>
      </w:r>
      <w:r w:rsidR="006E5E0A">
        <w:rPr>
          <w:rFonts w:asciiTheme="minorHAnsi" w:eastAsia="Times New Roman" w:hAnsiTheme="minorHAnsi" w:cstheme="minorHAnsi"/>
          <w:color w:val="4472C4" w:themeColor="accent1"/>
          <w:lang w:val="es-ES"/>
        </w:rPr>
        <w:fldChar w:fldCharType="end"/>
      </w:r>
      <w:r w:rsidR="00A55633">
        <w:rPr>
          <w:rFonts w:asciiTheme="minorHAnsi" w:eastAsia="Times New Roman" w:hAnsiTheme="minorHAnsi" w:cstheme="minorHAnsi"/>
          <w:color w:val="4472C4" w:themeColor="accent1"/>
          <w:lang w:val="es-ES"/>
        </w:rPr>
        <w:t>.</w:t>
      </w:r>
      <w:r w:rsidRPr="005008A4">
        <w:rPr>
          <w:rFonts w:asciiTheme="minorHAnsi" w:eastAsia="Times New Roman" w:hAnsiTheme="minorHAnsi" w:cstheme="minorHAnsi"/>
          <w:color w:val="4472C4" w:themeColor="accent1"/>
          <w:lang w:val="es-ES"/>
        </w:rPr>
        <w:t xml:space="preserve"> Presupuesto de Egresos municipales 2022, por fuente de financiamiento</w:t>
      </w:r>
      <w:bookmarkEnd w:id="15"/>
    </w:p>
    <w:tbl>
      <w:tblPr>
        <w:tblStyle w:val="Tabladelista4-nfasis5"/>
        <w:tblW w:w="9488" w:type="dxa"/>
        <w:tblLayout w:type="fixed"/>
        <w:tblLook w:val="04A0" w:firstRow="1" w:lastRow="0" w:firstColumn="1" w:lastColumn="0" w:noHBand="0" w:noVBand="1"/>
      </w:tblPr>
      <w:tblGrid>
        <w:gridCol w:w="2400"/>
        <w:gridCol w:w="1418"/>
        <w:gridCol w:w="1417"/>
        <w:gridCol w:w="1418"/>
        <w:gridCol w:w="1417"/>
        <w:gridCol w:w="1418"/>
      </w:tblGrid>
      <w:tr w:rsidR="6BDFCF16" w14:paraId="5EA965E0" w14:textId="77777777" w:rsidTr="002C6AD1">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5B9BD5" w:themeColor="accent5"/>
              <w:left w:val="single" w:sz="8" w:space="0" w:color="5B9BD5" w:themeColor="accent5"/>
              <w:bottom w:val="single" w:sz="8" w:space="0" w:color="5B9BD5" w:themeColor="accent5"/>
              <w:right w:val="single" w:sz="8" w:space="0" w:color="9CC2E5" w:themeColor="accent5" w:themeTint="99"/>
            </w:tcBorders>
            <w:tcMar>
              <w:left w:w="108" w:type="dxa"/>
              <w:right w:w="108" w:type="dxa"/>
            </w:tcMar>
            <w:vAlign w:val="center"/>
          </w:tcPr>
          <w:p w14:paraId="64018427" w14:textId="0CDFFE59" w:rsidR="6BDFCF16" w:rsidRDefault="6BDFCF16" w:rsidP="6BDFCF16">
            <w:pPr>
              <w:jc w:val="center"/>
            </w:pPr>
            <w:r w:rsidRPr="6BDFCF16">
              <w:rPr>
                <w:rFonts w:ascii="Calibri" w:eastAsia="Calibri" w:hAnsi="Calibri" w:cs="Calibri"/>
                <w:color w:val="000000" w:themeColor="text1"/>
              </w:rPr>
              <w:t>Fuente Financiamiento</w:t>
            </w:r>
          </w:p>
        </w:tc>
        <w:tc>
          <w:tcPr>
            <w:tcW w:w="1418"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tcPr>
          <w:p w14:paraId="30D0C479" w14:textId="1E6F20A4" w:rsidR="6BDFCF16" w:rsidRDefault="6BDFCF16" w:rsidP="6BDFCF16">
            <w:pPr>
              <w:jc w:val="center"/>
              <w:cnfStyle w:val="100000000000" w:firstRow="1"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Presupuesto Asignado*</w:t>
            </w:r>
          </w:p>
        </w:tc>
        <w:tc>
          <w:tcPr>
            <w:tcW w:w="1417"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tcPr>
          <w:p w14:paraId="20D86760" w14:textId="03DEC213" w:rsidR="6BDFCF16" w:rsidRDefault="6BDFCF16" w:rsidP="6BDFCF16">
            <w:pPr>
              <w:jc w:val="center"/>
              <w:cnfStyle w:val="100000000000" w:firstRow="1"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Presupuesto Modificado*</w:t>
            </w:r>
          </w:p>
        </w:tc>
        <w:tc>
          <w:tcPr>
            <w:tcW w:w="1418"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tcPr>
          <w:p w14:paraId="4188B777" w14:textId="5E2FE701" w:rsidR="6BDFCF16" w:rsidRDefault="6BDFCF16" w:rsidP="6BDFCF16">
            <w:pPr>
              <w:jc w:val="center"/>
              <w:cnfStyle w:val="100000000000" w:firstRow="1"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Presupuesto Vigente*</w:t>
            </w:r>
          </w:p>
        </w:tc>
        <w:tc>
          <w:tcPr>
            <w:tcW w:w="1417"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tcPr>
          <w:p w14:paraId="00D9665D" w14:textId="4E281521" w:rsidR="6BDFCF16" w:rsidRDefault="6BDFCF16" w:rsidP="6BDFCF16">
            <w:pPr>
              <w:jc w:val="center"/>
              <w:cnfStyle w:val="100000000000" w:firstRow="1"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Presupuesto Devengado*</w:t>
            </w:r>
          </w:p>
        </w:tc>
        <w:tc>
          <w:tcPr>
            <w:tcW w:w="1418" w:type="dxa"/>
            <w:tcBorders>
              <w:top w:val="single" w:sz="8" w:space="0" w:color="5B9BD5" w:themeColor="accent5"/>
              <w:left w:val="single" w:sz="8" w:space="0" w:color="9CC2E5" w:themeColor="accent5" w:themeTint="99"/>
              <w:bottom w:val="single" w:sz="8" w:space="0" w:color="5B9BD5" w:themeColor="accent5"/>
              <w:right w:val="single" w:sz="8" w:space="0" w:color="5B9BD5" w:themeColor="accent5"/>
            </w:tcBorders>
            <w:tcMar>
              <w:left w:w="108" w:type="dxa"/>
              <w:right w:w="108" w:type="dxa"/>
            </w:tcMar>
            <w:vAlign w:val="center"/>
          </w:tcPr>
          <w:p w14:paraId="3170CFD5" w14:textId="77777777" w:rsidR="002C6AD1" w:rsidRDefault="002C6AD1" w:rsidP="002C6AD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rPr>
            </w:pPr>
            <w:r w:rsidRPr="008C4C7F">
              <w:rPr>
                <w:rFonts w:ascii="Calibri" w:eastAsia="Calibri" w:hAnsi="Calibri" w:cs="Calibri"/>
                <w:color w:val="000000" w:themeColor="text1"/>
              </w:rPr>
              <w:t>%</w:t>
            </w:r>
          </w:p>
          <w:p w14:paraId="06961F3B" w14:textId="38452027" w:rsidR="6BDFCF16" w:rsidRDefault="002C6AD1" w:rsidP="002C6AD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themeColor="text1"/>
                <w:sz w:val="16"/>
                <w:szCs w:val="16"/>
              </w:rPr>
            </w:pPr>
            <w:r w:rsidRPr="008C4C7F">
              <w:rPr>
                <w:rFonts w:ascii="Calibri" w:eastAsia="Calibri" w:hAnsi="Calibri" w:cs="Calibri"/>
                <w:color w:val="000000" w:themeColor="text1"/>
              </w:rPr>
              <w:t xml:space="preserve">Presupuesto </w:t>
            </w:r>
            <w:r>
              <w:rPr>
                <w:rFonts w:ascii="Calibri" w:eastAsia="Calibri" w:hAnsi="Calibri" w:cs="Calibri"/>
                <w:color w:val="000000" w:themeColor="text1"/>
              </w:rPr>
              <w:t>Devengado</w:t>
            </w:r>
          </w:p>
        </w:tc>
      </w:tr>
      <w:tr w:rsidR="6BDFCF16" w14:paraId="2B3B485E" w14:textId="77777777" w:rsidTr="002C6A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77917E9" w14:textId="7868DB89" w:rsidR="6BDFCF16" w:rsidRDefault="6BDFCF16" w:rsidP="6BDFCF16">
            <w:pPr>
              <w:jc w:val="center"/>
            </w:pPr>
            <w:r w:rsidRPr="6BDFCF16">
              <w:rPr>
                <w:rFonts w:ascii="Calibri" w:eastAsia="Calibri" w:hAnsi="Calibri" w:cs="Calibri"/>
                <w:color w:val="000000" w:themeColor="text1"/>
              </w:rPr>
              <w:t>Total</w:t>
            </w:r>
          </w:p>
        </w:tc>
        <w:tc>
          <w:tcPr>
            <w:tcW w:w="1418"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5827A6D" w14:textId="05496CCD"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b/>
                <w:bCs/>
                <w:color w:val="000000" w:themeColor="text1"/>
              </w:rPr>
              <w:t>14,273.17</w:t>
            </w:r>
          </w:p>
        </w:tc>
        <w:tc>
          <w:tcPr>
            <w:tcW w:w="1417"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1E4AB45" w14:textId="74F67934"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b/>
                <w:bCs/>
                <w:color w:val="000000" w:themeColor="text1"/>
              </w:rPr>
              <w:t>9,234.43</w:t>
            </w:r>
          </w:p>
        </w:tc>
        <w:tc>
          <w:tcPr>
            <w:tcW w:w="1418"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9291F38" w14:textId="0E930077"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b/>
                <w:bCs/>
                <w:color w:val="000000" w:themeColor="text1"/>
              </w:rPr>
              <w:t>23,507.60</w:t>
            </w:r>
          </w:p>
        </w:tc>
        <w:tc>
          <w:tcPr>
            <w:tcW w:w="1417"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7519093" w14:textId="2E1BF049"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b/>
                <w:bCs/>
                <w:color w:val="000000" w:themeColor="text1"/>
              </w:rPr>
              <w:t>17,658.52</w:t>
            </w:r>
          </w:p>
        </w:tc>
        <w:tc>
          <w:tcPr>
            <w:tcW w:w="1418"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5E27F4C6" w14:textId="148F7EF3" w:rsidR="6BDFCF16" w:rsidRDefault="01D9CEE3" w:rsidP="01D9CEE3">
            <w:pPr>
              <w:jc w:val="right"/>
              <w:cnfStyle w:val="000000100000" w:firstRow="0" w:lastRow="0" w:firstColumn="0" w:lastColumn="0" w:oddVBand="0" w:evenVBand="0" w:oddHBand="1" w:evenHBand="0" w:firstRowFirstColumn="0" w:firstRowLastColumn="0" w:lastRowFirstColumn="0" w:lastRowLastColumn="0"/>
              <w:rPr>
                <w:b/>
              </w:rPr>
            </w:pPr>
            <w:r w:rsidRPr="01D9CEE3">
              <w:rPr>
                <w:b/>
                <w:bCs/>
              </w:rPr>
              <w:t>75.12%</w:t>
            </w:r>
          </w:p>
        </w:tc>
      </w:tr>
      <w:tr w:rsidR="6BDFCF16" w14:paraId="4D37C271" w14:textId="77777777" w:rsidTr="002C6AD1">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8EEE0AC" w14:textId="51469886"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31 - Ingresos Propios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3B6434D" w14:textId="33C5AED9"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5,665.12</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329C287C" w14:textId="117A4223"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5,141.84</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FD68CDA" w14:textId="3B6F7C89"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10,806.96</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5AC2479" w14:textId="7626C94C"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7,930.72</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451B4C3" w14:textId="054880EA"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44.91%</w:t>
            </w:r>
          </w:p>
        </w:tc>
      </w:tr>
      <w:tr w:rsidR="6BDFCF16" w14:paraId="40E2D54E" w14:textId="77777777" w:rsidTr="002C6A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60E675E" w14:textId="2848BAB2"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21 - Ingresos Tributarios Iva Paz</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B145D6A" w14:textId="7F65399F"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4,183.28</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6AB5F46" w14:textId="66EE76F3"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515.71</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35FDCE5" w14:textId="04A7657B"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4,698.99</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2495029" w14:textId="0E6047E5"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3,773.80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3441F70" w14:textId="7EB379AF"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21.37%</w:t>
            </w:r>
          </w:p>
        </w:tc>
      </w:tr>
      <w:tr w:rsidR="6BDFCF16" w14:paraId="5C98A3A2" w14:textId="77777777" w:rsidTr="002C6AD1">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8712740" w14:textId="7CF41D0A"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22 - Ingresos Ordinarios de Aporte Constitucional</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306B7FB8" w14:textId="25B2E508"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3,547.35</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106C728" w14:textId="4EE49489"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388.89</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28485A6" w14:textId="065C09A9"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3,936.24</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BE391E6" w14:textId="23E74CB1"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3,244.24</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1A7A18E" w14:textId="7662BEE3"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18.37%</w:t>
            </w:r>
          </w:p>
        </w:tc>
      </w:tr>
      <w:tr w:rsidR="6BDFCF16" w14:paraId="672CA3F6" w14:textId="77777777" w:rsidTr="002C6A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79E1320" w14:textId="2AA6500D"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32 - Disminución de Caja y Bancos de Ingresos Propios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2185FF4" w14:textId="7BC4F1A8"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30.00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FA71415" w14:textId="68673D54"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2,550.96</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003EEE6" w14:textId="37045655"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2,580.96</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7FEC41C" w14:textId="33AB8A77"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1,753.44</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3BCC394B" w14:textId="110C1374"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9.93%</w:t>
            </w:r>
          </w:p>
        </w:tc>
      </w:tr>
      <w:tr w:rsidR="6BDFCF16" w14:paraId="1AE76543" w14:textId="77777777" w:rsidTr="002C6AD1">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172AB77" w14:textId="7306DB44"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29 - Otros Recursos del Tesoro con Afectación Específica</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78D4B47" w14:textId="522F8955"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666.38</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F7B519B" w14:textId="14BDABEC"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51.02</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568199D" w14:textId="37AD4EC9"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717.40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DB78E5E" w14:textId="366C7D2F"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503.61</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F3AE5E5" w14:textId="73C10BE7"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2.85%</w:t>
            </w:r>
          </w:p>
        </w:tc>
      </w:tr>
      <w:tr w:rsidR="6BDFCF16" w14:paraId="18C2A2CA" w14:textId="77777777" w:rsidTr="002C6A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7430271" w14:textId="72A62620"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42 - Préstamos Internos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82E3768" w14:textId="171A2DFD"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100.00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CB26BEA" w14:textId="04142A21"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553.82</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31C31FD4" w14:textId="707C076C"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653.82</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F196D47" w14:textId="05D72ADD" w:rsidR="6BDFCF16" w:rsidRDefault="6BDFCF16" w:rsidP="6BDFCF1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6BDFCF16">
              <w:rPr>
                <w:rFonts w:ascii="Calibri" w:eastAsia="Calibri" w:hAnsi="Calibri" w:cs="Calibri"/>
                <w:color w:val="000000" w:themeColor="text1"/>
              </w:rPr>
              <w:t>414.95</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98B055E" w14:textId="1F087446"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2.35%</w:t>
            </w:r>
          </w:p>
        </w:tc>
      </w:tr>
      <w:tr w:rsidR="6BDFCF16" w14:paraId="48479795" w14:textId="77777777" w:rsidTr="002C6AD1">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601703A" w14:textId="48433058"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61 - Donaciones Externas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595D885" w14:textId="46430C35"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30.04</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9D129E1" w14:textId="60AF811A"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21.10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C56AE8F" w14:textId="5A8B23A2"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51.13</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42D0D58" w14:textId="6F875B1C" w:rsidR="6BDFCF16" w:rsidRDefault="6BDFCF16" w:rsidP="6BDFCF16">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6BDFCF16">
              <w:rPr>
                <w:rFonts w:ascii="Calibri" w:eastAsia="Calibri" w:hAnsi="Calibri" w:cs="Calibri"/>
                <w:color w:val="000000" w:themeColor="text1"/>
              </w:rPr>
              <w:t>30.37</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CBBD709" w14:textId="56CFA9F1"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0.17%</w:t>
            </w:r>
          </w:p>
        </w:tc>
      </w:tr>
      <w:tr w:rsidR="6BDFCF16" w14:paraId="2D3CC7FC" w14:textId="77777777" w:rsidTr="002C6A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65266D3" w14:textId="7D03DE25"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71 - Donaciones Internas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59CE0C9" w14:textId="4137F39B"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1.00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B25CC47" w14:textId="66895111"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11.05</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1390818" w14:textId="1A55EABD"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12.05</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7D449E2" w14:textId="10E1121E" w:rsidR="6BDFCF16" w:rsidRDefault="6BDFCF16" w:rsidP="6BDFCF16">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6BDFCF16">
              <w:rPr>
                <w:rFonts w:ascii="Calibri" w:eastAsia="Calibri" w:hAnsi="Calibri" w:cs="Calibri"/>
                <w:color w:val="000000" w:themeColor="text1"/>
              </w:rPr>
              <w:t>7.36</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60F35E4" w14:textId="3DEB5717"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0.04%</w:t>
            </w:r>
          </w:p>
        </w:tc>
      </w:tr>
      <w:tr w:rsidR="6BDFCF16" w14:paraId="218D478A" w14:textId="77777777" w:rsidTr="002C6AD1">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9807ABE" w14:textId="7F22B099"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72 - Disminución de Caja y Bancos de Donaciones Internas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6E46CC0" w14:textId="764BAD86"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B19B752" w14:textId="1B4C9B94"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0.04</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311A856E" w14:textId="0CB8C928"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0.04</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2364912" w14:textId="2AA382C8" w:rsidR="6BDFCF16" w:rsidRDefault="6BDFCF16" w:rsidP="6BDFCF16">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6BDFCF16">
              <w:rPr>
                <w:rFonts w:ascii="Calibri" w:eastAsia="Calibri" w:hAnsi="Calibri" w:cs="Calibri"/>
                <w:color w:val="000000" w:themeColor="text1"/>
              </w:rPr>
              <w:t>0.04</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30D28C2A" w14:textId="7ADD301B"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r>
      <w:tr w:rsidR="6BDFCF16" w14:paraId="700899F9" w14:textId="77777777" w:rsidTr="002C6A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6FB7DFB" w14:textId="3294C312"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0 - Sin Fuente</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A324C9E" w14:textId="4E876BCB"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2ACE43A" w14:textId="2D3994CC"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98D91E6" w14:textId="1E698E26"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4702B60" w14:textId="79188DE5"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0BA2F1E" w14:textId="4CE84290"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r>
      <w:tr w:rsidR="6BDFCF16" w14:paraId="10359484" w14:textId="77777777" w:rsidTr="002C6AD1">
        <w:trPr>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7C686651" w14:textId="56A0D24C"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44 - Disminución de Caja y Bancos de Préstamos Internos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46F063F" w14:textId="6A551542"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0F6F20C" w14:textId="28887634"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E5E64A7" w14:textId="59F3A64D"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50.00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78BFBC7" w14:textId="24BCFAFF"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76F1358" w14:textId="30C61DF1" w:rsidR="6BDFCF16" w:rsidRDefault="6BDFCF16" w:rsidP="6BDFCF16">
            <w:pPr>
              <w:jc w:val="right"/>
              <w:cnfStyle w:val="000000000000" w:firstRow="0" w:lastRow="0" w:firstColumn="0" w:lastColumn="0" w:oddVBand="0" w:evenVBand="0" w:oddHBand="0" w:evenHBand="0" w:firstRowFirstColumn="0" w:firstRowLastColumn="0" w:lastRowFirstColumn="0" w:lastRowLastColumn="0"/>
            </w:pPr>
            <w:r w:rsidRPr="6BDFCF16">
              <w:rPr>
                <w:rFonts w:ascii="Calibri" w:eastAsia="Calibri" w:hAnsi="Calibri" w:cs="Calibri"/>
                <w:color w:val="000000" w:themeColor="text1"/>
              </w:rPr>
              <w:t>0.00%</w:t>
            </w:r>
          </w:p>
        </w:tc>
      </w:tr>
      <w:tr w:rsidR="6BDFCF16" w14:paraId="734B4A27" w14:textId="77777777" w:rsidTr="002C6A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064FAF3" w14:textId="1AE5E9ED" w:rsidR="6BDFCF16" w:rsidRDefault="6BDFCF16" w:rsidP="6BDFCF16">
            <w:pPr>
              <w:rPr>
                <w:rFonts w:ascii="Calibri" w:eastAsia="Calibri" w:hAnsi="Calibri" w:cs="Calibri"/>
                <w:b w:val="0"/>
                <w:color w:val="000000" w:themeColor="text1"/>
              </w:rPr>
            </w:pPr>
            <w:r w:rsidRPr="01D9CEE3">
              <w:rPr>
                <w:rFonts w:ascii="Calibri" w:eastAsia="Calibri" w:hAnsi="Calibri" w:cs="Calibri"/>
                <w:b w:val="0"/>
                <w:color w:val="000000" w:themeColor="text1"/>
              </w:rPr>
              <w:t>9 - Aumentos</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7F75A2E" w14:textId="5FEAE0E2"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376DEA99" w14:textId="779D3B7D"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C7CC5E8" w14:textId="3AFAFF83"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7"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1FE178D" w14:textId="5DE89042"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c>
          <w:tcPr>
            <w:tcW w:w="1418"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FB2F9B6" w14:textId="2BF3E476" w:rsidR="6BDFCF16" w:rsidRDefault="6BDFCF16" w:rsidP="6BDFCF16">
            <w:pPr>
              <w:jc w:val="right"/>
              <w:cnfStyle w:val="000000100000" w:firstRow="0" w:lastRow="0" w:firstColumn="0" w:lastColumn="0" w:oddVBand="0" w:evenVBand="0" w:oddHBand="1" w:evenHBand="0" w:firstRowFirstColumn="0" w:firstRowLastColumn="0" w:lastRowFirstColumn="0" w:lastRowLastColumn="0"/>
            </w:pPr>
            <w:r w:rsidRPr="6BDFCF16">
              <w:rPr>
                <w:rFonts w:ascii="Calibri" w:eastAsia="Calibri" w:hAnsi="Calibri" w:cs="Calibri"/>
                <w:color w:val="000000" w:themeColor="text1"/>
              </w:rPr>
              <w:t>0.00%</w:t>
            </w:r>
          </w:p>
        </w:tc>
      </w:tr>
    </w:tbl>
    <w:p w14:paraId="6FF50DD0" w14:textId="7101AB46" w:rsidR="007F25FC" w:rsidRPr="005008A4" w:rsidRDefault="007F25FC" w:rsidP="00B5079E">
      <w:pPr>
        <w:autoSpaceDE w:val="0"/>
        <w:autoSpaceDN w:val="0"/>
        <w:adjustRightInd w:val="0"/>
        <w:spacing w:after="0" w:line="240" w:lineRule="auto"/>
        <w:jc w:val="both"/>
        <w:rPr>
          <w:rFonts w:eastAsia="Times New Roman" w:cstheme="minorHAnsi"/>
          <w:sz w:val="18"/>
          <w:szCs w:val="18"/>
          <w:lang w:val="es-ES"/>
        </w:rPr>
      </w:pPr>
      <w:r w:rsidRPr="005008A4">
        <w:rPr>
          <w:rFonts w:eastAsia="Times New Roman" w:cstheme="minorHAnsi"/>
          <w:sz w:val="18"/>
          <w:szCs w:val="18"/>
          <w:lang w:val="es-ES"/>
        </w:rPr>
        <w:t>*Cantidades expresadas en millones de quetzales.</w:t>
      </w:r>
    </w:p>
    <w:p w14:paraId="282EE79B" w14:textId="30EA6799" w:rsidR="049B63E7" w:rsidRPr="005008A4" w:rsidRDefault="049B63E7" w:rsidP="00B5079E">
      <w:pPr>
        <w:spacing w:after="120" w:line="240" w:lineRule="auto"/>
        <w:jc w:val="both"/>
        <w:rPr>
          <w:rFonts w:eastAsia="Times New Roman" w:cstheme="minorHAnsi"/>
          <w:sz w:val="18"/>
          <w:szCs w:val="18"/>
          <w:lang w:val="es-ES"/>
        </w:rPr>
      </w:pPr>
      <w:r w:rsidRPr="005008A4">
        <w:rPr>
          <w:rFonts w:eastAsia="Times New Roman" w:cstheme="minorHAnsi"/>
          <w:sz w:val="18"/>
          <w:szCs w:val="18"/>
          <w:lang w:val="es-ES"/>
        </w:rPr>
        <w:t xml:space="preserve">Fuente: </w:t>
      </w:r>
      <w:hyperlink r:id="rId17">
        <w:r w:rsidRPr="005008A4">
          <w:rPr>
            <w:rFonts w:eastAsia="Times New Roman" w:cstheme="minorHAnsi"/>
            <w:color w:val="0563C1"/>
            <w:sz w:val="18"/>
            <w:szCs w:val="18"/>
            <w:u w:val="single"/>
            <w:lang w:val="es-ES"/>
          </w:rPr>
          <w:t>https://portalgl.minfin.gob.gt/index.php/reporte-de-gastos/</w:t>
        </w:r>
      </w:hyperlink>
    </w:p>
    <w:p w14:paraId="261241F5" w14:textId="010B5244" w:rsidR="00431FEA" w:rsidRPr="00644EA2" w:rsidRDefault="049B63E7" w:rsidP="00644EA2">
      <w:pPr>
        <w:pStyle w:val="Ttulo2"/>
        <w:numPr>
          <w:ilvl w:val="0"/>
          <w:numId w:val="0"/>
        </w:numPr>
        <w:spacing w:before="240" w:after="120"/>
        <w:rPr>
          <w:rFonts w:asciiTheme="minorHAnsi" w:eastAsia="Calibri" w:hAnsiTheme="minorHAnsi" w:cstheme="minorHAnsi"/>
          <w:sz w:val="32"/>
        </w:rPr>
      </w:pPr>
      <w:bookmarkStart w:id="16" w:name="_Toc130301101"/>
      <w:r w:rsidRPr="00644EA2">
        <w:rPr>
          <w:rFonts w:asciiTheme="minorHAnsi" w:eastAsia="Calibri" w:hAnsiTheme="minorHAnsi" w:cstheme="minorHAnsi"/>
          <w:sz w:val="32"/>
        </w:rPr>
        <w:t>Eficiencia</w:t>
      </w:r>
      <w:bookmarkEnd w:id="16"/>
    </w:p>
    <w:p w14:paraId="31A58C6C" w14:textId="2A5CDCFA" w:rsidR="049B63E7" w:rsidRDefault="049B63E7" w:rsidP="00B5079E">
      <w:pPr>
        <w:spacing w:after="120" w:line="240" w:lineRule="auto"/>
        <w:jc w:val="both"/>
      </w:pPr>
      <w:r w:rsidRPr="049B63E7">
        <w:rPr>
          <w:rFonts w:ascii="Calibri" w:eastAsia="Calibri" w:hAnsi="Calibri" w:cs="Calibri"/>
          <w:sz w:val="24"/>
          <w:szCs w:val="24"/>
        </w:rPr>
        <w:t xml:space="preserve">Se refiere a los resultados comparativos entre la ejecución y la asignación presupuestaria institucional y municipal, incluyendo la inversión pública y la cooperación internacional. </w:t>
      </w:r>
    </w:p>
    <w:p w14:paraId="29F20115" w14:textId="1B45021B" w:rsidR="049B63E7" w:rsidRDefault="049B63E7" w:rsidP="00644EA2">
      <w:pPr>
        <w:pStyle w:val="Ttulo1"/>
        <w:numPr>
          <w:ilvl w:val="0"/>
          <w:numId w:val="99"/>
        </w:numPr>
        <w:spacing w:after="120"/>
        <w:jc w:val="both"/>
        <w:rPr>
          <w:rFonts w:ascii="Calibri" w:eastAsia="Calibri" w:hAnsi="Calibri" w:cs="Calibri"/>
        </w:rPr>
      </w:pPr>
      <w:bookmarkStart w:id="17" w:name="_Toc130301102"/>
      <w:r w:rsidRPr="049B63E7">
        <w:rPr>
          <w:rFonts w:ascii="Calibri" w:eastAsia="Calibri" w:hAnsi="Calibri" w:cs="Calibri"/>
        </w:rPr>
        <w:t>Avance de metas y cumplimiento de la calidad del gasto de las instituciones del sector público</w:t>
      </w:r>
      <w:bookmarkEnd w:id="17"/>
    </w:p>
    <w:p w14:paraId="3DE1F35B" w14:textId="0C83E7BB" w:rsidR="049B63E7" w:rsidRDefault="049B63E7" w:rsidP="005008A4">
      <w:pPr>
        <w:spacing w:after="120" w:line="240" w:lineRule="auto"/>
        <w:jc w:val="both"/>
      </w:pPr>
      <w:r w:rsidRPr="049B63E7">
        <w:rPr>
          <w:rFonts w:ascii="Calibri" w:eastAsia="Calibri" w:hAnsi="Calibri" w:cs="Calibri"/>
          <w:sz w:val="24"/>
          <w:szCs w:val="24"/>
        </w:rPr>
        <w:t>En esta sección se presenta el análisis de los resultados de la ejecución de metas físicas y financieras de 129 instituciones del sector público. Los resultados reflejan el desempeño institucional en el cumplimiento de las metas según la producción de cada entidad. Los datos analizados incluyen las metas vigentes, la ejecución y los porcentajes de ejecución física y financiera al 31 de diciembre de 2022.</w:t>
      </w:r>
    </w:p>
    <w:p w14:paraId="2F1A6A5A" w14:textId="38C6FF44" w:rsidR="049B63E7" w:rsidRDefault="049B63E7" w:rsidP="005008A4">
      <w:pPr>
        <w:spacing w:after="120" w:line="240" w:lineRule="auto"/>
        <w:jc w:val="both"/>
      </w:pPr>
      <w:r w:rsidRPr="049B63E7">
        <w:rPr>
          <w:rFonts w:ascii="Calibri" w:eastAsia="Calibri" w:hAnsi="Calibri" w:cs="Calibri"/>
          <w:sz w:val="24"/>
          <w:szCs w:val="24"/>
        </w:rPr>
        <w:t>Es importante mencionar que el principal insumo utilizado para el análisis de los datos fue el Sistema de Planes Institucionales -Siplan-, plataforma puesta a disposición de las instituciones para realizar los registros de la producción, la programación, reprogramación y la ejecución de las metas físicas y financieras.</w:t>
      </w:r>
    </w:p>
    <w:p w14:paraId="26256AB6" w14:textId="13FFD48D" w:rsidR="049B63E7" w:rsidRDefault="049B63E7" w:rsidP="005008A4">
      <w:pPr>
        <w:spacing w:after="120" w:line="240" w:lineRule="auto"/>
        <w:jc w:val="both"/>
      </w:pPr>
      <w:r w:rsidRPr="049B63E7">
        <w:rPr>
          <w:rFonts w:ascii="Calibri" w:eastAsia="Calibri" w:hAnsi="Calibri" w:cs="Calibri"/>
          <w:sz w:val="24"/>
          <w:szCs w:val="24"/>
        </w:rPr>
        <w:t>Se presentan los resultados para dos tipos de análisis, primero, el análisis de la eficiencia institucional como un indicador de la calidad del gasto público según los recursos presupuestarios asignados, se tomó en consideración la meta financiera vigente que incluye los aumentos y disminuciones del presupuesto y la ejecución financiera acumulada en el año para obtener los porcentajes de ejecución de la producción institucional. Lo anterior, permite inferir que a mayor porcentaje de ejecución habrá mayor eficiencia en la calidad del gasto público como un indicador del desempeño institucional.</w:t>
      </w:r>
    </w:p>
    <w:p w14:paraId="41B4B48E" w14:textId="26790F29" w:rsidR="049B63E7" w:rsidRDefault="049B63E7" w:rsidP="005008A4">
      <w:pPr>
        <w:spacing w:after="120" w:line="240" w:lineRule="auto"/>
        <w:jc w:val="both"/>
      </w:pPr>
      <w:r w:rsidRPr="049B63E7">
        <w:rPr>
          <w:rFonts w:ascii="Calibri" w:eastAsia="Calibri" w:hAnsi="Calibri" w:cs="Calibri"/>
          <w:sz w:val="24"/>
          <w:szCs w:val="24"/>
        </w:rPr>
        <w:t xml:space="preserve">Por otra parte, se presenta el análisis de la eficacia como un indicador del desempeño institucional en la entrega de bienes y servicios a la población según la programación de metas realizada en el año. El porcentaje de ejecución de meta física permitirá deducir que a mayor porcentaje, será mayor la eficacia institucional en el cumplimiento de las metas a través de las intervenciones realizadas oportunamente. </w:t>
      </w:r>
    </w:p>
    <w:p w14:paraId="3E558C33" w14:textId="05713E6E" w:rsidR="049B63E7" w:rsidRDefault="049B63E7" w:rsidP="005008A4">
      <w:pPr>
        <w:spacing w:after="120" w:line="240" w:lineRule="auto"/>
        <w:jc w:val="both"/>
      </w:pPr>
      <w:r w:rsidRPr="049B63E7">
        <w:rPr>
          <w:rFonts w:ascii="Calibri" w:eastAsia="Calibri" w:hAnsi="Calibri" w:cs="Calibri"/>
          <w:sz w:val="24"/>
          <w:szCs w:val="24"/>
        </w:rPr>
        <w:t>La relación entre los dos indicadores de desempeño (eficiencia y eficacia) permitirán conocer la capacidad de las instituciones como un indicador de efectividad para alcanzar las metas físicas y financieras según lo programado.</w:t>
      </w:r>
    </w:p>
    <w:p w14:paraId="517E88E1" w14:textId="36143960" w:rsidR="049B63E7" w:rsidRDefault="049B63E7" w:rsidP="005008A4">
      <w:pPr>
        <w:spacing w:after="120" w:line="240" w:lineRule="auto"/>
        <w:jc w:val="both"/>
      </w:pPr>
      <w:r w:rsidRPr="049B63E7">
        <w:rPr>
          <w:rFonts w:ascii="Calibri" w:eastAsia="Calibri" w:hAnsi="Calibri" w:cs="Calibri"/>
          <w:sz w:val="24"/>
          <w:szCs w:val="24"/>
        </w:rPr>
        <w:t>Es importante indicar que se hará énfasis en los resultados de las instituciones que hayan presentado ejecución media o baja de metas físicas y financieras, como una alerta para mejorar el desempeño institucional y así alcanzar los resultados y metas para el próximo año.</w:t>
      </w:r>
    </w:p>
    <w:p w14:paraId="478586D0" w14:textId="17307845" w:rsidR="049B63E7" w:rsidRDefault="049B63E7" w:rsidP="005008A4">
      <w:pPr>
        <w:spacing w:after="120" w:line="240" w:lineRule="auto"/>
        <w:jc w:val="both"/>
      </w:pPr>
      <w:r w:rsidRPr="049B63E7">
        <w:rPr>
          <w:rFonts w:ascii="Calibri" w:eastAsia="Calibri" w:hAnsi="Calibri" w:cs="Calibri"/>
          <w:sz w:val="24"/>
          <w:szCs w:val="24"/>
        </w:rPr>
        <w:t>La alerta en los resultados de los porcentajes de ejecución física y financiera se presentará por medio de los colores del semáforo:</w:t>
      </w:r>
    </w:p>
    <w:tbl>
      <w:tblPr>
        <w:tblW w:w="3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1762"/>
      </w:tblGrid>
      <w:tr w:rsidR="002C6AD1" w:rsidRPr="00C05E3E" w14:paraId="4E846F8B" w14:textId="77777777" w:rsidTr="002C6AD1">
        <w:trPr>
          <w:trHeight w:val="132"/>
          <w:jc w:val="center"/>
        </w:trPr>
        <w:tc>
          <w:tcPr>
            <w:tcW w:w="1421" w:type="dxa"/>
            <w:shd w:val="clear" w:color="auto" w:fill="92D050"/>
            <w:vAlign w:val="center"/>
            <w:hideMark/>
          </w:tcPr>
          <w:p w14:paraId="0259F1AF" w14:textId="77777777" w:rsidR="002C6AD1" w:rsidRPr="00C05E3E" w:rsidRDefault="002C6AD1" w:rsidP="00334C5B">
            <w:pPr>
              <w:spacing w:after="0" w:line="240" w:lineRule="auto"/>
              <w:rPr>
                <w:rFonts w:eastAsia="Times New Roman" w:cstheme="minorHAnsi"/>
                <w:b/>
                <w:bCs/>
                <w:iCs/>
                <w:color w:val="000000"/>
                <w:szCs w:val="24"/>
                <w:lang w:eastAsia="es-GT"/>
              </w:rPr>
            </w:pPr>
            <w:r w:rsidRPr="00C05E3E">
              <w:rPr>
                <w:rFonts w:eastAsia="Times New Roman" w:cstheme="minorHAnsi"/>
                <w:b/>
                <w:bCs/>
                <w:iCs/>
                <w:color w:val="000000"/>
                <w:szCs w:val="24"/>
                <w:lang w:eastAsia="es-GT"/>
              </w:rPr>
              <w:t>90% - 100%</w:t>
            </w:r>
          </w:p>
        </w:tc>
        <w:tc>
          <w:tcPr>
            <w:tcW w:w="1762" w:type="dxa"/>
            <w:shd w:val="clear" w:color="auto" w:fill="auto"/>
            <w:vAlign w:val="center"/>
            <w:hideMark/>
          </w:tcPr>
          <w:p w14:paraId="4F997E05" w14:textId="77777777" w:rsidR="002C6AD1" w:rsidRPr="00C05E3E" w:rsidRDefault="002C6AD1" w:rsidP="00334C5B">
            <w:pPr>
              <w:spacing w:after="0" w:line="240" w:lineRule="auto"/>
              <w:rPr>
                <w:rFonts w:eastAsia="Times New Roman" w:cstheme="minorHAnsi"/>
                <w:iCs/>
                <w:color w:val="000000"/>
                <w:szCs w:val="24"/>
                <w:lang w:eastAsia="es-GT"/>
              </w:rPr>
            </w:pPr>
            <w:r w:rsidRPr="00C05E3E">
              <w:rPr>
                <w:rFonts w:eastAsia="Times New Roman" w:cstheme="minorHAnsi"/>
                <w:iCs/>
                <w:color w:val="000000"/>
                <w:szCs w:val="24"/>
                <w:lang w:eastAsia="es-GT"/>
              </w:rPr>
              <w:t>Ejecución alta</w:t>
            </w:r>
          </w:p>
        </w:tc>
      </w:tr>
      <w:tr w:rsidR="002C6AD1" w:rsidRPr="00C05E3E" w14:paraId="7A99C14C" w14:textId="77777777" w:rsidTr="002C6AD1">
        <w:trPr>
          <w:trHeight w:val="132"/>
          <w:jc w:val="center"/>
        </w:trPr>
        <w:tc>
          <w:tcPr>
            <w:tcW w:w="1421" w:type="dxa"/>
            <w:shd w:val="clear" w:color="000000" w:fill="FFFF00"/>
            <w:vAlign w:val="center"/>
            <w:hideMark/>
          </w:tcPr>
          <w:p w14:paraId="49B7FD4A" w14:textId="77777777" w:rsidR="002C6AD1" w:rsidRPr="00C05E3E" w:rsidRDefault="002C6AD1" w:rsidP="00334C5B">
            <w:pPr>
              <w:spacing w:after="0" w:line="240" w:lineRule="auto"/>
              <w:rPr>
                <w:rFonts w:eastAsia="Times New Roman" w:cstheme="minorHAnsi"/>
                <w:b/>
                <w:bCs/>
                <w:iCs/>
                <w:color w:val="000000"/>
                <w:szCs w:val="24"/>
                <w:lang w:eastAsia="es-GT"/>
              </w:rPr>
            </w:pPr>
            <w:r w:rsidRPr="00C05E3E">
              <w:rPr>
                <w:rFonts w:eastAsia="Times New Roman" w:cstheme="minorHAnsi"/>
                <w:b/>
                <w:bCs/>
                <w:iCs/>
                <w:color w:val="000000"/>
                <w:szCs w:val="24"/>
                <w:lang w:eastAsia="es-GT"/>
              </w:rPr>
              <w:t>50% - 89%</w:t>
            </w:r>
          </w:p>
        </w:tc>
        <w:tc>
          <w:tcPr>
            <w:tcW w:w="1762" w:type="dxa"/>
            <w:shd w:val="clear" w:color="auto" w:fill="auto"/>
            <w:vAlign w:val="center"/>
            <w:hideMark/>
          </w:tcPr>
          <w:p w14:paraId="327CD8E6" w14:textId="77777777" w:rsidR="002C6AD1" w:rsidRPr="00C05E3E" w:rsidRDefault="002C6AD1" w:rsidP="00334C5B">
            <w:pPr>
              <w:spacing w:after="0" w:line="240" w:lineRule="auto"/>
              <w:rPr>
                <w:rFonts w:eastAsia="Times New Roman" w:cstheme="minorHAnsi"/>
                <w:iCs/>
                <w:color w:val="000000"/>
                <w:szCs w:val="24"/>
                <w:lang w:eastAsia="es-GT"/>
              </w:rPr>
            </w:pPr>
            <w:r w:rsidRPr="00C05E3E">
              <w:rPr>
                <w:rFonts w:eastAsia="Times New Roman" w:cstheme="minorHAnsi"/>
                <w:iCs/>
                <w:color w:val="000000"/>
                <w:szCs w:val="24"/>
                <w:lang w:eastAsia="es-GT"/>
              </w:rPr>
              <w:t>Ejecución media</w:t>
            </w:r>
          </w:p>
        </w:tc>
      </w:tr>
      <w:tr w:rsidR="002C6AD1" w:rsidRPr="00C05E3E" w14:paraId="3697FC7E" w14:textId="77777777" w:rsidTr="002C6AD1">
        <w:trPr>
          <w:trHeight w:val="132"/>
          <w:jc w:val="center"/>
        </w:trPr>
        <w:tc>
          <w:tcPr>
            <w:tcW w:w="1421" w:type="dxa"/>
            <w:shd w:val="clear" w:color="auto" w:fill="FF0000"/>
            <w:vAlign w:val="center"/>
            <w:hideMark/>
          </w:tcPr>
          <w:p w14:paraId="77998754" w14:textId="77777777" w:rsidR="002C6AD1" w:rsidRPr="00C05E3E" w:rsidRDefault="002C6AD1" w:rsidP="00334C5B">
            <w:pPr>
              <w:spacing w:after="0" w:line="240" w:lineRule="auto"/>
              <w:rPr>
                <w:rFonts w:eastAsia="Times New Roman" w:cstheme="minorHAnsi"/>
                <w:b/>
                <w:bCs/>
                <w:iCs/>
                <w:color w:val="000000"/>
                <w:szCs w:val="24"/>
                <w:lang w:eastAsia="es-GT"/>
              </w:rPr>
            </w:pPr>
            <w:r w:rsidRPr="00C05E3E">
              <w:rPr>
                <w:rFonts w:eastAsia="Times New Roman" w:cstheme="minorHAnsi"/>
                <w:b/>
                <w:bCs/>
                <w:iCs/>
                <w:color w:val="000000"/>
                <w:szCs w:val="24"/>
                <w:lang w:eastAsia="es-GT"/>
              </w:rPr>
              <w:t>0% - 49%</w:t>
            </w:r>
          </w:p>
        </w:tc>
        <w:tc>
          <w:tcPr>
            <w:tcW w:w="1762" w:type="dxa"/>
            <w:shd w:val="clear" w:color="auto" w:fill="auto"/>
            <w:vAlign w:val="center"/>
            <w:hideMark/>
          </w:tcPr>
          <w:p w14:paraId="57E99222" w14:textId="77777777" w:rsidR="002C6AD1" w:rsidRPr="00C05E3E" w:rsidRDefault="002C6AD1" w:rsidP="00334C5B">
            <w:pPr>
              <w:spacing w:after="0" w:line="240" w:lineRule="auto"/>
              <w:rPr>
                <w:rFonts w:eastAsia="Times New Roman" w:cstheme="minorHAnsi"/>
                <w:iCs/>
                <w:color w:val="000000"/>
                <w:szCs w:val="24"/>
                <w:lang w:eastAsia="es-GT"/>
              </w:rPr>
            </w:pPr>
            <w:r w:rsidRPr="00C05E3E">
              <w:rPr>
                <w:rFonts w:eastAsia="Times New Roman" w:cstheme="minorHAnsi"/>
                <w:iCs/>
                <w:color w:val="000000"/>
                <w:szCs w:val="24"/>
                <w:lang w:eastAsia="es-GT"/>
              </w:rPr>
              <w:t>Ejecución baja</w:t>
            </w:r>
          </w:p>
        </w:tc>
      </w:tr>
    </w:tbl>
    <w:p w14:paraId="63FF6726" w14:textId="1F06C0C8" w:rsidR="049B63E7" w:rsidRPr="002C6AD1" w:rsidRDefault="049B63E7" w:rsidP="002C6AD1">
      <w:pPr>
        <w:spacing w:before="120" w:after="120" w:line="240" w:lineRule="auto"/>
        <w:jc w:val="both"/>
        <w:rPr>
          <w:rFonts w:cstheme="minorHAnsi"/>
        </w:rPr>
      </w:pPr>
      <w:r w:rsidRPr="002C6AD1">
        <w:rPr>
          <w:rFonts w:eastAsia="Calibri" w:cstheme="minorHAnsi"/>
          <w:sz w:val="24"/>
          <w:szCs w:val="24"/>
        </w:rPr>
        <w:t>Con color verde: ejecución alta, color amarillo: ejecución media y color rojo: ejecución baja. Los rangos de porcentaje de ejecución, representan el grado de avance y cumplimiento según la programación anual de metas en el POA.</w:t>
      </w:r>
    </w:p>
    <w:p w14:paraId="698F168A" w14:textId="6347FB90" w:rsidR="049B63E7" w:rsidRPr="002C6AD1" w:rsidRDefault="049B63E7" w:rsidP="005008A4">
      <w:pPr>
        <w:spacing w:after="120" w:line="240" w:lineRule="auto"/>
        <w:jc w:val="both"/>
        <w:rPr>
          <w:rFonts w:cstheme="minorHAnsi"/>
        </w:rPr>
      </w:pPr>
      <w:r w:rsidRPr="002C6AD1">
        <w:rPr>
          <w:rFonts w:eastAsia="Calibri" w:cstheme="minorHAnsi"/>
          <w:sz w:val="24"/>
          <w:szCs w:val="24"/>
        </w:rPr>
        <w:t>Los datos de ejecución financiera y porcentajes de ejecución de meta física y financiera se presentarán por tipo de institución de la siguiente manera:</w:t>
      </w:r>
    </w:p>
    <w:p w14:paraId="06648911" w14:textId="7E86BA52" w:rsidR="049B63E7" w:rsidRPr="002C6AD1" w:rsidRDefault="049B63E7" w:rsidP="002C6AD1">
      <w:pPr>
        <w:pStyle w:val="Prrafodelista"/>
        <w:numPr>
          <w:ilvl w:val="0"/>
          <w:numId w:val="11"/>
        </w:numPr>
        <w:spacing w:before="120" w:after="120" w:line="240" w:lineRule="auto"/>
        <w:ind w:left="714" w:hanging="357"/>
        <w:contextualSpacing w:val="0"/>
        <w:jc w:val="both"/>
        <w:rPr>
          <w:rFonts w:eastAsia="Helvetica" w:cstheme="minorHAnsi"/>
          <w:color w:val="000000" w:themeColor="text1"/>
          <w:sz w:val="24"/>
          <w:szCs w:val="24"/>
          <w:lang w:val="es"/>
        </w:rPr>
      </w:pPr>
      <w:r w:rsidRPr="002C6AD1">
        <w:rPr>
          <w:rFonts w:eastAsia="Helvetica" w:cstheme="minorHAnsi"/>
          <w:b/>
          <w:bCs/>
          <w:color w:val="000000" w:themeColor="text1"/>
          <w:sz w:val="24"/>
          <w:szCs w:val="24"/>
          <w:lang w:val="es"/>
        </w:rPr>
        <w:t>Meta financiera anual vigente:</w:t>
      </w:r>
      <w:r w:rsidRPr="002C6AD1">
        <w:rPr>
          <w:rFonts w:eastAsia="Helvetica" w:cstheme="minorHAnsi"/>
          <w:color w:val="000000" w:themeColor="text1"/>
          <w:sz w:val="24"/>
          <w:szCs w:val="24"/>
          <w:lang w:val="es"/>
        </w:rPr>
        <w:t xml:space="preserve"> se refiere al presupuesto inicial programado, +/- reprogramaciones de metas financieras o modificaciones presupuestarias.  </w:t>
      </w:r>
    </w:p>
    <w:p w14:paraId="14458E78" w14:textId="6AD6CFBD" w:rsidR="049B63E7" w:rsidRPr="002C6AD1" w:rsidRDefault="049B63E7" w:rsidP="002C6AD1">
      <w:pPr>
        <w:pStyle w:val="Prrafodelista"/>
        <w:numPr>
          <w:ilvl w:val="0"/>
          <w:numId w:val="11"/>
        </w:numPr>
        <w:spacing w:before="120" w:after="120" w:line="240" w:lineRule="auto"/>
        <w:ind w:left="714" w:hanging="357"/>
        <w:contextualSpacing w:val="0"/>
        <w:jc w:val="both"/>
        <w:rPr>
          <w:rFonts w:eastAsia="Helvetica" w:cstheme="minorHAnsi"/>
          <w:color w:val="000000" w:themeColor="text1"/>
          <w:sz w:val="24"/>
          <w:szCs w:val="24"/>
          <w:lang w:val="es"/>
        </w:rPr>
      </w:pPr>
      <w:r w:rsidRPr="002C6AD1">
        <w:rPr>
          <w:rFonts w:eastAsia="Helvetica" w:cstheme="minorHAnsi"/>
          <w:b/>
          <w:bCs/>
          <w:color w:val="000000" w:themeColor="text1"/>
          <w:sz w:val="24"/>
          <w:szCs w:val="24"/>
          <w:lang w:val="es"/>
        </w:rPr>
        <w:t>Ejecución</w:t>
      </w:r>
      <w:r w:rsidRPr="002C6AD1">
        <w:rPr>
          <w:rFonts w:eastAsia="Helvetica" w:cstheme="minorHAnsi"/>
          <w:color w:val="000000" w:themeColor="text1"/>
          <w:sz w:val="24"/>
          <w:szCs w:val="24"/>
          <w:lang w:val="es"/>
        </w:rPr>
        <w:t xml:space="preserve"> </w:t>
      </w:r>
      <w:r w:rsidRPr="002C6AD1">
        <w:rPr>
          <w:rFonts w:eastAsia="Helvetica" w:cstheme="minorHAnsi"/>
          <w:b/>
          <w:bCs/>
          <w:color w:val="000000" w:themeColor="text1"/>
          <w:sz w:val="24"/>
          <w:szCs w:val="24"/>
          <w:lang w:val="es"/>
        </w:rPr>
        <w:t>financiera</w:t>
      </w:r>
      <w:r w:rsidRPr="002C6AD1">
        <w:rPr>
          <w:rFonts w:eastAsia="Helvetica" w:cstheme="minorHAnsi"/>
          <w:color w:val="000000" w:themeColor="text1"/>
          <w:sz w:val="24"/>
          <w:szCs w:val="24"/>
          <w:lang w:val="es"/>
        </w:rPr>
        <w:t>: se refiere a la meta financiera ejecutada o presupuesto ejecutado de enero a diciembre de 2022.</w:t>
      </w:r>
    </w:p>
    <w:p w14:paraId="78DD7DAA" w14:textId="1F5B7A19" w:rsidR="049B63E7" w:rsidRPr="002C6AD1" w:rsidRDefault="049B63E7" w:rsidP="002C6AD1">
      <w:pPr>
        <w:pStyle w:val="Prrafodelista"/>
        <w:numPr>
          <w:ilvl w:val="0"/>
          <w:numId w:val="11"/>
        </w:numPr>
        <w:spacing w:before="120" w:after="120" w:line="240" w:lineRule="auto"/>
        <w:ind w:left="714" w:hanging="357"/>
        <w:contextualSpacing w:val="0"/>
        <w:jc w:val="both"/>
        <w:rPr>
          <w:rFonts w:eastAsia="Helvetica" w:cstheme="minorHAnsi"/>
          <w:color w:val="000000" w:themeColor="text1"/>
          <w:sz w:val="24"/>
          <w:szCs w:val="24"/>
        </w:rPr>
      </w:pPr>
      <w:r w:rsidRPr="002C6AD1">
        <w:rPr>
          <w:rFonts w:eastAsia="Helvetica" w:cstheme="minorHAnsi"/>
          <w:b/>
          <w:bCs/>
          <w:color w:val="000000" w:themeColor="text1"/>
          <w:sz w:val="24"/>
          <w:szCs w:val="24"/>
        </w:rPr>
        <w:t xml:space="preserve">Porcentaje (%) de ejecución de meta física: </w:t>
      </w:r>
      <w:r w:rsidRPr="002C6AD1">
        <w:rPr>
          <w:rFonts w:eastAsia="Helvetica" w:cstheme="minorHAnsi"/>
          <w:color w:val="000000" w:themeColor="text1"/>
          <w:sz w:val="24"/>
          <w:szCs w:val="24"/>
        </w:rPr>
        <w:t>muestra cuánto se ejecutó respecto de la meta vigente, con lo cual, se puede inferir que a mayor porcentaje habrá mayor eficacia en la entrega de bienes y servicios, lo que permitirá el cumplimiento de las metas físicas programadas.</w:t>
      </w:r>
    </w:p>
    <w:p w14:paraId="297881D1" w14:textId="59649936" w:rsidR="049B63E7" w:rsidRDefault="049B63E7" w:rsidP="002C6AD1">
      <w:pPr>
        <w:pStyle w:val="Prrafodelista"/>
        <w:numPr>
          <w:ilvl w:val="0"/>
          <w:numId w:val="11"/>
        </w:numPr>
        <w:spacing w:before="120" w:after="120" w:line="240" w:lineRule="auto"/>
        <w:ind w:left="714" w:hanging="357"/>
        <w:contextualSpacing w:val="0"/>
        <w:jc w:val="both"/>
        <w:rPr>
          <w:rFonts w:eastAsia="Helvetica" w:cstheme="minorHAnsi"/>
          <w:color w:val="000000" w:themeColor="text1"/>
          <w:sz w:val="24"/>
          <w:szCs w:val="24"/>
          <w:lang w:val="es"/>
        </w:rPr>
      </w:pPr>
      <w:r w:rsidRPr="002C6AD1">
        <w:rPr>
          <w:rFonts w:eastAsia="Helvetica" w:cstheme="minorHAnsi"/>
          <w:b/>
          <w:bCs/>
          <w:color w:val="000000" w:themeColor="text1"/>
          <w:sz w:val="24"/>
          <w:szCs w:val="24"/>
          <w:lang w:val="es"/>
        </w:rPr>
        <w:t>Porcentaje (%) de ejecución de meta financiera</w:t>
      </w:r>
      <w:r w:rsidRPr="002C6AD1">
        <w:rPr>
          <w:rFonts w:eastAsia="Helvetica" w:cstheme="minorHAnsi"/>
          <w:color w:val="000000" w:themeColor="text1"/>
          <w:sz w:val="24"/>
          <w:szCs w:val="24"/>
          <w:lang w:val="es"/>
        </w:rPr>
        <w:t>: muestra cuánto se ejecutó respecto de la meta vigente, lo que permite inferir que a mayor porcentaje habrá mayor eficiencia en la calidad del gasto público como un indicador de desempeño.</w:t>
      </w:r>
    </w:p>
    <w:p w14:paraId="03569E4A" w14:textId="77777777" w:rsidR="00BD6D78" w:rsidRPr="00BD6D78" w:rsidRDefault="00BD6D78" w:rsidP="00BD6D78">
      <w:pPr>
        <w:spacing w:before="120" w:after="120" w:line="240" w:lineRule="auto"/>
        <w:jc w:val="both"/>
        <w:rPr>
          <w:rFonts w:eastAsia="Helvetica" w:cstheme="minorHAnsi"/>
          <w:color w:val="000000" w:themeColor="text1"/>
          <w:sz w:val="24"/>
          <w:szCs w:val="24"/>
          <w:lang w:val="es"/>
        </w:rPr>
      </w:pPr>
    </w:p>
    <w:p w14:paraId="3C54B487" w14:textId="22974758" w:rsidR="049B63E7" w:rsidRPr="00644EA2" w:rsidRDefault="049B63E7" w:rsidP="00644EA2">
      <w:pPr>
        <w:pStyle w:val="Ttulo2"/>
        <w:numPr>
          <w:ilvl w:val="0"/>
          <w:numId w:val="0"/>
        </w:numPr>
        <w:rPr>
          <w:rFonts w:asciiTheme="minorHAnsi" w:eastAsia="Calibri" w:hAnsiTheme="minorHAnsi" w:cstheme="minorHAnsi"/>
          <w:color w:val="002060"/>
          <w:sz w:val="32"/>
        </w:rPr>
      </w:pPr>
      <w:bookmarkStart w:id="18" w:name="_Toc130301103"/>
      <w:r w:rsidRPr="00644EA2">
        <w:rPr>
          <w:rFonts w:asciiTheme="minorHAnsi" w:eastAsia="Calibri" w:hAnsiTheme="minorHAnsi" w:cstheme="minorHAnsi"/>
          <w:color w:val="002060"/>
          <w:sz w:val="32"/>
        </w:rPr>
        <w:t>Ministerios</w:t>
      </w:r>
      <w:bookmarkEnd w:id="18"/>
    </w:p>
    <w:p w14:paraId="0AC123FA" w14:textId="5ED6EB27" w:rsidR="049B63E7" w:rsidRDefault="049B63E7" w:rsidP="00681322">
      <w:pPr>
        <w:spacing w:before="120" w:after="120" w:line="240" w:lineRule="auto"/>
        <w:jc w:val="both"/>
      </w:pPr>
      <w:r w:rsidRPr="049B63E7">
        <w:rPr>
          <w:rFonts w:ascii="Calibri" w:eastAsia="Calibri" w:hAnsi="Calibri" w:cs="Calibri"/>
          <w:sz w:val="24"/>
          <w:szCs w:val="24"/>
        </w:rPr>
        <w:t>Se presentan los resultados del desempeño institucional de los ministerios a través del análisis de los porcentajes de ejecución de metas físicas y financieras. Los resultados son los siguientes:</w:t>
      </w:r>
    </w:p>
    <w:tbl>
      <w:tblPr>
        <w:tblStyle w:val="Tablaconcuadrcula4-nfasis5"/>
        <w:tblpPr w:leftFromText="141" w:rightFromText="141" w:vertAnchor="text" w:horzAnchor="margin" w:tblpY="345"/>
        <w:tblW w:w="0" w:type="auto"/>
        <w:tbl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insideH w:val="single" w:sz="6" w:space="0" w:color="8EAADB" w:themeColor="accent1" w:themeTint="99"/>
          <w:insideV w:val="single" w:sz="6" w:space="0" w:color="8EAADB" w:themeColor="accent1" w:themeTint="99"/>
        </w:tblBorders>
        <w:tblLayout w:type="fixed"/>
        <w:tblLook w:val="04A0" w:firstRow="1" w:lastRow="0" w:firstColumn="1" w:lastColumn="0" w:noHBand="0" w:noVBand="1"/>
      </w:tblPr>
      <w:tblGrid>
        <w:gridCol w:w="2265"/>
        <w:gridCol w:w="2104"/>
        <w:gridCol w:w="2035"/>
        <w:gridCol w:w="1407"/>
        <w:gridCol w:w="1513"/>
      </w:tblGrid>
      <w:tr w:rsidR="005008A4" w14:paraId="6299CB18" w14:textId="77777777" w:rsidTr="005008A4">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66F04545" w14:textId="77777777" w:rsidR="005008A4" w:rsidRDefault="005008A4" w:rsidP="005008A4">
            <w:pPr>
              <w:jc w:val="center"/>
              <w:rPr>
                <w:rFonts w:cs="Calibri"/>
                <w:sz w:val="22"/>
                <w:szCs w:val="22"/>
                <w:lang w:val="es"/>
              </w:rPr>
            </w:pPr>
            <w:r w:rsidRPr="049B63E7">
              <w:rPr>
                <w:rFonts w:cs="Calibri"/>
                <w:color w:val="auto"/>
                <w:sz w:val="22"/>
                <w:szCs w:val="22"/>
                <w:lang w:val="es"/>
              </w:rPr>
              <w:t>Institución</w:t>
            </w:r>
          </w:p>
        </w:tc>
        <w:tc>
          <w:tcPr>
            <w:tcW w:w="2104"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2A9E4E7F" w14:textId="77777777" w:rsidR="005008A4" w:rsidRDefault="005008A4" w:rsidP="005008A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049B63E7">
              <w:rPr>
                <w:rFonts w:cs="Calibri"/>
                <w:color w:val="auto"/>
                <w:sz w:val="22"/>
                <w:szCs w:val="22"/>
                <w:lang w:val="es"/>
              </w:rPr>
              <w:t>Meta financiera anual vigente</w:t>
            </w:r>
          </w:p>
        </w:tc>
        <w:tc>
          <w:tcPr>
            <w:tcW w:w="203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6361D3B" w14:textId="77777777" w:rsidR="005008A4" w:rsidRDefault="005008A4" w:rsidP="005008A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049B63E7">
              <w:rPr>
                <w:rFonts w:cs="Calibri"/>
                <w:color w:val="auto"/>
                <w:sz w:val="22"/>
                <w:szCs w:val="22"/>
                <w:lang w:val="es"/>
              </w:rPr>
              <w:t>Ejecución financiera acumulada</w:t>
            </w:r>
          </w:p>
        </w:tc>
        <w:tc>
          <w:tcPr>
            <w:tcW w:w="1407"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350C11AA" w14:textId="77777777" w:rsidR="005008A4" w:rsidRDefault="005008A4" w:rsidP="005008A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049B63E7">
              <w:rPr>
                <w:rFonts w:cs="Calibri"/>
                <w:color w:val="auto"/>
                <w:sz w:val="22"/>
                <w:szCs w:val="22"/>
                <w:lang w:val="es"/>
              </w:rPr>
              <w:t xml:space="preserve">% ejecución </w:t>
            </w:r>
            <w:r>
              <w:br/>
            </w:r>
            <w:r w:rsidRPr="049B63E7">
              <w:rPr>
                <w:rFonts w:cs="Calibri"/>
                <w:color w:val="auto"/>
                <w:sz w:val="22"/>
                <w:szCs w:val="22"/>
                <w:lang w:val="es"/>
              </w:rPr>
              <w:t>meta física</w:t>
            </w:r>
          </w:p>
        </w:tc>
        <w:tc>
          <w:tcPr>
            <w:tcW w:w="1513"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2B0E6733" w14:textId="77777777" w:rsidR="005008A4" w:rsidRDefault="005008A4" w:rsidP="005008A4">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049B63E7">
              <w:rPr>
                <w:rFonts w:cs="Calibri"/>
                <w:color w:val="auto"/>
                <w:sz w:val="22"/>
                <w:szCs w:val="22"/>
                <w:lang w:val="es"/>
              </w:rPr>
              <w:t xml:space="preserve">% ejecución </w:t>
            </w:r>
            <w:r>
              <w:br/>
            </w:r>
            <w:r w:rsidRPr="049B63E7">
              <w:rPr>
                <w:rFonts w:cs="Calibri"/>
                <w:color w:val="auto"/>
                <w:sz w:val="22"/>
                <w:szCs w:val="22"/>
                <w:lang w:val="es"/>
              </w:rPr>
              <w:t>meta financiera</w:t>
            </w:r>
          </w:p>
        </w:tc>
      </w:tr>
      <w:tr w:rsidR="005008A4" w14:paraId="438DF406" w14:textId="77777777" w:rsidTr="005008A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41114111" w14:textId="77777777" w:rsidR="005008A4" w:rsidRPr="006E5E0A" w:rsidRDefault="005008A4" w:rsidP="005008A4">
            <w:pPr>
              <w:rPr>
                <w:b w:val="0"/>
              </w:rPr>
            </w:pPr>
            <w:r w:rsidRPr="006E5E0A">
              <w:rPr>
                <w:rFonts w:cs="Calibri"/>
                <w:b w:val="0"/>
                <w:sz w:val="22"/>
                <w:szCs w:val="22"/>
                <w:lang w:val="es"/>
              </w:rPr>
              <w:t>Ministerio de Energía y Minas</w:t>
            </w:r>
          </w:p>
        </w:tc>
        <w:tc>
          <w:tcPr>
            <w:tcW w:w="2104" w:type="dxa"/>
            <w:tcMar>
              <w:left w:w="108" w:type="dxa"/>
              <w:right w:w="108" w:type="dxa"/>
            </w:tcMar>
            <w:vAlign w:val="center"/>
          </w:tcPr>
          <w:p w14:paraId="4DFA11DA"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Q2,885,417,722.00</w:t>
            </w:r>
          </w:p>
        </w:tc>
        <w:tc>
          <w:tcPr>
            <w:tcW w:w="2035" w:type="dxa"/>
            <w:tcMar>
              <w:left w:w="108" w:type="dxa"/>
              <w:right w:w="108" w:type="dxa"/>
            </w:tcMar>
            <w:vAlign w:val="center"/>
          </w:tcPr>
          <w:p w14:paraId="0D8BA886"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Q2,864,821,627.33</w:t>
            </w:r>
          </w:p>
        </w:tc>
        <w:tc>
          <w:tcPr>
            <w:tcW w:w="1407" w:type="dxa"/>
            <w:shd w:val="clear" w:color="auto" w:fill="92D050"/>
            <w:tcMar>
              <w:left w:w="108" w:type="dxa"/>
              <w:right w:w="108" w:type="dxa"/>
            </w:tcMar>
            <w:vAlign w:val="center"/>
          </w:tcPr>
          <w:p w14:paraId="41CCC55E"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99.71%</w:t>
            </w:r>
          </w:p>
        </w:tc>
        <w:tc>
          <w:tcPr>
            <w:tcW w:w="1513" w:type="dxa"/>
            <w:shd w:val="clear" w:color="auto" w:fill="92D050"/>
            <w:tcMar>
              <w:left w:w="108" w:type="dxa"/>
              <w:right w:w="108" w:type="dxa"/>
            </w:tcMar>
            <w:vAlign w:val="center"/>
          </w:tcPr>
          <w:p w14:paraId="67BC72D3"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99.29%</w:t>
            </w:r>
          </w:p>
        </w:tc>
      </w:tr>
      <w:tr w:rsidR="005008A4" w14:paraId="21222AB2" w14:textId="77777777" w:rsidTr="005008A4">
        <w:trPr>
          <w:trHeight w:val="60"/>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37D76F2F" w14:textId="77777777" w:rsidR="005008A4" w:rsidRPr="006E5E0A" w:rsidRDefault="005008A4" w:rsidP="005008A4">
            <w:pPr>
              <w:rPr>
                <w:b w:val="0"/>
              </w:rPr>
            </w:pPr>
            <w:r w:rsidRPr="006E5E0A">
              <w:rPr>
                <w:rFonts w:cs="Calibri"/>
                <w:b w:val="0"/>
                <w:sz w:val="22"/>
                <w:szCs w:val="22"/>
                <w:lang w:val="es"/>
              </w:rPr>
              <w:t>Ministerio de la Defensa Nacional</w:t>
            </w:r>
          </w:p>
        </w:tc>
        <w:tc>
          <w:tcPr>
            <w:tcW w:w="2104" w:type="dxa"/>
            <w:tcMar>
              <w:left w:w="108" w:type="dxa"/>
              <w:right w:w="108" w:type="dxa"/>
            </w:tcMar>
            <w:vAlign w:val="center"/>
          </w:tcPr>
          <w:p w14:paraId="5ED13238"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Q1,860,904,625.00</w:t>
            </w:r>
          </w:p>
        </w:tc>
        <w:tc>
          <w:tcPr>
            <w:tcW w:w="2035" w:type="dxa"/>
            <w:tcMar>
              <w:left w:w="108" w:type="dxa"/>
              <w:right w:w="108" w:type="dxa"/>
            </w:tcMar>
            <w:vAlign w:val="center"/>
          </w:tcPr>
          <w:p w14:paraId="1A806783"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Q1,847,466,958.65</w:t>
            </w:r>
          </w:p>
        </w:tc>
        <w:tc>
          <w:tcPr>
            <w:tcW w:w="1407" w:type="dxa"/>
            <w:shd w:val="clear" w:color="auto" w:fill="92D050"/>
            <w:tcMar>
              <w:left w:w="108" w:type="dxa"/>
              <w:right w:w="108" w:type="dxa"/>
            </w:tcMar>
            <w:vAlign w:val="center"/>
          </w:tcPr>
          <w:p w14:paraId="4B0FC5E9"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98.94%</w:t>
            </w:r>
          </w:p>
        </w:tc>
        <w:tc>
          <w:tcPr>
            <w:tcW w:w="1513" w:type="dxa"/>
            <w:shd w:val="clear" w:color="auto" w:fill="92D050"/>
            <w:tcMar>
              <w:left w:w="108" w:type="dxa"/>
              <w:right w:w="108" w:type="dxa"/>
            </w:tcMar>
            <w:vAlign w:val="center"/>
          </w:tcPr>
          <w:p w14:paraId="372853C3"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99.28%</w:t>
            </w:r>
          </w:p>
        </w:tc>
      </w:tr>
      <w:tr w:rsidR="005008A4" w14:paraId="2E37EB59" w14:textId="77777777" w:rsidTr="005008A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36CCB3C0" w14:textId="77777777" w:rsidR="005008A4" w:rsidRPr="006E5E0A" w:rsidRDefault="005008A4" w:rsidP="005008A4">
            <w:pPr>
              <w:rPr>
                <w:b w:val="0"/>
              </w:rPr>
            </w:pPr>
            <w:r w:rsidRPr="006E5E0A">
              <w:rPr>
                <w:rFonts w:cs="Calibri"/>
                <w:b w:val="0"/>
                <w:sz w:val="22"/>
                <w:szCs w:val="22"/>
                <w:lang w:val="es"/>
              </w:rPr>
              <w:t>Ministerio de Economía</w:t>
            </w:r>
          </w:p>
        </w:tc>
        <w:tc>
          <w:tcPr>
            <w:tcW w:w="2104" w:type="dxa"/>
            <w:tcMar>
              <w:left w:w="108" w:type="dxa"/>
              <w:right w:w="108" w:type="dxa"/>
            </w:tcMar>
            <w:vAlign w:val="center"/>
          </w:tcPr>
          <w:p w14:paraId="6618925B"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Q800,910,351.00</w:t>
            </w:r>
          </w:p>
        </w:tc>
        <w:tc>
          <w:tcPr>
            <w:tcW w:w="2035" w:type="dxa"/>
            <w:tcMar>
              <w:left w:w="108" w:type="dxa"/>
              <w:right w:w="108" w:type="dxa"/>
            </w:tcMar>
            <w:vAlign w:val="center"/>
          </w:tcPr>
          <w:p w14:paraId="57B3A372"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Q771,052,128.93</w:t>
            </w:r>
          </w:p>
        </w:tc>
        <w:tc>
          <w:tcPr>
            <w:tcW w:w="1407" w:type="dxa"/>
            <w:shd w:val="clear" w:color="auto" w:fill="92D050"/>
            <w:tcMar>
              <w:left w:w="108" w:type="dxa"/>
              <w:right w:w="108" w:type="dxa"/>
            </w:tcMar>
            <w:vAlign w:val="center"/>
          </w:tcPr>
          <w:p w14:paraId="219225F5"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96.08%</w:t>
            </w:r>
          </w:p>
        </w:tc>
        <w:tc>
          <w:tcPr>
            <w:tcW w:w="1513" w:type="dxa"/>
            <w:shd w:val="clear" w:color="auto" w:fill="92D050"/>
            <w:tcMar>
              <w:left w:w="108" w:type="dxa"/>
              <w:right w:w="108" w:type="dxa"/>
            </w:tcMar>
            <w:vAlign w:val="center"/>
          </w:tcPr>
          <w:p w14:paraId="7EC6DDCD"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96.27%</w:t>
            </w:r>
          </w:p>
        </w:tc>
      </w:tr>
      <w:tr w:rsidR="005008A4" w14:paraId="6DC75717" w14:textId="77777777" w:rsidTr="005008A4">
        <w:trPr>
          <w:trHeight w:val="45"/>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324C8222" w14:textId="77777777" w:rsidR="005008A4" w:rsidRPr="006E5E0A" w:rsidRDefault="005008A4" w:rsidP="005008A4">
            <w:pPr>
              <w:rPr>
                <w:b w:val="0"/>
              </w:rPr>
            </w:pPr>
            <w:r w:rsidRPr="006E5E0A">
              <w:rPr>
                <w:rFonts w:cs="Calibri"/>
                <w:b w:val="0"/>
                <w:sz w:val="22"/>
                <w:szCs w:val="22"/>
                <w:lang w:val="es"/>
              </w:rPr>
              <w:t>Ministerio de Finanzas Públicas</w:t>
            </w:r>
          </w:p>
        </w:tc>
        <w:tc>
          <w:tcPr>
            <w:tcW w:w="2104" w:type="dxa"/>
            <w:tcMar>
              <w:left w:w="108" w:type="dxa"/>
              <w:right w:w="108" w:type="dxa"/>
            </w:tcMar>
            <w:vAlign w:val="center"/>
          </w:tcPr>
          <w:p w14:paraId="3C293329"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Q346,050,408.00</w:t>
            </w:r>
          </w:p>
        </w:tc>
        <w:tc>
          <w:tcPr>
            <w:tcW w:w="2035" w:type="dxa"/>
            <w:tcMar>
              <w:left w:w="108" w:type="dxa"/>
              <w:right w:w="108" w:type="dxa"/>
            </w:tcMar>
            <w:vAlign w:val="center"/>
          </w:tcPr>
          <w:p w14:paraId="139C7973"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Q340,546,107.30</w:t>
            </w:r>
          </w:p>
        </w:tc>
        <w:tc>
          <w:tcPr>
            <w:tcW w:w="1407" w:type="dxa"/>
            <w:shd w:val="clear" w:color="auto" w:fill="92D050"/>
            <w:tcMar>
              <w:left w:w="108" w:type="dxa"/>
              <w:right w:w="108" w:type="dxa"/>
            </w:tcMar>
            <w:vAlign w:val="center"/>
          </w:tcPr>
          <w:p w14:paraId="74EBE42D"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93.62%</w:t>
            </w:r>
          </w:p>
        </w:tc>
        <w:tc>
          <w:tcPr>
            <w:tcW w:w="1513" w:type="dxa"/>
            <w:shd w:val="clear" w:color="auto" w:fill="92D050"/>
            <w:tcMar>
              <w:left w:w="108" w:type="dxa"/>
              <w:right w:w="108" w:type="dxa"/>
            </w:tcMar>
            <w:vAlign w:val="center"/>
          </w:tcPr>
          <w:p w14:paraId="189D836B"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98.41%</w:t>
            </w:r>
          </w:p>
        </w:tc>
      </w:tr>
      <w:tr w:rsidR="005008A4" w14:paraId="1B4D03AA" w14:textId="77777777" w:rsidTr="005008A4">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1365088A" w14:textId="77777777" w:rsidR="005008A4" w:rsidRPr="006E5E0A" w:rsidRDefault="005008A4" w:rsidP="005008A4">
            <w:pPr>
              <w:rPr>
                <w:b w:val="0"/>
              </w:rPr>
            </w:pPr>
            <w:r w:rsidRPr="006E5E0A">
              <w:rPr>
                <w:rFonts w:cs="Calibri"/>
                <w:b w:val="0"/>
                <w:sz w:val="22"/>
                <w:szCs w:val="22"/>
                <w:lang w:val="es"/>
              </w:rPr>
              <w:t>Ministerio de Trabajo y Previsión Social</w:t>
            </w:r>
          </w:p>
        </w:tc>
        <w:tc>
          <w:tcPr>
            <w:tcW w:w="2104" w:type="dxa"/>
            <w:tcMar>
              <w:left w:w="108" w:type="dxa"/>
              <w:right w:w="108" w:type="dxa"/>
            </w:tcMar>
            <w:vAlign w:val="center"/>
          </w:tcPr>
          <w:p w14:paraId="2605614A"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Q913,807,418.00</w:t>
            </w:r>
          </w:p>
        </w:tc>
        <w:tc>
          <w:tcPr>
            <w:tcW w:w="2035" w:type="dxa"/>
            <w:tcMar>
              <w:left w:w="108" w:type="dxa"/>
              <w:right w:w="108" w:type="dxa"/>
            </w:tcMar>
            <w:vAlign w:val="center"/>
          </w:tcPr>
          <w:p w14:paraId="37720E7A"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Q887,404,156.00</w:t>
            </w:r>
          </w:p>
        </w:tc>
        <w:tc>
          <w:tcPr>
            <w:tcW w:w="1407" w:type="dxa"/>
            <w:shd w:val="clear" w:color="auto" w:fill="92D050"/>
            <w:tcMar>
              <w:left w:w="108" w:type="dxa"/>
              <w:right w:w="108" w:type="dxa"/>
            </w:tcMar>
            <w:vAlign w:val="center"/>
          </w:tcPr>
          <w:p w14:paraId="2DA239CF"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91.86%</w:t>
            </w:r>
          </w:p>
        </w:tc>
        <w:tc>
          <w:tcPr>
            <w:tcW w:w="1513" w:type="dxa"/>
            <w:shd w:val="clear" w:color="auto" w:fill="92D050"/>
            <w:tcMar>
              <w:left w:w="108" w:type="dxa"/>
              <w:right w:w="108" w:type="dxa"/>
            </w:tcMar>
            <w:vAlign w:val="center"/>
          </w:tcPr>
          <w:p w14:paraId="43908BB9"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97.11%</w:t>
            </w:r>
          </w:p>
        </w:tc>
      </w:tr>
      <w:tr w:rsidR="005008A4" w14:paraId="18FBBDF8" w14:textId="77777777" w:rsidTr="005008A4">
        <w:trPr>
          <w:trHeight w:val="60"/>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749240DC" w14:textId="77777777" w:rsidR="005008A4" w:rsidRPr="006E5E0A" w:rsidRDefault="005008A4" w:rsidP="005008A4">
            <w:pPr>
              <w:rPr>
                <w:b w:val="0"/>
              </w:rPr>
            </w:pPr>
            <w:r w:rsidRPr="006E5E0A">
              <w:rPr>
                <w:rFonts w:cs="Calibri"/>
                <w:b w:val="0"/>
                <w:sz w:val="22"/>
                <w:szCs w:val="22"/>
                <w:lang w:val="es"/>
              </w:rPr>
              <w:t>Ministerio de Ambiente y Recursos Naturales</w:t>
            </w:r>
          </w:p>
        </w:tc>
        <w:tc>
          <w:tcPr>
            <w:tcW w:w="2104" w:type="dxa"/>
            <w:tcMar>
              <w:left w:w="108" w:type="dxa"/>
              <w:right w:w="108" w:type="dxa"/>
            </w:tcMar>
            <w:vAlign w:val="center"/>
          </w:tcPr>
          <w:p w14:paraId="29CF294A"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Q195,711,000.00</w:t>
            </w:r>
          </w:p>
        </w:tc>
        <w:tc>
          <w:tcPr>
            <w:tcW w:w="2035" w:type="dxa"/>
            <w:tcMar>
              <w:left w:w="108" w:type="dxa"/>
              <w:right w:w="108" w:type="dxa"/>
            </w:tcMar>
            <w:vAlign w:val="center"/>
          </w:tcPr>
          <w:p w14:paraId="0B6FCEFB"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Q72,433,948.47</w:t>
            </w:r>
          </w:p>
        </w:tc>
        <w:tc>
          <w:tcPr>
            <w:tcW w:w="1407" w:type="dxa"/>
            <w:shd w:val="clear" w:color="auto" w:fill="FFFF00"/>
            <w:tcMar>
              <w:left w:w="108" w:type="dxa"/>
              <w:right w:w="108" w:type="dxa"/>
            </w:tcMar>
            <w:vAlign w:val="center"/>
          </w:tcPr>
          <w:p w14:paraId="5B643784"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89.63%</w:t>
            </w:r>
          </w:p>
        </w:tc>
        <w:tc>
          <w:tcPr>
            <w:tcW w:w="1513" w:type="dxa"/>
            <w:shd w:val="clear" w:color="auto" w:fill="FF0000"/>
            <w:tcMar>
              <w:left w:w="108" w:type="dxa"/>
              <w:right w:w="108" w:type="dxa"/>
            </w:tcMar>
            <w:vAlign w:val="center"/>
          </w:tcPr>
          <w:p w14:paraId="2EB2B5F8"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37.01%</w:t>
            </w:r>
          </w:p>
        </w:tc>
      </w:tr>
      <w:tr w:rsidR="005008A4" w14:paraId="3A0CA539" w14:textId="77777777" w:rsidTr="005008A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0CB38287" w14:textId="77777777" w:rsidR="005008A4" w:rsidRPr="006E5E0A" w:rsidRDefault="005008A4" w:rsidP="005008A4">
            <w:pPr>
              <w:rPr>
                <w:b w:val="0"/>
              </w:rPr>
            </w:pPr>
            <w:r w:rsidRPr="006E5E0A">
              <w:rPr>
                <w:rFonts w:cs="Calibri"/>
                <w:b w:val="0"/>
                <w:sz w:val="22"/>
                <w:szCs w:val="22"/>
                <w:lang w:val="es"/>
              </w:rPr>
              <w:t>Ministerio de Agricultura, Ganadería y Alimentación</w:t>
            </w:r>
          </w:p>
        </w:tc>
        <w:tc>
          <w:tcPr>
            <w:tcW w:w="2104" w:type="dxa"/>
            <w:tcMar>
              <w:left w:w="108" w:type="dxa"/>
              <w:right w:w="108" w:type="dxa"/>
            </w:tcMar>
            <w:vAlign w:val="center"/>
          </w:tcPr>
          <w:p w14:paraId="5DA327B1"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Q1,721,919,034.00</w:t>
            </w:r>
          </w:p>
        </w:tc>
        <w:tc>
          <w:tcPr>
            <w:tcW w:w="2035" w:type="dxa"/>
            <w:tcMar>
              <w:left w:w="108" w:type="dxa"/>
              <w:right w:w="108" w:type="dxa"/>
            </w:tcMar>
            <w:vAlign w:val="center"/>
          </w:tcPr>
          <w:p w14:paraId="5736A969"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Q1,640,573,257.79</w:t>
            </w:r>
          </w:p>
        </w:tc>
        <w:tc>
          <w:tcPr>
            <w:tcW w:w="1407" w:type="dxa"/>
            <w:shd w:val="clear" w:color="auto" w:fill="FFFF00"/>
            <w:tcMar>
              <w:left w:w="108" w:type="dxa"/>
              <w:right w:w="108" w:type="dxa"/>
            </w:tcMar>
            <w:vAlign w:val="center"/>
          </w:tcPr>
          <w:p w14:paraId="670E0180"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78.86%</w:t>
            </w:r>
          </w:p>
        </w:tc>
        <w:tc>
          <w:tcPr>
            <w:tcW w:w="1513" w:type="dxa"/>
            <w:shd w:val="clear" w:color="auto" w:fill="92D050"/>
            <w:tcMar>
              <w:left w:w="108" w:type="dxa"/>
              <w:right w:w="108" w:type="dxa"/>
            </w:tcMar>
            <w:vAlign w:val="center"/>
          </w:tcPr>
          <w:p w14:paraId="1F5C7BF8"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95.28%</w:t>
            </w:r>
          </w:p>
        </w:tc>
      </w:tr>
      <w:tr w:rsidR="005008A4" w14:paraId="16C85553" w14:textId="77777777" w:rsidTr="005008A4">
        <w:trPr>
          <w:trHeight w:val="45"/>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122B442A" w14:textId="77777777" w:rsidR="005008A4" w:rsidRPr="006E5E0A" w:rsidRDefault="005008A4" w:rsidP="005008A4">
            <w:pPr>
              <w:rPr>
                <w:b w:val="0"/>
              </w:rPr>
            </w:pPr>
            <w:r w:rsidRPr="006E5E0A">
              <w:rPr>
                <w:rFonts w:cs="Calibri"/>
                <w:b w:val="0"/>
                <w:sz w:val="22"/>
                <w:szCs w:val="22"/>
                <w:lang w:val="es"/>
              </w:rPr>
              <w:t>Ministerio de Gobernación</w:t>
            </w:r>
          </w:p>
        </w:tc>
        <w:tc>
          <w:tcPr>
            <w:tcW w:w="2104" w:type="dxa"/>
            <w:tcMar>
              <w:left w:w="108" w:type="dxa"/>
              <w:right w:w="108" w:type="dxa"/>
            </w:tcMar>
            <w:vAlign w:val="center"/>
          </w:tcPr>
          <w:p w14:paraId="20E2CB89"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Q6,083,896,029.00</w:t>
            </w:r>
          </w:p>
        </w:tc>
        <w:tc>
          <w:tcPr>
            <w:tcW w:w="2035" w:type="dxa"/>
            <w:tcMar>
              <w:left w:w="108" w:type="dxa"/>
              <w:right w:w="108" w:type="dxa"/>
            </w:tcMar>
            <w:vAlign w:val="center"/>
          </w:tcPr>
          <w:p w14:paraId="37A71D2A"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Q4,245,446,138.13</w:t>
            </w:r>
          </w:p>
        </w:tc>
        <w:tc>
          <w:tcPr>
            <w:tcW w:w="1407" w:type="dxa"/>
            <w:shd w:val="clear" w:color="auto" w:fill="FFFF00"/>
            <w:tcMar>
              <w:left w:w="108" w:type="dxa"/>
              <w:right w:w="108" w:type="dxa"/>
            </w:tcMar>
            <w:vAlign w:val="center"/>
          </w:tcPr>
          <w:p w14:paraId="2116984B"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77.84%</w:t>
            </w:r>
          </w:p>
        </w:tc>
        <w:tc>
          <w:tcPr>
            <w:tcW w:w="1513" w:type="dxa"/>
            <w:shd w:val="clear" w:color="auto" w:fill="FFFF00"/>
            <w:tcMar>
              <w:left w:w="108" w:type="dxa"/>
              <w:right w:w="108" w:type="dxa"/>
            </w:tcMar>
            <w:vAlign w:val="center"/>
          </w:tcPr>
          <w:p w14:paraId="7ADD4C62"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69.78%</w:t>
            </w:r>
          </w:p>
        </w:tc>
      </w:tr>
      <w:tr w:rsidR="005008A4" w14:paraId="4D17A8CB" w14:textId="77777777" w:rsidTr="005008A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1E7DFF3C" w14:textId="77777777" w:rsidR="005008A4" w:rsidRPr="006E5E0A" w:rsidRDefault="005008A4" w:rsidP="005008A4">
            <w:pPr>
              <w:rPr>
                <w:b w:val="0"/>
              </w:rPr>
            </w:pPr>
            <w:r w:rsidRPr="006E5E0A">
              <w:rPr>
                <w:rFonts w:cs="Calibri"/>
                <w:b w:val="0"/>
                <w:sz w:val="22"/>
                <w:szCs w:val="22"/>
                <w:lang w:val="es"/>
              </w:rPr>
              <w:t>Ministerio de Educación</w:t>
            </w:r>
          </w:p>
        </w:tc>
        <w:tc>
          <w:tcPr>
            <w:tcW w:w="2104" w:type="dxa"/>
            <w:tcMar>
              <w:left w:w="108" w:type="dxa"/>
              <w:right w:w="108" w:type="dxa"/>
            </w:tcMar>
            <w:vAlign w:val="center"/>
          </w:tcPr>
          <w:p w14:paraId="62B56F78"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Q20,216,973,317.95</w:t>
            </w:r>
          </w:p>
        </w:tc>
        <w:tc>
          <w:tcPr>
            <w:tcW w:w="2035" w:type="dxa"/>
            <w:tcMar>
              <w:left w:w="108" w:type="dxa"/>
              <w:right w:w="108" w:type="dxa"/>
            </w:tcMar>
            <w:vAlign w:val="center"/>
          </w:tcPr>
          <w:p w14:paraId="65824427"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Q19,469,968,123.67</w:t>
            </w:r>
          </w:p>
        </w:tc>
        <w:tc>
          <w:tcPr>
            <w:tcW w:w="1407" w:type="dxa"/>
            <w:shd w:val="clear" w:color="auto" w:fill="FFFF00"/>
            <w:tcMar>
              <w:left w:w="108" w:type="dxa"/>
              <w:right w:w="108" w:type="dxa"/>
            </w:tcMar>
            <w:vAlign w:val="center"/>
          </w:tcPr>
          <w:p w14:paraId="517D8C25"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71.96%</w:t>
            </w:r>
          </w:p>
        </w:tc>
        <w:tc>
          <w:tcPr>
            <w:tcW w:w="1513" w:type="dxa"/>
            <w:shd w:val="clear" w:color="auto" w:fill="92D050"/>
            <w:tcMar>
              <w:left w:w="108" w:type="dxa"/>
              <w:right w:w="108" w:type="dxa"/>
            </w:tcMar>
            <w:vAlign w:val="center"/>
          </w:tcPr>
          <w:p w14:paraId="58764A92"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96.31%</w:t>
            </w:r>
          </w:p>
        </w:tc>
      </w:tr>
      <w:tr w:rsidR="005008A4" w14:paraId="216082C7" w14:textId="77777777" w:rsidTr="005008A4">
        <w:trPr>
          <w:trHeight w:val="60"/>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1FB340D9" w14:textId="77777777" w:rsidR="005008A4" w:rsidRPr="006E5E0A" w:rsidRDefault="005008A4" w:rsidP="005008A4">
            <w:pPr>
              <w:rPr>
                <w:b w:val="0"/>
              </w:rPr>
            </w:pPr>
            <w:r w:rsidRPr="006E5E0A">
              <w:rPr>
                <w:rFonts w:cs="Calibri"/>
                <w:b w:val="0"/>
                <w:sz w:val="22"/>
                <w:szCs w:val="22"/>
                <w:lang w:val="es"/>
              </w:rPr>
              <w:t>Ministerio de Cultura y Deportes</w:t>
            </w:r>
          </w:p>
        </w:tc>
        <w:tc>
          <w:tcPr>
            <w:tcW w:w="2104" w:type="dxa"/>
            <w:tcMar>
              <w:left w:w="108" w:type="dxa"/>
              <w:right w:w="108" w:type="dxa"/>
            </w:tcMar>
            <w:vAlign w:val="center"/>
          </w:tcPr>
          <w:p w14:paraId="3ACB9B26"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Q499,770,506.40</w:t>
            </w:r>
          </w:p>
        </w:tc>
        <w:tc>
          <w:tcPr>
            <w:tcW w:w="2035" w:type="dxa"/>
            <w:tcMar>
              <w:left w:w="108" w:type="dxa"/>
              <w:right w:w="108" w:type="dxa"/>
            </w:tcMar>
            <w:vAlign w:val="center"/>
          </w:tcPr>
          <w:p w14:paraId="300BE43C"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Q281,075,178.15</w:t>
            </w:r>
          </w:p>
        </w:tc>
        <w:tc>
          <w:tcPr>
            <w:tcW w:w="1407" w:type="dxa"/>
            <w:shd w:val="clear" w:color="auto" w:fill="FFFF00"/>
            <w:tcMar>
              <w:left w:w="108" w:type="dxa"/>
              <w:right w:w="108" w:type="dxa"/>
            </w:tcMar>
            <w:vAlign w:val="center"/>
          </w:tcPr>
          <w:p w14:paraId="533FAD0F"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61.48%</w:t>
            </w:r>
          </w:p>
        </w:tc>
        <w:tc>
          <w:tcPr>
            <w:tcW w:w="1513" w:type="dxa"/>
            <w:shd w:val="clear" w:color="auto" w:fill="FFFF00"/>
            <w:tcMar>
              <w:left w:w="108" w:type="dxa"/>
              <w:right w:w="108" w:type="dxa"/>
            </w:tcMar>
            <w:vAlign w:val="center"/>
          </w:tcPr>
          <w:p w14:paraId="4CDEFB6E"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56.24%</w:t>
            </w:r>
          </w:p>
        </w:tc>
      </w:tr>
      <w:tr w:rsidR="005008A4" w14:paraId="39774C18" w14:textId="77777777" w:rsidTr="005008A4">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0E85E1A4" w14:textId="77777777" w:rsidR="005008A4" w:rsidRPr="006E5E0A" w:rsidRDefault="005008A4" w:rsidP="005008A4">
            <w:pPr>
              <w:rPr>
                <w:b w:val="0"/>
              </w:rPr>
            </w:pPr>
            <w:r w:rsidRPr="006E5E0A">
              <w:rPr>
                <w:rFonts w:cs="Calibri"/>
                <w:b w:val="0"/>
                <w:sz w:val="22"/>
                <w:szCs w:val="22"/>
                <w:lang w:val="es"/>
              </w:rPr>
              <w:t>Ministerio de Salud Pública y Asistencia Social</w:t>
            </w:r>
          </w:p>
        </w:tc>
        <w:tc>
          <w:tcPr>
            <w:tcW w:w="2104" w:type="dxa"/>
            <w:tcMar>
              <w:left w:w="108" w:type="dxa"/>
              <w:right w:w="108" w:type="dxa"/>
            </w:tcMar>
            <w:vAlign w:val="center"/>
          </w:tcPr>
          <w:p w14:paraId="412DFFC9"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Q11,647,823,293.00</w:t>
            </w:r>
          </w:p>
        </w:tc>
        <w:tc>
          <w:tcPr>
            <w:tcW w:w="2035" w:type="dxa"/>
            <w:tcMar>
              <w:left w:w="108" w:type="dxa"/>
              <w:right w:w="108" w:type="dxa"/>
            </w:tcMar>
            <w:vAlign w:val="center"/>
          </w:tcPr>
          <w:p w14:paraId="1CBA8622"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Q6,952,385,490.66</w:t>
            </w:r>
          </w:p>
        </w:tc>
        <w:tc>
          <w:tcPr>
            <w:tcW w:w="1407" w:type="dxa"/>
            <w:shd w:val="clear" w:color="auto" w:fill="FFFF00"/>
            <w:tcMar>
              <w:left w:w="108" w:type="dxa"/>
              <w:right w:w="108" w:type="dxa"/>
            </w:tcMar>
            <w:vAlign w:val="center"/>
          </w:tcPr>
          <w:p w14:paraId="3AB87E19"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52.85%</w:t>
            </w:r>
          </w:p>
        </w:tc>
        <w:tc>
          <w:tcPr>
            <w:tcW w:w="1513" w:type="dxa"/>
            <w:shd w:val="clear" w:color="auto" w:fill="FFFF00"/>
            <w:tcMar>
              <w:left w:w="108" w:type="dxa"/>
              <w:right w:w="108" w:type="dxa"/>
            </w:tcMar>
            <w:vAlign w:val="center"/>
          </w:tcPr>
          <w:p w14:paraId="52CA6451"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59.69%</w:t>
            </w:r>
          </w:p>
        </w:tc>
      </w:tr>
      <w:tr w:rsidR="005008A4" w14:paraId="76432D0B" w14:textId="77777777" w:rsidTr="005008A4">
        <w:trPr>
          <w:trHeight w:val="45"/>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30AF184D" w14:textId="77777777" w:rsidR="005008A4" w:rsidRPr="006E5E0A" w:rsidRDefault="005008A4" w:rsidP="005008A4">
            <w:pPr>
              <w:rPr>
                <w:b w:val="0"/>
              </w:rPr>
            </w:pPr>
            <w:r w:rsidRPr="006E5E0A">
              <w:rPr>
                <w:rFonts w:cs="Calibri"/>
                <w:b w:val="0"/>
                <w:sz w:val="22"/>
                <w:szCs w:val="22"/>
                <w:lang w:val="es"/>
              </w:rPr>
              <w:t>Ministerio de Desarrollo Social</w:t>
            </w:r>
          </w:p>
        </w:tc>
        <w:tc>
          <w:tcPr>
            <w:tcW w:w="2104" w:type="dxa"/>
            <w:tcMar>
              <w:left w:w="108" w:type="dxa"/>
              <w:right w:w="108" w:type="dxa"/>
            </w:tcMar>
            <w:vAlign w:val="center"/>
          </w:tcPr>
          <w:p w14:paraId="484404CF"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Q1,446,564,237.00</w:t>
            </w:r>
          </w:p>
        </w:tc>
        <w:tc>
          <w:tcPr>
            <w:tcW w:w="2035" w:type="dxa"/>
            <w:tcMar>
              <w:left w:w="108" w:type="dxa"/>
              <w:right w:w="108" w:type="dxa"/>
            </w:tcMar>
            <w:vAlign w:val="center"/>
          </w:tcPr>
          <w:p w14:paraId="747953EF" w14:textId="77777777" w:rsidR="005008A4" w:rsidRDefault="005008A4" w:rsidP="005008A4">
            <w:pPr>
              <w:jc w:val="right"/>
              <w:cnfStyle w:val="000000000000" w:firstRow="0" w:lastRow="0" w:firstColumn="0" w:lastColumn="0" w:oddVBand="0" w:evenVBand="0" w:oddHBand="0" w:evenHBand="0" w:firstRowFirstColumn="0" w:firstRowLastColumn="0" w:lastRowFirstColumn="0" w:lastRowLastColumn="0"/>
            </w:pPr>
            <w:r w:rsidRPr="049B63E7">
              <w:rPr>
                <w:rFonts w:cs="Calibri"/>
                <w:sz w:val="22"/>
                <w:szCs w:val="22"/>
                <w:lang w:val="es"/>
              </w:rPr>
              <w:t>Q1,428,112,786.05</w:t>
            </w:r>
          </w:p>
        </w:tc>
        <w:tc>
          <w:tcPr>
            <w:tcW w:w="1407" w:type="dxa"/>
            <w:shd w:val="clear" w:color="auto" w:fill="FFFF00"/>
            <w:tcMar>
              <w:left w:w="108" w:type="dxa"/>
              <w:right w:w="108" w:type="dxa"/>
            </w:tcMar>
            <w:vAlign w:val="center"/>
          </w:tcPr>
          <w:p w14:paraId="6D95F6C0"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52.05%</w:t>
            </w:r>
          </w:p>
        </w:tc>
        <w:tc>
          <w:tcPr>
            <w:tcW w:w="1513" w:type="dxa"/>
            <w:shd w:val="clear" w:color="auto" w:fill="92D050"/>
            <w:tcMar>
              <w:left w:w="108" w:type="dxa"/>
              <w:right w:w="108" w:type="dxa"/>
            </w:tcMar>
            <w:vAlign w:val="center"/>
          </w:tcPr>
          <w:p w14:paraId="2D281891" w14:textId="77777777" w:rsidR="005008A4" w:rsidRDefault="005008A4" w:rsidP="005008A4">
            <w:pPr>
              <w:jc w:val="center"/>
              <w:cnfStyle w:val="000000000000" w:firstRow="0" w:lastRow="0" w:firstColumn="0" w:lastColumn="0" w:oddVBand="0" w:evenVBand="0" w:oddHBand="0" w:evenHBand="0" w:firstRowFirstColumn="0" w:firstRowLastColumn="0" w:lastRowFirstColumn="0" w:lastRowLastColumn="0"/>
            </w:pPr>
            <w:r w:rsidRPr="049B63E7">
              <w:rPr>
                <w:rFonts w:cs="Calibri"/>
                <w:color w:val="000000" w:themeColor="text1"/>
                <w:sz w:val="22"/>
                <w:szCs w:val="22"/>
                <w:lang w:val="es"/>
              </w:rPr>
              <w:t>98.72%</w:t>
            </w:r>
          </w:p>
        </w:tc>
      </w:tr>
      <w:tr w:rsidR="005008A4" w14:paraId="765B2F00" w14:textId="77777777" w:rsidTr="005008A4">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265" w:type="dxa"/>
            <w:tcMar>
              <w:left w:w="108" w:type="dxa"/>
              <w:right w:w="108" w:type="dxa"/>
            </w:tcMar>
            <w:vAlign w:val="center"/>
          </w:tcPr>
          <w:p w14:paraId="0A23EBF2" w14:textId="77777777" w:rsidR="005008A4" w:rsidRPr="006E5E0A" w:rsidRDefault="005008A4" w:rsidP="005008A4">
            <w:pPr>
              <w:rPr>
                <w:b w:val="0"/>
              </w:rPr>
            </w:pPr>
            <w:r w:rsidRPr="006E5E0A">
              <w:rPr>
                <w:rFonts w:cs="Calibri"/>
                <w:b w:val="0"/>
                <w:sz w:val="22"/>
                <w:szCs w:val="22"/>
                <w:lang w:val="es"/>
              </w:rPr>
              <w:t>Ministerio de Comunicaciones, Infraestructura y Vivienda</w:t>
            </w:r>
          </w:p>
        </w:tc>
        <w:tc>
          <w:tcPr>
            <w:tcW w:w="2104" w:type="dxa"/>
            <w:tcMar>
              <w:left w:w="108" w:type="dxa"/>
              <w:right w:w="108" w:type="dxa"/>
            </w:tcMar>
            <w:vAlign w:val="center"/>
          </w:tcPr>
          <w:p w14:paraId="1F1F5A97"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Q8,949,633,694.26</w:t>
            </w:r>
          </w:p>
        </w:tc>
        <w:tc>
          <w:tcPr>
            <w:tcW w:w="2035" w:type="dxa"/>
            <w:tcMar>
              <w:left w:w="108" w:type="dxa"/>
              <w:right w:w="108" w:type="dxa"/>
            </w:tcMar>
            <w:vAlign w:val="center"/>
          </w:tcPr>
          <w:p w14:paraId="10E304C3" w14:textId="77777777" w:rsidR="005008A4" w:rsidRDefault="005008A4" w:rsidP="005008A4">
            <w:pPr>
              <w:jc w:val="right"/>
              <w:cnfStyle w:val="000000100000" w:firstRow="0" w:lastRow="0" w:firstColumn="0" w:lastColumn="0" w:oddVBand="0" w:evenVBand="0" w:oddHBand="1" w:evenHBand="0" w:firstRowFirstColumn="0" w:firstRowLastColumn="0" w:lastRowFirstColumn="0" w:lastRowLastColumn="0"/>
            </w:pPr>
            <w:r w:rsidRPr="049B63E7">
              <w:rPr>
                <w:rFonts w:cs="Calibri"/>
                <w:sz w:val="22"/>
                <w:szCs w:val="22"/>
                <w:lang w:val="es"/>
              </w:rPr>
              <w:t>Q6,149,055,444.77</w:t>
            </w:r>
          </w:p>
        </w:tc>
        <w:tc>
          <w:tcPr>
            <w:tcW w:w="1407" w:type="dxa"/>
            <w:shd w:val="clear" w:color="auto" w:fill="FFFF00"/>
            <w:tcMar>
              <w:left w:w="108" w:type="dxa"/>
              <w:right w:w="108" w:type="dxa"/>
            </w:tcMar>
            <w:vAlign w:val="center"/>
          </w:tcPr>
          <w:p w14:paraId="703A5F44"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51.11%</w:t>
            </w:r>
          </w:p>
        </w:tc>
        <w:tc>
          <w:tcPr>
            <w:tcW w:w="1513" w:type="dxa"/>
            <w:shd w:val="clear" w:color="auto" w:fill="FFFF00"/>
            <w:tcMar>
              <w:left w:w="108" w:type="dxa"/>
              <w:right w:w="108" w:type="dxa"/>
            </w:tcMar>
            <w:vAlign w:val="center"/>
          </w:tcPr>
          <w:p w14:paraId="0A6596E9" w14:textId="77777777" w:rsidR="005008A4" w:rsidRDefault="005008A4" w:rsidP="005008A4">
            <w:pPr>
              <w:jc w:val="center"/>
              <w:cnfStyle w:val="000000100000" w:firstRow="0" w:lastRow="0" w:firstColumn="0" w:lastColumn="0" w:oddVBand="0" w:evenVBand="0" w:oddHBand="1" w:evenHBand="0" w:firstRowFirstColumn="0" w:firstRowLastColumn="0" w:lastRowFirstColumn="0" w:lastRowLastColumn="0"/>
            </w:pPr>
            <w:r w:rsidRPr="049B63E7">
              <w:rPr>
                <w:rFonts w:cs="Calibri"/>
                <w:color w:val="000000" w:themeColor="text1"/>
                <w:sz w:val="22"/>
                <w:szCs w:val="22"/>
                <w:lang w:val="es"/>
              </w:rPr>
              <w:t>68.71%</w:t>
            </w:r>
          </w:p>
        </w:tc>
      </w:tr>
    </w:tbl>
    <w:p w14:paraId="641D73AA" w14:textId="09E0C5A0" w:rsidR="049B63E7" w:rsidRPr="006E37DD" w:rsidRDefault="006E37DD" w:rsidP="002C6AD1">
      <w:pPr>
        <w:pStyle w:val="ttulosgrficas"/>
        <w:rPr>
          <w:rFonts w:asciiTheme="minorHAnsi" w:eastAsia="Times New Roman" w:hAnsiTheme="minorHAnsi" w:cstheme="minorHAnsi"/>
          <w:color w:val="4472C4" w:themeColor="accent1"/>
          <w:lang w:val="es-ES"/>
        </w:rPr>
      </w:pPr>
      <w:bookmarkStart w:id="19" w:name="_Toc130199592"/>
      <w:r w:rsidRPr="006E37DD">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4</w:t>
      </w:r>
      <w:r w:rsidR="006E5E0A">
        <w:rPr>
          <w:rFonts w:asciiTheme="minorHAnsi" w:eastAsia="Times New Roman" w:hAnsiTheme="minorHAnsi" w:cstheme="minorHAnsi"/>
          <w:color w:val="4472C4" w:themeColor="accent1"/>
          <w:lang w:val="es-ES"/>
        </w:rPr>
        <w:fldChar w:fldCharType="end"/>
      </w:r>
      <w:r w:rsidR="006E5E0A">
        <w:rPr>
          <w:rFonts w:asciiTheme="minorHAnsi" w:eastAsia="Times New Roman" w:hAnsiTheme="minorHAnsi" w:cstheme="minorHAnsi"/>
          <w:color w:val="4472C4" w:themeColor="accent1"/>
          <w:lang w:val="es-ES"/>
        </w:rPr>
        <w:t>.</w:t>
      </w:r>
      <w:r w:rsidRPr="006E37DD">
        <w:rPr>
          <w:rFonts w:asciiTheme="minorHAnsi" w:eastAsia="Times New Roman" w:hAnsiTheme="minorHAnsi" w:cstheme="minorHAnsi"/>
          <w:color w:val="4472C4" w:themeColor="accent1"/>
          <w:lang w:val="es-ES"/>
        </w:rPr>
        <w:t xml:space="preserve"> </w:t>
      </w:r>
      <w:r w:rsidR="00DD404D" w:rsidRPr="006E37DD">
        <w:rPr>
          <w:rFonts w:asciiTheme="minorHAnsi" w:eastAsia="Times New Roman" w:hAnsiTheme="minorHAnsi" w:cstheme="minorHAnsi"/>
          <w:color w:val="4472C4" w:themeColor="accent1"/>
          <w:lang w:val="es-ES"/>
        </w:rPr>
        <w:t>Ejecución física y financiera.</w:t>
      </w:r>
      <w:r w:rsidR="00DD404D">
        <w:rPr>
          <w:rFonts w:asciiTheme="minorHAnsi" w:eastAsia="Times New Roman" w:hAnsiTheme="minorHAnsi" w:cstheme="minorHAnsi"/>
          <w:color w:val="4472C4" w:themeColor="accent1"/>
          <w:lang w:val="es-ES"/>
        </w:rPr>
        <w:t xml:space="preserve"> M</w:t>
      </w:r>
      <w:r w:rsidR="00DD404D" w:rsidRPr="006E37DD">
        <w:rPr>
          <w:rFonts w:asciiTheme="minorHAnsi" w:eastAsia="Times New Roman" w:hAnsiTheme="minorHAnsi" w:cstheme="minorHAnsi"/>
          <w:color w:val="4472C4" w:themeColor="accent1"/>
          <w:lang w:val="es-ES"/>
        </w:rPr>
        <w:t>inisterios</w:t>
      </w:r>
      <w:bookmarkEnd w:id="19"/>
    </w:p>
    <w:p w14:paraId="113FCBD1" w14:textId="5ED6EB27" w:rsidR="049B63E7" w:rsidRDefault="049B63E7" w:rsidP="049B63E7">
      <w:pPr>
        <w:contextualSpacing/>
        <w:jc w:val="both"/>
        <w:rPr>
          <w:rFonts w:ascii="Helvetica" w:eastAsia="Helvetica" w:hAnsi="Helvetica" w:cs="Helvetica"/>
          <w:sz w:val="24"/>
          <w:szCs w:val="24"/>
        </w:rPr>
      </w:pPr>
      <w:r w:rsidRPr="049B63E7">
        <w:rPr>
          <w:rFonts w:ascii="Calibri" w:eastAsia="Calibri" w:hAnsi="Calibri" w:cs="Calibri"/>
          <w:sz w:val="18"/>
          <w:szCs w:val="18"/>
        </w:rPr>
        <w:t xml:space="preserve">   Fuente: Con base a registros de Siplan. Segeplan. Año 2022.</w:t>
      </w:r>
    </w:p>
    <w:p w14:paraId="2EBFB560" w14:textId="6A2522CD" w:rsidR="049B63E7" w:rsidRDefault="049B63E7" w:rsidP="049B63E7">
      <w:pPr>
        <w:contextualSpacing/>
        <w:jc w:val="both"/>
        <w:rPr>
          <w:rFonts w:ascii="Helvetica" w:eastAsia="Calibri" w:hAnsi="Helvetica" w:cs="Helvetica"/>
          <w:b/>
          <w:bCs/>
          <w:sz w:val="24"/>
          <w:szCs w:val="24"/>
        </w:rPr>
      </w:pPr>
    </w:p>
    <w:p w14:paraId="76CEF8CC" w14:textId="77777777" w:rsidR="00BD6D78" w:rsidRDefault="00BD6D78" w:rsidP="005008A4">
      <w:pPr>
        <w:spacing w:after="120" w:line="240" w:lineRule="auto"/>
        <w:jc w:val="both"/>
        <w:rPr>
          <w:rFonts w:ascii="Calibri" w:eastAsia="Calibri" w:hAnsi="Calibri" w:cs="Calibri"/>
          <w:b/>
          <w:bCs/>
          <w:sz w:val="24"/>
          <w:szCs w:val="24"/>
        </w:rPr>
      </w:pPr>
    </w:p>
    <w:p w14:paraId="0B437E14" w14:textId="77777777" w:rsidR="00BD6D78" w:rsidRDefault="00BD6D78" w:rsidP="005008A4">
      <w:pPr>
        <w:spacing w:after="120" w:line="240" w:lineRule="auto"/>
        <w:jc w:val="both"/>
        <w:rPr>
          <w:rFonts w:ascii="Calibri" w:eastAsia="Calibri" w:hAnsi="Calibri" w:cs="Calibri"/>
          <w:b/>
          <w:bCs/>
          <w:sz w:val="24"/>
          <w:szCs w:val="24"/>
        </w:rPr>
      </w:pPr>
    </w:p>
    <w:p w14:paraId="70F9B1F4" w14:textId="77777777" w:rsidR="00BD6D78" w:rsidRDefault="00BD6D78" w:rsidP="005008A4">
      <w:pPr>
        <w:spacing w:after="120" w:line="240" w:lineRule="auto"/>
        <w:jc w:val="both"/>
        <w:rPr>
          <w:rFonts w:ascii="Calibri" w:eastAsia="Calibri" w:hAnsi="Calibri" w:cs="Calibri"/>
          <w:b/>
          <w:bCs/>
          <w:sz w:val="24"/>
          <w:szCs w:val="24"/>
        </w:rPr>
      </w:pPr>
    </w:p>
    <w:p w14:paraId="0C5FDD22" w14:textId="362CD0F5" w:rsidR="049B63E7" w:rsidRDefault="003020FD" w:rsidP="005008A4">
      <w:pPr>
        <w:spacing w:after="120" w:line="240" w:lineRule="auto"/>
        <w:jc w:val="both"/>
      </w:pPr>
      <w:r w:rsidRPr="375C27C2">
        <w:rPr>
          <w:rFonts w:ascii="Calibri" w:eastAsia="Calibri" w:hAnsi="Calibri" w:cs="Calibri"/>
          <w:b/>
          <w:bCs/>
          <w:sz w:val="24"/>
          <w:szCs w:val="24"/>
        </w:rPr>
        <w:t>Ejecución de metas físicas y financieras</w:t>
      </w:r>
    </w:p>
    <w:p w14:paraId="43FC2B9F" w14:textId="6DF375ED" w:rsidR="049B63E7" w:rsidRDefault="000F7502" w:rsidP="005008A4">
      <w:pPr>
        <w:spacing w:after="120" w:line="240" w:lineRule="auto"/>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761152" behindDoc="0" locked="0" layoutInCell="1" allowOverlap="1" wp14:anchorId="300005FA" wp14:editId="2DBAEA7F">
            <wp:simplePos x="0" y="0"/>
            <wp:positionH relativeFrom="column">
              <wp:posOffset>4387850</wp:posOffset>
            </wp:positionH>
            <wp:positionV relativeFrom="paragraph">
              <wp:posOffset>56515</wp:posOffset>
            </wp:positionV>
            <wp:extent cx="1504800" cy="1057095"/>
            <wp:effectExtent l="19050" t="19050" r="19685" b="10160"/>
            <wp:wrapSquare wrapText="bothSides"/>
            <wp:docPr id="227935790" name="Imagen 22793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738" r="22023" b="37999"/>
                    <a:stretch/>
                  </pic:blipFill>
                  <pic:spPr bwMode="auto">
                    <a:xfrm>
                      <a:off x="0" y="0"/>
                      <a:ext cx="1504800" cy="105709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D5FAA33" w:rsidRPr="2D5FAA33">
        <w:rPr>
          <w:rFonts w:ascii="Calibri" w:eastAsia="Calibri" w:hAnsi="Calibri" w:cs="Calibri"/>
          <w:sz w:val="24"/>
          <w:szCs w:val="24"/>
        </w:rPr>
        <w:t>Al finalizar el año 2022, los ministerios alcanzaron un promedio de ejecución de metas físicas de 78% y un promedio de ejecución financiera de 83%, lo que demuestra un avance medio en el cumplimiento de las metas programadas en el POA.</w:t>
      </w:r>
    </w:p>
    <w:p w14:paraId="5D66B8A9" w14:textId="01EDB3BB" w:rsidR="049B63E7" w:rsidRDefault="375C27C2" w:rsidP="005008A4">
      <w:pPr>
        <w:spacing w:after="120" w:line="240" w:lineRule="auto"/>
        <w:jc w:val="both"/>
      </w:pPr>
      <w:r w:rsidRPr="375C27C2">
        <w:rPr>
          <w:rFonts w:ascii="Calibri" w:eastAsia="Calibri" w:hAnsi="Calibri" w:cs="Calibri"/>
          <w:sz w:val="24"/>
          <w:szCs w:val="24"/>
        </w:rPr>
        <w:t>El resultado del promedio de ejecución de metas físicas se vio afectado, debido a que, más de la mitad de los ministerios incluidos en el presente informe, alcanzaron un avance medio de ejecución; de los cuales, el MICUDE, MSPAS, MIDES y CIV, mostraron los resultados más bajos.</w:t>
      </w:r>
    </w:p>
    <w:p w14:paraId="71B66CC5" w14:textId="1B6F4705" w:rsidR="049B63E7" w:rsidRDefault="375C27C2" w:rsidP="005008A4">
      <w:pPr>
        <w:spacing w:after="120" w:line="240" w:lineRule="auto"/>
        <w:jc w:val="both"/>
      </w:pPr>
      <w:r w:rsidRPr="375C27C2">
        <w:rPr>
          <w:rFonts w:ascii="Calibri" w:eastAsia="Calibri" w:hAnsi="Calibri" w:cs="Calibri"/>
          <w:sz w:val="24"/>
          <w:szCs w:val="24"/>
        </w:rPr>
        <w:t>Por su parte, el promedio de ejecución financiera se ubicó 4.3 puntos porcentuales por arriba de la ejecución física, como resultado de una mayor cantidad de ministerios que lograron un mejor desempeño en la ejecución del presupuesto asignado.</w:t>
      </w:r>
    </w:p>
    <w:p w14:paraId="02F14087" w14:textId="3DB2CA49" w:rsidR="5499291F" w:rsidRDefault="5499291F" w:rsidP="005008A4">
      <w:pPr>
        <w:spacing w:after="120" w:line="240" w:lineRule="auto"/>
        <w:jc w:val="both"/>
      </w:pPr>
      <w:r w:rsidRPr="5499291F">
        <w:rPr>
          <w:rFonts w:ascii="Calibri" w:eastAsia="Calibri" w:hAnsi="Calibri" w:cs="Calibri"/>
          <w:b/>
          <w:bCs/>
          <w:sz w:val="24"/>
          <w:szCs w:val="24"/>
        </w:rPr>
        <w:t>Ejecución física</w:t>
      </w:r>
    </w:p>
    <w:p w14:paraId="604A7A03" w14:textId="10133D8F" w:rsidR="5499291F" w:rsidRDefault="5499291F" w:rsidP="005008A4">
      <w:pPr>
        <w:spacing w:after="120" w:line="240" w:lineRule="auto"/>
        <w:jc w:val="both"/>
      </w:pPr>
      <w:r w:rsidRPr="5499291F">
        <w:rPr>
          <w:rFonts w:ascii="Calibri" w:eastAsia="Calibri" w:hAnsi="Calibri" w:cs="Calibri"/>
          <w:sz w:val="24"/>
          <w:szCs w:val="24"/>
        </w:rPr>
        <w:t>De los 14 ministerios, cinco alcanzaron una ejecución alta de metas físicas: el Ministerio de Energía y Minas, Ministerio de la Defensa Nacional, Ministerio de Economía, Ministerio de Finanzas Públicas y el Ministerio de Trabajo y Previsión Social, con un promedio de 96% de ejecución. Estos ministerios mostraron un comportamiento similar durante el año 2022, logrando mantener un buen desempeño en el cumplimiento de metas físicas. Principalmente, el MEM, MINECO, MINFIN y MINTRAB, mantuvieron un desempeño alto en el cumplimiento de metas durante el año.</w:t>
      </w:r>
    </w:p>
    <w:p w14:paraId="4F347423" w14:textId="73B9DD2B" w:rsidR="5499291F" w:rsidRDefault="5499291F" w:rsidP="005008A4">
      <w:pPr>
        <w:spacing w:after="120" w:line="240" w:lineRule="auto"/>
        <w:jc w:val="both"/>
      </w:pPr>
      <w:r w:rsidRPr="5499291F">
        <w:rPr>
          <w:rFonts w:ascii="Calibri" w:eastAsia="Calibri" w:hAnsi="Calibri" w:cs="Calibri"/>
          <w:sz w:val="24"/>
          <w:szCs w:val="24"/>
        </w:rPr>
        <w:t>Ocho ministerios alcanzaron una ejecución media de metas físicas, con un promedio de 67% de ejecución en el año. De estos, el Ministerio de Ambiente y Recursos Naturales y el Ministerio de Agricultura, Ganadería y Alimentación, ubicados en el primer y segundo cuatrimestre dentro del rango de ejecución media, finalizaron el año 2022, con una ejecución de 89.6% y 78.9% respectivamente, muy cerca de alcanzar una ejecución alta de metas físicas.</w:t>
      </w:r>
    </w:p>
    <w:p w14:paraId="6B1126DB" w14:textId="71A954A8" w:rsidR="5499291F" w:rsidRDefault="5499291F" w:rsidP="005008A4">
      <w:pPr>
        <w:spacing w:after="120" w:line="240" w:lineRule="auto"/>
        <w:jc w:val="both"/>
      </w:pPr>
      <w:r w:rsidRPr="5499291F">
        <w:rPr>
          <w:rFonts w:ascii="Calibri" w:eastAsia="Calibri" w:hAnsi="Calibri" w:cs="Calibri"/>
          <w:sz w:val="24"/>
          <w:szCs w:val="24"/>
        </w:rPr>
        <w:t xml:space="preserve">El MINEX, alcanzó un 76% de ejecución de metas físicas, sin embargo, los datos no fueron incluidos dentro de la tabla de resultados debido que, presentaron registros de ejecución financiera mayor a la meta vigente, provocando un avance financiero superior al 100%. </w:t>
      </w:r>
    </w:p>
    <w:p w14:paraId="633D8F84" w14:textId="3DD4D4B9" w:rsidR="5499291F" w:rsidRDefault="5499291F" w:rsidP="005008A4">
      <w:pPr>
        <w:spacing w:after="120" w:line="240" w:lineRule="auto"/>
        <w:jc w:val="both"/>
      </w:pPr>
      <w:r w:rsidRPr="5499291F">
        <w:rPr>
          <w:rFonts w:ascii="Calibri" w:eastAsia="Calibri" w:hAnsi="Calibri" w:cs="Calibri"/>
          <w:sz w:val="24"/>
          <w:szCs w:val="24"/>
        </w:rPr>
        <w:t xml:space="preserve">En el caso del Ministerio de Salud Pública y Asistencia Social, el Ministerio de Desarrollo y el Ministerio de Comunicaciones, Infraestructura y Vivienda, mostraron un avance de ejecución por debajo del 60%. El MSPAS, mantuvo un rango de ejecución baja durante el año 2022, con 3.14% en el primer cuatrimestre, 25.83% en el segundo cuatrimestre, alcanzando únicamente el 52.85% de ejecución física al finalizar el año. </w:t>
      </w:r>
    </w:p>
    <w:p w14:paraId="2B935DF6" w14:textId="7721DE80" w:rsidR="5499291F" w:rsidRDefault="5499291F" w:rsidP="005008A4">
      <w:pPr>
        <w:spacing w:after="120" w:line="240" w:lineRule="auto"/>
        <w:jc w:val="both"/>
      </w:pPr>
      <w:r w:rsidRPr="5499291F">
        <w:rPr>
          <w:rFonts w:ascii="Calibri" w:eastAsia="Calibri" w:hAnsi="Calibri" w:cs="Calibri"/>
          <w:sz w:val="24"/>
          <w:szCs w:val="24"/>
        </w:rPr>
        <w:t>Al MSPAS, le corresponde mejorar considerablemente la ejecución de metas de los programas prioritarios, dentro de los cuales se encuentran: Prevención de la mortalidad de la niñez y de la desnutrición crónica, Prevención de la mortalidad materna y neonatal y Fomento de la salud y medicina preventiva, principalmente, aquella producción con los niveles más bajos de ejecución.</w:t>
      </w:r>
    </w:p>
    <w:p w14:paraId="72C21E24" w14:textId="68DEE556" w:rsidR="5499291F" w:rsidRDefault="5499291F" w:rsidP="005008A4">
      <w:pPr>
        <w:spacing w:after="120" w:line="240" w:lineRule="auto"/>
        <w:jc w:val="both"/>
      </w:pPr>
      <w:r w:rsidRPr="5499291F">
        <w:rPr>
          <w:rFonts w:ascii="Calibri" w:eastAsia="Calibri" w:hAnsi="Calibri" w:cs="Calibri"/>
          <w:sz w:val="24"/>
          <w:szCs w:val="24"/>
        </w:rPr>
        <w:t>Por su parte, el CIV, deberá orientar los esfuerzos en mejorar el desempeño en el cumplimiento de metas físicas, principalmente en los productos siguientes: Construcción, mejoramiento y reposición de carreteras, Mejoramiento centro de salud, Construcción, reposición, ampliación, mejoramiento de escuelas, Reposición de escuelas primaria, Ampliación construcción mejoramiento y reposición de infraestructura aeroportuaria FSS, Ampliación construcción mejoramiento y reposición de carreteras secundarias y puentes FSS.</w:t>
      </w:r>
    </w:p>
    <w:p w14:paraId="3F2A2E5B" w14:textId="32633BB7" w:rsidR="5499291F" w:rsidRDefault="5499291F" w:rsidP="005008A4">
      <w:pPr>
        <w:spacing w:after="120" w:line="240" w:lineRule="auto"/>
        <w:jc w:val="both"/>
      </w:pPr>
      <w:r w:rsidRPr="5499291F">
        <w:rPr>
          <w:rFonts w:ascii="Calibri" w:eastAsia="Calibri" w:hAnsi="Calibri" w:cs="Calibri"/>
          <w:sz w:val="24"/>
          <w:szCs w:val="24"/>
        </w:rPr>
        <w:t>De igual manera, el MIDES, presentó un comportamiento similar en el transcurso del año, con un 9.16% en el primer cuatrimestre, 24.74% en el segundo cuatrimestre, alcanzando un 52.05% de ejecución al finalizar el año. Este Ministerio deberá prestar especial atención a la producción con menor avance físico, principalmente en los programas: Dotaciones de servicios e infraestructura para la educación, Dotaciones de servicios e infraestructura para el desarrollo comunitario y productivo y Transferencias monetarias condicionadas en salud y educación, principalmente.</w:t>
      </w:r>
    </w:p>
    <w:p w14:paraId="120C5A00" w14:textId="608ACDF7" w:rsidR="5499291F" w:rsidRDefault="5499291F" w:rsidP="005008A4">
      <w:pPr>
        <w:spacing w:after="120" w:line="240" w:lineRule="auto"/>
        <w:jc w:val="both"/>
      </w:pPr>
      <w:r w:rsidRPr="5499291F">
        <w:rPr>
          <w:rFonts w:ascii="Calibri" w:eastAsia="Calibri" w:hAnsi="Calibri" w:cs="Calibri"/>
          <w:sz w:val="24"/>
          <w:szCs w:val="24"/>
        </w:rPr>
        <w:t>Así también, el MIDES deberá atender especialmente aquellas acciones que contribuyan a mejorar el avance de la producción que aporta a los Resultados Estratégicos de Desarrollo (RED) a los cuales se encuentra vinculado</w:t>
      </w:r>
      <w:r w:rsidR="00D90BD3">
        <w:rPr>
          <w:rStyle w:val="Refdenotaalpie"/>
          <w:rFonts w:ascii="Calibri" w:eastAsia="Calibri" w:hAnsi="Calibri" w:cs="Calibri"/>
          <w:sz w:val="24"/>
          <w:szCs w:val="24"/>
        </w:rPr>
        <w:footnoteReference w:id="2"/>
      </w:r>
      <w:r w:rsidRPr="5499291F">
        <w:rPr>
          <w:rFonts w:ascii="Calibri" w:eastAsia="Calibri" w:hAnsi="Calibri" w:cs="Calibri"/>
          <w:sz w:val="24"/>
          <w:szCs w:val="24"/>
        </w:rPr>
        <w:t>.</w:t>
      </w:r>
      <w:r w:rsidRPr="5499291F">
        <w:rPr>
          <w:rFonts w:ascii="Helvetica" w:eastAsia="Helvetica" w:hAnsi="Helvetica" w:cs="Helvetica"/>
          <w:sz w:val="24"/>
          <w:szCs w:val="24"/>
        </w:rPr>
        <w:t xml:space="preserve"> </w:t>
      </w:r>
    </w:p>
    <w:p w14:paraId="20B634D1" w14:textId="2983DB02" w:rsidR="5499291F" w:rsidRDefault="5499291F" w:rsidP="005008A4">
      <w:pPr>
        <w:spacing w:after="120" w:line="240" w:lineRule="auto"/>
        <w:jc w:val="both"/>
      </w:pPr>
      <w:r w:rsidRPr="5499291F">
        <w:rPr>
          <w:rFonts w:ascii="Calibri" w:eastAsia="Calibri" w:hAnsi="Calibri" w:cs="Calibri"/>
          <w:b/>
          <w:bCs/>
          <w:sz w:val="24"/>
          <w:szCs w:val="24"/>
        </w:rPr>
        <w:t>Principales productos con mayor avance de metas físicas</w:t>
      </w:r>
    </w:p>
    <w:p w14:paraId="08C84772" w14:textId="6F1BFCFF" w:rsidR="5499291F" w:rsidRDefault="5499291F" w:rsidP="005008A4">
      <w:pPr>
        <w:spacing w:after="120" w:line="240" w:lineRule="auto"/>
        <w:jc w:val="both"/>
      </w:pPr>
      <w:r w:rsidRPr="5499291F">
        <w:rPr>
          <w:rFonts w:ascii="Calibri" w:eastAsia="Calibri" w:hAnsi="Calibri" w:cs="Calibri"/>
          <w:sz w:val="24"/>
          <w:szCs w:val="24"/>
        </w:rPr>
        <w:t>Varios de los Ministerios reportaron cuáles fueron los principales productos que alcanzaron la mayor ejecución de meta física al finalizar el año 2022, los cuales se detallan a continuación</w:t>
      </w:r>
      <w:r w:rsidR="00D90BD3">
        <w:rPr>
          <w:rStyle w:val="Refdenotaalpie"/>
          <w:rFonts w:ascii="Calibri" w:eastAsia="Calibri" w:hAnsi="Calibri" w:cs="Calibri"/>
          <w:sz w:val="24"/>
          <w:szCs w:val="24"/>
        </w:rPr>
        <w:footnoteReference w:id="3"/>
      </w:r>
      <w:r w:rsidRPr="5499291F">
        <w:rPr>
          <w:rFonts w:ascii="Calibri" w:eastAsia="Calibri" w:hAnsi="Calibri" w:cs="Calibri"/>
          <w:sz w:val="24"/>
          <w:szCs w:val="24"/>
        </w:rPr>
        <w:t>.</w:t>
      </w:r>
    </w:p>
    <w:tbl>
      <w:tblPr>
        <w:tblStyle w:val="Tablaconcuadrcula4-nfasis5"/>
        <w:tblW w:w="0" w:type="auto"/>
        <w:tblBorders>
          <w:top w:val="single" w:sz="8" w:space="0" w:color="5B9BD5" w:themeColor="accent5"/>
          <w:left w:val="single" w:sz="6" w:space="0" w:color="5B9BD5" w:themeColor="accent5"/>
          <w:bottom w:val="single" w:sz="8" w:space="0" w:color="9CC2E5" w:themeColor="accent5" w:themeTint="99"/>
          <w:right w:val="single" w:sz="6" w:space="0" w:color="5B9BD5" w:themeColor="accent5"/>
          <w:insideH w:val="single" w:sz="6" w:space="0" w:color="5B9BD5" w:themeColor="accent5"/>
          <w:insideV w:val="single" w:sz="6" w:space="0" w:color="5B9BD5" w:themeColor="accent5"/>
        </w:tblBorders>
        <w:tblLayout w:type="fixed"/>
        <w:tblLook w:val="04A0" w:firstRow="1" w:lastRow="0" w:firstColumn="1" w:lastColumn="0" w:noHBand="0" w:noVBand="1"/>
      </w:tblPr>
      <w:tblGrid>
        <w:gridCol w:w="1560"/>
        <w:gridCol w:w="7770"/>
      </w:tblGrid>
      <w:tr w:rsidR="5499291F" w:rsidRPr="00334C5B" w14:paraId="5499614E" w14:textId="77777777" w:rsidTr="00E7064E">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single" w:sz="6" w:space="0" w:color="9CC2E5" w:themeColor="accent5" w:themeTint="99"/>
            </w:tcBorders>
            <w:tcMar>
              <w:left w:w="108" w:type="dxa"/>
              <w:right w:w="108" w:type="dxa"/>
            </w:tcMar>
            <w:vAlign w:val="center"/>
          </w:tcPr>
          <w:p w14:paraId="5CBCA376" w14:textId="5A1125FC" w:rsidR="5499291F" w:rsidRPr="00334C5B" w:rsidRDefault="5499291F" w:rsidP="5499291F">
            <w:pPr>
              <w:spacing w:line="254" w:lineRule="auto"/>
              <w:jc w:val="center"/>
              <w:rPr>
                <w:rFonts w:asciiTheme="minorHAnsi" w:hAnsiTheme="minorHAnsi" w:cstheme="minorHAnsi"/>
                <w:sz w:val="22"/>
                <w:szCs w:val="22"/>
              </w:rPr>
            </w:pPr>
            <w:r w:rsidRPr="00334C5B">
              <w:rPr>
                <w:rFonts w:asciiTheme="minorHAnsi" w:hAnsiTheme="minorHAnsi" w:cstheme="minorHAnsi"/>
                <w:color w:val="000000" w:themeColor="text1"/>
                <w:sz w:val="22"/>
                <w:szCs w:val="22"/>
                <w:lang w:val="es"/>
              </w:rPr>
              <w:t>Institución</w:t>
            </w:r>
          </w:p>
        </w:tc>
        <w:tc>
          <w:tcPr>
            <w:tcW w:w="7770" w:type="dxa"/>
            <w:tcBorders>
              <w:top w:val="none" w:sz="0" w:space="0" w:color="auto"/>
              <w:left w:val="single" w:sz="6" w:space="0" w:color="9CC2E5" w:themeColor="accent5" w:themeTint="99"/>
              <w:bottom w:val="none" w:sz="0" w:space="0" w:color="auto"/>
              <w:right w:val="none" w:sz="0" w:space="0" w:color="auto"/>
            </w:tcBorders>
            <w:tcMar>
              <w:left w:w="108" w:type="dxa"/>
              <w:right w:w="108" w:type="dxa"/>
            </w:tcMar>
            <w:vAlign w:val="center"/>
          </w:tcPr>
          <w:p w14:paraId="1389CB4D" w14:textId="0BECFCCA" w:rsidR="5499291F" w:rsidRPr="00334C5B" w:rsidRDefault="5499291F" w:rsidP="5499291F">
            <w:pPr>
              <w:spacing w:line="25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34C5B">
              <w:rPr>
                <w:rFonts w:asciiTheme="minorHAnsi" w:hAnsiTheme="minorHAnsi" w:cstheme="minorHAnsi"/>
                <w:color w:val="000000" w:themeColor="text1"/>
                <w:sz w:val="22"/>
                <w:szCs w:val="22"/>
                <w:lang w:val="es"/>
              </w:rPr>
              <w:t>Producción institucional (productos/subproductos)</w:t>
            </w:r>
          </w:p>
        </w:tc>
      </w:tr>
      <w:tr w:rsidR="5499291F" w:rsidRPr="00334C5B" w14:paraId="7BF1D72F" w14:textId="77777777" w:rsidTr="005008A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586AA3E0" w14:textId="56D2D13F"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MEM</w:t>
            </w:r>
          </w:p>
        </w:tc>
        <w:tc>
          <w:tcPr>
            <w:tcW w:w="7770" w:type="dxa"/>
            <w:tcMar>
              <w:left w:w="108" w:type="dxa"/>
              <w:right w:w="108" w:type="dxa"/>
            </w:tcMar>
          </w:tcPr>
          <w:p w14:paraId="4F39544B" w14:textId="63A7F4B8" w:rsidR="5499291F" w:rsidRPr="00334C5B" w:rsidRDefault="1041AE5A" w:rsidP="00334C5B">
            <w:pPr>
              <w:pStyle w:val="Prrafodelista"/>
              <w:numPr>
                <w:ilvl w:val="0"/>
                <w:numId w:val="10"/>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Eventos de promoción y divulgación de los beneficios del desarrollo del Sistema Energético Nacional: Se desarrollaron 7 eventos de promoción y divulgación, lo cual representó un avance físico de 46.67% durante el tercer cuatrimestre y 15 eventos al finalizar el año, con 100% de avance físico.</w:t>
            </w:r>
          </w:p>
          <w:p w14:paraId="4F9AF074" w14:textId="02903E53" w:rsidR="5499291F" w:rsidRPr="00334C5B" w:rsidRDefault="1041AE5A" w:rsidP="00334C5B">
            <w:pPr>
              <w:pStyle w:val="Prrafodelista"/>
              <w:numPr>
                <w:ilvl w:val="0"/>
                <w:numId w:val="10"/>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Empresas envasadoras de gas licuado de petróleo beneficiadas con el apoyo social temporal: se ejecutaron 4 de 12 aportes a Envasadoras de GLP, lo que representó un avance físico de 33.33% en el tercer cuatrimestre y 12 aportes al finalizar el año, con 100% de avance físico.</w:t>
            </w:r>
          </w:p>
          <w:p w14:paraId="02AB4977" w14:textId="6E9B1345" w:rsidR="5499291F" w:rsidRPr="00334C5B" w:rsidRDefault="1041AE5A" w:rsidP="00334C5B">
            <w:pPr>
              <w:pStyle w:val="Prrafodelista"/>
              <w:numPr>
                <w:ilvl w:val="0"/>
                <w:numId w:val="10"/>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Personas individuales o jurídicas beneficiadas con la promoción de actividades de Exploración y Explotación Minera: Se benefició a 59 personas individuales o jurídicas, lo que representó un avance físico de 32.24% durante el tercer cuatrimestre y 183 personas beneficiadas en el año, con 100% de avance físico.</w:t>
            </w:r>
          </w:p>
          <w:p w14:paraId="7E457BA9" w14:textId="44D649D2" w:rsidR="5499291F" w:rsidRPr="00334C5B" w:rsidRDefault="1041AE5A" w:rsidP="00334C5B">
            <w:pPr>
              <w:pStyle w:val="Prrafodelista"/>
              <w:numPr>
                <w:ilvl w:val="0"/>
                <w:numId w:val="10"/>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Empresas importadoras de combustibles beneficiadas con el apoyo social temporal: Se realizaron 2 aportes a empresas importadoras de diésel, gasolina regular y superior, lo que representó un avance físico de 28.57% durante el tercer cuatrimestre y 7 aportes entregados al finalizar el año, con 100% de avance físico</w:t>
            </w:r>
          </w:p>
          <w:p w14:paraId="62EAF92A" w14:textId="24890A0E" w:rsidR="5499291F" w:rsidRPr="00334C5B" w:rsidRDefault="1041AE5A" w:rsidP="00334C5B">
            <w:pPr>
              <w:pStyle w:val="Prrafodelista"/>
              <w:numPr>
                <w:ilvl w:val="0"/>
                <w:numId w:val="10"/>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Informe sobre el fomento de la expansión del Sistema Eléctrico Nacional: Se realizaron 21 informes de sobre el fomento, lo que representó un avance físico de 38.89% durante el tercer cuatrimestre y 54 informes al finalizar el año, con 100% de avance físico.</w:t>
            </w:r>
          </w:p>
          <w:p w14:paraId="5C1ACB4A" w14:textId="7EF4F6FB" w:rsidR="5499291F" w:rsidRPr="00334C5B" w:rsidRDefault="1041AE5A" w:rsidP="00E42F53">
            <w:pPr>
              <w:pStyle w:val="Prrafodelista"/>
              <w:numPr>
                <w:ilvl w:val="0"/>
                <w:numId w:val="10"/>
              </w:numPr>
              <w:spacing w:line="257"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Informe del fomento al incremento y fortalecimiento del acceso a la energía eléctrica: Se generaron 105 documentos de resolución e informes, lo que implicó un avance físico de 33.34% durante el cuatrimestre y 304 documentos al finalizar el año, con 100% de avance físico.</w:t>
            </w:r>
          </w:p>
        </w:tc>
      </w:tr>
      <w:tr w:rsidR="5499291F" w:rsidRPr="00334C5B" w14:paraId="34172137" w14:textId="77777777" w:rsidTr="005008A4">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445BB962" w14:textId="6080D400"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MINDEF</w:t>
            </w:r>
          </w:p>
        </w:tc>
        <w:tc>
          <w:tcPr>
            <w:tcW w:w="7770" w:type="dxa"/>
            <w:tcMar>
              <w:left w:w="108" w:type="dxa"/>
              <w:right w:w="108" w:type="dxa"/>
            </w:tcMar>
          </w:tcPr>
          <w:p w14:paraId="059A55B5" w14:textId="3C207A45"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Operaciones terrestres: Se realizaron 137,803 patrullajes, con un avance físico de 100% al finalizar el año.</w:t>
            </w:r>
          </w:p>
          <w:p w14:paraId="3EE3370D" w14:textId="1F01252B"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Operaciones marítimas: Se realizaron 60,459 patrullajes, con un avance físico de 100% al finalizar el año.</w:t>
            </w:r>
          </w:p>
          <w:p w14:paraId="3D757912" w14:textId="267EB5F1"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Operaciones aéreas: Se realizaron 10,261 patrullajes, con un avance físico de 100% al finalizar el año.</w:t>
            </w:r>
          </w:p>
          <w:p w14:paraId="6F2C3E8E" w14:textId="64DC44EA"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Rehabilitación y mejoramiento de la Red Vial Estratégica de Tercer Orden en varios municipios de la República, con un avance de 1,116 kilómetros cumpliendo la meta planificada en el año.</w:t>
            </w:r>
          </w:p>
        </w:tc>
      </w:tr>
      <w:tr w:rsidR="5499291F" w:rsidRPr="00334C5B" w14:paraId="184E16B0" w14:textId="77777777" w:rsidTr="005008A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6AB66E47" w14:textId="187A816C"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MINECO</w:t>
            </w:r>
          </w:p>
        </w:tc>
        <w:tc>
          <w:tcPr>
            <w:tcW w:w="7770" w:type="dxa"/>
            <w:tcMar>
              <w:left w:w="108" w:type="dxa"/>
              <w:right w:w="108" w:type="dxa"/>
            </w:tcMar>
          </w:tcPr>
          <w:p w14:paraId="13C652A8" w14:textId="3D8922D4"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Empresarios de micro, pequeña y mediana empresa beneficiados con asistencia técnica en desarrollo empresarial: Se benefició a 29,777 personas, con un avance físico de 94.11% en el año.</w:t>
            </w:r>
          </w:p>
          <w:p w14:paraId="31CDAA97" w14:textId="01A7E9A2"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Personas individuales y jurídicas beneficiadas con patentes de inscripción de sociedades nacionales, comerciante individual y empresas mercantiles: Se benefició a 87,500 personas, con un avance físico de 86.71% en el año.</w:t>
            </w:r>
          </w:p>
          <w:p w14:paraId="1B8D9A82" w14:textId="5A439C1D"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Personas individuales y jurídicas beneficiadas con títulos de derechos de propiedad intelectual: Se benefició a 31,258 personas, con un avance físico de 76.58% en el año.</w:t>
            </w:r>
          </w:p>
          <w:p w14:paraId="0A0D70FD" w14:textId="5EC9E131"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Consumidores beneficiados con servicios de asistencia, protección y educación sobre sus derechos y obligaciones: Se benefició a 51,043 personas, con un avance físico de 97.27% en el año.</w:t>
            </w:r>
          </w:p>
          <w:p w14:paraId="24DEDA00" w14:textId="1EA43FBA"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Supervisión a proveedores para el cumplimiento de sus obligaciones (Proveedores que informan y publican sus productos y servicios que comercializan y proveedores que comercializan combustibles y gas propano (GLP) en cumplimiento del Plan Centinela: Se desarrollaron 66,576 eventos de supervisión, con un avance físico de 100% en el año.</w:t>
            </w:r>
          </w:p>
          <w:p w14:paraId="49F7677D" w14:textId="1AAF90A2"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Entidades beneficiadas con asistencia técnica y/o financiera para la mejora de la productividad y competitividad: Se benefició a 774 entidades, con un avance físico de 100% en el año.</w:t>
            </w:r>
          </w:p>
          <w:p w14:paraId="54DE79BD" w14:textId="1BBD918F"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Informes de Gestión de acuerdos comerciales internacionales vigentes para Guatemala, a beneficio de productores, exportadores, importadores y la recaudación tributaria: Se generaron 3,528 informes, con un avance físico de 99.80% en el año.</w:t>
            </w:r>
          </w:p>
        </w:tc>
      </w:tr>
      <w:tr w:rsidR="5499291F" w:rsidRPr="00334C5B" w14:paraId="2062E819" w14:textId="77777777" w:rsidTr="005008A4">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2FF55F7" w14:textId="042C82C0"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MINFN</w:t>
            </w:r>
          </w:p>
        </w:tc>
        <w:tc>
          <w:tcPr>
            <w:tcW w:w="7770" w:type="dxa"/>
            <w:tcMar>
              <w:left w:w="108" w:type="dxa"/>
              <w:right w:w="108" w:type="dxa"/>
            </w:tcMar>
          </w:tcPr>
          <w:p w14:paraId="7405D363" w14:textId="5CC4A5C7"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Registro y valores actualizados de bienes inmuebles: Durante el tercer cuatrimestre se ejecutaron 58,369 registros, relacionados con bienes inmuebles, con lo cual, se alcanza el 100% de la meta física programada.</w:t>
            </w:r>
          </w:p>
          <w:p w14:paraId="57052318" w14:textId="7EF2B529"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Registro del patrimonio mueble e inmueble: Durante el último cuatrimestre del ejercicio fiscal 2022, se ejecutaron 1,435 documentos relacionados con el registro del patrimonio muebles e inmuebles propiedad del Estado, se alcanzó un 92.51% de la meta física programada.</w:t>
            </w:r>
          </w:p>
          <w:p w14:paraId="4BC61C4D" w14:textId="30BEA1C9"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Pago de obligaciones del Estado: Al finalizar el tercer cuatrimestre, el Ministerio alcanzó una ejecución de 157,223 documentos relacionados con el cumplimiento de pago que le corresponde atender en materia de obligaciones del Estado, cabe indicar que se alcanzó un 100% de la meta programada.</w:t>
            </w:r>
          </w:p>
          <w:p w14:paraId="74E6240F" w14:textId="01A2EBFC"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Formulación y seguimiento de la Política Fiscal: El Ministerio programó 18 documentos relacionados con Política Fiscal, especialmente el manejo de variables macro fiscales vinculadas con la formulación y seguimiento de dicha política, al finalizar el tercer cuatrimestre 2022 se alcanzó el 100% de la meta programada.</w:t>
            </w:r>
          </w:p>
          <w:p w14:paraId="20EDFBD1" w14:textId="31BA0FA4"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Municipalidades implementadas con la Gestión por Resultados: Con la finalidad de contribuir a fortalecer la Gestión por Resultados en apoyo a los Gobierno Locales, el Ministerio programó atender a 20 Municipalidades, al finalizar el tercer cuatrimestre se alcanzó el 100% de la meta física programada.</w:t>
            </w:r>
          </w:p>
        </w:tc>
      </w:tr>
      <w:tr w:rsidR="5499291F" w:rsidRPr="00334C5B" w14:paraId="355E7B1B" w14:textId="77777777" w:rsidTr="005008A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0E10D4C" w14:textId="35F7E504"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MINTRAB</w:t>
            </w:r>
          </w:p>
        </w:tc>
        <w:tc>
          <w:tcPr>
            <w:tcW w:w="7770" w:type="dxa"/>
            <w:tcMar>
              <w:left w:w="108" w:type="dxa"/>
              <w:right w:w="108" w:type="dxa"/>
            </w:tcMar>
          </w:tcPr>
          <w:p w14:paraId="041E525A" w14:textId="61F4375E"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Se entregaron 572,568 aportes económicos al adulto mayor en el tercer cuatrimestre, logrando un acumulado en el año de 1,558,333 aportes, que representa un 99.76% de avance de meta física.</w:t>
            </w:r>
          </w:p>
          <w:p w14:paraId="7AACFC2D" w14:textId="70883ED3"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Se capacitaron y formaron a 1,719 personas para trabajar en actividades económicas diversas, con un acumulado en el año de 2,900 personas, que representa el 100% de avance de meta física.</w:t>
            </w:r>
          </w:p>
          <w:p w14:paraId="2AFA27B3" w14:textId="4A79D761"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Se orientaron e intermediaron a 36,298 personas facilitando su vinculación al mercado laboral, con un avance físico de 100% en el año.</w:t>
            </w:r>
          </w:p>
        </w:tc>
      </w:tr>
      <w:tr w:rsidR="5499291F" w:rsidRPr="00334C5B" w14:paraId="5110A288" w14:textId="77777777" w:rsidTr="005008A4">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0DA941B9" w14:textId="34A07F30"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MARN</w:t>
            </w:r>
          </w:p>
        </w:tc>
        <w:tc>
          <w:tcPr>
            <w:tcW w:w="7770" w:type="dxa"/>
            <w:tcMar>
              <w:left w:w="108" w:type="dxa"/>
              <w:right w:w="108" w:type="dxa"/>
            </w:tcMar>
          </w:tcPr>
          <w:p w14:paraId="1937CEB3" w14:textId="6647B378"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Personas capacitadas y sensibilizadas en temas de responsabilidad socio ambiental: Se atendió un total de 70,098 personas, de las cuales, 53,748 a nivel departamental y 16,350 a nivel central, con un avance físico de 98.72% en el año.</w:t>
            </w:r>
          </w:p>
          <w:p w14:paraId="05CD6254" w14:textId="5F189282"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Emisión de licencias, resoluciones e informes sobre temas ambientales a entidades y personas: Se emitieron 36,170 documentos, con un avance físico de 96.79% en el año.</w:t>
            </w:r>
          </w:p>
          <w:p w14:paraId="0B4010C5" w14:textId="655E316F"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Informes técnicos de control sobre la contaminación hídrica, prevención de la contaminación de ecosistemas a la población en general: Se generaron 1,849 informes, con un avance físico de 94.87% en el año.</w:t>
            </w:r>
          </w:p>
        </w:tc>
      </w:tr>
      <w:tr w:rsidR="5499291F" w:rsidRPr="00334C5B" w14:paraId="78A73539" w14:textId="77777777" w:rsidTr="005008A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439102CD" w14:textId="66909334"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MAGA</w:t>
            </w:r>
          </w:p>
        </w:tc>
        <w:tc>
          <w:tcPr>
            <w:tcW w:w="7770" w:type="dxa"/>
            <w:tcMar>
              <w:left w:w="108" w:type="dxa"/>
              <w:right w:w="108" w:type="dxa"/>
            </w:tcMar>
          </w:tcPr>
          <w:p w14:paraId="0AF9C5AB" w14:textId="682DA06C"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Asistencia y dotación alimentaria a familiar vulnerables en riesgo de inseguridad alimentaria por pérdida de cosecha, urgencia o gravedad, con una ejecución de septiembre a diciembre de 344,825 raciones, logrando un acumulado de 511,805.00, con un avance físico de 100% en el año.</w:t>
            </w:r>
          </w:p>
          <w:p w14:paraId="3719F84D" w14:textId="5718FF4C"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Productores beneficiados con asistencia técnica e insumos por condición de vulnerabilidad alimentaria para la restauración de sus sistemas productivos, con una ejecución de septiembre a diciembre de 7,470 personas atendidas, logrando un acumulado de 10,000, con un avance físico de 100%  en el año.</w:t>
            </w:r>
          </w:p>
          <w:p w14:paraId="74336174" w14:textId="03ADA7E0"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Productores (as) familiares capacitados y asistidos técnicamente para mejorar sus sistemas productivos, 247,271 personas atendidas (se incluye 47,109 agricultores que fueron beneficiadas con estipendios por implementación de prácticas de conservación de suelos, y 90,912 productores (as) con estipendio y capacitación en prácticas de conservación de suelos), logrando un acumulado de 410,783.00 productores, con un avance físico de 96.48% en el año.</w:t>
            </w:r>
          </w:p>
          <w:p w14:paraId="109849E9" w14:textId="25F96AC1"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Productores (as) beneficiados con capacitación, asistencia técnica e insumos para el manejo y conservación de los recursos naturales, con una ejecución de septiembre a diciembre de 37,047 productores beneficiados, logrando un acumulado de 108,183, con un avance de 98.14% en el año.</w:t>
            </w:r>
          </w:p>
          <w:p w14:paraId="2D83A685" w14:textId="7394673B"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Productores (as) beneficiados con capacitación, asistencia técnica e insumos para mejorar la productividad agrícola sostenible y tecnificada, con una ejecución de septiembre a diciembre de 15,034 personas, logrando un acumulado de 18,712, con un avance físico de 97.04% en el año. (Incluye el subproducto plantaciones de cultivos permanentes con manejo técnico e insumos para el incremento de la productividad, en el tercer cuatrimestre se reportó la ejecución de 81 hectáreas establecidas con cultivos frutales).</w:t>
            </w:r>
          </w:p>
          <w:p w14:paraId="1159003E" w14:textId="30845067"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SNIP 195475: Mejoramiento Sistema de Riego, unidad de riego Laguna del Hoyo Aldea Terrones municipio de Monjas departamento de Jalapa, con una ejecución de septiembre a diciembre de 3,481.68 metros cuadrados, con un avance físico de 96.55% en el año.</w:t>
            </w:r>
          </w:p>
          <w:p w14:paraId="0E7B7E8C" w14:textId="7F8C04E0"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SNIP 192823: Mejoramiento Sistema de riego unidad de Riego La Palma municipio de Río Hondo departamento de Zacapa, con una ejecución de septiembre a diciembre de 3,947.00 metros cuadrados, con un avance físico de 100% en el año.</w:t>
            </w:r>
          </w:p>
          <w:p w14:paraId="6C16142E" w14:textId="01F0FA9E"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SNIP 193645: Mejoramiento Sistema de Riego unidad de riego Oajaca municipio de Gualán departamento de Zacapa, con una ejecución de septiembre a diciembre de 3,101.00 metros cuadrados, con un avance físico de 100% en el año.</w:t>
            </w:r>
          </w:p>
        </w:tc>
      </w:tr>
      <w:tr w:rsidR="5499291F" w:rsidRPr="00334C5B" w14:paraId="0CABBD4B" w14:textId="77777777" w:rsidTr="005008A4">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2A5C35C8" w14:textId="7C8C66B1"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MINEDUC</w:t>
            </w:r>
          </w:p>
        </w:tc>
        <w:tc>
          <w:tcPr>
            <w:tcW w:w="7770" w:type="dxa"/>
            <w:tcMar>
              <w:left w:w="108" w:type="dxa"/>
              <w:right w:w="108" w:type="dxa"/>
            </w:tcMar>
          </w:tcPr>
          <w:p w14:paraId="5546E140" w14:textId="08CECD7A"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Institutos por cooperativa del ciclo básico beneficiados con aporte financiero: 140,821 estudiantes beneficiados, con un avance de 99.15% en el año.</w:t>
            </w:r>
          </w:p>
          <w:p w14:paraId="7C3ABCC9" w14:textId="1199BE89"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Institutos por cooperativa del ciclo diversificado beneficiados con aporte financiero: 22,674 estudiantes beneficiados, con un avance de 98.96% en el año.</w:t>
            </w:r>
          </w:p>
          <w:p w14:paraId="0264F498" w14:textId="178ECBDD"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Establecimientos del nivel preprimario atendidos con gratuidad: 544,781 estudiantes beneficiados, con un avance de 98.71% en el año.</w:t>
            </w:r>
          </w:p>
          <w:p w14:paraId="595DAB19" w14:textId="29775BB1"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Establecimientos del nivel primario atendidos con gratuidad: 2,086,825 estudiantes beneficiados, con un avance de 99.43% en el año.</w:t>
            </w:r>
          </w:p>
          <w:p w14:paraId="5122CF92" w14:textId="6FF9CF94"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Establecimientos del ciclo básico atendidos con gratuidad: 299,696 estudiantes beneficiados, con un avance de 97.64% en el año.</w:t>
            </w:r>
          </w:p>
          <w:p w14:paraId="7EF24F92" w14:textId="16214FB0"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Establecimientos del ciclo diversificado atendidos con gratuidad: 90,552 estudiantes beneficiados, con un avance de 96.65% en el año.</w:t>
            </w:r>
          </w:p>
          <w:p w14:paraId="2B451FA4" w14:textId="73A73CE7"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Docentes del nivel primario beneficiados con valijas didácticas: 86,261 docentes beneficiados, con un avance de 99.30% en el año.</w:t>
            </w:r>
          </w:p>
          <w:p w14:paraId="2B7FD1B1" w14:textId="04B7F3B6"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Docentes del nivel preprimario beneficiados con valijas didácticas: 21,206 docentes beneficiados, con un avance de 97.83% en el año.</w:t>
            </w:r>
          </w:p>
          <w:p w14:paraId="28AEF825" w14:textId="19F554DF"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Estudiantes del nivel primario beneficiados con útiles escolares: 2,080,470 estudiantes beneficiados, con un avance de 96% en el año.</w:t>
            </w:r>
          </w:p>
          <w:p w14:paraId="3AA63111" w14:textId="3CE66C2D"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Estudiantes del nivel preprimario beneficiados con útiles escolares: 551,025 estudiantes beneficiados, con un avance de 95.39% en el año.</w:t>
            </w:r>
          </w:p>
          <w:p w14:paraId="2423DA33" w14:textId="525ED6A0"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Alumnas y alumnos del nivel medio ciclo diversificado con becas escolares para el aprendizaje de idioma extranjero: 5,883 alumnos beneficiados, con un avance de 100% en el año.</w:t>
            </w:r>
          </w:p>
          <w:p w14:paraId="05FEAA52" w14:textId="7DA9BD21"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Docentes del nivel medio, ciclo diversificado beneficiados con becas de estudio para el aprendizaje del idioma extranjero: 170 docentes beneficiados, con un avance de 100% en el año.</w:t>
            </w:r>
          </w:p>
          <w:p w14:paraId="57FC27EA" w14:textId="35074C91"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Niños y niñas del nivel primario atendidos con alimentación escolar: 2,079,759 estudiantes beneficiados, con un avance de 96% en el año.</w:t>
            </w:r>
          </w:p>
          <w:p w14:paraId="44DBB737" w14:textId="09D7CAA9"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Niños y niñas del nivel preprimario atendidos con alimentación escolar: 574,714 estudiantes beneficiados, con un avance de 98% en el año.</w:t>
            </w:r>
          </w:p>
          <w:p w14:paraId="68C5EBB6" w14:textId="2B33EBD9"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Estudiantes del nivel primaria con cobertura de seguro médico escolar: 1,995,450 estudiantes beneficiados, con un avance de 94.75% en el año.</w:t>
            </w:r>
          </w:p>
          <w:p w14:paraId="50607C10" w14:textId="722B986D"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Estudiantes del nivel preprimaria con cobertura de seguro médico escolar: 565,340 estudiantes beneficiados, con un avance de 95.18% en el año.</w:t>
            </w:r>
          </w:p>
          <w:p w14:paraId="0C9F1D76" w14:textId="09AD5E79"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Módulos educativos instalados y equipados para el nivel preprimario (monolingüe y bilingüe): 6,060 módulos instalados.</w:t>
            </w:r>
          </w:p>
        </w:tc>
      </w:tr>
      <w:tr w:rsidR="5499291F" w:rsidRPr="00334C5B" w14:paraId="1BE3F8E0" w14:textId="77777777" w:rsidTr="005008A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218CBCA" w14:textId="5B4D5864"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MICUDE</w:t>
            </w:r>
          </w:p>
        </w:tc>
        <w:tc>
          <w:tcPr>
            <w:tcW w:w="7770" w:type="dxa"/>
            <w:tcMar>
              <w:left w:w="108" w:type="dxa"/>
              <w:right w:w="108" w:type="dxa"/>
            </w:tcMar>
          </w:tcPr>
          <w:p w14:paraId="3EEB94E6" w14:textId="1961FDCB"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Espectáculos públicos controlados y regulados en beneficio de personas, al cierre del año 2022 se reportaron 1,427 documentos, con un avance de 100% de la meta física.</w:t>
            </w:r>
          </w:p>
          <w:p w14:paraId="2A02F45C" w14:textId="3AAECFAC"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Personas capacitadas para la salvaguardia del patrimonio intangible, al cierre del año 2022 se reportaron 1,150 personas beneficiadas, con un avance de 100% de la meta física.</w:t>
            </w:r>
          </w:p>
          <w:p w14:paraId="0E4AFF77" w14:textId="06E12610"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Personas que reciben implementos para actividades físicas, deportivas y de recreación física en su tiempo libre, al cierre del año 2022 se reportaron 150,794 personas beneficiadas, con un avance de 100% de la meta física.</w:t>
            </w:r>
          </w:p>
          <w:p w14:paraId="7E0C714D" w14:textId="5B4E8B98"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Personas beneficiadas con eventos de participación ciudadana, al cierre del año 2022 se reportaron 73,394 personas beneficiadas, con un avance de 100% de la meta física.</w:t>
            </w:r>
          </w:p>
        </w:tc>
      </w:tr>
      <w:tr w:rsidR="5499291F" w:rsidRPr="00334C5B" w14:paraId="2D860876" w14:textId="77777777" w:rsidTr="005008A4">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02BAA7E4" w14:textId="5843FB8D"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MSPAS</w:t>
            </w:r>
          </w:p>
        </w:tc>
        <w:tc>
          <w:tcPr>
            <w:tcW w:w="7770" w:type="dxa"/>
            <w:tcMar>
              <w:left w:w="108" w:type="dxa"/>
              <w:right w:w="108" w:type="dxa"/>
            </w:tcMar>
          </w:tcPr>
          <w:p w14:paraId="40D8CA49" w14:textId="53D15838"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Población atendida con servicios de información, educación y comunicación en los ciclos de vida con énfasis en los modos de vida saludable, al tercer cuatrimestre se reportaron 3,616,214 de personas atendidas y al cierre del año 2022 se atendió un total de 10,262,177 de personas, con un avance de 94.6% de la meta física.</w:t>
            </w:r>
          </w:p>
          <w:p w14:paraId="21AFE59A" w14:textId="20928E35"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Personas atendidas en servicios de recuperación de la salud, al tercer cuatrimestre se reportaron 3,329,726 de personas atendidas y al cierre del año 2022 se atendió un total de 11,143,618 de personas, con un avance de 90.2% de la meta física.</w:t>
            </w:r>
          </w:p>
          <w:p w14:paraId="20E9C6D8" w14:textId="0BF81D6F"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Servicios de apoyo diagnóstico y de tratamiento, al tercer cuatrimestre se reportaron 2,575,459 de personas atendidas y al cierre del año 2022 se atendió un total de 8,929,445 personas, con un avance de 94.2% de la meta física.</w:t>
            </w:r>
          </w:p>
        </w:tc>
      </w:tr>
      <w:tr w:rsidR="5499291F" w:rsidRPr="00334C5B" w14:paraId="77ECC283" w14:textId="77777777" w:rsidTr="005008A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24FF814B" w14:textId="1B85F556"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MIDES</w:t>
            </w:r>
          </w:p>
        </w:tc>
        <w:tc>
          <w:tcPr>
            <w:tcW w:w="7770" w:type="dxa"/>
            <w:tcMar>
              <w:left w:w="108" w:type="dxa"/>
              <w:right w:w="108" w:type="dxa"/>
            </w:tcMar>
          </w:tcPr>
          <w:p w14:paraId="2B17F79D" w14:textId="4C06798E"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Transferencias monetarias condicionadas entregadas a familias con niños y niñas entre 6 y 15 años y mujeres embarazadas o en período de lactancia que cumplen con sus controles de salud. 524,357 aportes, con un avance de 83.58% en el año.</w:t>
            </w:r>
          </w:p>
          <w:p w14:paraId="5B92062E" w14:textId="16B1037A"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Transferencias monetarias condicionadas entregadas a familias con niños y niñas entre 0 y 2 años y mujeres embarazadas o en período de lactancia que cumplen con sus controles de salud. 23,935 aportes, con un avance de 82.89% en el año.</w:t>
            </w:r>
          </w:p>
          <w:p w14:paraId="186E56AB" w14:textId="021CEF63"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Transferencias monetarias condicionadas entregadas a familias con niños y niñas entre 3 y 5 años y mujeres embarazadas o en período de lactancia que cumplen con sus controles de salud. 208,751 aportes, con un avance de 87.14% en el año.</w:t>
            </w:r>
          </w:p>
          <w:p w14:paraId="4A52EBF5" w14:textId="7702EC09"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Dotación de alimento complementario fortificado a niños y niñas de 6 a 59 meses de edad, afectados por la desnutrición 3,689,068 raciones, con un avance de 100% en el año.</w:t>
            </w:r>
          </w:p>
          <w:p w14:paraId="501BCF26" w14:textId="33F1B7C8"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Desayunos preparados entregados a personas que viven en condiciones de vulnerabilidad o crisis. 3,661,027 raciones, con un avance de 100% en el año.</w:t>
            </w:r>
          </w:p>
          <w:p w14:paraId="67A80C67" w14:textId="73408409"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Almuerzos preparados entregados a personas que viven en condiciones de vulnerabilidad o crisis. 5,433,865 raciones, con un avance de 100% en el año.</w:t>
            </w:r>
          </w:p>
          <w:p w14:paraId="3E7CFD73" w14:textId="7828DFE3" w:rsidR="5499291F" w:rsidRPr="00334C5B" w:rsidRDefault="5499291F" w:rsidP="00334C5B">
            <w:pPr>
              <w:pStyle w:val="Prrafodelista"/>
              <w:numPr>
                <w:ilvl w:val="0"/>
                <w:numId w:val="1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Transferencias monetarias condicionadas para alimentos entregadas a familias que viven en pobreza y pobreza extrema 189,199 aportes, con un avance del 100% en el año.</w:t>
            </w:r>
          </w:p>
        </w:tc>
      </w:tr>
      <w:tr w:rsidR="5499291F" w:rsidRPr="00334C5B" w14:paraId="74A8275D" w14:textId="77777777" w:rsidTr="005008A4">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550A2AA" w14:textId="7FDF292F" w:rsidR="5499291F" w:rsidRPr="00334C5B" w:rsidRDefault="5499291F" w:rsidP="5499291F">
            <w:pPr>
              <w:spacing w:line="254" w:lineRule="auto"/>
              <w:jc w:val="center"/>
              <w:rPr>
                <w:rFonts w:asciiTheme="minorHAnsi" w:hAnsiTheme="minorHAnsi" w:cstheme="minorHAnsi"/>
                <w:b w:val="0"/>
                <w:sz w:val="22"/>
                <w:szCs w:val="22"/>
              </w:rPr>
            </w:pPr>
            <w:r w:rsidRPr="00334C5B">
              <w:rPr>
                <w:rFonts w:asciiTheme="minorHAnsi" w:hAnsiTheme="minorHAnsi" w:cstheme="minorHAnsi"/>
                <w:b w:val="0"/>
                <w:sz w:val="22"/>
                <w:szCs w:val="22"/>
                <w:lang w:val="es"/>
              </w:rPr>
              <w:t>MINEX</w:t>
            </w:r>
          </w:p>
        </w:tc>
        <w:tc>
          <w:tcPr>
            <w:tcW w:w="7770" w:type="dxa"/>
            <w:tcMar>
              <w:left w:w="108" w:type="dxa"/>
              <w:right w:w="108" w:type="dxa"/>
            </w:tcMar>
          </w:tcPr>
          <w:p w14:paraId="56D6E377" w14:textId="34007004"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Población guatemalteca que recibe servicios de documentación, asistencia, atención y protección consular-migratoria en el exterior, con un avance en el tercer cuatrimestre de 561,812 personas atendidas y un acumulado en el año de 2,616,098.00 personas.</w:t>
            </w:r>
          </w:p>
          <w:p w14:paraId="2E6B755A" w14:textId="601CD2FD" w:rsidR="5499291F" w:rsidRPr="00334C5B" w:rsidRDefault="5499291F" w:rsidP="00334C5B">
            <w:pPr>
              <w:pStyle w:val="Prrafodelista"/>
              <w:numPr>
                <w:ilvl w:val="0"/>
                <w:numId w:val="10"/>
              </w:numPr>
              <w:spacing w:before="120" w:after="12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334C5B">
              <w:rPr>
                <w:rFonts w:asciiTheme="minorHAnsi" w:hAnsiTheme="minorHAnsi" w:cstheme="minorHAnsi"/>
                <w:sz w:val="22"/>
                <w:szCs w:val="22"/>
                <w:lang w:val="es"/>
              </w:rPr>
              <w:t>Guatemaltecos beneficiados con la prestación de servicios consulares y migratorios, gestión y representación en la protección de sus intereses en temas de carácter migratorio, con un avance en el tercer cuatrimestre de 14,379 personas atendidas y un acumulado en el año de 38,397 personas.</w:t>
            </w:r>
          </w:p>
        </w:tc>
      </w:tr>
    </w:tbl>
    <w:p w14:paraId="631B590D" w14:textId="1080BEF1" w:rsidR="5499291F" w:rsidRDefault="5499291F" w:rsidP="00681322">
      <w:pPr>
        <w:spacing w:before="120" w:after="120" w:line="240" w:lineRule="auto"/>
        <w:jc w:val="both"/>
      </w:pPr>
      <w:r w:rsidRPr="5499291F">
        <w:rPr>
          <w:rFonts w:ascii="Calibri" w:eastAsia="Calibri" w:hAnsi="Calibri" w:cs="Calibri"/>
          <w:b/>
          <w:bCs/>
          <w:sz w:val="24"/>
          <w:szCs w:val="24"/>
        </w:rPr>
        <w:t xml:space="preserve">Ejecución financiera </w:t>
      </w:r>
    </w:p>
    <w:p w14:paraId="64F5FE76" w14:textId="28D8899E" w:rsidR="5499291F" w:rsidRDefault="5499291F" w:rsidP="00681322">
      <w:pPr>
        <w:spacing w:before="120" w:after="120" w:line="240" w:lineRule="auto"/>
        <w:jc w:val="both"/>
      </w:pPr>
      <w:r w:rsidRPr="5499291F">
        <w:rPr>
          <w:rFonts w:ascii="Calibri" w:eastAsia="Calibri" w:hAnsi="Calibri" w:cs="Calibri"/>
          <w:sz w:val="24"/>
          <w:szCs w:val="24"/>
        </w:rPr>
        <w:t>De los 14 ministerios, ocho alcanzaron una ejecución alta de metas financieras: el Ministerio de Energía y Minas, Ministerio de la Defensa Nacional, Ministerio de Economía, Ministerio de Finanzas Públicas, Ministerio de Trabajo y Previsión Social, Ministerio de Agricultura, Ganadería y Alimentación, Ministerio de Educación y el Ministerio de Desarrollo Social. El MEM, MINDEF, MINECO, MINFIN y MINTRAB, mostraron un comportamiento similar durante el año 2022, logrando un buen desempeño en el cumplimiento de metas financieras, con un promedio de ejecución de 98%.</w:t>
      </w:r>
    </w:p>
    <w:p w14:paraId="54E01915" w14:textId="0F50CC80" w:rsidR="5499291F" w:rsidRDefault="1041AE5A" w:rsidP="00E7064E">
      <w:pPr>
        <w:spacing w:after="120" w:line="240" w:lineRule="auto"/>
        <w:jc w:val="both"/>
      </w:pPr>
      <w:r w:rsidRPr="1041AE5A">
        <w:rPr>
          <w:rFonts w:ascii="Calibri" w:eastAsia="Calibri" w:hAnsi="Calibri" w:cs="Calibri"/>
          <w:sz w:val="24"/>
          <w:szCs w:val="24"/>
        </w:rPr>
        <w:t>Por su parte, el MIDES, MINEDUC y MAGA, si bien, mostraron un desempeño alto en ejecución financiera, el desempeño en el cumplimiento de metas físicas no fue la misma, derivado a que tuvieron un avance medio, particularmente el MIDES, con una ejecución física de 52%, lo que provocó una menor efectividad en el cumplimiento de las metas físicas y financieras programadas en el POA.</w:t>
      </w:r>
    </w:p>
    <w:p w14:paraId="4DCA1680" w14:textId="044C5736" w:rsidR="5499291F" w:rsidRDefault="1041AE5A" w:rsidP="00E7064E">
      <w:pPr>
        <w:spacing w:after="120" w:line="240" w:lineRule="auto"/>
        <w:jc w:val="both"/>
      </w:pPr>
      <w:r w:rsidRPr="1041AE5A">
        <w:rPr>
          <w:rFonts w:ascii="Calibri" w:eastAsia="Calibri" w:hAnsi="Calibri" w:cs="Calibri"/>
          <w:sz w:val="24"/>
          <w:szCs w:val="24"/>
        </w:rPr>
        <w:t xml:space="preserve">Cuatro ministerios alcanzaron una ejecución media de metas financieras, con un promedio de 64% de ejecución en el año y un desempeño similar en ejecución física. El único ministerio con baja ejecución financiera fue el MARN, con un avance de 37.01% reportado en Siplan, sin embargo, esto es resultado de registros incompletos de ejecución de metas en el Sistema. </w:t>
      </w:r>
    </w:p>
    <w:p w14:paraId="79DCC2B1" w14:textId="51794B36" w:rsidR="1041AE5A" w:rsidRDefault="1041AE5A" w:rsidP="00E7064E">
      <w:pPr>
        <w:spacing w:after="120" w:line="240" w:lineRule="auto"/>
        <w:jc w:val="both"/>
      </w:pPr>
      <w:r w:rsidRPr="1041AE5A">
        <w:rPr>
          <w:rFonts w:ascii="Calibri" w:eastAsia="Calibri" w:hAnsi="Calibri" w:cs="Calibri"/>
          <w:sz w:val="24"/>
          <w:szCs w:val="24"/>
        </w:rPr>
        <w:t>Por su parte, el MINEX, derivado de registros incompletos de modificaciones de metas financieras en Siplan, el porcentaje de ejecución de meta financiera superó el 100% de la meta programada, por lo cual, no fue posible identificar el avance real. Este Ministerio, deberá prestar especial atención al cumplimiento de los registros de modificaciones de metas que se realicen en Siplan para contar con información vigente, clara y confiable.</w:t>
      </w:r>
    </w:p>
    <w:p w14:paraId="694AFF54" w14:textId="004BD6E2" w:rsidR="5499291F" w:rsidRDefault="5499291F" w:rsidP="00E7064E">
      <w:pPr>
        <w:spacing w:after="120" w:line="240" w:lineRule="auto"/>
        <w:jc w:val="both"/>
      </w:pPr>
      <w:r w:rsidRPr="5499291F">
        <w:rPr>
          <w:rFonts w:ascii="Calibri" w:eastAsia="Calibri" w:hAnsi="Calibri" w:cs="Calibri"/>
          <w:sz w:val="24"/>
          <w:szCs w:val="24"/>
        </w:rPr>
        <w:t>En la siguiente gráfica se visualiza el comportamiento de la ejecución de metas físicas y financieras de los Ministerios:</w:t>
      </w:r>
    </w:p>
    <w:p w14:paraId="4AC3E3CC" w14:textId="0C2B1FFA" w:rsidR="5499291F" w:rsidRPr="006645F7" w:rsidRDefault="00D90BD3" w:rsidP="006645F7">
      <w:pPr>
        <w:pStyle w:val="ttulosgrficas"/>
        <w:rPr>
          <w:rFonts w:asciiTheme="minorHAnsi" w:hAnsiTheme="minorHAnsi" w:cstheme="minorHAnsi"/>
          <w:color w:val="4472C4" w:themeColor="accent1"/>
          <w:lang w:val="es"/>
        </w:rPr>
      </w:pPr>
      <w:bookmarkStart w:id="20" w:name="_Toc130204469"/>
      <w:r w:rsidRPr="006645F7">
        <w:rPr>
          <w:rFonts w:asciiTheme="minorHAnsi" w:eastAsia="Times New Roman" w:hAnsiTheme="minorHAnsi" w:cstheme="minorHAnsi"/>
          <w:caps/>
          <w:noProof/>
          <w:color w:val="4472C4" w:themeColor="accent1"/>
          <w:lang w:val="es-ES"/>
        </w:rPr>
        <w:drawing>
          <wp:anchor distT="0" distB="0" distL="114300" distR="114300" simplePos="0" relativeHeight="251723264" behindDoc="0" locked="0" layoutInCell="1" allowOverlap="1" wp14:anchorId="26B3CEAC" wp14:editId="412CF9CE">
            <wp:simplePos x="0" y="0"/>
            <wp:positionH relativeFrom="page">
              <wp:posOffset>1733550</wp:posOffset>
            </wp:positionH>
            <wp:positionV relativeFrom="paragraph">
              <wp:posOffset>234315</wp:posOffset>
            </wp:positionV>
            <wp:extent cx="4710430" cy="2047875"/>
            <wp:effectExtent l="0" t="0" r="13970" b="9525"/>
            <wp:wrapSquare wrapText="bothSides"/>
            <wp:docPr id="5" name="Gráfico 5">
              <a:extLst xmlns:a="http://schemas.openxmlformats.org/drawingml/2006/main">
                <a:ext uri="{FF2B5EF4-FFF2-40B4-BE49-F238E27FC236}">
                  <a16:creationId xmlns:a16="http://schemas.microsoft.com/office/drawing/2014/main" id="{C4D921C2-A7BF-4E7E-93E7-D20EC73E1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E5E0A" w:rsidRPr="006645F7">
        <w:rPr>
          <w:rFonts w:asciiTheme="minorHAnsi" w:eastAsia="Times New Roman" w:hAnsiTheme="minorHAnsi" w:cstheme="minorHAnsi"/>
          <w:color w:val="4472C4" w:themeColor="accent1"/>
          <w:lang w:val="es-ES"/>
        </w:rPr>
        <w:t xml:space="preserve">Gráfica </w:t>
      </w:r>
      <w:r w:rsidR="006E5E0A" w:rsidRPr="006645F7">
        <w:rPr>
          <w:rFonts w:asciiTheme="minorHAnsi" w:hAnsiTheme="minorHAnsi" w:cstheme="minorHAnsi"/>
          <w:color w:val="4472C4" w:themeColor="accent1"/>
          <w:lang w:val="es"/>
        </w:rPr>
        <w:fldChar w:fldCharType="begin"/>
      </w:r>
      <w:r w:rsidR="006E5E0A" w:rsidRPr="006645F7">
        <w:rPr>
          <w:rFonts w:asciiTheme="minorHAnsi" w:hAnsiTheme="minorHAnsi" w:cstheme="minorHAnsi"/>
          <w:color w:val="4472C4" w:themeColor="accent1"/>
          <w:lang w:val="es"/>
        </w:rPr>
        <w:instrText xml:space="preserve"> SEQ Gráfica \* ARABIC </w:instrText>
      </w:r>
      <w:r w:rsidR="006E5E0A" w:rsidRPr="006645F7">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1</w:t>
      </w:r>
      <w:r w:rsidR="006E5E0A" w:rsidRPr="006645F7">
        <w:rPr>
          <w:rFonts w:asciiTheme="minorHAnsi" w:hAnsiTheme="minorHAnsi" w:cstheme="minorHAnsi"/>
          <w:color w:val="4472C4" w:themeColor="accent1"/>
          <w:lang w:val="es"/>
        </w:rPr>
        <w:fldChar w:fldCharType="end"/>
      </w:r>
      <w:r w:rsidR="006E5E0A" w:rsidRPr="006645F7">
        <w:rPr>
          <w:rFonts w:asciiTheme="minorHAnsi" w:hAnsiTheme="minorHAnsi" w:cstheme="minorHAnsi"/>
          <w:color w:val="4472C4" w:themeColor="accent1"/>
          <w:lang w:val="es"/>
        </w:rPr>
        <w:t xml:space="preserve">. </w:t>
      </w:r>
      <w:r w:rsidRPr="006645F7">
        <w:rPr>
          <w:rFonts w:asciiTheme="minorHAnsi" w:hAnsiTheme="minorHAnsi" w:cstheme="minorHAnsi"/>
          <w:color w:val="4472C4" w:themeColor="accent1"/>
          <w:lang w:val="es"/>
        </w:rPr>
        <w:t>comparativo de ejecución física y financiera. Ministerios</w:t>
      </w:r>
      <w:bookmarkEnd w:id="20"/>
    </w:p>
    <w:p w14:paraId="1981801A" w14:textId="08C3EC50" w:rsidR="5499291F" w:rsidRDefault="5499291F" w:rsidP="5499291F">
      <w:pPr>
        <w:jc w:val="both"/>
      </w:pPr>
    </w:p>
    <w:p w14:paraId="46964F96" w14:textId="77777777" w:rsidR="00D90BD3" w:rsidRDefault="46B27687" w:rsidP="00E7064E">
      <w:pPr>
        <w:spacing w:after="120" w:line="240" w:lineRule="auto"/>
        <w:jc w:val="both"/>
      </w:pPr>
      <w:r>
        <w:t xml:space="preserve"> </w:t>
      </w:r>
    </w:p>
    <w:p w14:paraId="0C78C5A3" w14:textId="77777777" w:rsidR="00D90BD3" w:rsidRDefault="00D90BD3" w:rsidP="00E7064E">
      <w:pPr>
        <w:spacing w:after="120" w:line="240" w:lineRule="auto"/>
        <w:jc w:val="both"/>
        <w:rPr>
          <w:rFonts w:ascii="Calibri" w:eastAsia="Calibri" w:hAnsi="Calibri" w:cs="Calibri"/>
          <w:sz w:val="18"/>
          <w:szCs w:val="18"/>
        </w:rPr>
      </w:pPr>
    </w:p>
    <w:p w14:paraId="6C37077C" w14:textId="77777777" w:rsidR="00D90BD3" w:rsidRDefault="00D90BD3" w:rsidP="00E7064E">
      <w:pPr>
        <w:spacing w:after="120" w:line="240" w:lineRule="auto"/>
        <w:jc w:val="both"/>
        <w:rPr>
          <w:rFonts w:ascii="Calibri" w:eastAsia="Calibri" w:hAnsi="Calibri" w:cs="Calibri"/>
          <w:sz w:val="18"/>
          <w:szCs w:val="18"/>
        </w:rPr>
      </w:pPr>
    </w:p>
    <w:p w14:paraId="73276A5C" w14:textId="77777777" w:rsidR="00D90BD3" w:rsidRDefault="00D90BD3" w:rsidP="00E7064E">
      <w:pPr>
        <w:spacing w:after="120" w:line="240" w:lineRule="auto"/>
        <w:jc w:val="both"/>
        <w:rPr>
          <w:rFonts w:ascii="Calibri" w:eastAsia="Calibri" w:hAnsi="Calibri" w:cs="Calibri"/>
          <w:sz w:val="18"/>
          <w:szCs w:val="18"/>
        </w:rPr>
      </w:pPr>
    </w:p>
    <w:p w14:paraId="0640726E" w14:textId="77777777" w:rsidR="00D90BD3" w:rsidRDefault="00D90BD3" w:rsidP="00E7064E">
      <w:pPr>
        <w:spacing w:after="120" w:line="240" w:lineRule="auto"/>
        <w:jc w:val="both"/>
        <w:rPr>
          <w:rFonts w:ascii="Calibri" w:eastAsia="Calibri" w:hAnsi="Calibri" w:cs="Calibri"/>
          <w:sz w:val="18"/>
          <w:szCs w:val="18"/>
        </w:rPr>
      </w:pPr>
    </w:p>
    <w:p w14:paraId="6B862997" w14:textId="77777777" w:rsidR="00D90BD3" w:rsidRDefault="00D90BD3" w:rsidP="00E7064E">
      <w:pPr>
        <w:spacing w:after="120" w:line="240" w:lineRule="auto"/>
        <w:jc w:val="both"/>
        <w:rPr>
          <w:rFonts w:ascii="Calibri" w:eastAsia="Calibri" w:hAnsi="Calibri" w:cs="Calibri"/>
          <w:sz w:val="18"/>
          <w:szCs w:val="18"/>
        </w:rPr>
      </w:pPr>
    </w:p>
    <w:p w14:paraId="4E935571" w14:textId="77777777" w:rsidR="00D90BD3" w:rsidRDefault="00D90BD3" w:rsidP="00E7064E">
      <w:pPr>
        <w:spacing w:after="120" w:line="240" w:lineRule="auto"/>
        <w:jc w:val="both"/>
        <w:rPr>
          <w:rFonts w:ascii="Calibri" w:eastAsia="Calibri" w:hAnsi="Calibri" w:cs="Calibri"/>
          <w:sz w:val="18"/>
          <w:szCs w:val="18"/>
        </w:rPr>
      </w:pPr>
    </w:p>
    <w:p w14:paraId="5F0B803B" w14:textId="77777777" w:rsidR="00D90BD3" w:rsidRDefault="00D90BD3" w:rsidP="00E7064E">
      <w:pPr>
        <w:spacing w:after="120" w:line="240" w:lineRule="auto"/>
        <w:jc w:val="both"/>
        <w:rPr>
          <w:rFonts w:ascii="Calibri" w:eastAsia="Calibri" w:hAnsi="Calibri" w:cs="Calibri"/>
          <w:sz w:val="18"/>
          <w:szCs w:val="18"/>
        </w:rPr>
      </w:pPr>
    </w:p>
    <w:p w14:paraId="42A2B9EA" w14:textId="77777777" w:rsidR="00E31540" w:rsidRDefault="00D90BD3" w:rsidP="00E31540">
      <w:pPr>
        <w:spacing w:after="0" w:line="240" w:lineRule="auto"/>
        <w:jc w:val="both"/>
        <w:rPr>
          <w:rFonts w:ascii="Calibri" w:eastAsia="Calibri" w:hAnsi="Calibri" w:cs="Calibri"/>
          <w:sz w:val="18"/>
          <w:szCs w:val="18"/>
        </w:rPr>
      </w:pPr>
      <w:r>
        <w:rPr>
          <w:rFonts w:ascii="Calibri" w:eastAsia="Calibri" w:hAnsi="Calibri" w:cs="Calibri"/>
          <w:sz w:val="18"/>
          <w:szCs w:val="18"/>
        </w:rPr>
        <w:tab/>
        <w:t xml:space="preserve">         </w:t>
      </w:r>
    </w:p>
    <w:p w14:paraId="6D63066B" w14:textId="64BF8D2B" w:rsidR="5499291F" w:rsidRDefault="00E31540" w:rsidP="00E31540">
      <w:pPr>
        <w:spacing w:after="0" w:line="240" w:lineRule="auto"/>
        <w:jc w:val="both"/>
      </w:pPr>
      <w:r>
        <w:rPr>
          <w:rFonts w:ascii="Calibri" w:eastAsia="Calibri" w:hAnsi="Calibri" w:cs="Calibri"/>
          <w:sz w:val="18"/>
          <w:szCs w:val="18"/>
        </w:rPr>
        <w:tab/>
        <w:t xml:space="preserve">        </w:t>
      </w:r>
      <w:r w:rsidR="46B27687" w:rsidRPr="46B27687">
        <w:rPr>
          <w:rFonts w:ascii="Calibri" w:eastAsia="Calibri" w:hAnsi="Calibri" w:cs="Calibri"/>
          <w:sz w:val="18"/>
          <w:szCs w:val="18"/>
        </w:rPr>
        <w:t>Fuente:</w:t>
      </w:r>
      <w:r w:rsidR="00D90BD3">
        <w:rPr>
          <w:rFonts w:ascii="Calibri" w:eastAsia="Calibri" w:hAnsi="Calibri" w:cs="Calibri"/>
          <w:sz w:val="18"/>
          <w:szCs w:val="18"/>
        </w:rPr>
        <w:t xml:space="preserve"> </w:t>
      </w:r>
      <w:r w:rsidR="46B27687" w:rsidRPr="46B27687">
        <w:rPr>
          <w:rFonts w:ascii="Calibri" w:eastAsia="Calibri" w:hAnsi="Calibri" w:cs="Calibri"/>
          <w:sz w:val="18"/>
          <w:szCs w:val="18"/>
        </w:rPr>
        <w:t>Con base a registros de Siplan. Segeplan. Año 2022.</w:t>
      </w:r>
    </w:p>
    <w:p w14:paraId="31DB5DE0" w14:textId="20BDCC92" w:rsidR="5499291F" w:rsidRDefault="1041AE5A" w:rsidP="00E31540">
      <w:pPr>
        <w:spacing w:before="120" w:after="120" w:line="240" w:lineRule="auto"/>
        <w:jc w:val="both"/>
      </w:pPr>
      <w:r w:rsidRPr="1041AE5A">
        <w:rPr>
          <w:rFonts w:ascii="Calibri" w:eastAsia="Calibri" w:hAnsi="Calibri" w:cs="Calibri"/>
          <w:sz w:val="24"/>
          <w:szCs w:val="24"/>
        </w:rPr>
        <w:t>Se observa que, el MEM, MINDEF, MINECO, MINFIN y MINTRAB, mostraron la mayor ejecución durante el año 2022, con alta efectividad en el cumplimiento de metas físicas y financieras.</w:t>
      </w:r>
    </w:p>
    <w:p w14:paraId="37FEA102" w14:textId="75F3145D" w:rsidR="5499291F" w:rsidRDefault="003020FD" w:rsidP="00E7064E">
      <w:pPr>
        <w:spacing w:after="120" w:line="240" w:lineRule="auto"/>
        <w:jc w:val="both"/>
      </w:pPr>
      <w:r w:rsidRPr="46B27687">
        <w:rPr>
          <w:rFonts w:ascii="Calibri" w:eastAsia="Calibri" w:hAnsi="Calibri" w:cs="Calibri"/>
          <w:b/>
          <w:bCs/>
          <w:sz w:val="24"/>
          <w:szCs w:val="24"/>
        </w:rPr>
        <w:t xml:space="preserve">Vinculación a </w:t>
      </w:r>
      <w:r w:rsidR="00C8352D">
        <w:rPr>
          <w:rFonts w:ascii="Calibri" w:eastAsia="Calibri" w:hAnsi="Calibri" w:cs="Calibri"/>
          <w:b/>
          <w:bCs/>
          <w:sz w:val="24"/>
          <w:szCs w:val="24"/>
        </w:rPr>
        <w:t>R</w:t>
      </w:r>
      <w:r w:rsidRPr="46B27687">
        <w:rPr>
          <w:rFonts w:ascii="Calibri" w:eastAsia="Calibri" w:hAnsi="Calibri" w:cs="Calibri"/>
          <w:b/>
          <w:bCs/>
          <w:sz w:val="24"/>
          <w:szCs w:val="24"/>
        </w:rPr>
        <w:t xml:space="preserve">esultados </w:t>
      </w:r>
      <w:r w:rsidR="00C8352D">
        <w:rPr>
          <w:rFonts w:ascii="Calibri" w:eastAsia="Calibri" w:hAnsi="Calibri" w:cs="Calibri"/>
          <w:b/>
          <w:bCs/>
          <w:sz w:val="24"/>
          <w:szCs w:val="24"/>
        </w:rPr>
        <w:t>E</w:t>
      </w:r>
      <w:r w:rsidRPr="46B27687">
        <w:rPr>
          <w:rFonts w:ascii="Calibri" w:eastAsia="Calibri" w:hAnsi="Calibri" w:cs="Calibri"/>
          <w:b/>
          <w:bCs/>
          <w:sz w:val="24"/>
          <w:szCs w:val="24"/>
        </w:rPr>
        <w:t xml:space="preserve">stratégicos de </w:t>
      </w:r>
      <w:r w:rsidR="00C8352D">
        <w:rPr>
          <w:rFonts w:ascii="Calibri" w:eastAsia="Calibri" w:hAnsi="Calibri" w:cs="Calibri"/>
          <w:b/>
          <w:bCs/>
          <w:sz w:val="24"/>
          <w:szCs w:val="24"/>
        </w:rPr>
        <w:t>D</w:t>
      </w:r>
      <w:r w:rsidRPr="46B27687">
        <w:rPr>
          <w:rFonts w:ascii="Calibri" w:eastAsia="Calibri" w:hAnsi="Calibri" w:cs="Calibri"/>
          <w:b/>
          <w:bCs/>
          <w:sz w:val="24"/>
          <w:szCs w:val="24"/>
        </w:rPr>
        <w:t>esarrollo</w:t>
      </w:r>
    </w:p>
    <w:p w14:paraId="20452D89" w14:textId="755A1C50" w:rsidR="5499291F" w:rsidRDefault="46B27687" w:rsidP="00E7064E">
      <w:pPr>
        <w:spacing w:after="120" w:line="240" w:lineRule="auto"/>
        <w:jc w:val="both"/>
      </w:pPr>
      <w:r w:rsidRPr="46B27687">
        <w:rPr>
          <w:rFonts w:ascii="Calibri" w:eastAsia="Calibri" w:hAnsi="Calibri" w:cs="Calibri"/>
          <w:sz w:val="24"/>
          <w:szCs w:val="24"/>
        </w:rPr>
        <w:t xml:space="preserve">Los Resultados Estratégicos de Desarrollo (RED) fueron definidos de manera interinstitucional y sectorial, con la participación de las entidades rectoras según su ámbito de competencia en respuesta a los principales problemas que afronta el país. </w:t>
      </w:r>
    </w:p>
    <w:p w14:paraId="5659FF12" w14:textId="02B04F72" w:rsidR="5499291F" w:rsidRDefault="46B27687" w:rsidP="00E7064E">
      <w:pPr>
        <w:spacing w:after="120" w:line="240" w:lineRule="auto"/>
        <w:jc w:val="both"/>
      </w:pPr>
      <w:r w:rsidRPr="46B27687">
        <w:rPr>
          <w:rFonts w:ascii="Calibri" w:eastAsia="Calibri" w:hAnsi="Calibri" w:cs="Calibri"/>
          <w:sz w:val="24"/>
          <w:szCs w:val="24"/>
        </w:rPr>
        <w:t xml:space="preserve">Nueve ministerios vincularon parte de su producción a por lo menos uno de los RED y para contribuir directa o indirectamente a alcanzar los propósitos de estos resultados, los ministerios vinculados en el año 2022 fueron: el MAGA, CIV, MIDES, MINECO, MINEDUC, MEM, MINGOB, MSPAS y MINTRAB. </w:t>
      </w:r>
    </w:p>
    <w:p w14:paraId="7E66F6E2" w14:textId="54B5CE3A" w:rsidR="5499291F" w:rsidRDefault="46B27687" w:rsidP="00E7064E">
      <w:pPr>
        <w:spacing w:after="120" w:line="240" w:lineRule="auto"/>
        <w:jc w:val="both"/>
      </w:pPr>
      <w:r w:rsidRPr="46B27687">
        <w:rPr>
          <w:rFonts w:ascii="Calibri" w:eastAsia="Calibri" w:hAnsi="Calibri" w:cs="Calibri"/>
          <w:sz w:val="24"/>
          <w:szCs w:val="24"/>
        </w:rPr>
        <w:t>A continuación, se presentan los principales productos que fueron vinculados para contribuir a los Resultados Estratégicos de Desarrollo en el año 2022:</w:t>
      </w:r>
    </w:p>
    <w:p w14:paraId="37AEED13" w14:textId="29CAD052" w:rsidR="5499291F" w:rsidRDefault="46B27687" w:rsidP="005321FC">
      <w:pPr>
        <w:pStyle w:val="Prrafodelista"/>
        <w:numPr>
          <w:ilvl w:val="0"/>
          <w:numId w:val="9"/>
        </w:numPr>
        <w:spacing w:after="120" w:line="240" w:lineRule="auto"/>
        <w:contextualSpacing w:val="0"/>
        <w:jc w:val="both"/>
        <w:rPr>
          <w:rFonts w:ascii="Calibri" w:eastAsia="Calibri" w:hAnsi="Calibri" w:cs="Calibri"/>
          <w:sz w:val="24"/>
          <w:szCs w:val="24"/>
        </w:rPr>
      </w:pPr>
      <w:r w:rsidRPr="46B27687">
        <w:rPr>
          <w:rFonts w:ascii="Calibri" w:eastAsia="Calibri" w:hAnsi="Calibri" w:cs="Calibri"/>
          <w:b/>
          <w:bCs/>
          <w:sz w:val="24"/>
          <w:szCs w:val="24"/>
        </w:rPr>
        <w:t>MAGA</w:t>
      </w:r>
      <w:r w:rsidRPr="46B27687">
        <w:rPr>
          <w:rFonts w:ascii="Calibri" w:eastAsia="Calibri" w:hAnsi="Calibri" w:cs="Calibri"/>
          <w:sz w:val="24"/>
          <w:szCs w:val="24"/>
        </w:rPr>
        <w:t>: vinculado al RED: Para el 2024, se ha incrementado la cobertura forestal a 33.7 por ciento a nivel nacional, principalmente con los productos siguientes: Entidades capacitadas y dotadas con material técnico geográfico para la conservación y uso de suelos, con 100% de avance físico, Productores (as) beneficiados con capacitación, asistencia técnica e insumos para el manejo y conservación de los recursos naturales, con 98.14% de avance y Resoluciones emitidas por arrendamiento de áreas de reservas territoriales del Estado con 100% de avance físico.</w:t>
      </w:r>
    </w:p>
    <w:p w14:paraId="4A67A712" w14:textId="3116F72A" w:rsidR="5499291F" w:rsidRDefault="46B27687" w:rsidP="005321FC">
      <w:pPr>
        <w:pStyle w:val="Prrafodelista"/>
        <w:numPr>
          <w:ilvl w:val="0"/>
          <w:numId w:val="9"/>
        </w:numPr>
        <w:spacing w:after="120" w:line="240" w:lineRule="auto"/>
        <w:contextualSpacing w:val="0"/>
        <w:jc w:val="both"/>
        <w:rPr>
          <w:rFonts w:ascii="Calibri" w:eastAsia="Calibri" w:hAnsi="Calibri" w:cs="Calibri"/>
          <w:sz w:val="24"/>
          <w:szCs w:val="24"/>
        </w:rPr>
      </w:pPr>
      <w:r w:rsidRPr="46B27687">
        <w:rPr>
          <w:rFonts w:ascii="Calibri" w:eastAsia="Calibri" w:hAnsi="Calibri" w:cs="Calibri"/>
          <w:b/>
          <w:bCs/>
          <w:sz w:val="24"/>
          <w:szCs w:val="24"/>
        </w:rPr>
        <w:t>CIV</w:t>
      </w:r>
      <w:r w:rsidRPr="46B27687">
        <w:rPr>
          <w:rFonts w:ascii="Calibri" w:eastAsia="Calibri" w:hAnsi="Calibri" w:cs="Calibri"/>
          <w:sz w:val="24"/>
          <w:szCs w:val="24"/>
        </w:rPr>
        <w:t>: vinculado al RED: Para el 2024, se ha disminuido el déficit habitacional en 18 por ciento, con el producto: Familias beneficiadas con subsidios para la vivienda FOPAVI, con 57.59% de ejecución física.</w:t>
      </w:r>
    </w:p>
    <w:p w14:paraId="7C859AB8" w14:textId="63CDEE27" w:rsidR="5499291F" w:rsidRDefault="46B27687" w:rsidP="005321FC">
      <w:pPr>
        <w:pStyle w:val="Prrafodelista"/>
        <w:numPr>
          <w:ilvl w:val="0"/>
          <w:numId w:val="9"/>
        </w:numPr>
        <w:spacing w:after="120" w:line="240" w:lineRule="auto"/>
        <w:contextualSpacing w:val="0"/>
        <w:jc w:val="both"/>
        <w:rPr>
          <w:rFonts w:ascii="Calibri" w:eastAsia="Calibri" w:hAnsi="Calibri" w:cs="Calibri"/>
          <w:sz w:val="24"/>
          <w:szCs w:val="24"/>
        </w:rPr>
      </w:pPr>
      <w:r w:rsidRPr="46B27687">
        <w:rPr>
          <w:rFonts w:ascii="Calibri" w:eastAsia="Calibri" w:hAnsi="Calibri" w:cs="Calibri"/>
          <w:b/>
          <w:bCs/>
          <w:sz w:val="24"/>
          <w:szCs w:val="24"/>
        </w:rPr>
        <w:t>MIDES</w:t>
      </w:r>
      <w:r w:rsidRPr="46B27687">
        <w:rPr>
          <w:rFonts w:ascii="Calibri" w:eastAsia="Calibri" w:hAnsi="Calibri" w:cs="Calibri"/>
          <w:sz w:val="24"/>
          <w:szCs w:val="24"/>
        </w:rPr>
        <w:t xml:space="preserve">: vinculado a los RED: 1) Para el 2024, se ha disminuido la pobreza y pobreza extrema con énfasis en los departamentos priorizados, en 27.8 puntos porcentuales, principalmente con los siguientes productos: Construcción, ampliación y mejoramiento de sistemas de agua potable y pozos mecánicos, con 100% de avance físico, Construcción, ampliación y mejoramiento de plantas de tratamiento, con 99.52% y Construcción ampliación y mejoramiento de sistemas de drenajes y sistemas de alcantarillado, con 98.14%.  </w:t>
      </w:r>
    </w:p>
    <w:p w14:paraId="5C1DE00D" w14:textId="3CBBC4EE" w:rsidR="5499291F" w:rsidRDefault="46B27687" w:rsidP="00E7064E">
      <w:pPr>
        <w:spacing w:after="120" w:line="240" w:lineRule="auto"/>
        <w:ind w:left="708"/>
        <w:jc w:val="both"/>
        <w:rPr>
          <w:rFonts w:ascii="Calibri" w:eastAsia="Calibri" w:hAnsi="Calibri" w:cs="Calibri"/>
          <w:sz w:val="24"/>
          <w:szCs w:val="24"/>
        </w:rPr>
      </w:pPr>
      <w:r w:rsidRPr="46B27687">
        <w:rPr>
          <w:rFonts w:ascii="Calibri" w:eastAsia="Calibri" w:hAnsi="Calibri" w:cs="Calibri"/>
          <w:sz w:val="24"/>
          <w:szCs w:val="24"/>
        </w:rPr>
        <w:t>Otros productos que el Ministerio vinculó a este RED y que mostraron una ejecución física por debajo del 30% fueron principalmente, los siguientes: Escuelas de primaria con dotación de materiales, mobiliario y equipo educativo, Construcción, ampliación y mejoramiento de centros de educación primaria, Personas beneficiadas con la dotación de materiales de construcción y equipo para sistemas de agua potable, Personas beneficiadas con dotación de materiales de construcción para mejorar su vivienda, entre otros.</w:t>
      </w:r>
      <w:r w:rsidRPr="46B27687">
        <w:rPr>
          <w:rFonts w:ascii="Calibri" w:eastAsia="Calibri" w:hAnsi="Calibri" w:cs="Calibri"/>
          <w:i/>
          <w:iCs/>
          <w:sz w:val="24"/>
          <w:szCs w:val="24"/>
        </w:rPr>
        <w:t xml:space="preserve"> </w:t>
      </w:r>
    </w:p>
    <w:p w14:paraId="5F4E4A77" w14:textId="166DB0FD" w:rsidR="5499291F" w:rsidRDefault="46B27687" w:rsidP="00E7064E">
      <w:pPr>
        <w:spacing w:after="120" w:line="240" w:lineRule="auto"/>
        <w:ind w:left="708"/>
        <w:jc w:val="both"/>
      </w:pPr>
      <w:r w:rsidRPr="46B27687">
        <w:rPr>
          <w:rFonts w:ascii="Calibri" w:eastAsia="Calibri" w:hAnsi="Calibri" w:cs="Calibri"/>
          <w:sz w:val="24"/>
          <w:szCs w:val="24"/>
        </w:rPr>
        <w:t>2)</w:t>
      </w:r>
      <w:r w:rsidRPr="46B27687">
        <w:rPr>
          <w:rFonts w:ascii="Calibri" w:eastAsia="Calibri" w:hAnsi="Calibri" w:cs="Calibri"/>
          <w:i/>
          <w:iCs/>
          <w:sz w:val="24"/>
          <w:szCs w:val="24"/>
        </w:rPr>
        <w:t xml:space="preserve"> </w:t>
      </w:r>
      <w:r w:rsidRPr="46B27687">
        <w:rPr>
          <w:rFonts w:ascii="Calibri" w:eastAsia="Calibri" w:hAnsi="Calibri" w:cs="Calibri"/>
          <w:sz w:val="24"/>
          <w:szCs w:val="24"/>
        </w:rPr>
        <w:t xml:space="preserve">Para el 2024, se ha incrementado a 2,662,105 el número de personas con cobertura de programas sociales para personas en situación de pobreza y vulnerabilidad, con los siguientes productos: Transferencias monetarias condicionadas para alimentos entregadas a familias que viven en pobreza y pobreza extrema y Raciones de alimentos preparados entregados a personas que viven en condiciones de vulnerabilidad o crisis, ambos con 100% de avance físico. </w:t>
      </w:r>
    </w:p>
    <w:p w14:paraId="61B44733" w14:textId="784A8CFE" w:rsidR="5499291F" w:rsidRDefault="46B27687" w:rsidP="00E7064E">
      <w:pPr>
        <w:spacing w:after="120" w:line="240" w:lineRule="auto"/>
        <w:ind w:left="708"/>
        <w:jc w:val="both"/>
      </w:pPr>
      <w:r w:rsidRPr="46B27687">
        <w:rPr>
          <w:rFonts w:ascii="Calibri" w:eastAsia="Calibri" w:hAnsi="Calibri" w:cs="Calibri"/>
          <w:sz w:val="24"/>
          <w:szCs w:val="24"/>
        </w:rPr>
        <w:t>3) Para el 2024, se ha incrementado la formalidad del empleo en 2.5 puntos porcentuales, con los siguientes productos: Beca artesano entregada a adolescentes y jóvenes, Beca de educación superior entregada a adolescentes y jóvenes y Beca de educación media entregada a adolescentes y jóvenes en situación de riesgo y vulnerabilidad social, con 100% de avance físico.</w:t>
      </w:r>
    </w:p>
    <w:p w14:paraId="629B2D24" w14:textId="18FC1423" w:rsidR="5499291F" w:rsidRDefault="46B27687" w:rsidP="005321FC">
      <w:pPr>
        <w:pStyle w:val="Prrafodelista"/>
        <w:numPr>
          <w:ilvl w:val="0"/>
          <w:numId w:val="9"/>
        </w:numPr>
        <w:spacing w:after="120" w:line="240" w:lineRule="auto"/>
        <w:contextualSpacing w:val="0"/>
        <w:jc w:val="both"/>
        <w:rPr>
          <w:rFonts w:ascii="Calibri" w:eastAsia="Calibri" w:hAnsi="Calibri" w:cs="Calibri"/>
          <w:sz w:val="24"/>
          <w:szCs w:val="24"/>
        </w:rPr>
      </w:pPr>
      <w:r w:rsidRPr="46B27687">
        <w:rPr>
          <w:rFonts w:ascii="Calibri" w:eastAsia="Calibri" w:hAnsi="Calibri" w:cs="Calibri"/>
          <w:b/>
          <w:bCs/>
          <w:sz w:val="24"/>
          <w:szCs w:val="24"/>
        </w:rPr>
        <w:t xml:space="preserve">MINECO: </w:t>
      </w:r>
      <w:r w:rsidRPr="46B27687">
        <w:rPr>
          <w:rFonts w:ascii="Calibri" w:eastAsia="Calibri" w:hAnsi="Calibri" w:cs="Calibri"/>
          <w:sz w:val="24"/>
          <w:szCs w:val="24"/>
        </w:rPr>
        <w:t>vinculado al RED: Para el 2024, se ha incrementado la formalidad del empleo en 2.5 puntos porcentuales, con los productos: Empresario de micro, pequeña y mediana empresa beneficiados con asistencia técnica en desarrollo empresarial y Empresario de micro, pequeña y mediana empresa beneficiados con servicios financieros, con 94.11% y 63.17% de avance físico, respectivamente.</w:t>
      </w:r>
    </w:p>
    <w:p w14:paraId="32108265" w14:textId="7947969E" w:rsidR="5499291F" w:rsidRDefault="46B27687" w:rsidP="005321FC">
      <w:pPr>
        <w:pStyle w:val="Prrafodelista"/>
        <w:numPr>
          <w:ilvl w:val="0"/>
          <w:numId w:val="9"/>
        </w:numPr>
        <w:spacing w:after="120" w:line="240" w:lineRule="auto"/>
        <w:contextualSpacing w:val="0"/>
        <w:jc w:val="both"/>
        <w:rPr>
          <w:rFonts w:ascii="Calibri" w:eastAsia="Calibri" w:hAnsi="Calibri" w:cs="Calibri"/>
          <w:sz w:val="24"/>
          <w:szCs w:val="24"/>
        </w:rPr>
      </w:pPr>
      <w:r w:rsidRPr="46B27687">
        <w:rPr>
          <w:rFonts w:ascii="Calibri" w:eastAsia="Calibri" w:hAnsi="Calibri" w:cs="Calibri"/>
          <w:b/>
          <w:bCs/>
          <w:sz w:val="24"/>
          <w:szCs w:val="24"/>
        </w:rPr>
        <w:t xml:space="preserve">MINEDUC: </w:t>
      </w:r>
      <w:r w:rsidRPr="46B27687">
        <w:rPr>
          <w:rFonts w:ascii="Calibri" w:eastAsia="Calibri" w:hAnsi="Calibri" w:cs="Calibri"/>
          <w:sz w:val="24"/>
          <w:szCs w:val="24"/>
        </w:rPr>
        <w:t>vinculado a los RED: 1) Para el 2024, se ha reducido el analfabetismo en 9.3 puntos porcentuales a nivel nacional</w:t>
      </w:r>
      <w:r w:rsidR="00D90BD3">
        <w:rPr>
          <w:rStyle w:val="Refdenotaalpie"/>
          <w:rFonts w:eastAsia="Candara" w:cstheme="minorHAnsi"/>
          <w:sz w:val="24"/>
          <w:szCs w:val="24"/>
          <w:lang w:eastAsia="es-GT"/>
        </w:rPr>
        <w:footnoteReference w:id="4"/>
      </w:r>
      <w:r w:rsidRPr="46B27687">
        <w:rPr>
          <w:rFonts w:ascii="Calibri" w:eastAsia="Calibri" w:hAnsi="Calibri" w:cs="Calibri"/>
          <w:sz w:val="24"/>
          <w:szCs w:val="24"/>
        </w:rPr>
        <w:t xml:space="preserve">, con el producto: Aporte económico a Comité Nacional de Alfabetización (CONALFA), con 100% de cumplimiento. 2) Para el 2024, se incrementó en 05 puntos porcentuales la población que alcanza el nivel de lectura y en 03 puntos porcentuales la población que alcanza el nivel de matemática en jóvenes del tercer grado del ciclo básico del nivel medio, con los productos: Institutos por cooperativa del ciclo básico beneficiados con aporte financiero, Estudiantes del ciclo básico Telesecundaria atendidos en el sistema escolar y Estudiantes del ciclo básico atendidos en el sistema escolar, con 99.15%, 98.1% y 98.09% de avance físico, respectivamente. </w:t>
      </w:r>
    </w:p>
    <w:p w14:paraId="0AC763AA" w14:textId="4DEB9221" w:rsidR="5499291F" w:rsidRDefault="46B27687" w:rsidP="00E7064E">
      <w:pPr>
        <w:spacing w:after="120" w:line="240" w:lineRule="auto"/>
        <w:ind w:left="708"/>
        <w:jc w:val="both"/>
      </w:pPr>
      <w:r w:rsidRPr="46B27687">
        <w:rPr>
          <w:rFonts w:ascii="Calibri" w:eastAsia="Calibri" w:hAnsi="Calibri" w:cs="Calibri"/>
          <w:sz w:val="24"/>
          <w:szCs w:val="24"/>
        </w:rPr>
        <w:t xml:space="preserve">3) Para el 2024, se ha incrementado en 4.6 puntos porcentuales la población que alcanza el nivel de lectura y en 3.53 puntos porcentuales la población que alcanza el nivel de matemática en niños y niñas del sexto grado del nivel primario, con 17 productos vinculados, principalmente se mencionan los siguientes: Establecimientos del nivel primario dotados con recursos tecnológicos, Docentes bilingües del nivel primario actualizados en la aplicación de materiales educativos para la concreción de la Educación Bilingüe Intercultural en el aula, Estudiantes del nivel primario evaluados, todos con el 100% de avance de metas físicas. </w:t>
      </w:r>
    </w:p>
    <w:p w14:paraId="6826EA5B" w14:textId="3BAB9F44" w:rsidR="5499291F" w:rsidRDefault="46B27687" w:rsidP="00E7064E">
      <w:pPr>
        <w:spacing w:after="120" w:line="240" w:lineRule="auto"/>
        <w:ind w:left="708"/>
        <w:jc w:val="both"/>
      </w:pPr>
      <w:r w:rsidRPr="46B27687">
        <w:rPr>
          <w:rFonts w:ascii="Calibri" w:eastAsia="Calibri" w:hAnsi="Calibri" w:cs="Calibri"/>
          <w:sz w:val="24"/>
          <w:szCs w:val="24"/>
        </w:rPr>
        <w:t>Otros productos que el Ministerio vinculó a este RED fueron: Estudiantes del nivel primario beneficiados con útiles escolares con 98.68% de avance, Docentes del nivel primario beneficiados con valija didáctica, 99.3%, Padres y madres de estudiantes del nivel primario fortalecidos en su rol en la educación de sus hijos, con 84.19% de avance, entre otros.</w:t>
      </w:r>
    </w:p>
    <w:p w14:paraId="6980DD50" w14:textId="43A58847" w:rsidR="5499291F" w:rsidRDefault="46B27687" w:rsidP="005321FC">
      <w:pPr>
        <w:pStyle w:val="Prrafodelista"/>
        <w:numPr>
          <w:ilvl w:val="0"/>
          <w:numId w:val="9"/>
        </w:numPr>
        <w:spacing w:after="120" w:line="240" w:lineRule="auto"/>
        <w:contextualSpacing w:val="0"/>
        <w:jc w:val="both"/>
        <w:rPr>
          <w:rFonts w:ascii="Calibri" w:eastAsia="Calibri" w:hAnsi="Calibri" w:cs="Calibri"/>
          <w:sz w:val="24"/>
          <w:szCs w:val="24"/>
        </w:rPr>
      </w:pPr>
      <w:r w:rsidRPr="46B27687">
        <w:rPr>
          <w:rFonts w:ascii="Calibri" w:eastAsia="Calibri" w:hAnsi="Calibri" w:cs="Calibri"/>
          <w:b/>
          <w:bCs/>
          <w:sz w:val="24"/>
          <w:szCs w:val="24"/>
        </w:rPr>
        <w:t xml:space="preserve">MEM: </w:t>
      </w:r>
      <w:r w:rsidRPr="46B27687">
        <w:rPr>
          <w:rFonts w:ascii="Calibri" w:eastAsia="Calibri" w:hAnsi="Calibri" w:cs="Calibri"/>
          <w:sz w:val="24"/>
          <w:szCs w:val="24"/>
        </w:rPr>
        <w:t>vinculado al RED: Para el 2024, se ha incrementado en 3.29 puntos porcentuales el índice de cobertura de energía eléctrica para uso domiciliar, a nivel nacional, principalmente con los productos: Fomento del acceso al mercado eléctrico nacional, Eventos de promoción y divulgación de los beneficios del desarrollo del sistema energético nacional, Informe sobre la promoción y divulgación de proyectos de generación de energía renovable y no renovable, Informe de verificación y cumplimiento de contratos otorgados a generadores y adjudicatarios, Informe del fomento al incremento y fortalecimiento  del acceso a la energía eléctrica, todos con un 100% de avance físico.</w:t>
      </w:r>
    </w:p>
    <w:p w14:paraId="33A19D9A" w14:textId="4ADD9CA3" w:rsidR="5499291F" w:rsidRDefault="46B27687" w:rsidP="005321FC">
      <w:pPr>
        <w:pStyle w:val="Prrafodelista"/>
        <w:numPr>
          <w:ilvl w:val="0"/>
          <w:numId w:val="9"/>
        </w:numPr>
        <w:spacing w:after="120" w:line="240" w:lineRule="auto"/>
        <w:contextualSpacing w:val="0"/>
        <w:jc w:val="both"/>
        <w:rPr>
          <w:rFonts w:ascii="Calibri" w:eastAsia="Calibri" w:hAnsi="Calibri" w:cs="Calibri"/>
          <w:sz w:val="24"/>
          <w:szCs w:val="24"/>
        </w:rPr>
      </w:pPr>
      <w:r w:rsidRPr="46B27687">
        <w:rPr>
          <w:rFonts w:ascii="Calibri" w:eastAsia="Calibri" w:hAnsi="Calibri" w:cs="Calibri"/>
          <w:b/>
          <w:bCs/>
          <w:sz w:val="24"/>
          <w:szCs w:val="24"/>
        </w:rPr>
        <w:t>MINGOB:</w:t>
      </w:r>
      <w:r w:rsidRPr="46B27687">
        <w:rPr>
          <w:rFonts w:ascii="Calibri" w:eastAsia="Calibri" w:hAnsi="Calibri" w:cs="Calibri"/>
          <w:sz w:val="24"/>
          <w:szCs w:val="24"/>
        </w:rPr>
        <w:t xml:space="preserve"> vinculado a los RED: 1) Para el 2024, se ha disminuido la tasa de homicidios en 11.0 puntos, con el producto: Seguridad policial en áreas de mayor incidencia de homicidios, con 98.74% de avance físico. 2) Para el 2024, se ha disminuido en 20.6 puntos la tasa de delitos cometidos contra el patrimonio de las personas, con los productos: Seguridad policial en áreas de mayor incidencia criminal, Seguridad preventiva y del delito en áreas de mayor incidencia criminal e Investigación criminal en áreas de mayor incidencia criminal, con 97%, 68% y 98% de avance físico, respectivamente. </w:t>
      </w:r>
    </w:p>
    <w:p w14:paraId="0D608A24" w14:textId="7DFF1CBA" w:rsidR="5499291F" w:rsidRDefault="46B27687" w:rsidP="00E7064E">
      <w:pPr>
        <w:spacing w:after="120" w:line="240" w:lineRule="auto"/>
        <w:ind w:left="708"/>
        <w:jc w:val="both"/>
      </w:pPr>
      <w:r w:rsidRPr="46B27687">
        <w:rPr>
          <w:rFonts w:ascii="Calibri" w:eastAsia="Calibri" w:hAnsi="Calibri" w:cs="Calibri"/>
          <w:sz w:val="24"/>
          <w:szCs w:val="24"/>
        </w:rPr>
        <w:t>3) Para el 2024, se ha disminuido en 10.7 la tasa de extorsiones, con los productos: Seguridad policial y preventiva para el resguardo de áreas con incidencia de extorsiones e Investigación criminal en áreas con incidencia de extorsiones, con 99.8% y 100% de avance físico respectivamente. 4) Para el 2024, se ha disminuido en 3.8 la tasa de hechos de tránsito, con el producto: Programas de educación y seguridad vial, con 78% de avance físico.</w:t>
      </w:r>
    </w:p>
    <w:p w14:paraId="4C06466A" w14:textId="3D936C60" w:rsidR="5499291F" w:rsidRDefault="46B27687" w:rsidP="005321FC">
      <w:pPr>
        <w:pStyle w:val="Prrafodelista"/>
        <w:numPr>
          <w:ilvl w:val="0"/>
          <w:numId w:val="9"/>
        </w:numPr>
        <w:spacing w:after="120" w:line="240" w:lineRule="auto"/>
        <w:contextualSpacing w:val="0"/>
        <w:jc w:val="both"/>
        <w:rPr>
          <w:rFonts w:ascii="Calibri" w:eastAsia="Calibri" w:hAnsi="Calibri" w:cs="Calibri"/>
          <w:sz w:val="24"/>
          <w:szCs w:val="24"/>
        </w:rPr>
      </w:pPr>
      <w:r w:rsidRPr="46B27687">
        <w:rPr>
          <w:rFonts w:ascii="Calibri" w:eastAsia="Calibri" w:hAnsi="Calibri" w:cs="Calibri"/>
          <w:b/>
          <w:bCs/>
          <w:sz w:val="24"/>
          <w:szCs w:val="24"/>
        </w:rPr>
        <w:t xml:space="preserve">MSPAS: </w:t>
      </w:r>
      <w:r w:rsidRPr="46B27687">
        <w:rPr>
          <w:rFonts w:ascii="Calibri" w:eastAsia="Calibri" w:hAnsi="Calibri" w:cs="Calibri"/>
          <w:sz w:val="24"/>
          <w:szCs w:val="24"/>
        </w:rPr>
        <w:t xml:space="preserve">vinculado a los RED: 1) Para el 2024, se ha disminuido la razón de mortalidad materna a 90 muertes por cada cien mil nacidos vivos, con los productos: Mujer que recibe atención prenatal oportuna, con 54.5% de avance físico, recién nacido o neonato atendido, con 59.18%, Mujer que recibe atención del parto institucional por personal calificado, con 59.6%, Población con acceso a métodos de planificación familiar, con 60.1%, Servicios de apoyo a la recuperación de la salud, con 78.7% y Servicios de apoyo diagnóstico y de tratamiento con 65% de avance físico. </w:t>
      </w:r>
    </w:p>
    <w:p w14:paraId="7C0EAAA5" w14:textId="607B5D1D" w:rsidR="5499291F" w:rsidRDefault="46B27687" w:rsidP="00E7064E">
      <w:pPr>
        <w:spacing w:after="120" w:line="240" w:lineRule="auto"/>
        <w:ind w:left="708"/>
        <w:jc w:val="both"/>
      </w:pPr>
      <w:r w:rsidRPr="46B27687">
        <w:rPr>
          <w:rFonts w:ascii="Calibri" w:eastAsia="Calibri" w:hAnsi="Calibri" w:cs="Calibri"/>
          <w:sz w:val="24"/>
          <w:szCs w:val="24"/>
        </w:rPr>
        <w:t xml:space="preserve">2) Para el 2024, se ha disminuido la tasa de mortalidad en la niñez en 5 puntos por cada mil nacidos vivos; y, Para el 2024, se ha disminuido la prevalencia de desnutrición crónica en niñas y niños menores de cinco años en 13.23 puntos porcentuales, principalmente con los productos siguientes: Servicios de apoyo al fomento de la salud, Construcción, ampliación y mejoramiento de centros de convergencia, centros y puestos de salud, maternidades periféricas, centro de atención permanente y centro de atención integral materno infantil, con 80% y 79% de avance físico respectivamente. </w:t>
      </w:r>
    </w:p>
    <w:p w14:paraId="25A764C6" w14:textId="513F5FCA" w:rsidR="5499291F" w:rsidRDefault="46B27687" w:rsidP="00E7064E">
      <w:pPr>
        <w:spacing w:after="120" w:line="240" w:lineRule="auto"/>
        <w:ind w:left="708"/>
        <w:jc w:val="both"/>
      </w:pPr>
      <w:r w:rsidRPr="46B27687">
        <w:rPr>
          <w:rFonts w:ascii="Calibri" w:eastAsia="Calibri" w:hAnsi="Calibri" w:cs="Calibri"/>
          <w:sz w:val="24"/>
          <w:szCs w:val="24"/>
        </w:rPr>
        <w:t>Otros productos que el Ministerio vinculó al RED fueron: Vigilancia del agua para consumo humano y uso recreativo, con 65% de avance físico, Madre de niño y niña menor de 5 años, que recibe consejería sobre prácticas para el cuidado infantil, con 58%, Niño y niña menor de 5 años con suplementación de micronutrientes, con 58%, Niño y niña menor de 5 años con monitoreo de crecimiento, 57% y Mujer en edad fértil suplementada con micronutrientes, con 55%, entre otros.</w:t>
      </w:r>
    </w:p>
    <w:p w14:paraId="1FCF5DCF" w14:textId="3BF96C2D" w:rsidR="5499291F" w:rsidRDefault="46B27687" w:rsidP="005321FC">
      <w:pPr>
        <w:pStyle w:val="Prrafodelista"/>
        <w:numPr>
          <w:ilvl w:val="0"/>
          <w:numId w:val="9"/>
        </w:numPr>
        <w:spacing w:after="120" w:line="240" w:lineRule="auto"/>
        <w:contextualSpacing w:val="0"/>
        <w:jc w:val="both"/>
        <w:rPr>
          <w:rFonts w:ascii="Calibri" w:eastAsia="Calibri" w:hAnsi="Calibri" w:cs="Calibri"/>
          <w:sz w:val="24"/>
          <w:szCs w:val="24"/>
        </w:rPr>
      </w:pPr>
      <w:r w:rsidRPr="46B27687">
        <w:rPr>
          <w:rFonts w:ascii="Calibri" w:eastAsia="Calibri" w:hAnsi="Calibri" w:cs="Calibri"/>
          <w:b/>
          <w:bCs/>
          <w:sz w:val="24"/>
          <w:szCs w:val="24"/>
        </w:rPr>
        <w:t xml:space="preserve">MINTRAB: </w:t>
      </w:r>
      <w:r w:rsidRPr="46B27687">
        <w:rPr>
          <w:rFonts w:ascii="Calibri" w:eastAsia="Calibri" w:hAnsi="Calibri" w:cs="Calibri"/>
          <w:sz w:val="24"/>
          <w:szCs w:val="24"/>
        </w:rPr>
        <w:t>vinculado a los RED: 1) Para el 2024, se ha incrementado a 2,662,105 el número de personas con cobertura de programas sociales para personas en situación de pobreza y vulnerabilidad, a través del producto: Aporte económico entregado al adulto mayor, con 99.8% de avance físico. 2) Para el 2024, se ha incrementado la formalidad del empleo en 2.5 puntos porcentuales, con los productos: Personas orientadas e insertadas en el mercado laboral, Estudios del mercado laboral para facilitar la inserción y movilidad laboral y Personas nacionales y migrantes retornadas capacitadas para trabajar en actividades económicas diversas, con el 100% de avance e Inspecciones para la verificación del cumplimiento de la legislación laboral en beneficio de trabajadores y empleadores, con 89% de avance físico.</w:t>
      </w:r>
    </w:p>
    <w:p w14:paraId="20BE71A7" w14:textId="69599081" w:rsidR="5499291F" w:rsidRDefault="00C8352D" w:rsidP="00E7064E">
      <w:pPr>
        <w:tabs>
          <w:tab w:val="left" w:pos="1504"/>
        </w:tabs>
        <w:spacing w:after="120" w:line="240" w:lineRule="auto"/>
        <w:jc w:val="both"/>
      </w:pPr>
      <w:r w:rsidRPr="46B27687">
        <w:rPr>
          <w:rFonts w:ascii="Calibri" w:eastAsia="Calibri" w:hAnsi="Calibri" w:cs="Calibri"/>
          <w:b/>
          <w:bCs/>
          <w:sz w:val="24"/>
          <w:szCs w:val="24"/>
        </w:rPr>
        <w:t xml:space="preserve">Avance físico y financiero de productos vinculados a </w:t>
      </w:r>
      <w:r>
        <w:rPr>
          <w:rFonts w:ascii="Calibri" w:eastAsia="Calibri" w:hAnsi="Calibri" w:cs="Calibri"/>
          <w:b/>
          <w:bCs/>
          <w:sz w:val="24"/>
          <w:szCs w:val="24"/>
        </w:rPr>
        <w:t>m</w:t>
      </w:r>
      <w:r w:rsidRPr="46B27687">
        <w:rPr>
          <w:rFonts w:ascii="Calibri" w:eastAsia="Calibri" w:hAnsi="Calibri" w:cs="Calibri"/>
          <w:b/>
          <w:bCs/>
          <w:sz w:val="24"/>
          <w:szCs w:val="24"/>
        </w:rPr>
        <w:t xml:space="preserve">etas </w:t>
      </w:r>
      <w:r>
        <w:rPr>
          <w:rFonts w:ascii="Calibri" w:eastAsia="Calibri" w:hAnsi="Calibri" w:cs="Calibri"/>
          <w:b/>
          <w:bCs/>
          <w:sz w:val="24"/>
          <w:szCs w:val="24"/>
        </w:rPr>
        <w:t>de la PGG 2020-2024</w:t>
      </w:r>
    </w:p>
    <w:p w14:paraId="6D2F9867" w14:textId="09F9F776" w:rsidR="5499291F" w:rsidRDefault="46B27687" w:rsidP="00E7064E">
      <w:pPr>
        <w:tabs>
          <w:tab w:val="left" w:pos="1504"/>
        </w:tabs>
        <w:spacing w:after="120" w:line="240" w:lineRule="auto"/>
        <w:jc w:val="both"/>
      </w:pPr>
      <w:r w:rsidRPr="46B27687">
        <w:rPr>
          <w:rFonts w:ascii="Calibri" w:eastAsia="Calibri" w:hAnsi="Calibri" w:cs="Calibri"/>
          <w:sz w:val="24"/>
          <w:szCs w:val="24"/>
        </w:rPr>
        <w:t xml:space="preserve">En este apartado, se presenta por cada Pilar, el avance físico y financiero de la producción de 10 ministerios que vincularon parte de la producción institucional para contribuir al logro de las metas de la Política General de Gobierno 2020-2024 (PGG). </w:t>
      </w:r>
    </w:p>
    <w:p w14:paraId="0C36B031" w14:textId="0718CA62" w:rsidR="5499291F" w:rsidRDefault="46B27687" w:rsidP="00E7064E">
      <w:pPr>
        <w:tabs>
          <w:tab w:val="left" w:pos="1504"/>
        </w:tabs>
        <w:spacing w:after="120" w:line="240" w:lineRule="auto"/>
        <w:jc w:val="both"/>
      </w:pPr>
      <w:r w:rsidRPr="46B27687">
        <w:rPr>
          <w:rFonts w:ascii="Calibri" w:eastAsia="Calibri" w:hAnsi="Calibri" w:cs="Calibri"/>
          <w:b/>
          <w:bCs/>
          <w:sz w:val="24"/>
          <w:szCs w:val="24"/>
        </w:rPr>
        <w:t>Pilar 1: Economía, Competitividad y Prosperidad</w:t>
      </w:r>
    </w:p>
    <w:p w14:paraId="3DCD0798" w14:textId="3CE21DB5" w:rsidR="00E7064E" w:rsidRDefault="7351A6A1" w:rsidP="006E5E0A">
      <w:pPr>
        <w:tabs>
          <w:tab w:val="left" w:pos="1504"/>
        </w:tabs>
        <w:spacing w:after="120" w:line="240" w:lineRule="auto"/>
        <w:jc w:val="both"/>
      </w:pPr>
      <w:r w:rsidRPr="7351A6A1">
        <w:rPr>
          <w:rFonts w:ascii="Calibri" w:eastAsia="Calibri" w:hAnsi="Calibri" w:cs="Calibri"/>
          <w:sz w:val="24"/>
          <w:szCs w:val="24"/>
        </w:rPr>
        <w:t>Cuatro ministerios vincularon producción a metas estratégicas de este Pilar, en promedio, alcanzaron un 87.7% de ejecución de metas físicas y 93.3% de ejecución financiera.</w:t>
      </w:r>
    </w:p>
    <w:p w14:paraId="0733281D" w14:textId="03FAC12A" w:rsidR="5499291F" w:rsidRPr="00381031" w:rsidRDefault="006E5E0A" w:rsidP="00381031">
      <w:pPr>
        <w:pStyle w:val="ttulosgrficas"/>
        <w:rPr>
          <w:rFonts w:asciiTheme="minorHAnsi" w:hAnsiTheme="minorHAnsi" w:cstheme="minorHAnsi"/>
          <w:color w:val="4472C4" w:themeColor="accent1"/>
          <w:lang w:val="es-ES"/>
        </w:rPr>
      </w:pPr>
      <w:bookmarkStart w:id="21" w:name="_Toc130199593"/>
      <w:r w:rsidRPr="00381031">
        <w:rPr>
          <w:rFonts w:asciiTheme="minorHAnsi" w:hAnsiTheme="minorHAnsi" w:cstheme="minorHAnsi"/>
          <w:color w:val="4472C4" w:themeColor="accent1"/>
          <w:lang w:val="es-ES"/>
        </w:rPr>
        <w:t>T</w:t>
      </w:r>
      <w:r w:rsidR="00EC3957" w:rsidRPr="00381031">
        <w:rPr>
          <w:rFonts w:asciiTheme="minorHAnsi" w:hAnsiTheme="minorHAnsi" w:cstheme="minorHAnsi"/>
          <w:color w:val="4472C4" w:themeColor="accent1"/>
          <w:lang w:val="es-ES"/>
        </w:rPr>
        <w:t>abla</w:t>
      </w:r>
      <w:r w:rsidRPr="00381031">
        <w:rPr>
          <w:rFonts w:asciiTheme="minorHAnsi" w:hAnsiTheme="minorHAnsi" w:cstheme="minorHAnsi"/>
          <w:color w:val="4472C4" w:themeColor="accent1"/>
          <w:lang w:val="es-ES"/>
        </w:rPr>
        <w:t xml:space="preserve"> </w:t>
      </w:r>
      <w:r w:rsidRPr="00381031">
        <w:rPr>
          <w:rFonts w:asciiTheme="minorHAnsi" w:hAnsiTheme="minorHAnsi" w:cstheme="minorHAnsi"/>
          <w:color w:val="4472C4" w:themeColor="accent1"/>
          <w:lang w:val="es-ES"/>
        </w:rPr>
        <w:fldChar w:fldCharType="begin"/>
      </w:r>
      <w:r w:rsidRPr="00381031">
        <w:rPr>
          <w:rFonts w:asciiTheme="minorHAnsi" w:hAnsiTheme="minorHAnsi" w:cstheme="minorHAnsi"/>
          <w:color w:val="4472C4" w:themeColor="accent1"/>
          <w:lang w:val="es-ES"/>
        </w:rPr>
        <w:instrText xml:space="preserve"> SEQ Tabla \* ARABIC </w:instrText>
      </w:r>
      <w:r w:rsidRPr="00381031">
        <w:rPr>
          <w:rFonts w:asciiTheme="minorHAnsi" w:hAnsiTheme="minorHAnsi" w:cstheme="minorHAnsi"/>
          <w:color w:val="4472C4" w:themeColor="accent1"/>
          <w:lang w:val="es-ES"/>
        </w:rPr>
        <w:fldChar w:fldCharType="separate"/>
      </w:r>
      <w:r w:rsidR="00777974">
        <w:rPr>
          <w:rFonts w:asciiTheme="minorHAnsi" w:hAnsiTheme="minorHAnsi" w:cstheme="minorHAnsi"/>
          <w:noProof/>
          <w:color w:val="4472C4" w:themeColor="accent1"/>
          <w:lang w:val="es-ES"/>
        </w:rPr>
        <w:t>5</w:t>
      </w:r>
      <w:r w:rsidRPr="00381031">
        <w:rPr>
          <w:rFonts w:asciiTheme="minorHAnsi" w:hAnsiTheme="minorHAnsi" w:cstheme="minorHAnsi"/>
          <w:color w:val="4472C4" w:themeColor="accent1"/>
          <w:lang w:val="es-ES"/>
        </w:rPr>
        <w:fldChar w:fldCharType="end"/>
      </w:r>
      <w:r w:rsidRPr="00381031">
        <w:rPr>
          <w:rFonts w:asciiTheme="minorHAnsi" w:hAnsiTheme="minorHAnsi" w:cstheme="minorHAnsi"/>
          <w:color w:val="4472C4" w:themeColor="accent1"/>
          <w:lang w:val="es-ES"/>
        </w:rPr>
        <w:t xml:space="preserve">. </w:t>
      </w:r>
      <w:r w:rsidR="008B315B" w:rsidRPr="00381031">
        <w:rPr>
          <w:rFonts w:asciiTheme="minorHAnsi" w:hAnsiTheme="minorHAnsi" w:cstheme="minorHAnsi"/>
          <w:color w:val="4472C4" w:themeColor="accent1"/>
          <w:lang w:val="es-ES"/>
        </w:rPr>
        <w:t>A</w:t>
      </w:r>
      <w:r w:rsidR="00D90BD3" w:rsidRPr="00381031">
        <w:rPr>
          <w:rFonts w:asciiTheme="minorHAnsi" w:hAnsiTheme="minorHAnsi" w:cstheme="minorHAnsi"/>
          <w:color w:val="4472C4" w:themeColor="accent1"/>
          <w:lang w:val="es-ES"/>
        </w:rPr>
        <w:t>vance Físico y</w:t>
      </w:r>
      <w:r w:rsidR="00EC3957" w:rsidRPr="00381031">
        <w:rPr>
          <w:rFonts w:asciiTheme="minorHAnsi" w:hAnsiTheme="minorHAnsi" w:cstheme="minorHAnsi"/>
          <w:color w:val="4472C4" w:themeColor="accent1"/>
          <w:lang w:val="es-ES"/>
        </w:rPr>
        <w:t xml:space="preserve"> </w:t>
      </w:r>
      <w:r w:rsidR="00D90BD3" w:rsidRPr="00381031">
        <w:rPr>
          <w:rFonts w:asciiTheme="minorHAnsi" w:hAnsiTheme="minorHAnsi" w:cstheme="minorHAnsi"/>
          <w:color w:val="4472C4" w:themeColor="accent1"/>
          <w:lang w:val="es-ES"/>
        </w:rPr>
        <w:t>Financiero. Pilar</w:t>
      </w:r>
      <w:r w:rsidR="00FD2524" w:rsidRPr="00381031">
        <w:rPr>
          <w:rFonts w:asciiTheme="minorHAnsi" w:hAnsiTheme="minorHAnsi" w:cstheme="minorHAnsi"/>
          <w:color w:val="4472C4" w:themeColor="accent1"/>
          <w:lang w:val="es-ES"/>
        </w:rPr>
        <w:t xml:space="preserve"> </w:t>
      </w:r>
      <w:r w:rsidR="00D90BD3" w:rsidRPr="00381031">
        <w:rPr>
          <w:rFonts w:asciiTheme="minorHAnsi" w:hAnsiTheme="minorHAnsi" w:cstheme="minorHAnsi"/>
          <w:color w:val="4472C4" w:themeColor="accent1"/>
          <w:lang w:val="es-ES"/>
        </w:rPr>
        <w:t xml:space="preserve">1: Economía, Competitividad </w:t>
      </w:r>
      <w:r w:rsidR="00EC3957" w:rsidRPr="00381031">
        <w:rPr>
          <w:rFonts w:asciiTheme="minorHAnsi" w:hAnsiTheme="minorHAnsi" w:cstheme="minorHAnsi"/>
          <w:color w:val="4472C4" w:themeColor="accent1"/>
          <w:lang w:val="es-ES"/>
        </w:rPr>
        <w:t>y</w:t>
      </w:r>
      <w:r w:rsidR="00D90BD3" w:rsidRPr="00381031">
        <w:rPr>
          <w:rFonts w:asciiTheme="minorHAnsi" w:hAnsiTheme="minorHAnsi" w:cstheme="minorHAnsi"/>
          <w:color w:val="4472C4" w:themeColor="accent1"/>
          <w:lang w:val="es-ES"/>
        </w:rPr>
        <w:t xml:space="preserve"> Prosperidad</w:t>
      </w:r>
      <w:bookmarkEnd w:id="21"/>
    </w:p>
    <w:tbl>
      <w:tblPr>
        <w:tblStyle w:val="Tablaconcuadrcula4-nfasis5"/>
        <w:tblW w:w="9405" w:type="dxa"/>
        <w:tbl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insideH w:val="single" w:sz="6" w:space="0" w:color="9CC2E5" w:themeColor="accent5" w:themeTint="99"/>
          <w:insideV w:val="single" w:sz="6" w:space="0" w:color="9CC2E5" w:themeColor="accent5" w:themeTint="99"/>
        </w:tblBorders>
        <w:tblLayout w:type="fixed"/>
        <w:tblLook w:val="04A0" w:firstRow="1" w:lastRow="0" w:firstColumn="1" w:lastColumn="0" w:noHBand="0" w:noVBand="1"/>
      </w:tblPr>
      <w:tblGrid>
        <w:gridCol w:w="2151"/>
        <w:gridCol w:w="1943"/>
        <w:gridCol w:w="1647"/>
        <w:gridCol w:w="1906"/>
        <w:gridCol w:w="1758"/>
      </w:tblGrid>
      <w:tr w:rsidR="7351A6A1" w:rsidRPr="00334C5B" w14:paraId="6DDF88CE" w14:textId="77777777" w:rsidTr="00681322">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151"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6855736" w14:textId="40CAE156" w:rsidR="7351A6A1" w:rsidRPr="00334C5B" w:rsidRDefault="7351A6A1" w:rsidP="7351A6A1">
            <w:pPr>
              <w:jc w:val="center"/>
              <w:rPr>
                <w:rFonts w:asciiTheme="minorHAnsi" w:hAnsiTheme="minorHAnsi" w:cstheme="minorHAnsi"/>
                <w:sz w:val="22"/>
                <w:szCs w:val="22"/>
                <w:lang w:val="es"/>
              </w:rPr>
            </w:pPr>
            <w:r w:rsidRPr="00334C5B">
              <w:rPr>
                <w:rFonts w:asciiTheme="minorHAnsi" w:hAnsiTheme="minorHAnsi" w:cstheme="minorHAnsi"/>
                <w:color w:val="auto"/>
                <w:sz w:val="22"/>
                <w:szCs w:val="22"/>
                <w:lang w:val="es"/>
              </w:rPr>
              <w:t>Institución</w:t>
            </w:r>
          </w:p>
        </w:tc>
        <w:tc>
          <w:tcPr>
            <w:tcW w:w="1943"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5CBABA3C" w14:textId="2C99B8BD" w:rsidR="7351A6A1" w:rsidRPr="00334C5B" w:rsidRDefault="7351A6A1" w:rsidP="7351A6A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s"/>
              </w:rPr>
            </w:pPr>
            <w:r w:rsidRPr="00334C5B">
              <w:rPr>
                <w:rFonts w:asciiTheme="minorHAnsi" w:hAnsiTheme="minorHAnsi" w:cstheme="minorHAnsi"/>
                <w:color w:val="auto"/>
                <w:sz w:val="22"/>
                <w:szCs w:val="22"/>
                <w:lang w:val="es"/>
              </w:rPr>
              <w:t>Meta financiera vigente</w:t>
            </w:r>
          </w:p>
        </w:tc>
        <w:tc>
          <w:tcPr>
            <w:tcW w:w="1647"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AAAF61B" w14:textId="0BFDE9E5" w:rsidR="7351A6A1" w:rsidRPr="00334C5B" w:rsidRDefault="7351A6A1" w:rsidP="7351A6A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s"/>
              </w:rPr>
            </w:pPr>
            <w:r w:rsidRPr="00334C5B">
              <w:rPr>
                <w:rFonts w:asciiTheme="minorHAnsi" w:hAnsiTheme="minorHAnsi" w:cstheme="minorHAnsi"/>
                <w:color w:val="auto"/>
                <w:sz w:val="22"/>
                <w:szCs w:val="22"/>
                <w:lang w:val="es"/>
              </w:rPr>
              <w:t>Ejecución financiera acumulada</w:t>
            </w:r>
          </w:p>
        </w:tc>
        <w:tc>
          <w:tcPr>
            <w:tcW w:w="1906"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2531E0D2" w14:textId="5909B78A" w:rsidR="7351A6A1" w:rsidRPr="00334C5B" w:rsidRDefault="7351A6A1" w:rsidP="7351A6A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s"/>
              </w:rPr>
            </w:pPr>
            <w:r w:rsidRPr="00334C5B">
              <w:rPr>
                <w:rFonts w:asciiTheme="minorHAnsi" w:hAnsiTheme="minorHAnsi" w:cstheme="minorHAnsi"/>
                <w:color w:val="auto"/>
                <w:sz w:val="22"/>
                <w:szCs w:val="22"/>
                <w:lang w:val="es"/>
              </w:rPr>
              <w:t>% ejecución meta física</w:t>
            </w:r>
          </w:p>
        </w:tc>
        <w:tc>
          <w:tcPr>
            <w:tcW w:w="1758"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0944AD2" w14:textId="2D5B5B5B" w:rsidR="7351A6A1" w:rsidRPr="00334C5B" w:rsidRDefault="7351A6A1" w:rsidP="7351A6A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s"/>
              </w:rPr>
            </w:pPr>
            <w:r w:rsidRPr="00334C5B">
              <w:rPr>
                <w:rFonts w:asciiTheme="minorHAnsi" w:hAnsiTheme="minorHAnsi" w:cstheme="minorHAnsi"/>
                <w:color w:val="auto"/>
                <w:sz w:val="22"/>
                <w:szCs w:val="22"/>
                <w:lang w:val="es"/>
              </w:rPr>
              <w:t>% ejecución meta financiera</w:t>
            </w:r>
          </w:p>
        </w:tc>
      </w:tr>
      <w:tr w:rsidR="7351A6A1" w:rsidRPr="00334C5B" w14:paraId="1D5438D8" w14:textId="77777777" w:rsidTr="0068132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151" w:type="dxa"/>
            <w:tcMar>
              <w:left w:w="108" w:type="dxa"/>
              <w:right w:w="108" w:type="dxa"/>
            </w:tcMar>
            <w:vAlign w:val="center"/>
          </w:tcPr>
          <w:p w14:paraId="3FF2F0EC" w14:textId="55932456" w:rsidR="7351A6A1" w:rsidRPr="00334C5B" w:rsidRDefault="7351A6A1">
            <w:pPr>
              <w:rPr>
                <w:rFonts w:asciiTheme="minorHAnsi" w:hAnsiTheme="minorHAnsi" w:cstheme="minorHAnsi"/>
                <w:b w:val="0"/>
              </w:rPr>
            </w:pPr>
            <w:r w:rsidRPr="00334C5B">
              <w:rPr>
                <w:rFonts w:asciiTheme="minorHAnsi" w:hAnsiTheme="minorHAnsi" w:cstheme="minorHAnsi"/>
                <w:b w:val="0"/>
                <w:sz w:val="22"/>
                <w:szCs w:val="22"/>
                <w:lang w:val="es"/>
              </w:rPr>
              <w:t>Ministerio de Desarrollo Social</w:t>
            </w:r>
          </w:p>
        </w:tc>
        <w:tc>
          <w:tcPr>
            <w:tcW w:w="1943" w:type="dxa"/>
            <w:tcMar>
              <w:left w:w="108" w:type="dxa"/>
              <w:right w:w="108" w:type="dxa"/>
            </w:tcMar>
            <w:vAlign w:val="center"/>
          </w:tcPr>
          <w:p w14:paraId="669209B6" w14:textId="2A47FC33" w:rsidR="7351A6A1" w:rsidRPr="00334C5B" w:rsidRDefault="7351A6A1" w:rsidP="7351A6A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Q25,565,300.00</w:t>
            </w:r>
          </w:p>
        </w:tc>
        <w:tc>
          <w:tcPr>
            <w:tcW w:w="1647" w:type="dxa"/>
            <w:tcMar>
              <w:left w:w="108" w:type="dxa"/>
              <w:right w:w="108" w:type="dxa"/>
            </w:tcMar>
            <w:vAlign w:val="center"/>
          </w:tcPr>
          <w:p w14:paraId="28DDF236" w14:textId="402F819A" w:rsidR="7351A6A1" w:rsidRPr="00334C5B" w:rsidRDefault="7351A6A1" w:rsidP="7351A6A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Q25,258,761.32</w:t>
            </w:r>
          </w:p>
        </w:tc>
        <w:tc>
          <w:tcPr>
            <w:tcW w:w="1906" w:type="dxa"/>
            <w:shd w:val="clear" w:color="auto" w:fill="FFFF00"/>
            <w:tcMar>
              <w:left w:w="108" w:type="dxa"/>
              <w:right w:w="108" w:type="dxa"/>
            </w:tcMar>
            <w:vAlign w:val="center"/>
          </w:tcPr>
          <w:p w14:paraId="3C37EB6A" w14:textId="4B1ED824" w:rsidR="7351A6A1" w:rsidRPr="00334C5B" w:rsidRDefault="7351A6A1" w:rsidP="7351A6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74.98%</w:t>
            </w:r>
          </w:p>
        </w:tc>
        <w:tc>
          <w:tcPr>
            <w:tcW w:w="1758" w:type="dxa"/>
            <w:shd w:val="clear" w:color="auto" w:fill="92D050"/>
            <w:tcMar>
              <w:left w:w="108" w:type="dxa"/>
              <w:right w:w="108" w:type="dxa"/>
            </w:tcMar>
            <w:vAlign w:val="center"/>
          </w:tcPr>
          <w:p w14:paraId="7B292A93" w14:textId="4331E849" w:rsidR="7351A6A1" w:rsidRPr="00334C5B" w:rsidRDefault="7351A6A1" w:rsidP="7351A6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98.80%</w:t>
            </w:r>
          </w:p>
        </w:tc>
      </w:tr>
      <w:tr w:rsidR="7351A6A1" w:rsidRPr="00334C5B" w14:paraId="17661D6D" w14:textId="77777777" w:rsidTr="00681322">
        <w:trPr>
          <w:trHeight w:val="570"/>
        </w:trPr>
        <w:tc>
          <w:tcPr>
            <w:cnfStyle w:val="001000000000" w:firstRow="0" w:lastRow="0" w:firstColumn="1" w:lastColumn="0" w:oddVBand="0" w:evenVBand="0" w:oddHBand="0" w:evenHBand="0" w:firstRowFirstColumn="0" w:firstRowLastColumn="0" w:lastRowFirstColumn="0" w:lastRowLastColumn="0"/>
            <w:tcW w:w="2151" w:type="dxa"/>
            <w:tcMar>
              <w:left w:w="108" w:type="dxa"/>
              <w:right w:w="108" w:type="dxa"/>
            </w:tcMar>
            <w:vAlign w:val="center"/>
          </w:tcPr>
          <w:p w14:paraId="4EA79426" w14:textId="68301C6B" w:rsidR="7351A6A1" w:rsidRPr="00334C5B" w:rsidRDefault="7351A6A1">
            <w:pPr>
              <w:rPr>
                <w:rFonts w:asciiTheme="minorHAnsi" w:hAnsiTheme="minorHAnsi" w:cstheme="minorHAnsi"/>
                <w:b w:val="0"/>
              </w:rPr>
            </w:pPr>
            <w:r w:rsidRPr="00334C5B">
              <w:rPr>
                <w:rFonts w:asciiTheme="minorHAnsi" w:hAnsiTheme="minorHAnsi" w:cstheme="minorHAnsi"/>
                <w:b w:val="0"/>
                <w:sz w:val="22"/>
                <w:szCs w:val="22"/>
                <w:lang w:val="es"/>
              </w:rPr>
              <w:t>Ministerio de Economía</w:t>
            </w:r>
          </w:p>
        </w:tc>
        <w:tc>
          <w:tcPr>
            <w:tcW w:w="1943" w:type="dxa"/>
            <w:tcMar>
              <w:left w:w="108" w:type="dxa"/>
              <w:right w:w="108" w:type="dxa"/>
            </w:tcMar>
            <w:vAlign w:val="center"/>
          </w:tcPr>
          <w:p w14:paraId="41495D8C" w14:textId="1A57F1E0" w:rsidR="7351A6A1" w:rsidRPr="00334C5B" w:rsidRDefault="7351A6A1" w:rsidP="7351A6A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Q35,235,405.00</w:t>
            </w:r>
          </w:p>
        </w:tc>
        <w:tc>
          <w:tcPr>
            <w:tcW w:w="1647" w:type="dxa"/>
            <w:tcMar>
              <w:left w:w="108" w:type="dxa"/>
              <w:right w:w="108" w:type="dxa"/>
            </w:tcMar>
            <w:vAlign w:val="center"/>
          </w:tcPr>
          <w:p w14:paraId="383CEE77" w14:textId="257DEFA6" w:rsidR="7351A6A1" w:rsidRPr="00334C5B" w:rsidRDefault="7351A6A1" w:rsidP="7351A6A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Q31,837,966.26</w:t>
            </w:r>
          </w:p>
        </w:tc>
        <w:tc>
          <w:tcPr>
            <w:tcW w:w="1906" w:type="dxa"/>
            <w:shd w:val="clear" w:color="auto" w:fill="FFFF00"/>
            <w:tcMar>
              <w:left w:w="108" w:type="dxa"/>
              <w:right w:w="108" w:type="dxa"/>
            </w:tcMar>
            <w:vAlign w:val="center"/>
          </w:tcPr>
          <w:p w14:paraId="28840AE5" w14:textId="351A60F7" w:rsidR="7351A6A1" w:rsidRPr="00334C5B" w:rsidRDefault="7351A6A1" w:rsidP="7351A6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color w:val="000000" w:themeColor="text1"/>
                <w:sz w:val="22"/>
                <w:szCs w:val="22"/>
                <w:lang w:val="es"/>
              </w:rPr>
              <w:t>78.64%</w:t>
            </w:r>
          </w:p>
        </w:tc>
        <w:tc>
          <w:tcPr>
            <w:tcW w:w="1758" w:type="dxa"/>
            <w:shd w:val="clear" w:color="auto" w:fill="92D050"/>
            <w:tcMar>
              <w:left w:w="108" w:type="dxa"/>
              <w:right w:w="108" w:type="dxa"/>
            </w:tcMar>
            <w:vAlign w:val="center"/>
          </w:tcPr>
          <w:p w14:paraId="2BE42443" w14:textId="3208250B" w:rsidR="7351A6A1" w:rsidRPr="00334C5B" w:rsidRDefault="7351A6A1" w:rsidP="7351A6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color w:val="000000" w:themeColor="text1"/>
                <w:sz w:val="22"/>
                <w:szCs w:val="22"/>
                <w:lang w:val="es"/>
              </w:rPr>
              <w:t>90.36%</w:t>
            </w:r>
          </w:p>
        </w:tc>
      </w:tr>
      <w:tr w:rsidR="7351A6A1" w:rsidRPr="00334C5B" w14:paraId="5D5521A6" w14:textId="77777777" w:rsidTr="0068132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151" w:type="dxa"/>
            <w:tcMar>
              <w:left w:w="108" w:type="dxa"/>
              <w:right w:w="108" w:type="dxa"/>
            </w:tcMar>
            <w:vAlign w:val="center"/>
          </w:tcPr>
          <w:p w14:paraId="2825729F" w14:textId="21988CE5" w:rsidR="7351A6A1" w:rsidRPr="00334C5B" w:rsidRDefault="7351A6A1">
            <w:pPr>
              <w:rPr>
                <w:rFonts w:asciiTheme="minorHAnsi" w:hAnsiTheme="minorHAnsi" w:cstheme="minorHAnsi"/>
                <w:b w:val="0"/>
              </w:rPr>
            </w:pPr>
            <w:r w:rsidRPr="00334C5B">
              <w:rPr>
                <w:rFonts w:asciiTheme="minorHAnsi" w:hAnsiTheme="minorHAnsi" w:cstheme="minorHAnsi"/>
                <w:b w:val="0"/>
                <w:sz w:val="22"/>
                <w:szCs w:val="22"/>
                <w:lang w:val="es"/>
              </w:rPr>
              <w:t>Ministerio de Energía y Minas</w:t>
            </w:r>
          </w:p>
        </w:tc>
        <w:tc>
          <w:tcPr>
            <w:tcW w:w="1943" w:type="dxa"/>
            <w:tcMar>
              <w:left w:w="108" w:type="dxa"/>
              <w:right w:w="108" w:type="dxa"/>
            </w:tcMar>
            <w:vAlign w:val="center"/>
          </w:tcPr>
          <w:p w14:paraId="4EE0A9D7" w14:textId="36FD79C8" w:rsidR="7351A6A1" w:rsidRPr="00334C5B" w:rsidRDefault="7351A6A1" w:rsidP="7351A6A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Q7,179,469.00</w:t>
            </w:r>
          </w:p>
        </w:tc>
        <w:tc>
          <w:tcPr>
            <w:tcW w:w="1647" w:type="dxa"/>
            <w:tcMar>
              <w:left w:w="108" w:type="dxa"/>
              <w:right w:w="108" w:type="dxa"/>
            </w:tcMar>
            <w:vAlign w:val="center"/>
          </w:tcPr>
          <w:p w14:paraId="36384DC8" w14:textId="48EE6C75" w:rsidR="7351A6A1" w:rsidRPr="00334C5B" w:rsidRDefault="7351A6A1" w:rsidP="7351A6A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Q6,763,393.11</w:t>
            </w:r>
          </w:p>
        </w:tc>
        <w:tc>
          <w:tcPr>
            <w:tcW w:w="1906" w:type="dxa"/>
            <w:shd w:val="clear" w:color="auto" w:fill="92D050"/>
            <w:tcMar>
              <w:left w:w="108" w:type="dxa"/>
              <w:right w:w="108" w:type="dxa"/>
            </w:tcMar>
            <w:vAlign w:val="center"/>
          </w:tcPr>
          <w:p w14:paraId="7A592A92" w14:textId="054AF223" w:rsidR="7351A6A1" w:rsidRPr="00334C5B" w:rsidRDefault="7351A6A1" w:rsidP="7351A6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color w:val="000000" w:themeColor="text1"/>
                <w:sz w:val="22"/>
                <w:szCs w:val="22"/>
                <w:lang w:val="es"/>
              </w:rPr>
              <w:t>100.00%</w:t>
            </w:r>
          </w:p>
        </w:tc>
        <w:tc>
          <w:tcPr>
            <w:tcW w:w="1758" w:type="dxa"/>
            <w:shd w:val="clear" w:color="auto" w:fill="92D050"/>
            <w:tcMar>
              <w:left w:w="108" w:type="dxa"/>
              <w:right w:w="108" w:type="dxa"/>
            </w:tcMar>
            <w:vAlign w:val="center"/>
          </w:tcPr>
          <w:p w14:paraId="78321FDD" w14:textId="59841CFB" w:rsidR="7351A6A1" w:rsidRPr="00334C5B" w:rsidRDefault="7351A6A1" w:rsidP="7351A6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color w:val="000000" w:themeColor="text1"/>
                <w:sz w:val="22"/>
                <w:szCs w:val="22"/>
                <w:lang w:val="es"/>
              </w:rPr>
              <w:t>94.20%</w:t>
            </w:r>
          </w:p>
        </w:tc>
      </w:tr>
      <w:tr w:rsidR="7351A6A1" w:rsidRPr="00334C5B" w14:paraId="0C71748D" w14:textId="77777777" w:rsidTr="00681322">
        <w:trPr>
          <w:trHeight w:val="570"/>
        </w:trPr>
        <w:tc>
          <w:tcPr>
            <w:cnfStyle w:val="001000000000" w:firstRow="0" w:lastRow="0" w:firstColumn="1" w:lastColumn="0" w:oddVBand="0" w:evenVBand="0" w:oddHBand="0" w:evenHBand="0" w:firstRowFirstColumn="0" w:firstRowLastColumn="0" w:lastRowFirstColumn="0" w:lastRowLastColumn="0"/>
            <w:tcW w:w="2151" w:type="dxa"/>
            <w:tcMar>
              <w:left w:w="108" w:type="dxa"/>
              <w:right w:w="108" w:type="dxa"/>
            </w:tcMar>
            <w:vAlign w:val="center"/>
          </w:tcPr>
          <w:p w14:paraId="7E34CBCC" w14:textId="043B89F0" w:rsidR="7351A6A1" w:rsidRPr="00334C5B" w:rsidRDefault="7351A6A1">
            <w:pPr>
              <w:rPr>
                <w:rFonts w:asciiTheme="minorHAnsi" w:hAnsiTheme="minorHAnsi" w:cstheme="minorHAnsi"/>
                <w:b w:val="0"/>
              </w:rPr>
            </w:pPr>
            <w:r w:rsidRPr="00334C5B">
              <w:rPr>
                <w:rFonts w:asciiTheme="minorHAnsi" w:hAnsiTheme="minorHAnsi" w:cstheme="minorHAnsi"/>
                <w:b w:val="0"/>
                <w:sz w:val="22"/>
                <w:szCs w:val="22"/>
                <w:lang w:val="es"/>
              </w:rPr>
              <w:t>Ministerio de Trabajo y Previsión Social</w:t>
            </w:r>
          </w:p>
        </w:tc>
        <w:tc>
          <w:tcPr>
            <w:tcW w:w="1943" w:type="dxa"/>
            <w:tcMar>
              <w:left w:w="108" w:type="dxa"/>
              <w:right w:w="108" w:type="dxa"/>
            </w:tcMar>
            <w:vAlign w:val="center"/>
          </w:tcPr>
          <w:p w14:paraId="3C75FB89" w14:textId="7067EB7A" w:rsidR="7351A6A1" w:rsidRPr="00334C5B" w:rsidRDefault="7351A6A1" w:rsidP="7351A6A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Q59,054,981.00</w:t>
            </w:r>
          </w:p>
        </w:tc>
        <w:tc>
          <w:tcPr>
            <w:tcW w:w="1647" w:type="dxa"/>
            <w:tcMar>
              <w:left w:w="108" w:type="dxa"/>
              <w:right w:w="108" w:type="dxa"/>
            </w:tcMar>
            <w:vAlign w:val="center"/>
          </w:tcPr>
          <w:p w14:paraId="66BA7F10" w14:textId="0BD3187F" w:rsidR="7351A6A1" w:rsidRPr="00334C5B" w:rsidRDefault="7351A6A1" w:rsidP="7351A6A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sz w:val="22"/>
                <w:szCs w:val="22"/>
                <w:lang w:val="es"/>
              </w:rPr>
              <w:t>Q53,087,621.00</w:t>
            </w:r>
          </w:p>
        </w:tc>
        <w:tc>
          <w:tcPr>
            <w:tcW w:w="1906" w:type="dxa"/>
            <w:shd w:val="clear" w:color="auto" w:fill="92D050"/>
            <w:tcMar>
              <w:left w:w="108" w:type="dxa"/>
              <w:right w:w="108" w:type="dxa"/>
            </w:tcMar>
            <w:vAlign w:val="center"/>
          </w:tcPr>
          <w:p w14:paraId="26A0048B" w14:textId="51E79860" w:rsidR="7351A6A1" w:rsidRPr="00334C5B" w:rsidRDefault="7351A6A1" w:rsidP="7351A6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color w:val="000000" w:themeColor="text1"/>
                <w:sz w:val="22"/>
                <w:szCs w:val="22"/>
                <w:lang w:val="es"/>
              </w:rPr>
              <w:t>97.32%</w:t>
            </w:r>
          </w:p>
        </w:tc>
        <w:tc>
          <w:tcPr>
            <w:tcW w:w="1758" w:type="dxa"/>
            <w:shd w:val="clear" w:color="auto" w:fill="FFFF00"/>
            <w:tcMar>
              <w:left w:w="108" w:type="dxa"/>
              <w:right w:w="108" w:type="dxa"/>
            </w:tcMar>
            <w:vAlign w:val="center"/>
          </w:tcPr>
          <w:p w14:paraId="24BA4B2D" w14:textId="7CAFAAB9" w:rsidR="7351A6A1" w:rsidRPr="00334C5B" w:rsidRDefault="7351A6A1" w:rsidP="7351A6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34C5B">
              <w:rPr>
                <w:rFonts w:asciiTheme="minorHAnsi" w:hAnsiTheme="minorHAnsi" w:cstheme="minorHAnsi"/>
                <w:color w:val="000000" w:themeColor="text1"/>
                <w:sz w:val="22"/>
                <w:szCs w:val="22"/>
                <w:lang w:val="es"/>
              </w:rPr>
              <w:t>89.90%</w:t>
            </w:r>
          </w:p>
        </w:tc>
      </w:tr>
    </w:tbl>
    <w:p w14:paraId="6B11D32C" w14:textId="022BF515" w:rsidR="5499291F" w:rsidRDefault="7351A6A1" w:rsidP="7351A6A1">
      <w:pPr>
        <w:tabs>
          <w:tab w:val="left" w:pos="1504"/>
        </w:tabs>
        <w:spacing w:line="257" w:lineRule="auto"/>
        <w:jc w:val="both"/>
      </w:pPr>
      <w:r w:rsidRPr="7351A6A1">
        <w:rPr>
          <w:rFonts w:ascii="Calibri" w:eastAsia="Calibri" w:hAnsi="Calibri" w:cs="Calibri"/>
          <w:sz w:val="16"/>
          <w:szCs w:val="16"/>
        </w:rPr>
        <w:t>Fuente: Con base a registros de Siplan. Segeplan. Año 2022.</w:t>
      </w:r>
    </w:p>
    <w:p w14:paraId="61B6ACCE" w14:textId="77777777" w:rsidR="00E31540" w:rsidRDefault="00E31540" w:rsidP="00E7064E">
      <w:pPr>
        <w:tabs>
          <w:tab w:val="left" w:pos="1504"/>
        </w:tabs>
        <w:spacing w:after="120" w:line="240" w:lineRule="auto"/>
        <w:jc w:val="both"/>
        <w:rPr>
          <w:rFonts w:ascii="Calibri" w:eastAsia="Calibri" w:hAnsi="Calibri" w:cs="Calibri"/>
          <w:b/>
          <w:bCs/>
          <w:sz w:val="24"/>
          <w:szCs w:val="24"/>
        </w:rPr>
      </w:pPr>
    </w:p>
    <w:p w14:paraId="642FD4C1" w14:textId="574DE0D2" w:rsidR="5499291F" w:rsidRDefault="7351A6A1" w:rsidP="00E7064E">
      <w:pPr>
        <w:tabs>
          <w:tab w:val="left" w:pos="1504"/>
        </w:tabs>
        <w:spacing w:after="120" w:line="240" w:lineRule="auto"/>
        <w:jc w:val="both"/>
      </w:pPr>
      <w:r w:rsidRPr="7351A6A1">
        <w:rPr>
          <w:rFonts w:ascii="Calibri" w:eastAsia="Calibri" w:hAnsi="Calibri" w:cs="Calibri"/>
          <w:b/>
          <w:bCs/>
          <w:sz w:val="24"/>
          <w:szCs w:val="24"/>
        </w:rPr>
        <w:t>MIDES</w:t>
      </w:r>
      <w:r w:rsidRPr="7351A6A1">
        <w:rPr>
          <w:rFonts w:ascii="Calibri" w:eastAsia="Calibri" w:hAnsi="Calibri" w:cs="Calibri"/>
          <w:sz w:val="24"/>
          <w:szCs w:val="24"/>
        </w:rPr>
        <w:t>: vinculado a la meta PGG: Para el año 2023 se redujo la tasa de informalidad del empleo en 6 puntos porcentuales, con los productos: Beca de educación superior entregada a adolescentes y jóvenes, Beca de educación media entregada a adolescentes y jóvenes en situación de riesgo y vulnerabilidad social y Beca artesano entregada a adolescentes y jóvenes, con 100% de avance físico.</w:t>
      </w:r>
    </w:p>
    <w:p w14:paraId="73258B7F" w14:textId="6D4DB853" w:rsidR="5499291F" w:rsidRDefault="1041AE5A" w:rsidP="00E7064E">
      <w:pPr>
        <w:tabs>
          <w:tab w:val="left" w:pos="1504"/>
        </w:tabs>
        <w:spacing w:after="120" w:line="240" w:lineRule="auto"/>
        <w:jc w:val="both"/>
      </w:pPr>
      <w:r w:rsidRPr="1041AE5A">
        <w:rPr>
          <w:rFonts w:ascii="Calibri" w:eastAsia="Calibri" w:hAnsi="Calibri" w:cs="Calibri"/>
          <w:b/>
          <w:bCs/>
          <w:sz w:val="24"/>
          <w:szCs w:val="24"/>
        </w:rPr>
        <w:t xml:space="preserve">MINECO: </w:t>
      </w:r>
      <w:r w:rsidRPr="1041AE5A">
        <w:rPr>
          <w:rFonts w:ascii="Calibri" w:eastAsia="Calibri" w:hAnsi="Calibri" w:cs="Calibri"/>
          <w:sz w:val="24"/>
          <w:szCs w:val="24"/>
        </w:rPr>
        <w:t>vinculado a la meta PGG: Para el año 2023 se ha incrementado el monto de los créditos para emprendimientos de familias pobres a Q 200,000,000, con los productos: Empresario de micro, pequeña y mediana empresa beneficiados con asistencia técnica en desarrollo empresarial y Empresario de micro, pequeña y mediana empresa beneficiados con servicios financieros, con 94% y 63% de avance físico.</w:t>
      </w:r>
    </w:p>
    <w:p w14:paraId="07FCE273" w14:textId="3B0993AB" w:rsidR="5499291F" w:rsidRDefault="7351A6A1" w:rsidP="00E7064E">
      <w:pPr>
        <w:tabs>
          <w:tab w:val="left" w:pos="1504"/>
        </w:tabs>
        <w:spacing w:after="120" w:line="240" w:lineRule="auto"/>
        <w:jc w:val="both"/>
      </w:pPr>
      <w:r w:rsidRPr="7351A6A1">
        <w:rPr>
          <w:rFonts w:ascii="Calibri" w:eastAsia="Calibri" w:hAnsi="Calibri" w:cs="Calibri"/>
          <w:b/>
          <w:bCs/>
          <w:sz w:val="24"/>
          <w:szCs w:val="24"/>
        </w:rPr>
        <w:t>MEM:</w:t>
      </w:r>
      <w:r w:rsidRPr="7351A6A1">
        <w:rPr>
          <w:rFonts w:ascii="Calibri" w:eastAsia="Calibri" w:hAnsi="Calibri" w:cs="Calibri"/>
          <w:sz w:val="24"/>
          <w:szCs w:val="24"/>
        </w:rPr>
        <w:t xml:space="preserve"> vinculado a la meta PGG: Para el año 2023 se ha incrementado el porcentaje de hogares con acceso a energía eléctrica en 1.86 puntos porcentuales (para alcanzar en el año citado, 90% de hogares con acceso a energía eléctrica en el país), principalmente con los productos: Informe de verificación y cumplimiento de contratos otorgados a generadores y adjudicatarios, Informe sobre el fomento de la expansión del sistema eléctrico nacional, Informe del fomento al incremento y fortalecimiento  del acceso a la energía eléctrica, Fomento del acceso al mercado eléctrico nacional, Eventos de promoción y divulgación de los beneficios del desarrollo del sistema energético nacional e Informe sobre la promoción y divulgación de proyectos de generación de energía renovable y no renovable, todos con un 100% de avance físico.</w:t>
      </w:r>
    </w:p>
    <w:p w14:paraId="7743369D" w14:textId="610B1FC6" w:rsidR="5499291F" w:rsidRDefault="7351A6A1" w:rsidP="00E7064E">
      <w:pPr>
        <w:tabs>
          <w:tab w:val="left" w:pos="1504"/>
        </w:tabs>
        <w:spacing w:after="120" w:line="240" w:lineRule="auto"/>
        <w:jc w:val="both"/>
      </w:pPr>
      <w:r w:rsidRPr="7351A6A1">
        <w:rPr>
          <w:rFonts w:ascii="Calibri" w:eastAsia="Calibri" w:hAnsi="Calibri" w:cs="Calibri"/>
          <w:b/>
          <w:bCs/>
          <w:sz w:val="24"/>
          <w:szCs w:val="24"/>
        </w:rPr>
        <w:t xml:space="preserve">MINTRAB: </w:t>
      </w:r>
      <w:r w:rsidRPr="7351A6A1">
        <w:rPr>
          <w:rFonts w:ascii="Calibri" w:eastAsia="Calibri" w:hAnsi="Calibri" w:cs="Calibri"/>
          <w:sz w:val="24"/>
          <w:szCs w:val="24"/>
        </w:rPr>
        <w:t>vinculado a la meta PGG: Para el año 2023 se redujo la tasa de informalidad del empleo en 6 puntos porcentuales, con los productos: Inspecciones para la verificación del cumplimiento de la legislación laboral en beneficio de trabajadores y empleadores, con 89.26% de avance y Personas orientadas e insertadas en el mercado laboral, Estudios del mercado laboral para facilitar la inserción y movilidad laboral y Personas nacionales y migrantes retornadas capacitadas para trabajar en actividades económicas diversas, con 100% de avance físico.</w:t>
      </w:r>
    </w:p>
    <w:p w14:paraId="44AB2742" w14:textId="35BB06EC" w:rsidR="5499291F" w:rsidRDefault="7351A6A1" w:rsidP="00E7064E">
      <w:pPr>
        <w:tabs>
          <w:tab w:val="left" w:pos="1504"/>
        </w:tabs>
        <w:spacing w:after="120" w:line="240" w:lineRule="auto"/>
        <w:jc w:val="both"/>
      </w:pPr>
      <w:r w:rsidRPr="7351A6A1">
        <w:rPr>
          <w:rFonts w:ascii="Calibri" w:eastAsia="Calibri" w:hAnsi="Calibri" w:cs="Calibri"/>
          <w:b/>
          <w:bCs/>
          <w:sz w:val="24"/>
          <w:szCs w:val="24"/>
        </w:rPr>
        <w:t xml:space="preserve">MAGA: </w:t>
      </w:r>
      <w:r w:rsidRPr="7351A6A1">
        <w:rPr>
          <w:rFonts w:ascii="Calibri" w:eastAsia="Calibri" w:hAnsi="Calibri" w:cs="Calibri"/>
          <w:sz w:val="24"/>
          <w:szCs w:val="24"/>
        </w:rPr>
        <w:t xml:space="preserve">dentro de este Pilar, el ministerio es responsable del alcance de la meta PGG: Para el año 2023 se ha incrementado la cantidad de recursos destinados a seguro agrícola para pequeños parcelarios a Q 35,000,000.00, sin embargo, por no tener productos vinculados directamente a la meta dentro de Siplan, no fue incluido dentro de la tabla de resultados. </w:t>
      </w:r>
    </w:p>
    <w:p w14:paraId="6E528483" w14:textId="1D15FC52" w:rsidR="5499291F" w:rsidRDefault="7351A6A1" w:rsidP="00E7064E">
      <w:pPr>
        <w:tabs>
          <w:tab w:val="left" w:pos="1504"/>
        </w:tabs>
        <w:spacing w:after="120" w:line="240" w:lineRule="auto"/>
        <w:jc w:val="both"/>
        <w:rPr>
          <w:rFonts w:ascii="Calibri" w:eastAsia="Calibri" w:hAnsi="Calibri" w:cs="Calibri"/>
          <w:sz w:val="24"/>
          <w:szCs w:val="24"/>
        </w:rPr>
      </w:pPr>
      <w:r w:rsidRPr="7351A6A1">
        <w:rPr>
          <w:rFonts w:ascii="Calibri" w:eastAsia="Calibri" w:hAnsi="Calibri" w:cs="Calibri"/>
          <w:sz w:val="24"/>
          <w:szCs w:val="24"/>
        </w:rPr>
        <w:t xml:space="preserve">No obstante, </w:t>
      </w:r>
      <w:r w:rsidR="007348F2" w:rsidRPr="7351A6A1">
        <w:rPr>
          <w:rFonts w:ascii="Calibri" w:eastAsia="Calibri" w:hAnsi="Calibri" w:cs="Calibri"/>
          <w:sz w:val="24"/>
          <w:szCs w:val="24"/>
        </w:rPr>
        <w:t xml:space="preserve">el MAGA </w:t>
      </w:r>
      <w:r w:rsidR="007348F2">
        <w:rPr>
          <w:rFonts w:ascii="Calibri" w:eastAsia="Calibri" w:hAnsi="Calibri" w:cs="Calibri"/>
          <w:sz w:val="24"/>
          <w:szCs w:val="24"/>
        </w:rPr>
        <w:t xml:space="preserve">decidió vincular en el </w:t>
      </w:r>
      <w:r w:rsidRPr="7351A6A1">
        <w:rPr>
          <w:rFonts w:ascii="Calibri" w:eastAsia="Calibri" w:hAnsi="Calibri" w:cs="Calibri"/>
          <w:sz w:val="24"/>
          <w:szCs w:val="24"/>
        </w:rPr>
        <w:t>pilar de Desarrollo Social, la producción destinada al seguro agrícola por riesgo climático</w:t>
      </w:r>
      <w:r w:rsidR="007348F2">
        <w:rPr>
          <w:rFonts w:ascii="Calibri" w:eastAsia="Calibri" w:hAnsi="Calibri" w:cs="Calibri"/>
          <w:sz w:val="24"/>
          <w:szCs w:val="24"/>
        </w:rPr>
        <w:t>,</w:t>
      </w:r>
      <w:r w:rsidRPr="7351A6A1">
        <w:rPr>
          <w:rFonts w:ascii="Calibri" w:eastAsia="Calibri" w:hAnsi="Calibri" w:cs="Calibri"/>
          <w:sz w:val="24"/>
          <w:szCs w:val="24"/>
        </w:rPr>
        <w:t xml:space="preserve"> para mejorar la seguridad alimentaria, a través de la cual, reportó los avances de la meta PGG, de la que es responsable.</w:t>
      </w:r>
    </w:p>
    <w:p w14:paraId="700B1FAE" w14:textId="6071BC0A" w:rsidR="5499291F" w:rsidRDefault="7351A6A1" w:rsidP="00E7064E">
      <w:pPr>
        <w:tabs>
          <w:tab w:val="left" w:pos="1504"/>
        </w:tabs>
        <w:spacing w:after="120" w:line="240" w:lineRule="auto"/>
        <w:jc w:val="both"/>
      </w:pPr>
      <w:r w:rsidRPr="7351A6A1">
        <w:rPr>
          <w:rFonts w:ascii="Calibri" w:eastAsia="Calibri" w:hAnsi="Calibri" w:cs="Calibri"/>
          <w:b/>
          <w:bCs/>
          <w:sz w:val="24"/>
          <w:szCs w:val="24"/>
        </w:rPr>
        <w:t>Pilar 2: Desarrollo Social</w:t>
      </w:r>
    </w:p>
    <w:p w14:paraId="5619D76C" w14:textId="17B91EC3" w:rsidR="006E5E0A" w:rsidRDefault="7351A6A1" w:rsidP="00E7064E">
      <w:pPr>
        <w:tabs>
          <w:tab w:val="left" w:pos="1504"/>
        </w:tabs>
        <w:spacing w:after="120" w:line="240" w:lineRule="auto"/>
        <w:jc w:val="both"/>
        <w:rPr>
          <w:rFonts w:ascii="Calibri" w:eastAsia="Calibri" w:hAnsi="Calibri" w:cs="Calibri"/>
          <w:sz w:val="24"/>
          <w:szCs w:val="24"/>
        </w:rPr>
      </w:pPr>
      <w:r w:rsidRPr="7351A6A1">
        <w:rPr>
          <w:rFonts w:ascii="Calibri" w:eastAsia="Calibri" w:hAnsi="Calibri" w:cs="Calibri"/>
          <w:sz w:val="24"/>
          <w:szCs w:val="24"/>
        </w:rPr>
        <w:t>Seis ministerios vincularon producción a metas estratégicas de este Pilar, en promedio, alcanzaron un 70.9% de ejecución metas físicas y 82.5% de ejecución financiera.</w:t>
      </w:r>
    </w:p>
    <w:p w14:paraId="33DDD9E2" w14:textId="60FC9209" w:rsidR="00BD6D78" w:rsidRDefault="00BD6D78" w:rsidP="00E7064E">
      <w:pPr>
        <w:tabs>
          <w:tab w:val="left" w:pos="1504"/>
        </w:tabs>
        <w:spacing w:after="120" w:line="240" w:lineRule="auto"/>
        <w:jc w:val="both"/>
        <w:rPr>
          <w:rFonts w:ascii="Calibri" w:eastAsia="Calibri" w:hAnsi="Calibri" w:cs="Calibri"/>
          <w:sz w:val="24"/>
          <w:szCs w:val="24"/>
        </w:rPr>
      </w:pPr>
    </w:p>
    <w:p w14:paraId="547B426D" w14:textId="17B043AA" w:rsidR="00BD6D78" w:rsidRDefault="00BD6D78" w:rsidP="00E7064E">
      <w:pPr>
        <w:tabs>
          <w:tab w:val="left" w:pos="1504"/>
        </w:tabs>
        <w:spacing w:after="120" w:line="240" w:lineRule="auto"/>
        <w:jc w:val="both"/>
        <w:rPr>
          <w:rFonts w:ascii="Calibri" w:eastAsia="Calibri" w:hAnsi="Calibri" w:cs="Calibri"/>
          <w:sz w:val="24"/>
          <w:szCs w:val="24"/>
        </w:rPr>
      </w:pPr>
    </w:p>
    <w:p w14:paraId="60209218" w14:textId="77777777" w:rsidR="00BD6D78" w:rsidRPr="00EC3957" w:rsidRDefault="00BD6D78" w:rsidP="00E7064E">
      <w:pPr>
        <w:tabs>
          <w:tab w:val="left" w:pos="1504"/>
        </w:tabs>
        <w:spacing w:after="120" w:line="240" w:lineRule="auto"/>
        <w:jc w:val="both"/>
        <w:rPr>
          <w:rFonts w:ascii="Calibri" w:eastAsia="Calibri" w:hAnsi="Calibri" w:cs="Calibri"/>
          <w:sz w:val="24"/>
          <w:szCs w:val="24"/>
        </w:rPr>
      </w:pPr>
    </w:p>
    <w:tbl>
      <w:tblPr>
        <w:tblStyle w:val="Tablaconcuadrcula4-nfasis5"/>
        <w:tblpPr w:leftFromText="142" w:rightFromText="142" w:vertAnchor="text" w:tblpY="358"/>
        <w:tblW w:w="9362" w:type="dxa"/>
        <w:tblBorders>
          <w:top w:val="single" w:sz="8" w:space="0" w:color="5B9BD5" w:themeColor="accent5"/>
          <w:left w:val="single" w:sz="6" w:space="0" w:color="BDD6EE" w:themeColor="accent5" w:themeTint="66"/>
          <w:bottom w:val="single" w:sz="8" w:space="0" w:color="9CC2E5" w:themeColor="accent5" w:themeTint="99"/>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1919"/>
        <w:gridCol w:w="2024"/>
        <w:gridCol w:w="1976"/>
        <w:gridCol w:w="1693"/>
        <w:gridCol w:w="1750"/>
      </w:tblGrid>
      <w:tr w:rsidR="00E7064E" w:rsidRPr="00EC3957" w14:paraId="33703BB5" w14:textId="77777777" w:rsidTr="00EC3957">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919"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88AE92A" w14:textId="77777777" w:rsidR="00E7064E" w:rsidRPr="00EC3957" w:rsidRDefault="00E7064E" w:rsidP="006E5E0A">
            <w:pPr>
              <w:jc w:val="center"/>
              <w:rPr>
                <w:rFonts w:asciiTheme="minorHAnsi" w:hAnsiTheme="minorHAnsi" w:cstheme="minorHAnsi"/>
                <w:sz w:val="22"/>
                <w:szCs w:val="22"/>
                <w:lang w:val="es"/>
              </w:rPr>
            </w:pPr>
            <w:r w:rsidRPr="00EC3957">
              <w:rPr>
                <w:rFonts w:asciiTheme="minorHAnsi" w:hAnsiTheme="minorHAnsi" w:cstheme="minorHAnsi"/>
                <w:color w:val="auto"/>
                <w:sz w:val="22"/>
                <w:szCs w:val="22"/>
                <w:lang w:val="es"/>
              </w:rPr>
              <w:t>Institución</w:t>
            </w:r>
          </w:p>
        </w:tc>
        <w:tc>
          <w:tcPr>
            <w:tcW w:w="2024"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41FDF15" w14:textId="77777777" w:rsidR="00E7064E" w:rsidRPr="00EC3957" w:rsidRDefault="00E7064E" w:rsidP="006E5E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s"/>
              </w:rPr>
            </w:pPr>
            <w:r w:rsidRPr="00EC3957">
              <w:rPr>
                <w:rFonts w:asciiTheme="minorHAnsi" w:hAnsiTheme="minorHAnsi" w:cstheme="minorHAnsi"/>
                <w:color w:val="auto"/>
                <w:sz w:val="22"/>
                <w:szCs w:val="22"/>
                <w:lang w:val="es"/>
              </w:rPr>
              <w:t>Meta financiera vigente</w:t>
            </w:r>
          </w:p>
        </w:tc>
        <w:tc>
          <w:tcPr>
            <w:tcW w:w="1976"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55BDCE9E" w14:textId="77777777" w:rsidR="00E7064E" w:rsidRPr="00EC3957" w:rsidRDefault="00E7064E" w:rsidP="006E5E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s"/>
              </w:rPr>
            </w:pPr>
            <w:r w:rsidRPr="00EC3957">
              <w:rPr>
                <w:rFonts w:asciiTheme="minorHAnsi" w:hAnsiTheme="minorHAnsi" w:cstheme="minorHAnsi"/>
                <w:color w:val="auto"/>
                <w:sz w:val="22"/>
                <w:szCs w:val="22"/>
                <w:lang w:val="es"/>
              </w:rPr>
              <w:t>Ejecución financiera acumulada</w:t>
            </w:r>
          </w:p>
        </w:tc>
        <w:tc>
          <w:tcPr>
            <w:tcW w:w="1693"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6DAC60C2" w14:textId="77777777" w:rsidR="00E7064E" w:rsidRPr="00EC3957" w:rsidRDefault="00E7064E" w:rsidP="006E5E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s"/>
              </w:rPr>
            </w:pPr>
            <w:r w:rsidRPr="00EC3957">
              <w:rPr>
                <w:rFonts w:asciiTheme="minorHAnsi" w:hAnsiTheme="minorHAnsi" w:cstheme="minorHAnsi"/>
                <w:color w:val="auto"/>
                <w:sz w:val="22"/>
                <w:szCs w:val="22"/>
                <w:lang w:val="es"/>
              </w:rPr>
              <w:t>% ejecución meta física</w:t>
            </w:r>
          </w:p>
        </w:tc>
        <w:tc>
          <w:tcPr>
            <w:tcW w:w="175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908D8C2" w14:textId="77777777" w:rsidR="00E7064E" w:rsidRPr="00EC3957" w:rsidRDefault="00E7064E" w:rsidP="006E5E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val="es"/>
              </w:rPr>
            </w:pPr>
            <w:r w:rsidRPr="00EC3957">
              <w:rPr>
                <w:rFonts w:asciiTheme="minorHAnsi" w:hAnsiTheme="minorHAnsi" w:cstheme="minorHAnsi"/>
                <w:color w:val="auto"/>
                <w:sz w:val="22"/>
                <w:szCs w:val="22"/>
                <w:lang w:val="es"/>
              </w:rPr>
              <w:t>% ejecución meta financiera</w:t>
            </w:r>
          </w:p>
        </w:tc>
      </w:tr>
      <w:tr w:rsidR="00E7064E" w:rsidRPr="00EC3957" w14:paraId="1AC120A5" w14:textId="77777777" w:rsidTr="00EC39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919" w:type="dxa"/>
            <w:tcMar>
              <w:left w:w="108" w:type="dxa"/>
              <w:right w:w="108" w:type="dxa"/>
            </w:tcMar>
          </w:tcPr>
          <w:p w14:paraId="73AF4F30" w14:textId="77777777" w:rsidR="00E7064E" w:rsidRPr="00EC3957" w:rsidRDefault="00E7064E" w:rsidP="006E5E0A">
            <w:pPr>
              <w:rPr>
                <w:rFonts w:asciiTheme="minorHAnsi" w:hAnsiTheme="minorHAnsi" w:cstheme="minorHAnsi"/>
                <w:b w:val="0"/>
                <w:sz w:val="22"/>
                <w:szCs w:val="22"/>
              </w:rPr>
            </w:pPr>
            <w:r w:rsidRPr="00EC3957">
              <w:rPr>
                <w:rFonts w:asciiTheme="minorHAnsi" w:hAnsiTheme="minorHAnsi" w:cstheme="minorHAnsi"/>
                <w:b w:val="0"/>
                <w:sz w:val="22"/>
                <w:szCs w:val="22"/>
                <w:lang w:val="es"/>
              </w:rPr>
              <w:t>Ministerio de Agricultura, Ganadería y Alimentación</w:t>
            </w:r>
          </w:p>
        </w:tc>
        <w:tc>
          <w:tcPr>
            <w:tcW w:w="2024" w:type="dxa"/>
            <w:tcMar>
              <w:left w:w="108" w:type="dxa"/>
              <w:right w:w="108" w:type="dxa"/>
            </w:tcMar>
            <w:vAlign w:val="center"/>
          </w:tcPr>
          <w:p w14:paraId="277DECBC" w14:textId="77777777" w:rsidR="00E7064E" w:rsidRPr="00EC3957" w:rsidRDefault="00E7064E" w:rsidP="006E5E0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Q788,737,036.00</w:t>
            </w:r>
          </w:p>
        </w:tc>
        <w:tc>
          <w:tcPr>
            <w:tcW w:w="1976" w:type="dxa"/>
            <w:tcMar>
              <w:left w:w="108" w:type="dxa"/>
              <w:right w:w="108" w:type="dxa"/>
            </w:tcMar>
            <w:vAlign w:val="center"/>
          </w:tcPr>
          <w:p w14:paraId="24EFAB5C" w14:textId="77777777" w:rsidR="00E7064E" w:rsidRPr="00EC3957" w:rsidRDefault="00E7064E" w:rsidP="006E5E0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Q767,070,082.56</w:t>
            </w:r>
          </w:p>
        </w:tc>
        <w:tc>
          <w:tcPr>
            <w:tcW w:w="1693" w:type="dxa"/>
            <w:shd w:val="clear" w:color="auto" w:fill="92D050"/>
            <w:tcMar>
              <w:left w:w="108" w:type="dxa"/>
              <w:right w:w="108" w:type="dxa"/>
            </w:tcMar>
            <w:vAlign w:val="center"/>
          </w:tcPr>
          <w:p w14:paraId="198DB1B4" w14:textId="77777777" w:rsidR="00E7064E" w:rsidRPr="00EC3957" w:rsidRDefault="00E7064E" w:rsidP="006E5E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91.83%</w:t>
            </w:r>
          </w:p>
        </w:tc>
        <w:tc>
          <w:tcPr>
            <w:tcW w:w="1750" w:type="dxa"/>
            <w:shd w:val="clear" w:color="auto" w:fill="92D050"/>
            <w:tcMar>
              <w:left w:w="108" w:type="dxa"/>
              <w:right w:w="108" w:type="dxa"/>
            </w:tcMar>
            <w:vAlign w:val="center"/>
          </w:tcPr>
          <w:p w14:paraId="6BE71297" w14:textId="77777777" w:rsidR="00E7064E" w:rsidRPr="00EC3957" w:rsidRDefault="00E7064E" w:rsidP="006E5E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97.25%</w:t>
            </w:r>
          </w:p>
        </w:tc>
      </w:tr>
      <w:tr w:rsidR="00E7064E" w:rsidRPr="00EC3957" w14:paraId="2F12218A" w14:textId="77777777" w:rsidTr="00EC3957">
        <w:trPr>
          <w:trHeight w:val="438"/>
        </w:trPr>
        <w:tc>
          <w:tcPr>
            <w:cnfStyle w:val="001000000000" w:firstRow="0" w:lastRow="0" w:firstColumn="1" w:lastColumn="0" w:oddVBand="0" w:evenVBand="0" w:oddHBand="0" w:evenHBand="0" w:firstRowFirstColumn="0" w:firstRowLastColumn="0" w:lastRowFirstColumn="0" w:lastRowLastColumn="0"/>
            <w:tcW w:w="1919" w:type="dxa"/>
            <w:tcMar>
              <w:left w:w="108" w:type="dxa"/>
              <w:right w:w="108" w:type="dxa"/>
            </w:tcMar>
          </w:tcPr>
          <w:p w14:paraId="7E0E2218" w14:textId="77777777" w:rsidR="00E7064E" w:rsidRPr="00EC3957" w:rsidRDefault="00E7064E" w:rsidP="006E5E0A">
            <w:pPr>
              <w:rPr>
                <w:rFonts w:asciiTheme="minorHAnsi" w:hAnsiTheme="minorHAnsi" w:cstheme="minorHAnsi"/>
                <w:b w:val="0"/>
                <w:sz w:val="22"/>
                <w:szCs w:val="22"/>
              </w:rPr>
            </w:pPr>
            <w:r w:rsidRPr="00EC3957">
              <w:rPr>
                <w:rFonts w:asciiTheme="minorHAnsi" w:hAnsiTheme="minorHAnsi" w:cstheme="minorHAnsi"/>
                <w:b w:val="0"/>
                <w:sz w:val="22"/>
                <w:szCs w:val="22"/>
                <w:lang w:val="es"/>
              </w:rPr>
              <w:t>Ministerio de Comunicaciones, Infraestructura y Vivienda</w:t>
            </w:r>
          </w:p>
        </w:tc>
        <w:tc>
          <w:tcPr>
            <w:tcW w:w="2024" w:type="dxa"/>
            <w:tcMar>
              <w:left w:w="108" w:type="dxa"/>
              <w:right w:w="108" w:type="dxa"/>
            </w:tcMar>
            <w:vAlign w:val="center"/>
          </w:tcPr>
          <w:p w14:paraId="7F3EEFD8" w14:textId="77777777" w:rsidR="00E7064E" w:rsidRPr="00EC3957" w:rsidRDefault="00E7064E" w:rsidP="006E5E0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Q834,652,009.46</w:t>
            </w:r>
          </w:p>
        </w:tc>
        <w:tc>
          <w:tcPr>
            <w:tcW w:w="1976" w:type="dxa"/>
            <w:tcMar>
              <w:left w:w="108" w:type="dxa"/>
              <w:right w:w="108" w:type="dxa"/>
            </w:tcMar>
            <w:vAlign w:val="center"/>
          </w:tcPr>
          <w:p w14:paraId="2C843EDC" w14:textId="77777777" w:rsidR="00E7064E" w:rsidRPr="00EC3957" w:rsidRDefault="00E7064E" w:rsidP="006E5E0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Q396,132,519.18</w:t>
            </w:r>
          </w:p>
        </w:tc>
        <w:tc>
          <w:tcPr>
            <w:tcW w:w="1693" w:type="dxa"/>
            <w:shd w:val="clear" w:color="auto" w:fill="FFFF00"/>
            <w:tcMar>
              <w:left w:w="108" w:type="dxa"/>
              <w:right w:w="108" w:type="dxa"/>
            </w:tcMar>
            <w:vAlign w:val="center"/>
          </w:tcPr>
          <w:p w14:paraId="686C4E78" w14:textId="77777777" w:rsidR="00E7064E" w:rsidRPr="00EC3957" w:rsidRDefault="00E7064E" w:rsidP="006E5E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56.90%</w:t>
            </w:r>
          </w:p>
        </w:tc>
        <w:tc>
          <w:tcPr>
            <w:tcW w:w="1750" w:type="dxa"/>
            <w:shd w:val="clear" w:color="auto" w:fill="FF0000"/>
            <w:tcMar>
              <w:left w:w="108" w:type="dxa"/>
              <w:right w:w="108" w:type="dxa"/>
            </w:tcMar>
            <w:vAlign w:val="center"/>
          </w:tcPr>
          <w:p w14:paraId="1E0B358D" w14:textId="77777777" w:rsidR="00E7064E" w:rsidRPr="00EC3957" w:rsidRDefault="00E7064E" w:rsidP="006E5E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47.46%</w:t>
            </w:r>
          </w:p>
        </w:tc>
      </w:tr>
      <w:tr w:rsidR="00E7064E" w:rsidRPr="00EC3957" w14:paraId="57062F21" w14:textId="77777777" w:rsidTr="00EC39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919" w:type="dxa"/>
            <w:tcMar>
              <w:left w:w="108" w:type="dxa"/>
              <w:right w:w="108" w:type="dxa"/>
            </w:tcMar>
          </w:tcPr>
          <w:p w14:paraId="659D7144" w14:textId="77777777" w:rsidR="00E7064E" w:rsidRPr="00EC3957" w:rsidRDefault="00E7064E" w:rsidP="006E5E0A">
            <w:pPr>
              <w:rPr>
                <w:rFonts w:asciiTheme="minorHAnsi" w:hAnsiTheme="minorHAnsi" w:cstheme="minorHAnsi"/>
                <w:b w:val="0"/>
                <w:sz w:val="22"/>
                <w:szCs w:val="22"/>
              </w:rPr>
            </w:pPr>
            <w:r w:rsidRPr="00EC3957">
              <w:rPr>
                <w:rFonts w:asciiTheme="minorHAnsi" w:hAnsiTheme="minorHAnsi" w:cstheme="minorHAnsi"/>
                <w:b w:val="0"/>
                <w:sz w:val="22"/>
                <w:szCs w:val="22"/>
                <w:lang w:val="es"/>
              </w:rPr>
              <w:t>Ministerio de Desarrollo Social</w:t>
            </w:r>
          </w:p>
        </w:tc>
        <w:tc>
          <w:tcPr>
            <w:tcW w:w="2024" w:type="dxa"/>
            <w:tcMar>
              <w:left w:w="108" w:type="dxa"/>
              <w:right w:w="108" w:type="dxa"/>
            </w:tcMar>
            <w:vAlign w:val="center"/>
          </w:tcPr>
          <w:p w14:paraId="640F1824" w14:textId="77777777" w:rsidR="00E7064E" w:rsidRPr="00EC3957" w:rsidRDefault="00E7064E" w:rsidP="006E5E0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Q1,067,372,294.00</w:t>
            </w:r>
          </w:p>
        </w:tc>
        <w:tc>
          <w:tcPr>
            <w:tcW w:w="1976" w:type="dxa"/>
            <w:tcMar>
              <w:left w:w="108" w:type="dxa"/>
              <w:right w:w="108" w:type="dxa"/>
            </w:tcMar>
            <w:vAlign w:val="center"/>
          </w:tcPr>
          <w:p w14:paraId="321E0022" w14:textId="77777777" w:rsidR="00E7064E" w:rsidRPr="00EC3957" w:rsidRDefault="00E7064E" w:rsidP="006E5E0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Q1,057,112,566.23</w:t>
            </w:r>
          </w:p>
        </w:tc>
        <w:tc>
          <w:tcPr>
            <w:tcW w:w="1693" w:type="dxa"/>
            <w:shd w:val="clear" w:color="auto" w:fill="FF0000"/>
            <w:tcMar>
              <w:left w:w="108" w:type="dxa"/>
              <w:right w:w="108" w:type="dxa"/>
            </w:tcMar>
            <w:vAlign w:val="center"/>
          </w:tcPr>
          <w:p w14:paraId="43F7F723" w14:textId="77777777" w:rsidR="00E7064E" w:rsidRPr="00EC3957" w:rsidRDefault="00E7064E" w:rsidP="006E5E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38.95%</w:t>
            </w:r>
          </w:p>
        </w:tc>
        <w:tc>
          <w:tcPr>
            <w:tcW w:w="1750" w:type="dxa"/>
            <w:shd w:val="clear" w:color="auto" w:fill="92D050"/>
            <w:tcMar>
              <w:left w:w="108" w:type="dxa"/>
              <w:right w:w="108" w:type="dxa"/>
            </w:tcMar>
            <w:vAlign w:val="center"/>
          </w:tcPr>
          <w:p w14:paraId="1AD0CAF1" w14:textId="77777777" w:rsidR="00E7064E" w:rsidRPr="00EC3957" w:rsidRDefault="00E7064E" w:rsidP="006E5E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99.04%</w:t>
            </w:r>
          </w:p>
        </w:tc>
      </w:tr>
      <w:tr w:rsidR="00E7064E" w:rsidRPr="00EC3957" w14:paraId="4B4FABE6" w14:textId="77777777" w:rsidTr="00EC3957">
        <w:trPr>
          <w:trHeight w:val="438"/>
        </w:trPr>
        <w:tc>
          <w:tcPr>
            <w:cnfStyle w:val="001000000000" w:firstRow="0" w:lastRow="0" w:firstColumn="1" w:lastColumn="0" w:oddVBand="0" w:evenVBand="0" w:oddHBand="0" w:evenHBand="0" w:firstRowFirstColumn="0" w:firstRowLastColumn="0" w:lastRowFirstColumn="0" w:lastRowLastColumn="0"/>
            <w:tcW w:w="1919" w:type="dxa"/>
            <w:tcMar>
              <w:left w:w="108" w:type="dxa"/>
              <w:right w:w="108" w:type="dxa"/>
            </w:tcMar>
          </w:tcPr>
          <w:p w14:paraId="234AEBF1" w14:textId="77777777" w:rsidR="00E7064E" w:rsidRPr="00EC3957" w:rsidRDefault="00E7064E" w:rsidP="006E5E0A">
            <w:pPr>
              <w:rPr>
                <w:rFonts w:asciiTheme="minorHAnsi" w:hAnsiTheme="minorHAnsi" w:cstheme="minorHAnsi"/>
                <w:b w:val="0"/>
                <w:sz w:val="22"/>
                <w:szCs w:val="22"/>
              </w:rPr>
            </w:pPr>
            <w:r w:rsidRPr="00EC3957">
              <w:rPr>
                <w:rFonts w:asciiTheme="minorHAnsi" w:hAnsiTheme="minorHAnsi" w:cstheme="minorHAnsi"/>
                <w:b w:val="0"/>
                <w:sz w:val="22"/>
                <w:szCs w:val="22"/>
                <w:lang w:val="es"/>
              </w:rPr>
              <w:t>Ministerio de Educación</w:t>
            </w:r>
          </w:p>
        </w:tc>
        <w:tc>
          <w:tcPr>
            <w:tcW w:w="2024" w:type="dxa"/>
            <w:tcMar>
              <w:left w:w="108" w:type="dxa"/>
              <w:right w:w="108" w:type="dxa"/>
            </w:tcMar>
            <w:vAlign w:val="center"/>
          </w:tcPr>
          <w:p w14:paraId="0C4A460F" w14:textId="77777777" w:rsidR="00E7064E" w:rsidRPr="00EC3957" w:rsidRDefault="00E7064E" w:rsidP="006E5E0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Q17,435,240,000</w:t>
            </w:r>
          </w:p>
        </w:tc>
        <w:tc>
          <w:tcPr>
            <w:tcW w:w="1976" w:type="dxa"/>
            <w:tcMar>
              <w:left w:w="108" w:type="dxa"/>
              <w:right w:w="108" w:type="dxa"/>
            </w:tcMar>
            <w:vAlign w:val="center"/>
          </w:tcPr>
          <w:p w14:paraId="186E6832" w14:textId="77777777" w:rsidR="00E7064E" w:rsidRPr="00EC3957" w:rsidRDefault="00E7064E" w:rsidP="006E5E0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Q16,960,946,246</w:t>
            </w:r>
          </w:p>
        </w:tc>
        <w:tc>
          <w:tcPr>
            <w:tcW w:w="1693" w:type="dxa"/>
            <w:shd w:val="clear" w:color="auto" w:fill="FFFF00"/>
            <w:tcMar>
              <w:left w:w="108" w:type="dxa"/>
              <w:right w:w="108" w:type="dxa"/>
            </w:tcMar>
            <w:vAlign w:val="center"/>
          </w:tcPr>
          <w:p w14:paraId="5EA00939" w14:textId="77777777" w:rsidR="00E7064E" w:rsidRPr="00EC3957" w:rsidRDefault="00E7064E" w:rsidP="006E5E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77.54%</w:t>
            </w:r>
          </w:p>
        </w:tc>
        <w:tc>
          <w:tcPr>
            <w:tcW w:w="1750" w:type="dxa"/>
            <w:shd w:val="clear" w:color="auto" w:fill="92D050"/>
            <w:tcMar>
              <w:left w:w="108" w:type="dxa"/>
              <w:right w:w="108" w:type="dxa"/>
            </w:tcMar>
            <w:vAlign w:val="center"/>
          </w:tcPr>
          <w:p w14:paraId="3C8EBF5A" w14:textId="77777777" w:rsidR="00E7064E" w:rsidRPr="00EC3957" w:rsidRDefault="00E7064E" w:rsidP="006E5E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97.28%</w:t>
            </w:r>
          </w:p>
        </w:tc>
      </w:tr>
      <w:tr w:rsidR="00E7064E" w:rsidRPr="00EC3957" w14:paraId="5CC7DA83" w14:textId="77777777" w:rsidTr="00EC39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919" w:type="dxa"/>
            <w:tcMar>
              <w:left w:w="108" w:type="dxa"/>
              <w:right w:w="108" w:type="dxa"/>
            </w:tcMar>
          </w:tcPr>
          <w:p w14:paraId="4A8265FA" w14:textId="77777777" w:rsidR="00E7064E" w:rsidRPr="00EC3957" w:rsidRDefault="00E7064E" w:rsidP="006E5E0A">
            <w:pPr>
              <w:rPr>
                <w:rFonts w:asciiTheme="minorHAnsi" w:hAnsiTheme="minorHAnsi" w:cstheme="minorHAnsi"/>
                <w:b w:val="0"/>
                <w:sz w:val="22"/>
                <w:szCs w:val="22"/>
              </w:rPr>
            </w:pPr>
            <w:r w:rsidRPr="00EC3957">
              <w:rPr>
                <w:rFonts w:asciiTheme="minorHAnsi" w:hAnsiTheme="minorHAnsi" w:cstheme="minorHAnsi"/>
                <w:b w:val="0"/>
                <w:sz w:val="22"/>
                <w:szCs w:val="22"/>
                <w:lang w:val="es"/>
              </w:rPr>
              <w:t>Ministerio de Salud Pública y Asistencia Social</w:t>
            </w:r>
          </w:p>
        </w:tc>
        <w:tc>
          <w:tcPr>
            <w:tcW w:w="2024" w:type="dxa"/>
            <w:tcMar>
              <w:left w:w="108" w:type="dxa"/>
              <w:right w:w="108" w:type="dxa"/>
            </w:tcMar>
            <w:vAlign w:val="center"/>
          </w:tcPr>
          <w:p w14:paraId="078F1658" w14:textId="77777777" w:rsidR="00E7064E" w:rsidRPr="00EC3957" w:rsidRDefault="00E7064E" w:rsidP="006E5E0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Q7,502,604,312.00</w:t>
            </w:r>
          </w:p>
        </w:tc>
        <w:tc>
          <w:tcPr>
            <w:tcW w:w="1976" w:type="dxa"/>
            <w:tcMar>
              <w:left w:w="108" w:type="dxa"/>
              <w:right w:w="108" w:type="dxa"/>
            </w:tcMar>
            <w:vAlign w:val="center"/>
          </w:tcPr>
          <w:p w14:paraId="1758DE60" w14:textId="77777777" w:rsidR="00E7064E" w:rsidRPr="00EC3957" w:rsidRDefault="00E7064E" w:rsidP="006E5E0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Q4,145,530,037.67</w:t>
            </w:r>
          </w:p>
        </w:tc>
        <w:tc>
          <w:tcPr>
            <w:tcW w:w="1693" w:type="dxa"/>
            <w:shd w:val="clear" w:color="auto" w:fill="FFFF00"/>
            <w:tcMar>
              <w:left w:w="108" w:type="dxa"/>
              <w:right w:w="108" w:type="dxa"/>
            </w:tcMar>
            <w:vAlign w:val="center"/>
          </w:tcPr>
          <w:p w14:paraId="4757C963" w14:textId="77777777" w:rsidR="00E7064E" w:rsidRPr="00EC3957" w:rsidRDefault="00E7064E" w:rsidP="006E5E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60.44%</w:t>
            </w:r>
          </w:p>
        </w:tc>
        <w:tc>
          <w:tcPr>
            <w:tcW w:w="1750" w:type="dxa"/>
            <w:shd w:val="clear" w:color="auto" w:fill="FFFF00"/>
            <w:tcMar>
              <w:left w:w="108" w:type="dxa"/>
              <w:right w:w="108" w:type="dxa"/>
            </w:tcMar>
            <w:vAlign w:val="center"/>
          </w:tcPr>
          <w:p w14:paraId="0DD5C3DE" w14:textId="77777777" w:rsidR="00E7064E" w:rsidRPr="00EC3957" w:rsidRDefault="00E7064E" w:rsidP="006E5E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55.25%</w:t>
            </w:r>
          </w:p>
        </w:tc>
      </w:tr>
      <w:tr w:rsidR="00E7064E" w:rsidRPr="00EC3957" w14:paraId="46DEAA0D" w14:textId="77777777" w:rsidTr="00EC3957">
        <w:trPr>
          <w:trHeight w:val="438"/>
        </w:trPr>
        <w:tc>
          <w:tcPr>
            <w:cnfStyle w:val="001000000000" w:firstRow="0" w:lastRow="0" w:firstColumn="1" w:lastColumn="0" w:oddVBand="0" w:evenVBand="0" w:oddHBand="0" w:evenHBand="0" w:firstRowFirstColumn="0" w:firstRowLastColumn="0" w:lastRowFirstColumn="0" w:lastRowLastColumn="0"/>
            <w:tcW w:w="1919" w:type="dxa"/>
            <w:tcMar>
              <w:left w:w="108" w:type="dxa"/>
              <w:right w:w="108" w:type="dxa"/>
            </w:tcMar>
          </w:tcPr>
          <w:p w14:paraId="7A16BCA3" w14:textId="77777777" w:rsidR="00E7064E" w:rsidRPr="00EC3957" w:rsidRDefault="00E7064E" w:rsidP="006E5E0A">
            <w:pPr>
              <w:rPr>
                <w:rFonts w:asciiTheme="minorHAnsi" w:hAnsiTheme="minorHAnsi" w:cstheme="minorHAnsi"/>
                <w:b w:val="0"/>
                <w:sz w:val="22"/>
                <w:szCs w:val="22"/>
              </w:rPr>
            </w:pPr>
            <w:r w:rsidRPr="00EC3957">
              <w:rPr>
                <w:rFonts w:asciiTheme="minorHAnsi" w:hAnsiTheme="minorHAnsi" w:cstheme="minorHAnsi"/>
                <w:b w:val="0"/>
                <w:sz w:val="22"/>
                <w:szCs w:val="22"/>
                <w:lang w:val="es"/>
              </w:rPr>
              <w:t>Ministerio de Trabajo y Previsión Social</w:t>
            </w:r>
          </w:p>
        </w:tc>
        <w:tc>
          <w:tcPr>
            <w:tcW w:w="2024" w:type="dxa"/>
            <w:tcMar>
              <w:left w:w="108" w:type="dxa"/>
              <w:right w:w="108" w:type="dxa"/>
            </w:tcMar>
            <w:vAlign w:val="center"/>
          </w:tcPr>
          <w:p w14:paraId="554FAC61" w14:textId="77777777" w:rsidR="00E7064E" w:rsidRPr="00EC3957" w:rsidRDefault="00E7064E" w:rsidP="006E5E0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Q792,973,970.00</w:t>
            </w:r>
          </w:p>
        </w:tc>
        <w:tc>
          <w:tcPr>
            <w:tcW w:w="1976" w:type="dxa"/>
            <w:tcMar>
              <w:left w:w="108" w:type="dxa"/>
              <w:right w:w="108" w:type="dxa"/>
            </w:tcMar>
            <w:vAlign w:val="center"/>
          </w:tcPr>
          <w:p w14:paraId="6C94E61E" w14:textId="77777777" w:rsidR="00E7064E" w:rsidRPr="00EC3957" w:rsidRDefault="00E7064E" w:rsidP="006E5E0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sz w:val="22"/>
                <w:szCs w:val="22"/>
                <w:lang w:val="es"/>
              </w:rPr>
              <w:t>Q784,062,206.00</w:t>
            </w:r>
          </w:p>
        </w:tc>
        <w:tc>
          <w:tcPr>
            <w:tcW w:w="1693" w:type="dxa"/>
            <w:shd w:val="clear" w:color="auto" w:fill="92D050"/>
            <w:tcMar>
              <w:left w:w="108" w:type="dxa"/>
              <w:right w:w="108" w:type="dxa"/>
            </w:tcMar>
            <w:vAlign w:val="center"/>
          </w:tcPr>
          <w:p w14:paraId="274D07C8" w14:textId="77777777" w:rsidR="00E7064E" w:rsidRPr="00EC3957" w:rsidRDefault="00E7064E" w:rsidP="006E5E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99.76%</w:t>
            </w:r>
          </w:p>
        </w:tc>
        <w:tc>
          <w:tcPr>
            <w:tcW w:w="1750" w:type="dxa"/>
            <w:shd w:val="clear" w:color="auto" w:fill="92D050"/>
            <w:tcMar>
              <w:left w:w="108" w:type="dxa"/>
              <w:right w:w="108" w:type="dxa"/>
            </w:tcMar>
            <w:vAlign w:val="center"/>
          </w:tcPr>
          <w:p w14:paraId="5130594C" w14:textId="77777777" w:rsidR="00E7064E" w:rsidRPr="00EC3957" w:rsidRDefault="00E7064E" w:rsidP="006E5E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C3957">
              <w:rPr>
                <w:rFonts w:asciiTheme="minorHAnsi" w:hAnsiTheme="minorHAnsi" w:cstheme="minorHAnsi"/>
                <w:color w:val="000000" w:themeColor="text1"/>
                <w:sz w:val="22"/>
                <w:szCs w:val="22"/>
                <w:lang w:val="es"/>
              </w:rPr>
              <w:t>98.88%</w:t>
            </w:r>
          </w:p>
        </w:tc>
      </w:tr>
    </w:tbl>
    <w:p w14:paraId="4890E287" w14:textId="1B7F8679" w:rsidR="5499291F" w:rsidRPr="006645F7" w:rsidRDefault="00EC3957" w:rsidP="006645F7">
      <w:pPr>
        <w:pStyle w:val="ttulosgrficas"/>
        <w:rPr>
          <w:rFonts w:asciiTheme="minorHAnsi" w:hAnsiTheme="minorHAnsi" w:cstheme="minorHAnsi"/>
        </w:rPr>
      </w:pPr>
      <w:bookmarkStart w:id="22" w:name="_Toc130199594"/>
      <w:r w:rsidRPr="006645F7">
        <w:rPr>
          <w:rFonts w:asciiTheme="minorHAnsi" w:hAnsiTheme="minorHAnsi" w:cstheme="minorHAnsi"/>
          <w:color w:val="4472C4" w:themeColor="accent1"/>
          <w:lang w:val="es"/>
        </w:rPr>
        <w:t xml:space="preserve">Tabla </w:t>
      </w:r>
      <w:r w:rsidR="006E5E0A" w:rsidRPr="006645F7">
        <w:rPr>
          <w:rFonts w:asciiTheme="minorHAnsi" w:hAnsiTheme="minorHAnsi" w:cstheme="minorHAnsi"/>
          <w:color w:val="4472C4" w:themeColor="accent1"/>
          <w:lang w:val="es"/>
        </w:rPr>
        <w:fldChar w:fldCharType="begin"/>
      </w:r>
      <w:r w:rsidR="006E5E0A" w:rsidRPr="006645F7">
        <w:rPr>
          <w:rFonts w:asciiTheme="minorHAnsi" w:hAnsiTheme="minorHAnsi" w:cstheme="minorHAnsi"/>
          <w:color w:val="4472C4" w:themeColor="accent1"/>
          <w:lang w:val="es"/>
        </w:rPr>
        <w:instrText xml:space="preserve"> SEQ Tabla \* ARABIC </w:instrText>
      </w:r>
      <w:r w:rsidR="006E5E0A" w:rsidRPr="006645F7">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6</w:t>
      </w:r>
      <w:r w:rsidR="006E5E0A" w:rsidRPr="006645F7">
        <w:rPr>
          <w:rFonts w:asciiTheme="minorHAnsi" w:hAnsiTheme="minorHAnsi" w:cstheme="minorHAnsi"/>
          <w:color w:val="4472C4" w:themeColor="accent1"/>
          <w:lang w:val="es"/>
        </w:rPr>
        <w:fldChar w:fldCharType="end"/>
      </w:r>
      <w:r w:rsidRPr="006645F7">
        <w:rPr>
          <w:rFonts w:asciiTheme="minorHAnsi" w:hAnsiTheme="minorHAnsi" w:cstheme="minorHAnsi"/>
          <w:color w:val="4472C4" w:themeColor="accent1"/>
          <w:lang w:val="es"/>
        </w:rPr>
        <w:t>. Avance Físico y Financiero Pilar 2: Desarrollo Social</w:t>
      </w:r>
      <w:bookmarkEnd w:id="22"/>
    </w:p>
    <w:p w14:paraId="7840504A" w14:textId="23F2A873" w:rsidR="5499291F" w:rsidRDefault="7351A6A1" w:rsidP="7351A6A1">
      <w:pPr>
        <w:tabs>
          <w:tab w:val="left" w:pos="1504"/>
        </w:tabs>
        <w:spacing w:line="257" w:lineRule="auto"/>
        <w:jc w:val="both"/>
      </w:pPr>
      <w:r w:rsidRPr="7351A6A1">
        <w:rPr>
          <w:rFonts w:ascii="Calibri" w:eastAsia="Calibri" w:hAnsi="Calibri" w:cs="Calibri"/>
          <w:sz w:val="16"/>
          <w:szCs w:val="16"/>
        </w:rPr>
        <w:t>Fuente: Con base a registros de Siplan. Segeplan. Año 2022.</w:t>
      </w:r>
    </w:p>
    <w:p w14:paraId="7C23AAC7" w14:textId="78744B21" w:rsidR="5499291F" w:rsidRDefault="7351A6A1" w:rsidP="00E7064E">
      <w:pPr>
        <w:tabs>
          <w:tab w:val="left" w:pos="1504"/>
        </w:tabs>
        <w:spacing w:after="120" w:line="240" w:lineRule="auto"/>
        <w:jc w:val="both"/>
      </w:pPr>
      <w:r w:rsidRPr="7351A6A1">
        <w:rPr>
          <w:rFonts w:ascii="Calibri" w:eastAsia="Calibri" w:hAnsi="Calibri" w:cs="Calibri"/>
          <w:b/>
          <w:bCs/>
          <w:sz w:val="24"/>
          <w:szCs w:val="24"/>
        </w:rPr>
        <w:t xml:space="preserve">MAGA: </w:t>
      </w:r>
      <w:r w:rsidRPr="7351A6A1">
        <w:rPr>
          <w:rFonts w:ascii="Calibri" w:eastAsia="Calibri" w:hAnsi="Calibri" w:cs="Calibri"/>
          <w:sz w:val="24"/>
          <w:szCs w:val="24"/>
        </w:rPr>
        <w:t>vinculado a la meta PGG: Para el año 2023 se redujo la tasa desnutrición crónica en 7 puntos porcentuales, principalmente a los productos: Asistencia y dotación alimentaria a familias vulnerables en riesgo de inseguridad alimentaria por pérdida de cosechas, urgencia o gravedad, Productores (as) beneficiados con asistencia técnica e insumos por condiciones de vulnerabilidad alimentaria para la restauración de sus sistemas productivos, ambos con el 100% de avance físico y los productos: Productores (as) beneficiados con capacitación, asistencia e insumos para promover la alimentación en el hogar rural saludable y Productores (as) familiares capacitados y asistidos técnicamente para mejorar sus sistemas productivos, con 96% de avance, respectivamente.</w:t>
      </w:r>
    </w:p>
    <w:p w14:paraId="4BB2DFA0" w14:textId="7803728F" w:rsidR="5499291F" w:rsidRDefault="7351A6A1" w:rsidP="00E7064E">
      <w:pPr>
        <w:tabs>
          <w:tab w:val="left" w:pos="1504"/>
        </w:tabs>
        <w:spacing w:after="120" w:line="240" w:lineRule="auto"/>
        <w:jc w:val="both"/>
      </w:pPr>
      <w:r w:rsidRPr="7351A6A1">
        <w:rPr>
          <w:rFonts w:ascii="Calibri" w:eastAsia="Calibri" w:hAnsi="Calibri" w:cs="Calibri"/>
          <w:sz w:val="24"/>
          <w:szCs w:val="24"/>
        </w:rPr>
        <w:t>Además, el Ministerio vinculó el subproducto: Productores (as) de agricultura familiar beneficiados con seguro agrícola por riesgo climático para mejorar la seguridad alimentaria, con un avance de 100% de meta física.</w:t>
      </w:r>
    </w:p>
    <w:p w14:paraId="2A0E910D" w14:textId="1023030F" w:rsidR="5499291F" w:rsidRDefault="7351A6A1" w:rsidP="00E7064E">
      <w:pPr>
        <w:spacing w:after="120" w:line="240" w:lineRule="auto"/>
        <w:jc w:val="both"/>
      </w:pPr>
      <w:r w:rsidRPr="7351A6A1">
        <w:rPr>
          <w:rFonts w:ascii="Calibri" w:eastAsia="Calibri" w:hAnsi="Calibri" w:cs="Calibri"/>
          <w:b/>
          <w:bCs/>
          <w:sz w:val="24"/>
          <w:szCs w:val="24"/>
        </w:rPr>
        <w:t xml:space="preserve">CIV: </w:t>
      </w:r>
      <w:r w:rsidRPr="7351A6A1">
        <w:rPr>
          <w:rFonts w:ascii="Calibri" w:eastAsia="Calibri" w:hAnsi="Calibri" w:cs="Calibri"/>
          <w:sz w:val="24"/>
          <w:szCs w:val="24"/>
        </w:rPr>
        <w:t xml:space="preserve">vinculado a las metas PGG: 1) Para el año 2023 se ha incrementado la tasa neta de cobertura en el nivel primario en 17 puntos porcentuales, con el producto: Ampliación, construcción, mejoramiento y reposición de escuelas de primaria, UCEE, con 38.6% de avance físico. 2) Para el año 2023 se ha incrementado la tasa neta de cobertura en el nivel básico en 17 puntos porcentuales, con el producto: Ampliación, construcción, mejoramiento y reposición de establecimientos de educación básica, UCEE, con 86% de avance. </w:t>
      </w:r>
    </w:p>
    <w:p w14:paraId="4824D8D7" w14:textId="3B025041" w:rsidR="5499291F" w:rsidRDefault="7351A6A1" w:rsidP="00E7064E">
      <w:pPr>
        <w:spacing w:after="120" w:line="240" w:lineRule="auto"/>
        <w:jc w:val="both"/>
      </w:pPr>
      <w:r w:rsidRPr="7351A6A1">
        <w:rPr>
          <w:rFonts w:ascii="Calibri" w:eastAsia="Calibri" w:hAnsi="Calibri" w:cs="Calibri"/>
          <w:sz w:val="24"/>
          <w:szCs w:val="24"/>
        </w:rPr>
        <w:t xml:space="preserve">3) Para el año 2023, se ha incrementado en 4 unidades la red hospitalaria, con el producto: Construcción de centros hospitalarios, con 80.4% de avance. 4) Para el año 2023 se ha incrementado en 50 el número de centros de salud tipo A y B, con los productos: Ampliación, construcción, mejoramiento y reposición de edificios de salud, UCEE, con 41% de avance físico y el producto: Ampliación, construcción, mejoramiento y reposición de edificios de salud, FSS; sin determinar el avance físico, debido a que registraron ejecución física mayor a la meta vigente, provocando un avance físico superior al 100%. </w:t>
      </w:r>
    </w:p>
    <w:p w14:paraId="49CEE359" w14:textId="05C28F97" w:rsidR="5499291F" w:rsidRDefault="7351A6A1" w:rsidP="00E7064E">
      <w:pPr>
        <w:spacing w:after="120" w:line="240" w:lineRule="auto"/>
        <w:jc w:val="both"/>
      </w:pPr>
      <w:r w:rsidRPr="7351A6A1">
        <w:rPr>
          <w:rFonts w:ascii="Calibri" w:eastAsia="Calibri" w:hAnsi="Calibri" w:cs="Calibri"/>
          <w:sz w:val="24"/>
          <w:szCs w:val="24"/>
        </w:rPr>
        <w:t>5) Para el año 2023 se han construido 100,000 viviendas sociales, con el producto: Familias beneficiadas con subsidios para la vivienda FOPAVI, con 58% de avance físico.</w:t>
      </w:r>
    </w:p>
    <w:p w14:paraId="1B4D4E10" w14:textId="24112DB9" w:rsidR="5499291F" w:rsidRDefault="7351A6A1" w:rsidP="00E7064E">
      <w:pPr>
        <w:spacing w:after="120" w:line="240" w:lineRule="auto"/>
        <w:jc w:val="both"/>
      </w:pPr>
      <w:r w:rsidRPr="7351A6A1">
        <w:rPr>
          <w:rFonts w:ascii="Calibri" w:eastAsia="Calibri" w:hAnsi="Calibri" w:cs="Calibri"/>
          <w:b/>
          <w:bCs/>
          <w:sz w:val="24"/>
          <w:szCs w:val="24"/>
        </w:rPr>
        <w:t xml:space="preserve">MIDES: </w:t>
      </w:r>
      <w:r w:rsidRPr="7351A6A1">
        <w:rPr>
          <w:rFonts w:ascii="Calibri" w:eastAsia="Calibri" w:hAnsi="Calibri" w:cs="Calibri"/>
          <w:sz w:val="24"/>
          <w:szCs w:val="24"/>
        </w:rPr>
        <w:t>vinculado a las metas PGG: 1) Para el año 2023 se redujo la tasa desnutrición crónica en 7 puntos porcentuales, con los productos: Transferencias monetarias condicionadas entregadas a niñas y adolescentes embarazadas o madres de 14 o menos años de edad, víctimas de violencia sexual judicializadas que cumplen con sus controles de salud, Dotación de alimento complementario fortificado a niños y niñas de 6 a 59 meses de edad, afectados por la desnutrición, ambos con el 100% de avance físico, Transferencias monetarias condicionadas entregadas a familias con niños y niñas entre 6 y 15 años, que asisten a la escuela y Transferencias monetarias condicionadas entregadas a familias con niños y niñas entre 0 y 5 años y mujeres embarazadas o en período de lactancia que cumplen con sus controles de salud, con 84% y 87% de avance físico, respectivamente.</w:t>
      </w:r>
    </w:p>
    <w:p w14:paraId="46A0E66C" w14:textId="08C788C1" w:rsidR="5499291F" w:rsidRDefault="7351A6A1" w:rsidP="00E7064E">
      <w:pPr>
        <w:spacing w:after="120" w:line="240" w:lineRule="auto"/>
        <w:jc w:val="both"/>
      </w:pPr>
      <w:r w:rsidRPr="7351A6A1">
        <w:rPr>
          <w:rFonts w:ascii="Calibri" w:eastAsia="Calibri" w:hAnsi="Calibri" w:cs="Calibri"/>
          <w:sz w:val="24"/>
          <w:szCs w:val="24"/>
        </w:rPr>
        <w:t xml:space="preserve">2) Para el año 2023 se redujo la pobreza extrema en 5 puntos porcentuales, la cual cuenta con 25 productos vinculados, dentro de los cuales, se mencionan: Construcción, ampliación y mejoramiento de sistemas de agua potable y pozos mecánicos, con 100% de avance físico, Construcción, ampliación y mejoramiento de plantas de tratamiento, con 99.52%, Construcción ampliación y mejoramiento de sistemas de drenajes y sistemas de alcantarillado, con 98.14%.  </w:t>
      </w:r>
    </w:p>
    <w:p w14:paraId="5358A8E8" w14:textId="6C926991" w:rsidR="5499291F" w:rsidRDefault="7351A6A1" w:rsidP="00E7064E">
      <w:pPr>
        <w:spacing w:after="120" w:line="240" w:lineRule="auto"/>
        <w:jc w:val="both"/>
      </w:pPr>
      <w:r w:rsidRPr="7351A6A1">
        <w:rPr>
          <w:rFonts w:ascii="Calibri" w:eastAsia="Calibri" w:hAnsi="Calibri" w:cs="Calibri"/>
          <w:sz w:val="24"/>
          <w:szCs w:val="24"/>
        </w:rPr>
        <w:t>Otros productos vinculados a esta meta PGG, son los que presentaron una ejecución física por debajo del 30%, dentro de los cuales se mencionan: Escuelas de primaria con dotación de materiales, mobiliario y equipo educativo, Construcción, ampliación y mejoramiento de centros de educación primaria, Personas beneficiadas con la dotación de materiales de construcción y equipo para sistemas de agua potable, Personas beneficiadas con dotación de materiales de construcción para mejorar su vivienda, entre otros.</w:t>
      </w:r>
    </w:p>
    <w:p w14:paraId="6B60B80B" w14:textId="631ED60B" w:rsidR="5499291F" w:rsidRDefault="7351A6A1" w:rsidP="00E7064E">
      <w:pPr>
        <w:spacing w:after="120" w:line="240" w:lineRule="auto"/>
        <w:jc w:val="both"/>
      </w:pPr>
      <w:r w:rsidRPr="7351A6A1">
        <w:rPr>
          <w:rFonts w:ascii="Calibri" w:eastAsia="Calibri" w:hAnsi="Calibri" w:cs="Calibri"/>
          <w:sz w:val="24"/>
          <w:szCs w:val="24"/>
        </w:rPr>
        <w:t>3) Para el año 2023 se ha incrementado a 150,000 el número de familias atendidas por el programa de transferencias monetarias, con el producto: Transferencias monetarias condicionadas para alimentos entregadas a familias que viven en pobreza y pobreza extrema, con el 100% de avance físico. 4) Para el año 2023, se ha incrementado a 4.0 millones el número de raciones (desayunos y almuerzos) servidos en comedores sociales, con el producto: Raciones de alimentos preparados entregados a personas que viven en condiciones de vulnerabilidad o crisis, con 100% de avance físico.</w:t>
      </w:r>
    </w:p>
    <w:p w14:paraId="0201B088" w14:textId="0737090F" w:rsidR="5499291F" w:rsidRDefault="1041AE5A" w:rsidP="00E7064E">
      <w:pPr>
        <w:spacing w:after="120" w:line="240" w:lineRule="auto"/>
        <w:jc w:val="both"/>
      </w:pPr>
      <w:r w:rsidRPr="1041AE5A">
        <w:rPr>
          <w:rFonts w:ascii="Calibri" w:eastAsia="Calibri" w:hAnsi="Calibri" w:cs="Calibri"/>
          <w:b/>
          <w:bCs/>
          <w:sz w:val="24"/>
          <w:szCs w:val="24"/>
        </w:rPr>
        <w:t xml:space="preserve">MINEDUC: </w:t>
      </w:r>
      <w:r w:rsidRPr="1041AE5A">
        <w:rPr>
          <w:rFonts w:ascii="Calibri" w:eastAsia="Calibri" w:hAnsi="Calibri" w:cs="Calibri"/>
          <w:sz w:val="24"/>
          <w:szCs w:val="24"/>
        </w:rPr>
        <w:t>vinculado a las metas PGG: 1) Para el año 2023 se ha incrementado la tasa neta de cobertura en el nivel preprimario en 12 puntos porcentuales, con los productos: Estudiantes del nivel preprimario bilingüe atendidos en el sistema escolar y Estudiantes del nivel preprimario atendidos en el sistema escolar, con 99% de avance físico. 2) Para el año 2023 se ha incrementado la tasa neta de cobertura en el nivel primario en 17 puntos porcentuales, con los productos: Estudiantes del nivel primario bilingüe atendidos en el sistema escolar, Estudiantes de primaria monolingüe rural atendidos en el sistema escolar y Estudiantes de primaria monolingüe urbana atendidos en el sistema escolar, con 99% de avance físico.</w:t>
      </w:r>
    </w:p>
    <w:p w14:paraId="76F557E2" w14:textId="2268E432" w:rsidR="5499291F" w:rsidRDefault="7351A6A1" w:rsidP="00E7064E">
      <w:pPr>
        <w:spacing w:after="120" w:line="240" w:lineRule="auto"/>
        <w:jc w:val="both"/>
      </w:pPr>
      <w:r w:rsidRPr="7351A6A1">
        <w:rPr>
          <w:rFonts w:ascii="Calibri" w:eastAsia="Calibri" w:hAnsi="Calibri" w:cs="Calibri"/>
          <w:sz w:val="24"/>
          <w:szCs w:val="24"/>
        </w:rPr>
        <w:t>3) Para el año 2023 se ha incrementado la tasa neta de cobertura en el nivel básico en 17 puntos porcentuales, con los productos: Institutos por cooperativa del ciclo básico beneficiados con aporte financiero, Estudiantes del ciclo básico Telesecundaria atendidos en el sistema escolar y Estudiantes del ciclo básico atendidos en el sistema escolar, con 99% y 98% respectivamente.</w:t>
      </w:r>
    </w:p>
    <w:p w14:paraId="5B83AF27" w14:textId="719DBCF1" w:rsidR="5499291F" w:rsidRDefault="7351A6A1" w:rsidP="00E7064E">
      <w:pPr>
        <w:spacing w:after="120" w:line="240" w:lineRule="auto"/>
        <w:jc w:val="both"/>
      </w:pPr>
      <w:r w:rsidRPr="7351A6A1">
        <w:rPr>
          <w:rFonts w:ascii="Calibri" w:eastAsia="Calibri" w:hAnsi="Calibri" w:cs="Calibri"/>
          <w:sz w:val="24"/>
          <w:szCs w:val="24"/>
        </w:rPr>
        <w:t>4) Para el año 2023 se ha incrementado la tasa neta de cobertura en el nivel diversificado en 11 puntos porcentuales, vinculada principalmente a los productos: Institutos por Cooperativa del ciclo diversificado beneficiados con aporte financiero, con 99% de avance, Estudiantes de Formación de Bachilleres atendidos en el sistema escolar, con 94%, Estudiantes de Formación de Perito atendidos en el sistema escolar, con 94%, Estudiantes de Formación Técnico Industrial atendidos en el sistema escolar, con 93% y Estudiantes de Formación Secretarial atendidas en el sistema escolar, con 92% de avance físico.</w:t>
      </w:r>
    </w:p>
    <w:p w14:paraId="58346702" w14:textId="39EFED88" w:rsidR="5499291F" w:rsidRDefault="7351A6A1" w:rsidP="00E7064E">
      <w:pPr>
        <w:spacing w:after="120" w:line="240" w:lineRule="auto"/>
        <w:jc w:val="both"/>
      </w:pPr>
      <w:r w:rsidRPr="7351A6A1">
        <w:rPr>
          <w:rFonts w:ascii="Calibri" w:eastAsia="Calibri" w:hAnsi="Calibri" w:cs="Calibri"/>
          <w:sz w:val="24"/>
          <w:szCs w:val="24"/>
        </w:rPr>
        <w:t>5) Para el año 2023 se ha incrementado la cobertura de seguro médico escolar a 3 millones de niños, con los productos: Estudiantes del nivel preprimaria con cobertura de seguro médico escolar y Estudiantes del nivel primaria con cobertura de seguro médico escolar, con 95% de avance físico. 6) Para el año 2023 se ha incrementado la inversión en servicios de alimentación escolar en Q 830.4 millones, con los productos: Niños y niñas del nivel primario atendidos con alimentación escolar, con 99% de avance, Niños y niñas del nivel preprimario atendidos con alimentación escolar, con 96% y Niños y niñas atendidos en escuelas en el marco de la alimentación escolar con 81% de avance físico.</w:t>
      </w:r>
    </w:p>
    <w:p w14:paraId="27591281" w14:textId="129501A1" w:rsidR="5499291F" w:rsidRDefault="7351A6A1" w:rsidP="00E7064E">
      <w:pPr>
        <w:spacing w:after="120" w:line="240" w:lineRule="auto"/>
        <w:jc w:val="both"/>
      </w:pPr>
      <w:r w:rsidRPr="7351A6A1">
        <w:rPr>
          <w:rFonts w:ascii="Calibri" w:eastAsia="Calibri" w:hAnsi="Calibri" w:cs="Calibri"/>
          <w:sz w:val="24"/>
          <w:szCs w:val="24"/>
        </w:rPr>
        <w:t>7) Para el año 2023 se ha incrementado la cantidad de becas escolares para estudiantes del nivel básico y diversificado en 19,579, con los productos: Alumnas y alumnos del nivel medio ciclo diversificado beneficiados con bolsas de estudio y becas escolares y Alumnas y alumnos del ciclo básico beneficiados con bolsas de estudio, con 99.3% y 99.5% respectivamente. 8) Para el año 2023 se ha incrementado el número de maestros graduados de licenciatura en 8,610, con avance físico de 100% en los subproductos: Docentes del nivel primario en proceso de profesionalización a nivel de licenciatura y Docentes del nivel primario bilingüe intercultural en proceso de profesionalización a nivel de licenciatura.</w:t>
      </w:r>
    </w:p>
    <w:p w14:paraId="0E2D21F6" w14:textId="3CE90CAE" w:rsidR="5499291F" w:rsidRDefault="7351A6A1" w:rsidP="00E7064E">
      <w:pPr>
        <w:spacing w:after="120" w:line="240" w:lineRule="auto"/>
        <w:jc w:val="both"/>
      </w:pPr>
      <w:r w:rsidRPr="7351A6A1">
        <w:rPr>
          <w:rFonts w:ascii="Calibri" w:eastAsia="Calibri" w:hAnsi="Calibri" w:cs="Calibri"/>
          <w:b/>
          <w:bCs/>
          <w:sz w:val="24"/>
          <w:szCs w:val="24"/>
        </w:rPr>
        <w:t xml:space="preserve">MSPAS: </w:t>
      </w:r>
      <w:r w:rsidRPr="7351A6A1">
        <w:rPr>
          <w:rFonts w:ascii="Calibri" w:eastAsia="Calibri" w:hAnsi="Calibri" w:cs="Calibri"/>
          <w:sz w:val="24"/>
          <w:szCs w:val="24"/>
        </w:rPr>
        <w:t>vinculado a las metas PGG: 1) Para el año 2023 se redujo la razón de mortalidad materna en 14.4 puntos porcentuales, con mayor avance físico en los productos: Servicios de apoyo a la recuperación de la salud, con 79% de avance, Servicios de apoyo diagnóstico y de tratamiento, con 65%, Población con acceso a métodos de planificación familiar, con 60%, y Mujer que recibe atención del parto institucional por personal calificado, con 60% de avance.</w:t>
      </w:r>
    </w:p>
    <w:p w14:paraId="7F7D5478" w14:textId="01198356" w:rsidR="5499291F" w:rsidRDefault="7351A6A1" w:rsidP="00E7064E">
      <w:pPr>
        <w:spacing w:after="120" w:line="240" w:lineRule="auto"/>
        <w:jc w:val="both"/>
      </w:pPr>
      <w:r w:rsidRPr="7351A6A1">
        <w:rPr>
          <w:rFonts w:ascii="Calibri" w:eastAsia="Calibri" w:hAnsi="Calibri" w:cs="Calibri"/>
          <w:sz w:val="24"/>
          <w:szCs w:val="24"/>
        </w:rPr>
        <w:t>2) Para el año 2023 se redujo la tasa de mortalidad infantil en 10 puntos porcentuales, con mayor avance físico en los productos: Servicios de apoyo al fomento de la salud, con 80% de avance, Construcción, ampliación y mejoramiento de centros de convergencia, centros y puestos de salud, maternidades periféricas, centro de atención permanente y centro de atención integral materno infantil, con 79%, Vigilancia del agua para consumo humano y uso recreativo, con 65%.</w:t>
      </w:r>
    </w:p>
    <w:p w14:paraId="43548920" w14:textId="2005BCDC" w:rsidR="5499291F" w:rsidRDefault="7351A6A1" w:rsidP="00E7064E">
      <w:pPr>
        <w:spacing w:after="120" w:line="240" w:lineRule="auto"/>
        <w:jc w:val="both"/>
      </w:pPr>
      <w:r w:rsidRPr="7351A6A1">
        <w:rPr>
          <w:rFonts w:ascii="Calibri" w:eastAsia="Calibri" w:hAnsi="Calibri" w:cs="Calibri"/>
          <w:sz w:val="24"/>
          <w:szCs w:val="24"/>
        </w:rPr>
        <w:t>3) Para el año 2023, se redujo el número de casos de morbilidad infantil en 5% anual, con los productos: Niño y niña menor de 5 años atendido por infección respiratoria aguda y Niño y niña menor de 5 años atendido por enfermedad diarreica aguda, con 56% y 52% de avance físico. 4) Para el año 2023 se ha incrementado el porcentaje de niñas y niños con esquema de vacunación completo en 9.6 puntos porcentuales, con el producto: Población con servicios de vacunación, con 63.4% de avance físico.</w:t>
      </w:r>
    </w:p>
    <w:p w14:paraId="321CD495" w14:textId="360FD923" w:rsidR="5499291F" w:rsidRDefault="7351A6A1" w:rsidP="00E7064E">
      <w:pPr>
        <w:spacing w:after="120" w:line="240" w:lineRule="auto"/>
        <w:jc w:val="both"/>
      </w:pPr>
      <w:r w:rsidRPr="7351A6A1">
        <w:rPr>
          <w:rFonts w:ascii="Calibri" w:eastAsia="Calibri" w:hAnsi="Calibri" w:cs="Calibri"/>
          <w:sz w:val="24"/>
          <w:szCs w:val="24"/>
        </w:rPr>
        <w:t>5) Para el año 2023, se ha incrementado en 4 unidades la red hospitalaria, con el producto: Construcción, ampliación y mejoramiento de hospitales, con 47% de avance físico. 6) Para el año 2023 se ha incrementado en 50 el número de centros de salud tipo A y B, con el producto: Personas atendidas en servicios de recuperación de la salud, con 62% de avance físico.</w:t>
      </w:r>
    </w:p>
    <w:p w14:paraId="6BA0162A" w14:textId="2B449164" w:rsidR="5499291F" w:rsidRDefault="7351A6A1" w:rsidP="00E7064E">
      <w:pPr>
        <w:spacing w:after="120" w:line="240" w:lineRule="auto"/>
        <w:jc w:val="both"/>
      </w:pPr>
      <w:r w:rsidRPr="7351A6A1">
        <w:rPr>
          <w:rFonts w:ascii="Calibri" w:eastAsia="Calibri" w:hAnsi="Calibri" w:cs="Calibri"/>
          <w:b/>
          <w:bCs/>
          <w:sz w:val="24"/>
          <w:szCs w:val="24"/>
        </w:rPr>
        <w:t xml:space="preserve">MINTRAB: </w:t>
      </w:r>
      <w:r w:rsidRPr="7351A6A1">
        <w:rPr>
          <w:rFonts w:ascii="Calibri" w:eastAsia="Calibri" w:hAnsi="Calibri" w:cs="Calibri"/>
          <w:sz w:val="24"/>
          <w:szCs w:val="24"/>
        </w:rPr>
        <w:t>vinculado a la meta PGG: Para el año 2023 se ha incrementado en 6,000 el número de adultos mayores atendidos por el programa de pensiones, con el producto: Aporte económico entregado al adulto mayor, con 99.8% de avance físico.</w:t>
      </w:r>
    </w:p>
    <w:p w14:paraId="000C45C7" w14:textId="6086C593" w:rsidR="5499291F" w:rsidRDefault="7351A6A1" w:rsidP="00E7064E">
      <w:pPr>
        <w:tabs>
          <w:tab w:val="left" w:pos="1504"/>
        </w:tabs>
        <w:spacing w:after="120" w:line="240" w:lineRule="auto"/>
        <w:jc w:val="both"/>
      </w:pPr>
      <w:r w:rsidRPr="7351A6A1">
        <w:rPr>
          <w:rFonts w:ascii="Calibri" w:eastAsia="Calibri" w:hAnsi="Calibri" w:cs="Calibri"/>
          <w:b/>
          <w:bCs/>
          <w:sz w:val="24"/>
          <w:szCs w:val="24"/>
        </w:rPr>
        <w:t>Pilar 3: Gobernabilidad y seguridad en desarrollo</w:t>
      </w:r>
    </w:p>
    <w:p w14:paraId="343A7EE4" w14:textId="0AE538AA" w:rsidR="5499291F" w:rsidRDefault="7351A6A1" w:rsidP="00E7064E">
      <w:pPr>
        <w:tabs>
          <w:tab w:val="left" w:pos="1504"/>
        </w:tabs>
        <w:spacing w:after="120" w:line="240" w:lineRule="auto"/>
        <w:jc w:val="both"/>
        <w:rPr>
          <w:rFonts w:ascii="Calibri" w:eastAsia="Calibri" w:hAnsi="Calibri" w:cs="Calibri"/>
          <w:sz w:val="24"/>
          <w:szCs w:val="24"/>
        </w:rPr>
      </w:pPr>
      <w:r w:rsidRPr="7351A6A1">
        <w:rPr>
          <w:rFonts w:ascii="Calibri" w:eastAsia="Calibri" w:hAnsi="Calibri" w:cs="Calibri"/>
          <w:sz w:val="24"/>
          <w:szCs w:val="24"/>
        </w:rPr>
        <w:t>Dos ministerios vincularon producción a metas estratégicas de este Pilar, en promedio, alcanzaron un 87.4% de avance de metas físicas y 81% de ejecución financiera.</w:t>
      </w:r>
    </w:p>
    <w:p w14:paraId="77021E5F" w14:textId="6691F5A0" w:rsidR="5499291F" w:rsidRPr="006645F7" w:rsidRDefault="00EC3957" w:rsidP="006645F7">
      <w:pPr>
        <w:pStyle w:val="ttulosgrficas"/>
        <w:rPr>
          <w:rFonts w:asciiTheme="minorHAnsi" w:hAnsiTheme="minorHAnsi" w:cstheme="minorHAnsi"/>
          <w:color w:val="4472C4" w:themeColor="accent1"/>
        </w:rPr>
      </w:pPr>
      <w:bookmarkStart w:id="23" w:name="_Toc130199595"/>
      <w:r w:rsidRPr="006645F7">
        <w:rPr>
          <w:rFonts w:asciiTheme="minorHAnsi" w:hAnsiTheme="minorHAnsi" w:cstheme="minorHAnsi"/>
          <w:color w:val="4472C4" w:themeColor="accent1"/>
          <w:lang w:val="es"/>
        </w:rPr>
        <w:t xml:space="preserve">Tabla </w:t>
      </w:r>
      <w:r w:rsidR="006E5E0A" w:rsidRPr="006645F7">
        <w:rPr>
          <w:rFonts w:asciiTheme="minorHAnsi" w:hAnsiTheme="minorHAnsi" w:cstheme="minorHAnsi"/>
          <w:color w:val="4472C4" w:themeColor="accent1"/>
          <w:lang w:val="es"/>
        </w:rPr>
        <w:fldChar w:fldCharType="begin"/>
      </w:r>
      <w:r w:rsidR="006E5E0A" w:rsidRPr="006645F7">
        <w:rPr>
          <w:rFonts w:asciiTheme="minorHAnsi" w:hAnsiTheme="minorHAnsi" w:cstheme="minorHAnsi"/>
          <w:color w:val="4472C4" w:themeColor="accent1"/>
          <w:lang w:val="es"/>
        </w:rPr>
        <w:instrText xml:space="preserve"> SEQ Tabla \* ARABIC </w:instrText>
      </w:r>
      <w:r w:rsidR="006E5E0A" w:rsidRPr="006645F7">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7</w:t>
      </w:r>
      <w:r w:rsidR="006E5E0A" w:rsidRPr="006645F7">
        <w:rPr>
          <w:rFonts w:asciiTheme="minorHAnsi" w:hAnsiTheme="minorHAnsi" w:cstheme="minorHAnsi"/>
          <w:color w:val="4472C4" w:themeColor="accent1"/>
          <w:lang w:val="es"/>
        </w:rPr>
        <w:fldChar w:fldCharType="end"/>
      </w:r>
      <w:r w:rsidRPr="006645F7">
        <w:rPr>
          <w:rFonts w:asciiTheme="minorHAnsi" w:hAnsiTheme="minorHAnsi" w:cstheme="minorHAnsi"/>
          <w:color w:val="4472C4" w:themeColor="accent1"/>
          <w:lang w:val="es"/>
        </w:rPr>
        <w:t>. Avance Físico y Financiero. Pilar 3: Gobernabilidad y Seguridad en Desarrollo</w:t>
      </w:r>
      <w:bookmarkEnd w:id="23"/>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082"/>
        <w:gridCol w:w="2223"/>
        <w:gridCol w:w="2225"/>
        <w:gridCol w:w="1389"/>
        <w:gridCol w:w="1391"/>
      </w:tblGrid>
      <w:tr w:rsidR="7351A6A1" w14:paraId="597A2412" w14:textId="77777777" w:rsidTr="009B4095">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082"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61772E0" w14:textId="6D0F66C2" w:rsidR="7351A6A1" w:rsidRDefault="7351A6A1" w:rsidP="7351A6A1">
            <w:pPr>
              <w:jc w:val="center"/>
              <w:rPr>
                <w:rFonts w:cs="Calibri"/>
                <w:sz w:val="22"/>
                <w:szCs w:val="22"/>
                <w:lang w:val="es"/>
              </w:rPr>
            </w:pPr>
            <w:r w:rsidRPr="7351A6A1">
              <w:rPr>
                <w:rFonts w:cs="Calibri"/>
                <w:color w:val="auto"/>
                <w:sz w:val="22"/>
                <w:szCs w:val="22"/>
                <w:lang w:val="es"/>
              </w:rPr>
              <w:t>Institución</w:t>
            </w:r>
          </w:p>
        </w:tc>
        <w:tc>
          <w:tcPr>
            <w:tcW w:w="2223"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A0AAB25" w14:textId="1B183948" w:rsidR="7351A6A1" w:rsidRDefault="7351A6A1" w:rsidP="7351A6A1">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351A6A1">
              <w:rPr>
                <w:rFonts w:cs="Calibri"/>
                <w:color w:val="auto"/>
                <w:sz w:val="22"/>
                <w:szCs w:val="22"/>
                <w:lang w:val="es"/>
              </w:rPr>
              <w:t>Meta financiera vigente</w:t>
            </w:r>
          </w:p>
        </w:tc>
        <w:tc>
          <w:tcPr>
            <w:tcW w:w="222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878A40D" w14:textId="7DBE5213" w:rsidR="7351A6A1" w:rsidRDefault="7351A6A1" w:rsidP="7351A6A1">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351A6A1">
              <w:rPr>
                <w:rFonts w:cs="Calibri"/>
                <w:color w:val="auto"/>
                <w:sz w:val="22"/>
                <w:szCs w:val="22"/>
                <w:lang w:val="es"/>
              </w:rPr>
              <w:t>Ejecución financiera acumulada</w:t>
            </w:r>
          </w:p>
        </w:tc>
        <w:tc>
          <w:tcPr>
            <w:tcW w:w="1389"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07EEA95" w14:textId="303BE6E3" w:rsidR="7351A6A1" w:rsidRDefault="7351A6A1" w:rsidP="7351A6A1">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351A6A1">
              <w:rPr>
                <w:rFonts w:cs="Calibri"/>
                <w:color w:val="auto"/>
                <w:sz w:val="22"/>
                <w:szCs w:val="22"/>
                <w:lang w:val="es"/>
              </w:rPr>
              <w:t>% ejecución meta física</w:t>
            </w:r>
          </w:p>
        </w:tc>
        <w:tc>
          <w:tcPr>
            <w:tcW w:w="1391"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174B6F9" w14:textId="7D773F06" w:rsidR="7351A6A1" w:rsidRDefault="7351A6A1" w:rsidP="7351A6A1">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351A6A1">
              <w:rPr>
                <w:rFonts w:cs="Calibri"/>
                <w:color w:val="auto"/>
                <w:sz w:val="22"/>
                <w:szCs w:val="22"/>
                <w:lang w:val="es"/>
              </w:rPr>
              <w:t>% ejecución meta financiera</w:t>
            </w:r>
          </w:p>
        </w:tc>
      </w:tr>
      <w:tr w:rsidR="7351A6A1" w14:paraId="4C43BBAC" w14:textId="77777777" w:rsidTr="009B409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082" w:type="dxa"/>
            <w:tcMar>
              <w:left w:w="108" w:type="dxa"/>
              <w:right w:w="108" w:type="dxa"/>
            </w:tcMar>
            <w:vAlign w:val="center"/>
          </w:tcPr>
          <w:p w14:paraId="427F8538" w14:textId="48B04825" w:rsidR="7351A6A1" w:rsidRPr="00A836C2" w:rsidRDefault="7351A6A1">
            <w:pPr>
              <w:rPr>
                <w:b w:val="0"/>
              </w:rPr>
            </w:pPr>
            <w:r w:rsidRPr="00A836C2">
              <w:rPr>
                <w:rFonts w:cs="Calibri"/>
                <w:b w:val="0"/>
                <w:sz w:val="22"/>
                <w:szCs w:val="22"/>
                <w:lang w:val="es"/>
              </w:rPr>
              <w:t>Ministerio de Gobernación</w:t>
            </w:r>
          </w:p>
        </w:tc>
        <w:tc>
          <w:tcPr>
            <w:tcW w:w="2223" w:type="dxa"/>
            <w:tcMar>
              <w:left w:w="108" w:type="dxa"/>
              <w:right w:w="108" w:type="dxa"/>
            </w:tcMar>
            <w:vAlign w:val="center"/>
          </w:tcPr>
          <w:p w14:paraId="3A43D583" w14:textId="7E17ECD7"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cs="Calibri"/>
                <w:sz w:val="22"/>
                <w:szCs w:val="22"/>
                <w:lang w:val="es"/>
              </w:rPr>
              <w:t>Q4,112,979,549.00</w:t>
            </w:r>
          </w:p>
        </w:tc>
        <w:tc>
          <w:tcPr>
            <w:tcW w:w="2225" w:type="dxa"/>
            <w:tcMar>
              <w:left w:w="108" w:type="dxa"/>
              <w:right w:w="108" w:type="dxa"/>
            </w:tcMar>
            <w:vAlign w:val="center"/>
          </w:tcPr>
          <w:p w14:paraId="54432763" w14:textId="0FB03623"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cs="Calibri"/>
                <w:sz w:val="22"/>
                <w:szCs w:val="22"/>
                <w:lang w:val="es"/>
              </w:rPr>
              <w:t>Q2,726,586,268.03</w:t>
            </w:r>
          </w:p>
        </w:tc>
        <w:tc>
          <w:tcPr>
            <w:tcW w:w="1389" w:type="dxa"/>
            <w:shd w:val="clear" w:color="auto" w:fill="FFFF00"/>
            <w:tcMar>
              <w:left w:w="108" w:type="dxa"/>
              <w:right w:w="108" w:type="dxa"/>
            </w:tcMar>
            <w:vAlign w:val="center"/>
          </w:tcPr>
          <w:p w14:paraId="01817965" w14:textId="388F831B" w:rsidR="7351A6A1" w:rsidRDefault="7351A6A1" w:rsidP="7351A6A1">
            <w:pPr>
              <w:jc w:val="center"/>
              <w:cnfStyle w:val="000000100000" w:firstRow="0" w:lastRow="0" w:firstColumn="0" w:lastColumn="0" w:oddVBand="0" w:evenVBand="0" w:oddHBand="1" w:evenHBand="0" w:firstRowFirstColumn="0" w:firstRowLastColumn="0" w:lastRowFirstColumn="0" w:lastRowLastColumn="0"/>
            </w:pPr>
            <w:r w:rsidRPr="7351A6A1">
              <w:rPr>
                <w:rFonts w:cs="Calibri"/>
                <w:color w:val="000000" w:themeColor="text1"/>
                <w:sz w:val="22"/>
                <w:szCs w:val="22"/>
                <w:lang w:val="es"/>
              </w:rPr>
              <w:t>74.81%</w:t>
            </w:r>
          </w:p>
        </w:tc>
        <w:tc>
          <w:tcPr>
            <w:tcW w:w="1391" w:type="dxa"/>
            <w:shd w:val="clear" w:color="auto" w:fill="FFFF00"/>
            <w:tcMar>
              <w:left w:w="108" w:type="dxa"/>
              <w:right w:w="108" w:type="dxa"/>
            </w:tcMar>
            <w:vAlign w:val="center"/>
          </w:tcPr>
          <w:p w14:paraId="3638D049" w14:textId="694C7447" w:rsidR="7351A6A1" w:rsidRDefault="7351A6A1" w:rsidP="7351A6A1">
            <w:pPr>
              <w:jc w:val="center"/>
              <w:cnfStyle w:val="000000100000" w:firstRow="0" w:lastRow="0" w:firstColumn="0" w:lastColumn="0" w:oddVBand="0" w:evenVBand="0" w:oddHBand="1" w:evenHBand="0" w:firstRowFirstColumn="0" w:firstRowLastColumn="0" w:lastRowFirstColumn="0" w:lastRowLastColumn="0"/>
            </w:pPr>
            <w:r w:rsidRPr="7351A6A1">
              <w:rPr>
                <w:rFonts w:cs="Calibri"/>
                <w:color w:val="000000" w:themeColor="text1"/>
                <w:sz w:val="22"/>
                <w:szCs w:val="22"/>
                <w:lang w:val="es"/>
              </w:rPr>
              <w:t>66.29%</w:t>
            </w:r>
          </w:p>
        </w:tc>
      </w:tr>
      <w:tr w:rsidR="7351A6A1" w14:paraId="1DB54E11" w14:textId="77777777" w:rsidTr="009B4095">
        <w:trPr>
          <w:trHeight w:val="60"/>
        </w:trPr>
        <w:tc>
          <w:tcPr>
            <w:cnfStyle w:val="001000000000" w:firstRow="0" w:lastRow="0" w:firstColumn="1" w:lastColumn="0" w:oddVBand="0" w:evenVBand="0" w:oddHBand="0" w:evenHBand="0" w:firstRowFirstColumn="0" w:firstRowLastColumn="0" w:lastRowFirstColumn="0" w:lastRowLastColumn="0"/>
            <w:tcW w:w="2082" w:type="dxa"/>
            <w:tcMar>
              <w:left w:w="108" w:type="dxa"/>
              <w:right w:w="108" w:type="dxa"/>
            </w:tcMar>
            <w:vAlign w:val="center"/>
          </w:tcPr>
          <w:p w14:paraId="71801409" w14:textId="2FF6C026" w:rsidR="7351A6A1" w:rsidRPr="00A836C2" w:rsidRDefault="7351A6A1">
            <w:pPr>
              <w:rPr>
                <w:b w:val="0"/>
              </w:rPr>
            </w:pPr>
            <w:r w:rsidRPr="00A836C2">
              <w:rPr>
                <w:rFonts w:cs="Calibri"/>
                <w:b w:val="0"/>
                <w:sz w:val="22"/>
                <w:szCs w:val="22"/>
                <w:lang w:val="es"/>
              </w:rPr>
              <w:t>Ministerio de Desarrollo</w:t>
            </w:r>
          </w:p>
        </w:tc>
        <w:tc>
          <w:tcPr>
            <w:tcW w:w="2223" w:type="dxa"/>
            <w:tcMar>
              <w:left w:w="108" w:type="dxa"/>
              <w:right w:w="108" w:type="dxa"/>
            </w:tcMar>
            <w:vAlign w:val="center"/>
          </w:tcPr>
          <w:p w14:paraId="6FE72229" w14:textId="17BC3BC6"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cs="Calibri"/>
                <w:sz w:val="22"/>
                <w:szCs w:val="22"/>
                <w:lang w:val="es"/>
              </w:rPr>
              <w:t>Q11,057,809.00</w:t>
            </w:r>
          </w:p>
        </w:tc>
        <w:tc>
          <w:tcPr>
            <w:tcW w:w="2225" w:type="dxa"/>
            <w:tcMar>
              <w:left w:w="108" w:type="dxa"/>
              <w:right w:w="108" w:type="dxa"/>
            </w:tcMar>
            <w:vAlign w:val="center"/>
          </w:tcPr>
          <w:p w14:paraId="42485D72" w14:textId="388FEAA2"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cs="Calibri"/>
                <w:sz w:val="22"/>
                <w:szCs w:val="22"/>
                <w:lang w:val="es"/>
              </w:rPr>
              <w:t>Q10,593,893.21</w:t>
            </w:r>
          </w:p>
        </w:tc>
        <w:tc>
          <w:tcPr>
            <w:tcW w:w="1389" w:type="dxa"/>
            <w:shd w:val="clear" w:color="auto" w:fill="92D050"/>
            <w:tcMar>
              <w:left w:w="108" w:type="dxa"/>
              <w:right w:w="108" w:type="dxa"/>
            </w:tcMar>
            <w:vAlign w:val="center"/>
          </w:tcPr>
          <w:p w14:paraId="674371A2" w14:textId="2DC805B9" w:rsidR="7351A6A1" w:rsidRDefault="7351A6A1" w:rsidP="7351A6A1">
            <w:pPr>
              <w:jc w:val="center"/>
              <w:cnfStyle w:val="000000000000" w:firstRow="0" w:lastRow="0" w:firstColumn="0" w:lastColumn="0" w:oddVBand="0" w:evenVBand="0" w:oddHBand="0" w:evenHBand="0" w:firstRowFirstColumn="0" w:firstRowLastColumn="0" w:lastRowFirstColumn="0" w:lastRowLastColumn="0"/>
            </w:pPr>
            <w:r w:rsidRPr="7351A6A1">
              <w:rPr>
                <w:rFonts w:cs="Calibri"/>
                <w:color w:val="000000" w:themeColor="text1"/>
                <w:sz w:val="22"/>
                <w:szCs w:val="22"/>
                <w:lang w:val="es"/>
              </w:rPr>
              <w:t>100.00%</w:t>
            </w:r>
          </w:p>
        </w:tc>
        <w:tc>
          <w:tcPr>
            <w:tcW w:w="1391" w:type="dxa"/>
            <w:shd w:val="clear" w:color="auto" w:fill="92D050"/>
            <w:tcMar>
              <w:left w:w="108" w:type="dxa"/>
              <w:right w:w="108" w:type="dxa"/>
            </w:tcMar>
            <w:vAlign w:val="center"/>
          </w:tcPr>
          <w:p w14:paraId="54A808AB" w14:textId="666F11DB" w:rsidR="7351A6A1" w:rsidRDefault="7351A6A1" w:rsidP="7351A6A1">
            <w:pPr>
              <w:jc w:val="center"/>
              <w:cnfStyle w:val="000000000000" w:firstRow="0" w:lastRow="0" w:firstColumn="0" w:lastColumn="0" w:oddVBand="0" w:evenVBand="0" w:oddHBand="0" w:evenHBand="0" w:firstRowFirstColumn="0" w:firstRowLastColumn="0" w:lastRowFirstColumn="0" w:lastRowLastColumn="0"/>
            </w:pPr>
            <w:r w:rsidRPr="7351A6A1">
              <w:rPr>
                <w:rFonts w:cs="Calibri"/>
                <w:color w:val="000000" w:themeColor="text1"/>
                <w:sz w:val="22"/>
                <w:szCs w:val="22"/>
                <w:lang w:val="es"/>
              </w:rPr>
              <w:t>95.80%</w:t>
            </w:r>
          </w:p>
        </w:tc>
      </w:tr>
    </w:tbl>
    <w:p w14:paraId="7CE32220" w14:textId="7395B819" w:rsidR="5499291F" w:rsidRDefault="7351A6A1" w:rsidP="7351A6A1">
      <w:pPr>
        <w:tabs>
          <w:tab w:val="left" w:pos="1504"/>
        </w:tabs>
        <w:spacing w:line="257" w:lineRule="auto"/>
        <w:jc w:val="both"/>
      </w:pPr>
      <w:r w:rsidRPr="7351A6A1">
        <w:rPr>
          <w:rFonts w:ascii="Helvetica" w:eastAsia="Helvetica" w:hAnsi="Helvetica" w:cs="Helvetica"/>
          <w:sz w:val="16"/>
          <w:szCs w:val="16"/>
        </w:rPr>
        <w:t xml:space="preserve">  </w:t>
      </w:r>
      <w:r w:rsidRPr="7351A6A1">
        <w:rPr>
          <w:rFonts w:ascii="Calibri" w:eastAsia="Calibri" w:hAnsi="Calibri" w:cs="Calibri"/>
          <w:sz w:val="16"/>
          <w:szCs w:val="16"/>
        </w:rPr>
        <w:t>Fuente: Con base a registros de Siplan. Segeplan. Año 2022.</w:t>
      </w:r>
    </w:p>
    <w:p w14:paraId="09B3539F" w14:textId="60710776" w:rsidR="5499291F" w:rsidRDefault="7351A6A1" w:rsidP="009B4095">
      <w:pPr>
        <w:tabs>
          <w:tab w:val="left" w:pos="1504"/>
        </w:tabs>
        <w:spacing w:after="120" w:line="240" w:lineRule="auto"/>
        <w:jc w:val="both"/>
      </w:pPr>
      <w:r w:rsidRPr="7351A6A1">
        <w:rPr>
          <w:rFonts w:ascii="Calibri" w:eastAsia="Calibri" w:hAnsi="Calibri" w:cs="Calibri"/>
          <w:b/>
          <w:bCs/>
          <w:sz w:val="24"/>
          <w:szCs w:val="24"/>
        </w:rPr>
        <w:t xml:space="preserve">MINGOB: </w:t>
      </w:r>
      <w:r w:rsidRPr="7351A6A1">
        <w:rPr>
          <w:rFonts w:ascii="Calibri" w:eastAsia="Calibri" w:hAnsi="Calibri" w:cs="Calibri"/>
          <w:sz w:val="24"/>
          <w:szCs w:val="24"/>
        </w:rPr>
        <w:t>vinculado a las metas PGG: 1) Para el año 2023 se ha reducido el índice de criminalidad en 20 puntos porcentuales, con mayor avance físico en los productos: Adolescentes y jóvenes protagonistas que participan en actividades para el desarrollo de sus capacidades, con 100% de avance, Protección, atención y orientación a mujeres víctimas de violencia, con 98.9%, Control y regulación de prestadores de servicios de seguridad privada, con 96%, Combate a la narcoactividad, con 91.2%, Investigación criminal, con 85%. Otros productos vinculados con menor avance: Personal policial formado y especializado, con 79% de avance, Seguridad policial, con 69% y Personal policial y beneficiarios con asistencia médico-hospitalaria, con 67% de avance físico.</w:t>
      </w:r>
    </w:p>
    <w:p w14:paraId="10ADFF92" w14:textId="2871AD92" w:rsidR="5499291F" w:rsidRDefault="7351A6A1" w:rsidP="009B4095">
      <w:pPr>
        <w:tabs>
          <w:tab w:val="left" w:pos="1504"/>
        </w:tabs>
        <w:spacing w:after="120" w:line="240" w:lineRule="auto"/>
        <w:jc w:val="both"/>
      </w:pPr>
      <w:r w:rsidRPr="7351A6A1">
        <w:rPr>
          <w:rFonts w:ascii="Calibri" w:eastAsia="Calibri" w:hAnsi="Calibri" w:cs="Calibri"/>
          <w:sz w:val="24"/>
          <w:szCs w:val="24"/>
        </w:rPr>
        <w:t>2) Para el año 2023 se ha reducido la tasa de homicidios en 8.8 de tasa, con el producto: Seguridad policial en áreas de mayor incidencia de homicidios, con 98.7% de avance físico. 3) Para el año 2023 se ha incrementado en 4 el número de centros penitenciarios, con el producto: Construcción centro de cumplimiento de condena para hombres ubicado finca Cuyuta, lote 218, Masagua Escuintla, sin reportar avance de meta física.</w:t>
      </w:r>
    </w:p>
    <w:p w14:paraId="1C3D94F3" w14:textId="219ABBC0" w:rsidR="5499291F" w:rsidRDefault="7351A6A1" w:rsidP="009B4095">
      <w:pPr>
        <w:tabs>
          <w:tab w:val="left" w:pos="1504"/>
        </w:tabs>
        <w:spacing w:after="120" w:line="240" w:lineRule="auto"/>
        <w:jc w:val="both"/>
      </w:pPr>
      <w:r w:rsidRPr="7351A6A1">
        <w:rPr>
          <w:rFonts w:ascii="Calibri" w:eastAsia="Calibri" w:hAnsi="Calibri" w:cs="Calibri"/>
          <w:sz w:val="24"/>
          <w:szCs w:val="24"/>
        </w:rPr>
        <w:t>4) Para el año 2023 se han conformado 340 organizaciones comunitarias, municipales y departamentales de prevención de la violencia y el delito, con el producto: Grupos organizados con asistencia técnica para la prevención de la violencia, de acuerdo a los lineamientos de la Política Nacional y Modelo Lógico de Prevención de la Violencia y el Delito, con 100% de avance.</w:t>
      </w:r>
    </w:p>
    <w:p w14:paraId="62A3B3ED" w14:textId="60C675FA" w:rsidR="5499291F" w:rsidRDefault="7351A6A1" w:rsidP="009B4095">
      <w:pPr>
        <w:tabs>
          <w:tab w:val="left" w:pos="1504"/>
        </w:tabs>
        <w:spacing w:after="120" w:line="240" w:lineRule="auto"/>
        <w:jc w:val="both"/>
      </w:pPr>
      <w:r w:rsidRPr="7351A6A1">
        <w:rPr>
          <w:rFonts w:ascii="Calibri" w:eastAsia="Calibri" w:hAnsi="Calibri" w:cs="Calibri"/>
          <w:sz w:val="24"/>
          <w:szCs w:val="24"/>
        </w:rPr>
        <w:t>5) Para el año 2023 se ha incrementado en 5,000 el número de agentes de la Policía Nacional Civil, con el producto: Personal policial formado y especializado, con 39% de avance físico.</w:t>
      </w:r>
    </w:p>
    <w:p w14:paraId="2BA69704" w14:textId="754BBC9F" w:rsidR="5499291F" w:rsidRDefault="7351A6A1" w:rsidP="009B4095">
      <w:pPr>
        <w:tabs>
          <w:tab w:val="left" w:pos="1504"/>
        </w:tabs>
        <w:spacing w:after="120" w:line="240" w:lineRule="auto"/>
        <w:jc w:val="both"/>
      </w:pPr>
      <w:r w:rsidRPr="7351A6A1">
        <w:rPr>
          <w:rFonts w:ascii="Calibri" w:eastAsia="Calibri" w:hAnsi="Calibri" w:cs="Calibri"/>
          <w:b/>
          <w:bCs/>
          <w:sz w:val="24"/>
          <w:szCs w:val="24"/>
        </w:rPr>
        <w:t xml:space="preserve">MIDES: </w:t>
      </w:r>
      <w:r w:rsidRPr="7351A6A1">
        <w:rPr>
          <w:rFonts w:ascii="Calibri" w:eastAsia="Calibri" w:hAnsi="Calibri" w:cs="Calibri"/>
          <w:sz w:val="24"/>
          <w:szCs w:val="24"/>
        </w:rPr>
        <w:t>vinculado a la meta PGG: Para el año 2023 se ha reducido el índice de criminalidad en 20 puntos porcentuales, con el producto: Adolescentes y jóvenes protagonistas que participan en actividades para el desarrollo de sus capacidades, con 100% de avance físico.</w:t>
      </w:r>
    </w:p>
    <w:p w14:paraId="5B1A73CA" w14:textId="3CC6BCC2" w:rsidR="5499291F" w:rsidRDefault="7351A6A1" w:rsidP="009B4095">
      <w:pPr>
        <w:tabs>
          <w:tab w:val="left" w:pos="1504"/>
        </w:tabs>
        <w:spacing w:after="120" w:line="240" w:lineRule="auto"/>
        <w:jc w:val="both"/>
      </w:pPr>
      <w:r w:rsidRPr="7351A6A1">
        <w:rPr>
          <w:rFonts w:ascii="Calibri" w:eastAsia="Calibri" w:hAnsi="Calibri" w:cs="Calibri"/>
          <w:b/>
          <w:bCs/>
          <w:sz w:val="24"/>
          <w:szCs w:val="24"/>
        </w:rPr>
        <w:t>Pilar 4: Estado Responsable, Transparente y Efectivo</w:t>
      </w:r>
    </w:p>
    <w:p w14:paraId="32773A39" w14:textId="4A3A0ACC" w:rsidR="5499291F" w:rsidRDefault="7351A6A1" w:rsidP="009B4095">
      <w:pPr>
        <w:tabs>
          <w:tab w:val="left" w:pos="1504"/>
        </w:tabs>
        <w:spacing w:after="120" w:line="240" w:lineRule="auto"/>
        <w:jc w:val="both"/>
        <w:rPr>
          <w:rFonts w:ascii="Calibri" w:eastAsia="Calibri" w:hAnsi="Calibri" w:cs="Calibri"/>
          <w:sz w:val="24"/>
          <w:szCs w:val="24"/>
        </w:rPr>
      </w:pPr>
      <w:r w:rsidRPr="7351A6A1">
        <w:rPr>
          <w:rFonts w:ascii="Calibri" w:eastAsia="Calibri" w:hAnsi="Calibri" w:cs="Calibri"/>
          <w:sz w:val="24"/>
          <w:szCs w:val="24"/>
        </w:rPr>
        <w:t>El MAGA, se vinculó a una de las metas contenidas dentro este Pilar, alcanzado una ejecución alta de metas físicas y financieras en el producto vinculado.</w:t>
      </w:r>
    </w:p>
    <w:p w14:paraId="45CA5F48" w14:textId="1D920D13" w:rsidR="5499291F" w:rsidRPr="006645F7" w:rsidRDefault="00EC3957" w:rsidP="006645F7">
      <w:pPr>
        <w:pStyle w:val="ttulosgrficas"/>
        <w:rPr>
          <w:rFonts w:asciiTheme="minorHAnsi" w:hAnsiTheme="minorHAnsi" w:cstheme="minorHAnsi"/>
          <w:color w:val="4472C4" w:themeColor="accent1"/>
        </w:rPr>
      </w:pPr>
      <w:bookmarkStart w:id="24" w:name="_Toc130199596"/>
      <w:r w:rsidRPr="006645F7">
        <w:rPr>
          <w:rFonts w:asciiTheme="minorHAnsi" w:hAnsiTheme="minorHAnsi" w:cstheme="minorHAnsi"/>
          <w:color w:val="4472C4" w:themeColor="accent1"/>
          <w:lang w:val="es"/>
        </w:rPr>
        <w:t xml:space="preserve">Tabla </w:t>
      </w:r>
      <w:r w:rsidR="00A836C2" w:rsidRPr="006645F7">
        <w:rPr>
          <w:rFonts w:asciiTheme="minorHAnsi" w:hAnsiTheme="minorHAnsi" w:cstheme="minorHAnsi"/>
          <w:color w:val="4472C4" w:themeColor="accent1"/>
          <w:lang w:val="es"/>
        </w:rPr>
        <w:fldChar w:fldCharType="begin"/>
      </w:r>
      <w:r w:rsidR="00A836C2" w:rsidRPr="006645F7">
        <w:rPr>
          <w:rFonts w:asciiTheme="minorHAnsi" w:hAnsiTheme="minorHAnsi" w:cstheme="minorHAnsi"/>
          <w:color w:val="4472C4" w:themeColor="accent1"/>
          <w:lang w:val="es"/>
        </w:rPr>
        <w:instrText xml:space="preserve"> SEQ Tabla \* ARABIC </w:instrText>
      </w:r>
      <w:r w:rsidR="00A836C2" w:rsidRPr="006645F7">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8</w:t>
      </w:r>
      <w:r w:rsidR="00A836C2" w:rsidRPr="006645F7">
        <w:rPr>
          <w:rFonts w:asciiTheme="minorHAnsi" w:hAnsiTheme="minorHAnsi" w:cstheme="minorHAnsi"/>
          <w:color w:val="4472C4" w:themeColor="accent1"/>
          <w:lang w:val="es"/>
        </w:rPr>
        <w:fldChar w:fldCharType="end"/>
      </w:r>
      <w:r w:rsidRPr="006645F7">
        <w:rPr>
          <w:rFonts w:asciiTheme="minorHAnsi" w:hAnsiTheme="minorHAnsi" w:cstheme="minorHAnsi"/>
          <w:color w:val="4472C4" w:themeColor="accent1"/>
          <w:lang w:val="es"/>
        </w:rPr>
        <w:t>. Avance Físico y Financiero. Pilar 4: Estado Responsable, Transparente y Efectivo</w:t>
      </w:r>
      <w:bookmarkEnd w:id="24"/>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681"/>
        <w:gridCol w:w="2142"/>
        <w:gridCol w:w="1887"/>
        <w:gridCol w:w="1348"/>
        <w:gridCol w:w="1348"/>
      </w:tblGrid>
      <w:tr w:rsidR="7351A6A1" w14:paraId="1E6D2364" w14:textId="77777777" w:rsidTr="009B4095">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681"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566C226" w14:textId="3227A48F" w:rsidR="7351A6A1" w:rsidRDefault="7351A6A1" w:rsidP="7351A6A1">
            <w:pPr>
              <w:jc w:val="center"/>
              <w:rPr>
                <w:rFonts w:cs="Calibri"/>
                <w:sz w:val="22"/>
                <w:szCs w:val="22"/>
                <w:lang w:val="es"/>
              </w:rPr>
            </w:pPr>
            <w:r w:rsidRPr="7351A6A1">
              <w:rPr>
                <w:rFonts w:cs="Calibri"/>
                <w:color w:val="auto"/>
                <w:sz w:val="22"/>
                <w:szCs w:val="22"/>
                <w:lang w:val="es"/>
              </w:rPr>
              <w:t>Institución</w:t>
            </w:r>
          </w:p>
        </w:tc>
        <w:tc>
          <w:tcPr>
            <w:tcW w:w="2142"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64D30D8A" w14:textId="3BD3CBAF" w:rsidR="7351A6A1" w:rsidRDefault="7351A6A1" w:rsidP="7351A6A1">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351A6A1">
              <w:rPr>
                <w:rFonts w:cs="Calibri"/>
                <w:color w:val="auto"/>
                <w:sz w:val="22"/>
                <w:szCs w:val="22"/>
                <w:lang w:val="es"/>
              </w:rPr>
              <w:t>Meta financiera vigente</w:t>
            </w:r>
          </w:p>
        </w:tc>
        <w:tc>
          <w:tcPr>
            <w:tcW w:w="1887"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21D4A1C" w14:textId="62C91549" w:rsidR="7351A6A1" w:rsidRDefault="7351A6A1" w:rsidP="7351A6A1">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351A6A1">
              <w:rPr>
                <w:rFonts w:cs="Calibri"/>
                <w:color w:val="auto"/>
                <w:sz w:val="22"/>
                <w:szCs w:val="22"/>
                <w:lang w:val="es"/>
              </w:rPr>
              <w:t>Ejecución financiera</w:t>
            </w:r>
          </w:p>
        </w:tc>
        <w:tc>
          <w:tcPr>
            <w:tcW w:w="1348"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57760190" w14:textId="5907175C" w:rsidR="7351A6A1" w:rsidRDefault="7351A6A1" w:rsidP="7351A6A1">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351A6A1">
              <w:rPr>
                <w:rFonts w:cs="Calibri"/>
                <w:color w:val="auto"/>
                <w:sz w:val="22"/>
                <w:szCs w:val="22"/>
                <w:lang w:val="es"/>
              </w:rPr>
              <w:t xml:space="preserve">% ejecución </w:t>
            </w:r>
            <w:r>
              <w:br/>
            </w:r>
            <w:r w:rsidRPr="7351A6A1">
              <w:rPr>
                <w:rFonts w:cs="Calibri"/>
                <w:color w:val="auto"/>
                <w:sz w:val="22"/>
                <w:szCs w:val="22"/>
                <w:lang w:val="es"/>
              </w:rPr>
              <w:t>meta física</w:t>
            </w:r>
          </w:p>
        </w:tc>
        <w:tc>
          <w:tcPr>
            <w:tcW w:w="1348"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7F891CB" w14:textId="45F82170" w:rsidR="7351A6A1" w:rsidRDefault="7351A6A1" w:rsidP="7351A6A1">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351A6A1">
              <w:rPr>
                <w:rFonts w:cs="Calibri"/>
                <w:color w:val="auto"/>
                <w:sz w:val="22"/>
                <w:szCs w:val="22"/>
                <w:lang w:val="es"/>
              </w:rPr>
              <w:t>% ejecución meta financiera</w:t>
            </w:r>
          </w:p>
        </w:tc>
      </w:tr>
      <w:tr w:rsidR="7351A6A1" w14:paraId="5DCA9B15" w14:textId="77777777" w:rsidTr="009B40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81" w:type="dxa"/>
            <w:tcMar>
              <w:left w:w="108" w:type="dxa"/>
              <w:right w:w="108" w:type="dxa"/>
            </w:tcMar>
          </w:tcPr>
          <w:p w14:paraId="7825362D" w14:textId="1643AE81" w:rsidR="7351A6A1" w:rsidRPr="00A836C2" w:rsidRDefault="7351A6A1">
            <w:pPr>
              <w:rPr>
                <w:b w:val="0"/>
              </w:rPr>
            </w:pPr>
            <w:r w:rsidRPr="00A836C2">
              <w:rPr>
                <w:rFonts w:cs="Calibri"/>
                <w:b w:val="0"/>
                <w:color w:val="000000" w:themeColor="text1"/>
                <w:sz w:val="22"/>
                <w:szCs w:val="22"/>
                <w:lang w:val="es"/>
              </w:rPr>
              <w:t>Ministerio de Agricultura, Ganadería y Alimentación</w:t>
            </w:r>
          </w:p>
        </w:tc>
        <w:tc>
          <w:tcPr>
            <w:tcW w:w="2142" w:type="dxa"/>
            <w:tcMar>
              <w:left w:w="108" w:type="dxa"/>
              <w:right w:w="108" w:type="dxa"/>
            </w:tcMar>
            <w:vAlign w:val="center"/>
          </w:tcPr>
          <w:p w14:paraId="27F80BB8" w14:textId="06EF7151"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cs="Calibri"/>
                <w:lang w:val="es"/>
              </w:rPr>
              <w:t>Q58,876,518.00</w:t>
            </w:r>
          </w:p>
        </w:tc>
        <w:tc>
          <w:tcPr>
            <w:tcW w:w="1887" w:type="dxa"/>
            <w:tcMar>
              <w:left w:w="108" w:type="dxa"/>
              <w:right w:w="108" w:type="dxa"/>
            </w:tcMar>
            <w:vAlign w:val="center"/>
          </w:tcPr>
          <w:p w14:paraId="5B30836E" w14:textId="4B517E9C"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cs="Calibri"/>
                <w:lang w:val="es"/>
              </w:rPr>
              <w:t>Q56,357,697.65</w:t>
            </w:r>
          </w:p>
        </w:tc>
        <w:tc>
          <w:tcPr>
            <w:tcW w:w="1348" w:type="dxa"/>
            <w:shd w:val="clear" w:color="auto" w:fill="92D050"/>
            <w:tcMar>
              <w:left w:w="108" w:type="dxa"/>
              <w:right w:w="108" w:type="dxa"/>
            </w:tcMar>
            <w:vAlign w:val="center"/>
          </w:tcPr>
          <w:p w14:paraId="0DC948A9" w14:textId="6852B7FE" w:rsidR="7351A6A1" w:rsidRDefault="7351A6A1" w:rsidP="7351A6A1">
            <w:pPr>
              <w:jc w:val="center"/>
              <w:cnfStyle w:val="000000100000" w:firstRow="0" w:lastRow="0" w:firstColumn="0" w:lastColumn="0" w:oddVBand="0" w:evenVBand="0" w:oddHBand="1" w:evenHBand="0" w:firstRowFirstColumn="0" w:firstRowLastColumn="0" w:lastRowFirstColumn="0" w:lastRowLastColumn="0"/>
            </w:pPr>
            <w:r w:rsidRPr="7351A6A1">
              <w:rPr>
                <w:rFonts w:cs="Calibri"/>
                <w:color w:val="000000" w:themeColor="text1"/>
                <w:sz w:val="22"/>
                <w:szCs w:val="22"/>
                <w:lang w:val="es"/>
              </w:rPr>
              <w:t>92.81%</w:t>
            </w:r>
          </w:p>
        </w:tc>
        <w:tc>
          <w:tcPr>
            <w:tcW w:w="1348" w:type="dxa"/>
            <w:shd w:val="clear" w:color="auto" w:fill="92D050"/>
            <w:tcMar>
              <w:left w:w="108" w:type="dxa"/>
              <w:right w:w="108" w:type="dxa"/>
            </w:tcMar>
            <w:vAlign w:val="center"/>
          </w:tcPr>
          <w:p w14:paraId="6A19B4E7" w14:textId="51D8B672" w:rsidR="7351A6A1" w:rsidRDefault="7351A6A1" w:rsidP="7351A6A1">
            <w:pPr>
              <w:jc w:val="center"/>
              <w:cnfStyle w:val="000000100000" w:firstRow="0" w:lastRow="0" w:firstColumn="0" w:lastColumn="0" w:oddVBand="0" w:evenVBand="0" w:oddHBand="1" w:evenHBand="0" w:firstRowFirstColumn="0" w:firstRowLastColumn="0" w:lastRowFirstColumn="0" w:lastRowLastColumn="0"/>
            </w:pPr>
            <w:r w:rsidRPr="7351A6A1">
              <w:rPr>
                <w:rFonts w:cs="Calibri"/>
                <w:color w:val="000000" w:themeColor="text1"/>
                <w:sz w:val="22"/>
                <w:szCs w:val="22"/>
                <w:lang w:val="es"/>
              </w:rPr>
              <w:t>95.72%</w:t>
            </w:r>
          </w:p>
        </w:tc>
      </w:tr>
    </w:tbl>
    <w:p w14:paraId="7FA95D49" w14:textId="54D76EA3" w:rsidR="5499291F" w:rsidRDefault="7351A6A1" w:rsidP="7351A6A1">
      <w:pPr>
        <w:tabs>
          <w:tab w:val="left" w:pos="1504"/>
        </w:tabs>
        <w:spacing w:line="257" w:lineRule="auto"/>
        <w:jc w:val="both"/>
      </w:pPr>
      <w:r w:rsidRPr="7351A6A1">
        <w:rPr>
          <w:rFonts w:ascii="Calibri" w:eastAsia="Calibri" w:hAnsi="Calibri" w:cs="Calibri"/>
          <w:sz w:val="16"/>
          <w:szCs w:val="16"/>
        </w:rPr>
        <w:t>Fuente: Con base a registros de Siplan. Segeplan. Año 2022.</w:t>
      </w:r>
    </w:p>
    <w:p w14:paraId="2DEEDF77" w14:textId="54D76EA3" w:rsidR="5499291F" w:rsidRDefault="0831ED43" w:rsidP="009B4095">
      <w:pPr>
        <w:tabs>
          <w:tab w:val="left" w:pos="1504"/>
        </w:tabs>
        <w:spacing w:after="120" w:line="240" w:lineRule="auto"/>
        <w:jc w:val="both"/>
      </w:pPr>
      <w:r w:rsidRPr="0831ED43">
        <w:rPr>
          <w:rFonts w:ascii="Calibri" w:eastAsia="Calibri" w:hAnsi="Calibri" w:cs="Calibri"/>
          <w:b/>
          <w:bCs/>
          <w:sz w:val="24"/>
          <w:szCs w:val="24"/>
        </w:rPr>
        <w:t xml:space="preserve">MAGA: </w:t>
      </w:r>
      <w:r w:rsidRPr="0831ED43">
        <w:rPr>
          <w:rFonts w:ascii="Calibri" w:eastAsia="Calibri" w:hAnsi="Calibri" w:cs="Calibri"/>
          <w:sz w:val="24"/>
          <w:szCs w:val="24"/>
        </w:rPr>
        <w:t>vinculado a la meta PGG: Para el año 2023 la superficie terrestre cubierta con cobertura forestal se ubica en 33.7%, principalmente con los productos: Resoluciones emitidas por arrendamiento de áreas de reservas territoriales del Estado, Entidades capacitadas y dotadas con material técnico geográfico para la conservación y uso de suelos, con el 100% de avance físico y los productos: Productores (as) beneficiados con capacitación, asistencia técnica e insumos para el manejo y conservación de los recursos naturales y Generación de Cartografía Nacional para investigación, planificación y monitoreo para entidades públicas y privadas, con 98% y 66% de avance, respectivamente.</w:t>
      </w:r>
    </w:p>
    <w:p w14:paraId="49D2400B" w14:textId="4BB68F9D" w:rsidR="5499291F" w:rsidRDefault="0831ED43" w:rsidP="009B4095">
      <w:pPr>
        <w:tabs>
          <w:tab w:val="left" w:pos="1504"/>
        </w:tabs>
        <w:spacing w:after="120" w:line="240" w:lineRule="auto"/>
        <w:jc w:val="both"/>
      </w:pPr>
      <w:r w:rsidRPr="0831ED43">
        <w:rPr>
          <w:rFonts w:ascii="Calibri" w:eastAsia="Calibri" w:hAnsi="Calibri" w:cs="Calibri"/>
          <w:b/>
          <w:bCs/>
          <w:sz w:val="24"/>
          <w:szCs w:val="24"/>
        </w:rPr>
        <w:t>Pilar 5: Relaciones con el mundo</w:t>
      </w:r>
    </w:p>
    <w:p w14:paraId="402414CD" w14:textId="64C3CC29" w:rsidR="5499291F" w:rsidRDefault="0831ED43" w:rsidP="009B4095">
      <w:pPr>
        <w:tabs>
          <w:tab w:val="left" w:pos="1504"/>
        </w:tabs>
        <w:spacing w:after="120" w:line="240" w:lineRule="auto"/>
        <w:jc w:val="both"/>
      </w:pPr>
      <w:r w:rsidRPr="0831ED43">
        <w:rPr>
          <w:rFonts w:ascii="Calibri" w:eastAsia="Calibri" w:hAnsi="Calibri" w:cs="Calibri"/>
          <w:sz w:val="24"/>
          <w:szCs w:val="24"/>
        </w:rPr>
        <w:t>El ministerio de Relaciones Exteriores (MINEX) es responsable de la meta PGG: Para el 2023 se ha incrementado en 8 el número de consulados en Estados Unidos. Este Ministerio no cuenta con producción específica en Siplan que esté vinculada directamente al cumplimiento de esta meta, sin embargo, contribuyó al alcance de la meta PGG, a través de acciones para la apertura de consulados en Estados Unidos, con lo cual, se logró ampliar las sedes diplomáticas para una atención efectiva según las necesidades de documentación, asistencia y protección a los migrantes guatemaltecos.</w:t>
      </w:r>
    </w:p>
    <w:p w14:paraId="3C9D98E8" w14:textId="0920EE46" w:rsidR="5499291F" w:rsidRDefault="00C8352D" w:rsidP="009B4095">
      <w:pPr>
        <w:spacing w:after="120" w:line="240" w:lineRule="auto"/>
        <w:jc w:val="both"/>
      </w:pPr>
      <w:r w:rsidRPr="0831ED43">
        <w:rPr>
          <w:rFonts w:ascii="Calibri" w:eastAsia="Calibri" w:hAnsi="Calibri" w:cs="Calibri"/>
          <w:b/>
          <w:bCs/>
          <w:sz w:val="24"/>
          <w:szCs w:val="24"/>
        </w:rPr>
        <w:t xml:space="preserve">Acciones en atención al </w:t>
      </w:r>
      <w:r>
        <w:rPr>
          <w:rFonts w:ascii="Calibri" w:eastAsia="Calibri" w:hAnsi="Calibri" w:cs="Calibri"/>
          <w:b/>
          <w:bCs/>
          <w:sz w:val="24"/>
          <w:szCs w:val="24"/>
        </w:rPr>
        <w:t>COVID-</w:t>
      </w:r>
      <w:r w:rsidRPr="0831ED43">
        <w:rPr>
          <w:rFonts w:ascii="Calibri" w:eastAsia="Calibri" w:hAnsi="Calibri" w:cs="Calibri"/>
          <w:b/>
          <w:bCs/>
          <w:sz w:val="24"/>
          <w:szCs w:val="24"/>
        </w:rPr>
        <w:t>19</w:t>
      </w:r>
    </w:p>
    <w:p w14:paraId="675CDCAC" w14:textId="65BBC5CB" w:rsidR="0004787B" w:rsidRDefault="00472A5C" w:rsidP="00472A5C">
      <w:pPr>
        <w:spacing w:line="256" w:lineRule="auto"/>
        <w:jc w:val="both"/>
        <w:rPr>
          <w:rFonts w:eastAsia="Candara" w:cstheme="minorHAnsi"/>
          <w:sz w:val="24"/>
          <w:szCs w:val="24"/>
          <w:lang w:eastAsia="es-GT"/>
        </w:rPr>
      </w:pPr>
      <w:r>
        <w:rPr>
          <w:rFonts w:eastAsia="Candara" w:cstheme="minorHAnsi"/>
          <w:sz w:val="24"/>
          <w:szCs w:val="24"/>
          <w:lang w:eastAsia="es-GT"/>
        </w:rPr>
        <w:t xml:space="preserve">Luego de transcurridos tres años desde el inicio de la pandemia del COVID-19, la asignación presupuestaria de las instituciones fue disminuyendo progresivamente, al igual que las intervenciones programadas para atender la emergencia, esto, a medida que el país </w:t>
      </w:r>
      <w:r w:rsidR="00135078">
        <w:rPr>
          <w:rFonts w:eastAsia="Candara" w:cstheme="minorHAnsi"/>
          <w:sz w:val="24"/>
          <w:szCs w:val="24"/>
          <w:lang w:eastAsia="es-GT"/>
        </w:rPr>
        <w:t xml:space="preserve">se recuperaba de los efectos causados por </w:t>
      </w:r>
      <w:r w:rsidR="00AD4BB8">
        <w:rPr>
          <w:rFonts w:eastAsia="Candara" w:cstheme="minorHAnsi"/>
          <w:sz w:val="24"/>
          <w:szCs w:val="24"/>
          <w:lang w:eastAsia="es-GT"/>
        </w:rPr>
        <w:t>la pandemia.</w:t>
      </w:r>
    </w:p>
    <w:p w14:paraId="6505789C" w14:textId="558195CE" w:rsidR="00472A5C" w:rsidRDefault="00472A5C" w:rsidP="00472A5C">
      <w:pPr>
        <w:spacing w:line="256" w:lineRule="auto"/>
        <w:jc w:val="both"/>
        <w:rPr>
          <w:rFonts w:eastAsia="Candara" w:cstheme="minorHAnsi"/>
          <w:sz w:val="24"/>
          <w:szCs w:val="24"/>
          <w:lang w:eastAsia="es-GT"/>
        </w:rPr>
      </w:pPr>
      <w:r>
        <w:rPr>
          <w:rFonts w:eastAsia="Candara" w:cstheme="minorHAnsi"/>
          <w:sz w:val="24"/>
          <w:szCs w:val="24"/>
          <w:lang w:eastAsia="es-GT"/>
        </w:rPr>
        <w:t>De tal manera que, e</w:t>
      </w:r>
      <w:r w:rsidRPr="00B8615D">
        <w:rPr>
          <w:rFonts w:eastAsia="Candara" w:cstheme="minorHAnsi"/>
          <w:sz w:val="24"/>
          <w:szCs w:val="24"/>
          <w:lang w:eastAsia="es-GT"/>
        </w:rPr>
        <w:t>n el</w:t>
      </w:r>
      <w:r>
        <w:rPr>
          <w:rFonts w:eastAsia="Candara" w:cstheme="minorHAnsi"/>
          <w:sz w:val="24"/>
          <w:szCs w:val="24"/>
          <w:lang w:eastAsia="es-GT"/>
        </w:rPr>
        <w:t xml:space="preserve"> año 2022, el MSPAS asignó dentro del programa 94-A</w:t>
      </w:r>
      <w:r w:rsidRPr="00B8615D">
        <w:rPr>
          <w:rFonts w:eastAsia="Candara" w:cstheme="minorHAnsi"/>
          <w:sz w:val="24"/>
          <w:szCs w:val="24"/>
          <w:lang w:eastAsia="es-GT"/>
        </w:rPr>
        <w:t>tención por desastres naturales y calamidades públicas</w:t>
      </w:r>
      <w:r>
        <w:rPr>
          <w:rFonts w:eastAsia="Candara" w:cstheme="minorHAnsi"/>
          <w:sz w:val="24"/>
          <w:szCs w:val="24"/>
          <w:lang w:eastAsia="es-GT"/>
        </w:rPr>
        <w:t>, un presupuesto vigente de Q.</w:t>
      </w:r>
      <w:r w:rsidRPr="00B8615D">
        <w:rPr>
          <w:rFonts w:eastAsia="Candara" w:cstheme="minorHAnsi"/>
          <w:sz w:val="24"/>
          <w:szCs w:val="24"/>
          <w:lang w:eastAsia="es-GT"/>
        </w:rPr>
        <w:t>435,797,126</w:t>
      </w:r>
      <w:r>
        <w:rPr>
          <w:rFonts w:eastAsia="Candara" w:cstheme="minorHAnsi"/>
          <w:sz w:val="24"/>
          <w:szCs w:val="24"/>
          <w:lang w:eastAsia="es-GT"/>
        </w:rPr>
        <w:t xml:space="preserve"> en el producto: </w:t>
      </w:r>
      <w:r w:rsidRPr="00AF3F88">
        <w:rPr>
          <w:rFonts w:eastAsia="Candara" w:cstheme="minorHAnsi"/>
          <w:sz w:val="24"/>
          <w:szCs w:val="24"/>
          <w:lang w:eastAsia="es-GT"/>
        </w:rPr>
        <w:t xml:space="preserve">Intervenciones </w:t>
      </w:r>
      <w:r>
        <w:rPr>
          <w:rFonts w:eastAsia="Candara" w:cstheme="minorHAnsi"/>
          <w:sz w:val="24"/>
          <w:szCs w:val="24"/>
          <w:lang w:eastAsia="es-GT"/>
        </w:rPr>
        <w:t>r</w:t>
      </w:r>
      <w:r w:rsidRPr="00AF3F88">
        <w:rPr>
          <w:rFonts w:eastAsia="Candara" w:cstheme="minorHAnsi"/>
          <w:sz w:val="24"/>
          <w:szCs w:val="24"/>
          <w:lang w:eastAsia="es-GT"/>
        </w:rPr>
        <w:t>ealizadas</w:t>
      </w:r>
      <w:r>
        <w:rPr>
          <w:rFonts w:eastAsia="Candara" w:cstheme="minorHAnsi"/>
          <w:sz w:val="24"/>
          <w:szCs w:val="24"/>
          <w:lang w:eastAsia="es-GT"/>
        </w:rPr>
        <w:t xml:space="preserve"> p</w:t>
      </w:r>
      <w:r w:rsidRPr="00AF3F88">
        <w:rPr>
          <w:rFonts w:eastAsia="Candara" w:cstheme="minorHAnsi"/>
          <w:sz w:val="24"/>
          <w:szCs w:val="24"/>
          <w:lang w:eastAsia="es-GT"/>
        </w:rPr>
        <w:t xml:space="preserve">ara </w:t>
      </w:r>
      <w:r>
        <w:rPr>
          <w:rFonts w:eastAsia="Candara" w:cstheme="minorHAnsi"/>
          <w:sz w:val="24"/>
          <w:szCs w:val="24"/>
          <w:lang w:eastAsia="es-GT"/>
        </w:rPr>
        <w:t>l</w:t>
      </w:r>
      <w:r w:rsidRPr="00AF3F88">
        <w:rPr>
          <w:rFonts w:eastAsia="Candara" w:cstheme="minorHAnsi"/>
          <w:sz w:val="24"/>
          <w:szCs w:val="24"/>
          <w:lang w:eastAsia="es-GT"/>
        </w:rPr>
        <w:t xml:space="preserve">a </w:t>
      </w:r>
      <w:r>
        <w:rPr>
          <w:rFonts w:eastAsia="Candara" w:cstheme="minorHAnsi"/>
          <w:sz w:val="24"/>
          <w:szCs w:val="24"/>
          <w:lang w:eastAsia="es-GT"/>
        </w:rPr>
        <w:t>a</w:t>
      </w:r>
      <w:r w:rsidRPr="00AF3F88">
        <w:rPr>
          <w:rFonts w:eastAsia="Candara" w:cstheme="minorHAnsi"/>
          <w:sz w:val="24"/>
          <w:szCs w:val="24"/>
          <w:lang w:eastAsia="es-GT"/>
        </w:rPr>
        <w:t xml:space="preserve">tención </w:t>
      </w:r>
      <w:r>
        <w:rPr>
          <w:rFonts w:eastAsia="Candara" w:cstheme="minorHAnsi"/>
          <w:sz w:val="24"/>
          <w:szCs w:val="24"/>
          <w:lang w:eastAsia="es-GT"/>
        </w:rPr>
        <w:t>d</w:t>
      </w:r>
      <w:r w:rsidRPr="00AF3F88">
        <w:rPr>
          <w:rFonts w:eastAsia="Candara" w:cstheme="minorHAnsi"/>
          <w:sz w:val="24"/>
          <w:szCs w:val="24"/>
          <w:lang w:eastAsia="es-GT"/>
        </w:rPr>
        <w:t xml:space="preserve">e </w:t>
      </w:r>
      <w:r>
        <w:rPr>
          <w:rFonts w:eastAsia="Candara" w:cstheme="minorHAnsi"/>
          <w:sz w:val="24"/>
          <w:szCs w:val="24"/>
          <w:lang w:eastAsia="es-GT"/>
        </w:rPr>
        <w:t>l</w:t>
      </w:r>
      <w:r w:rsidRPr="00AF3F88">
        <w:rPr>
          <w:rFonts w:eastAsia="Candara" w:cstheme="minorHAnsi"/>
          <w:sz w:val="24"/>
          <w:szCs w:val="24"/>
          <w:lang w:eastAsia="es-GT"/>
        </w:rPr>
        <w:t xml:space="preserve">a </w:t>
      </w:r>
      <w:r>
        <w:rPr>
          <w:rFonts w:eastAsia="Candara" w:cstheme="minorHAnsi"/>
          <w:sz w:val="24"/>
          <w:szCs w:val="24"/>
          <w:lang w:eastAsia="es-GT"/>
        </w:rPr>
        <w:t>emergencia COVID-19, de los cuales se ejecutó</w:t>
      </w:r>
      <w:r w:rsidRPr="007125CD">
        <w:rPr>
          <w:rFonts w:eastAsia="Candara" w:cstheme="minorHAnsi"/>
          <w:sz w:val="24"/>
          <w:szCs w:val="24"/>
          <w:lang w:eastAsia="es-GT"/>
        </w:rPr>
        <w:t xml:space="preserve"> Q.</w:t>
      </w:r>
      <w:r w:rsidRPr="005F0F3E">
        <w:rPr>
          <w:rFonts w:eastAsia="Candara" w:cstheme="minorHAnsi"/>
          <w:sz w:val="24"/>
          <w:szCs w:val="24"/>
          <w:lang w:eastAsia="es-GT"/>
        </w:rPr>
        <w:t>182,751,211</w:t>
      </w:r>
      <w:r>
        <w:rPr>
          <w:rFonts w:eastAsia="Candara" w:cstheme="minorHAnsi"/>
          <w:sz w:val="24"/>
          <w:szCs w:val="24"/>
          <w:lang w:eastAsia="es-GT"/>
        </w:rPr>
        <w:t>, que representa únicamente el 42% de avance financiero. A</w:t>
      </w:r>
      <w:r w:rsidRPr="007125CD">
        <w:rPr>
          <w:rFonts w:eastAsia="Candara" w:cstheme="minorHAnsi"/>
          <w:sz w:val="24"/>
          <w:szCs w:val="24"/>
          <w:lang w:eastAsia="es-GT"/>
        </w:rPr>
        <w:t>l tercer cuatrimestre</w:t>
      </w:r>
      <w:r>
        <w:rPr>
          <w:rFonts w:eastAsia="Candara" w:cstheme="minorHAnsi"/>
          <w:sz w:val="24"/>
          <w:szCs w:val="24"/>
          <w:lang w:eastAsia="es-GT"/>
        </w:rPr>
        <w:t>,</w:t>
      </w:r>
      <w:r w:rsidRPr="007125CD">
        <w:rPr>
          <w:rFonts w:eastAsia="Candara" w:cstheme="minorHAnsi"/>
          <w:sz w:val="24"/>
          <w:szCs w:val="24"/>
          <w:lang w:eastAsia="es-GT"/>
        </w:rPr>
        <w:t xml:space="preserve"> se benefició a 768,893 personas con esquema de vacunación completo contra el </w:t>
      </w:r>
      <w:r>
        <w:rPr>
          <w:rFonts w:eastAsia="Candara" w:cstheme="minorHAnsi"/>
          <w:sz w:val="24"/>
          <w:szCs w:val="24"/>
          <w:lang w:eastAsia="es-GT"/>
        </w:rPr>
        <w:t>COVID-19</w:t>
      </w:r>
      <w:r w:rsidRPr="007125CD">
        <w:rPr>
          <w:rFonts w:eastAsia="Candara" w:cstheme="minorHAnsi"/>
          <w:sz w:val="24"/>
          <w:szCs w:val="24"/>
          <w:lang w:eastAsia="es-GT"/>
        </w:rPr>
        <w:t xml:space="preserve"> y </w:t>
      </w:r>
      <w:r>
        <w:rPr>
          <w:rFonts w:eastAsia="Candara" w:cstheme="minorHAnsi"/>
          <w:sz w:val="24"/>
          <w:szCs w:val="24"/>
          <w:lang w:eastAsia="es-GT"/>
        </w:rPr>
        <w:t>en</w:t>
      </w:r>
      <w:r w:rsidRPr="007125CD">
        <w:rPr>
          <w:rFonts w:eastAsia="Candara" w:cstheme="minorHAnsi"/>
          <w:sz w:val="24"/>
          <w:szCs w:val="24"/>
          <w:lang w:eastAsia="es-GT"/>
        </w:rPr>
        <w:t xml:space="preserve"> el 2022 un total de 3,894,465 </w:t>
      </w:r>
      <w:r>
        <w:rPr>
          <w:rFonts w:eastAsia="Candara" w:cstheme="minorHAnsi"/>
          <w:sz w:val="24"/>
          <w:szCs w:val="24"/>
          <w:lang w:eastAsia="es-GT"/>
        </w:rPr>
        <w:t xml:space="preserve">personas, </w:t>
      </w:r>
      <w:r w:rsidRPr="007125CD">
        <w:rPr>
          <w:rFonts w:eastAsia="Candara" w:cstheme="minorHAnsi"/>
          <w:sz w:val="24"/>
          <w:szCs w:val="24"/>
          <w:lang w:eastAsia="es-GT"/>
        </w:rPr>
        <w:t>de este modo el M</w:t>
      </w:r>
      <w:r>
        <w:rPr>
          <w:rFonts w:eastAsia="Candara" w:cstheme="minorHAnsi"/>
          <w:sz w:val="24"/>
          <w:szCs w:val="24"/>
          <w:lang w:eastAsia="es-GT"/>
        </w:rPr>
        <w:t>SPAS</w:t>
      </w:r>
      <w:r w:rsidRPr="007125CD">
        <w:rPr>
          <w:rFonts w:eastAsia="Candara" w:cstheme="minorHAnsi"/>
          <w:sz w:val="24"/>
          <w:szCs w:val="24"/>
          <w:lang w:eastAsia="es-GT"/>
        </w:rPr>
        <w:t xml:space="preserve"> contribuy</w:t>
      </w:r>
      <w:r>
        <w:rPr>
          <w:rFonts w:eastAsia="Candara" w:cstheme="minorHAnsi"/>
          <w:sz w:val="24"/>
          <w:szCs w:val="24"/>
          <w:lang w:eastAsia="es-GT"/>
        </w:rPr>
        <w:t>ó</w:t>
      </w:r>
      <w:r w:rsidRPr="007125CD">
        <w:rPr>
          <w:rFonts w:eastAsia="Candara" w:cstheme="minorHAnsi"/>
          <w:sz w:val="24"/>
          <w:szCs w:val="24"/>
          <w:lang w:eastAsia="es-GT"/>
        </w:rPr>
        <w:t xml:space="preserve"> en la disminución de contagios.</w:t>
      </w:r>
      <w:r>
        <w:rPr>
          <w:rFonts w:eastAsia="Candara" w:cstheme="minorHAnsi"/>
          <w:sz w:val="24"/>
          <w:szCs w:val="24"/>
          <w:lang w:eastAsia="es-GT"/>
        </w:rPr>
        <w:t xml:space="preserve"> </w:t>
      </w:r>
    </w:p>
    <w:p w14:paraId="0BA2AE35" w14:textId="6DA16F88" w:rsidR="5499291F" w:rsidRDefault="0831ED43" w:rsidP="009B4095">
      <w:pPr>
        <w:spacing w:after="120" w:line="240" w:lineRule="auto"/>
        <w:jc w:val="both"/>
      </w:pPr>
      <w:r w:rsidRPr="0831ED43">
        <w:rPr>
          <w:rFonts w:ascii="Calibri" w:eastAsia="Calibri" w:hAnsi="Calibri" w:cs="Calibri"/>
          <w:sz w:val="24"/>
          <w:szCs w:val="24"/>
        </w:rPr>
        <w:t>En el subproducto: Laboratorios beneficiados con materiales y equipo para la atención de la emergencia de COVID-19, se alcanzó un avance físico de 52%, en relación a Análisis de Laboratorio, mientras que en el subproducto: Gestión para adquisición de vacuna contra el COVID-19, se logró un 100% de la meta física programada.</w:t>
      </w:r>
    </w:p>
    <w:p w14:paraId="7B79FBDC" w14:textId="3926BC6D" w:rsidR="5499291F" w:rsidRDefault="0831ED43" w:rsidP="009B4095">
      <w:pPr>
        <w:spacing w:after="120" w:line="240" w:lineRule="auto"/>
        <w:jc w:val="both"/>
      </w:pPr>
      <w:r w:rsidRPr="0831ED43">
        <w:rPr>
          <w:rFonts w:ascii="Calibri" w:eastAsia="Calibri" w:hAnsi="Calibri" w:cs="Calibri"/>
          <w:sz w:val="24"/>
          <w:szCs w:val="24"/>
        </w:rPr>
        <w:t xml:space="preserve">En el producto: Personas beneficiadas con servicios de prevención y tratamiento de COVID-19, se alcanzó una meta física de 63% que corresponde a 3,162,794 personas atendidas en el año y una ejecución financiera de 90%. Se atendió a un total de 436,594 personas con tratamiento y 2,623,663 personas, beneficiadas con servicios de prevención de COVID-19. </w:t>
      </w:r>
    </w:p>
    <w:p w14:paraId="42EF1C8E" w14:textId="44D78126" w:rsidR="5499291F" w:rsidRDefault="0831ED43" w:rsidP="009B4095">
      <w:pPr>
        <w:spacing w:after="120" w:line="240" w:lineRule="auto"/>
        <w:jc w:val="both"/>
      </w:pPr>
      <w:r w:rsidRPr="0831ED43">
        <w:rPr>
          <w:rFonts w:ascii="Calibri" w:eastAsia="Calibri" w:hAnsi="Calibri" w:cs="Calibri"/>
          <w:sz w:val="24"/>
          <w:szCs w:val="24"/>
        </w:rPr>
        <w:t xml:space="preserve">El MINEDUC, en el marco de la atención al COVID-19, reportó las siguientes acciones institucionales </w:t>
      </w:r>
      <w:r w:rsidR="009B4095">
        <w:rPr>
          <w:rStyle w:val="Refdenotaalpie"/>
          <w:rFonts w:ascii="Calibri" w:eastAsia="Calibri" w:hAnsi="Calibri" w:cs="Calibri"/>
          <w:sz w:val="24"/>
          <w:szCs w:val="24"/>
        </w:rPr>
        <w:footnoteReference w:id="5"/>
      </w:r>
      <w:r w:rsidR="009B4095">
        <w:rPr>
          <w:rFonts w:ascii="Calibri" w:eastAsia="Calibri" w:hAnsi="Calibri" w:cs="Calibri"/>
          <w:sz w:val="24"/>
          <w:szCs w:val="24"/>
        </w:rPr>
        <w:t>:</w:t>
      </w:r>
    </w:p>
    <w:p w14:paraId="5F93FD6E" w14:textId="2AB57B07" w:rsidR="5499291F" w:rsidRDefault="0831ED43" w:rsidP="005321FC">
      <w:pPr>
        <w:pStyle w:val="Prrafodelista"/>
        <w:numPr>
          <w:ilvl w:val="0"/>
          <w:numId w:val="8"/>
        </w:numPr>
        <w:spacing w:after="120" w:line="240" w:lineRule="auto"/>
        <w:contextualSpacing w:val="0"/>
        <w:jc w:val="both"/>
        <w:rPr>
          <w:rFonts w:ascii="Calibri" w:eastAsia="Calibri" w:hAnsi="Calibri" w:cs="Calibri"/>
          <w:sz w:val="24"/>
          <w:szCs w:val="24"/>
        </w:rPr>
      </w:pPr>
      <w:r w:rsidRPr="0831ED43">
        <w:rPr>
          <w:rFonts w:ascii="Calibri" w:eastAsia="Calibri" w:hAnsi="Calibri" w:cs="Calibri"/>
          <w:sz w:val="24"/>
          <w:szCs w:val="24"/>
        </w:rPr>
        <w:t>El programa Seguro Médico Escolar proporcionó atenciones médicas a los alumnos asegurados, las cuales se describen a continuación:</w:t>
      </w:r>
    </w:p>
    <w:p w14:paraId="79713F22" w14:textId="2C854F34" w:rsidR="5499291F" w:rsidRDefault="0831ED43" w:rsidP="00EC3957">
      <w:pPr>
        <w:pStyle w:val="Prrafodelista"/>
        <w:numPr>
          <w:ilvl w:val="0"/>
          <w:numId w:val="7"/>
        </w:numPr>
        <w:spacing w:after="0" w:line="240" w:lineRule="auto"/>
        <w:ind w:left="714" w:hanging="357"/>
        <w:contextualSpacing w:val="0"/>
        <w:jc w:val="both"/>
        <w:rPr>
          <w:rFonts w:ascii="Calibri" w:eastAsia="Calibri" w:hAnsi="Calibri" w:cs="Calibri"/>
          <w:sz w:val="24"/>
          <w:szCs w:val="24"/>
        </w:rPr>
      </w:pPr>
      <w:r w:rsidRPr="0831ED43">
        <w:rPr>
          <w:rFonts w:ascii="Calibri" w:eastAsia="Calibri" w:hAnsi="Calibri" w:cs="Calibri"/>
          <w:sz w:val="24"/>
          <w:szCs w:val="24"/>
        </w:rPr>
        <w:t>194,733 asistencias médicas presenciales</w:t>
      </w:r>
    </w:p>
    <w:p w14:paraId="00CC666D" w14:textId="726B8A63" w:rsidR="5499291F" w:rsidRDefault="0831ED43" w:rsidP="00EC3957">
      <w:pPr>
        <w:pStyle w:val="Prrafodelista"/>
        <w:numPr>
          <w:ilvl w:val="0"/>
          <w:numId w:val="7"/>
        </w:numPr>
        <w:spacing w:after="0" w:line="240" w:lineRule="auto"/>
        <w:ind w:left="714" w:hanging="357"/>
        <w:contextualSpacing w:val="0"/>
        <w:jc w:val="both"/>
        <w:rPr>
          <w:rFonts w:ascii="Calibri" w:eastAsia="Calibri" w:hAnsi="Calibri" w:cs="Calibri"/>
          <w:sz w:val="24"/>
          <w:szCs w:val="24"/>
        </w:rPr>
      </w:pPr>
      <w:r w:rsidRPr="0831ED43">
        <w:rPr>
          <w:rFonts w:ascii="Calibri" w:eastAsia="Calibri" w:hAnsi="Calibri" w:cs="Calibri"/>
          <w:sz w:val="24"/>
          <w:szCs w:val="24"/>
        </w:rPr>
        <w:t>770,174 asistencias médicas telefónicas</w:t>
      </w:r>
    </w:p>
    <w:p w14:paraId="1C0E0D3C" w14:textId="2DC0C7F9" w:rsidR="5499291F" w:rsidRDefault="0831ED43" w:rsidP="00EC3957">
      <w:pPr>
        <w:pStyle w:val="Prrafodelista"/>
        <w:numPr>
          <w:ilvl w:val="0"/>
          <w:numId w:val="7"/>
        </w:numPr>
        <w:spacing w:after="0" w:line="240" w:lineRule="auto"/>
        <w:ind w:left="714" w:hanging="357"/>
        <w:contextualSpacing w:val="0"/>
        <w:jc w:val="both"/>
        <w:rPr>
          <w:rFonts w:ascii="Calibri" w:eastAsia="Calibri" w:hAnsi="Calibri" w:cs="Calibri"/>
          <w:sz w:val="24"/>
          <w:szCs w:val="24"/>
        </w:rPr>
      </w:pPr>
      <w:r w:rsidRPr="0831ED43">
        <w:rPr>
          <w:rFonts w:ascii="Calibri" w:eastAsia="Calibri" w:hAnsi="Calibri" w:cs="Calibri"/>
          <w:sz w:val="24"/>
          <w:szCs w:val="24"/>
        </w:rPr>
        <w:t>6,860 gastos médicos por accidente personal</w:t>
      </w:r>
    </w:p>
    <w:p w14:paraId="6E48AF4F" w14:textId="5E85E386" w:rsidR="5499291F" w:rsidRDefault="0831ED43" w:rsidP="00EC3957">
      <w:pPr>
        <w:pStyle w:val="Prrafodelista"/>
        <w:numPr>
          <w:ilvl w:val="0"/>
          <w:numId w:val="7"/>
        </w:numPr>
        <w:spacing w:after="0" w:line="240" w:lineRule="auto"/>
        <w:ind w:left="714" w:hanging="357"/>
        <w:contextualSpacing w:val="0"/>
        <w:jc w:val="both"/>
        <w:rPr>
          <w:rFonts w:ascii="Calibri" w:eastAsia="Calibri" w:hAnsi="Calibri" w:cs="Calibri"/>
          <w:sz w:val="24"/>
          <w:szCs w:val="24"/>
        </w:rPr>
      </w:pPr>
      <w:r w:rsidRPr="0831ED43">
        <w:rPr>
          <w:rFonts w:ascii="Calibri" w:eastAsia="Calibri" w:hAnsi="Calibri" w:cs="Calibri"/>
          <w:sz w:val="24"/>
          <w:szCs w:val="24"/>
        </w:rPr>
        <w:t>275 seguimientos tras receta médica</w:t>
      </w:r>
    </w:p>
    <w:p w14:paraId="72494638" w14:textId="2F62798A" w:rsidR="5499291F" w:rsidRDefault="0831ED43" w:rsidP="00EC3957">
      <w:pPr>
        <w:pStyle w:val="Prrafodelista"/>
        <w:numPr>
          <w:ilvl w:val="0"/>
          <w:numId w:val="7"/>
        </w:numPr>
        <w:spacing w:after="0" w:line="240" w:lineRule="auto"/>
        <w:ind w:left="714" w:hanging="357"/>
        <w:contextualSpacing w:val="0"/>
        <w:jc w:val="both"/>
        <w:rPr>
          <w:rFonts w:ascii="Calibri" w:eastAsia="Calibri" w:hAnsi="Calibri" w:cs="Calibri"/>
          <w:sz w:val="24"/>
          <w:szCs w:val="24"/>
        </w:rPr>
      </w:pPr>
      <w:r w:rsidRPr="0831ED43">
        <w:rPr>
          <w:rFonts w:ascii="Calibri" w:eastAsia="Calibri" w:hAnsi="Calibri" w:cs="Calibri"/>
          <w:sz w:val="24"/>
          <w:szCs w:val="24"/>
        </w:rPr>
        <w:t>253 servicios funerarios</w:t>
      </w:r>
    </w:p>
    <w:p w14:paraId="6B7B802D" w14:textId="6A6616D4" w:rsidR="5499291F" w:rsidRDefault="0831ED43" w:rsidP="00EC3957">
      <w:pPr>
        <w:pStyle w:val="Prrafodelista"/>
        <w:numPr>
          <w:ilvl w:val="0"/>
          <w:numId w:val="8"/>
        </w:numPr>
        <w:spacing w:before="120" w:after="120" w:line="240" w:lineRule="auto"/>
        <w:ind w:left="714" w:hanging="357"/>
        <w:contextualSpacing w:val="0"/>
        <w:jc w:val="both"/>
        <w:rPr>
          <w:rFonts w:ascii="Calibri" w:eastAsia="Calibri" w:hAnsi="Calibri" w:cs="Calibri"/>
          <w:sz w:val="24"/>
          <w:szCs w:val="24"/>
        </w:rPr>
      </w:pPr>
      <w:r w:rsidRPr="0831ED43">
        <w:rPr>
          <w:rFonts w:ascii="Calibri" w:eastAsia="Calibri" w:hAnsi="Calibri" w:cs="Calibri"/>
          <w:sz w:val="24"/>
          <w:szCs w:val="24"/>
        </w:rPr>
        <w:t xml:space="preserve">4,138,408 estudiantes del Sistema Educativo Nacional cuentan con lineamientos de bioseguridad para ambientes seguros ante COVID-19 en el marco de la modalidad presencial en centros educativos, a través de 12 protocolos que han sido actualizados acorde a la evolución de la pandemia. </w:t>
      </w:r>
    </w:p>
    <w:p w14:paraId="67EA5D86" w14:textId="5C05C910" w:rsidR="5499291F" w:rsidRDefault="0831ED43" w:rsidP="005321FC">
      <w:pPr>
        <w:pStyle w:val="Prrafodelista"/>
        <w:numPr>
          <w:ilvl w:val="0"/>
          <w:numId w:val="8"/>
        </w:numPr>
        <w:spacing w:after="120" w:line="240" w:lineRule="auto"/>
        <w:contextualSpacing w:val="0"/>
        <w:jc w:val="both"/>
        <w:rPr>
          <w:rFonts w:ascii="Calibri" w:eastAsia="Calibri" w:hAnsi="Calibri" w:cs="Calibri"/>
          <w:sz w:val="24"/>
          <w:szCs w:val="24"/>
        </w:rPr>
      </w:pPr>
      <w:r w:rsidRPr="0831ED43">
        <w:rPr>
          <w:rFonts w:ascii="Calibri" w:eastAsia="Calibri" w:hAnsi="Calibri" w:cs="Calibri"/>
          <w:sz w:val="24"/>
          <w:szCs w:val="24"/>
        </w:rPr>
        <w:t>158,971 directores y docentes de centros educativos, de todos los sectores, fueron capacitados sobre las nuevas medidas de bioseguridad y protocolos actualizados con base en el Acuerdo Ministerial Número 1600-2022 del MINEDUC. Se contó con el acompañamiento de un infectólogo pediatra para el efecto.</w:t>
      </w:r>
    </w:p>
    <w:p w14:paraId="278B582B" w14:textId="0722C53C" w:rsidR="5499291F" w:rsidRDefault="0831ED43" w:rsidP="005321FC">
      <w:pPr>
        <w:pStyle w:val="Prrafodelista"/>
        <w:numPr>
          <w:ilvl w:val="0"/>
          <w:numId w:val="8"/>
        </w:numPr>
        <w:spacing w:after="120" w:line="240" w:lineRule="auto"/>
        <w:contextualSpacing w:val="0"/>
        <w:jc w:val="both"/>
        <w:rPr>
          <w:rFonts w:ascii="Calibri" w:eastAsia="Calibri" w:hAnsi="Calibri" w:cs="Calibri"/>
          <w:sz w:val="24"/>
          <w:szCs w:val="24"/>
        </w:rPr>
      </w:pPr>
      <w:r w:rsidRPr="0831ED43">
        <w:rPr>
          <w:rFonts w:ascii="Calibri" w:eastAsia="Calibri" w:hAnsi="Calibri" w:cs="Calibri"/>
          <w:sz w:val="24"/>
          <w:szCs w:val="24"/>
        </w:rPr>
        <w:t xml:space="preserve">13,739 encargados de salud escolar capacitados sobre el conocimiento básico de la enfermedad de COVID-19, manejo y referencia sobre casos sospechosos y vacunación. </w:t>
      </w:r>
    </w:p>
    <w:p w14:paraId="282D18C9" w14:textId="3886A08E" w:rsidR="5499291F" w:rsidRDefault="0831ED43" w:rsidP="005321FC">
      <w:pPr>
        <w:pStyle w:val="Prrafodelista"/>
        <w:numPr>
          <w:ilvl w:val="0"/>
          <w:numId w:val="8"/>
        </w:numPr>
        <w:spacing w:after="120" w:line="240" w:lineRule="auto"/>
        <w:contextualSpacing w:val="0"/>
        <w:jc w:val="both"/>
        <w:rPr>
          <w:rFonts w:ascii="Calibri" w:eastAsia="Calibri" w:hAnsi="Calibri" w:cs="Calibri"/>
          <w:sz w:val="24"/>
          <w:szCs w:val="24"/>
        </w:rPr>
      </w:pPr>
      <w:r w:rsidRPr="0831ED43">
        <w:rPr>
          <w:rFonts w:ascii="Calibri" w:eastAsia="Calibri" w:hAnsi="Calibri" w:cs="Calibri"/>
          <w:sz w:val="24"/>
          <w:szCs w:val="24"/>
        </w:rPr>
        <w:t>Gestión administrativa en centros educativos privados para continuar con la modalidad híbrida, en su componente presencial, en alerta sanitaria color naranja y rojo. Al respecto, se generaron 76 constancias de autorización de funcionamiento en alerta naranja y 291 para el funcionamiento de centros ubicados en municipios con alerta color rojo. El MSPAS, realizó la visita de verificación de la implementación de los Protocolos establecidos por el MINEDUC.</w:t>
      </w:r>
    </w:p>
    <w:p w14:paraId="40EC51A2" w14:textId="3020DD92" w:rsidR="5499291F" w:rsidRDefault="0831ED43" w:rsidP="009B4095">
      <w:pPr>
        <w:spacing w:after="120" w:line="240" w:lineRule="auto"/>
        <w:jc w:val="both"/>
      </w:pPr>
      <w:r w:rsidRPr="0831ED43">
        <w:rPr>
          <w:rFonts w:ascii="Calibri" w:eastAsia="Calibri" w:hAnsi="Calibri" w:cs="Calibri"/>
          <w:sz w:val="24"/>
          <w:szCs w:val="24"/>
        </w:rPr>
        <w:t>Por su parte, el MINDEF, apoyó en jornadas de vacunación con más de 4,000 soldados desplegados a nivel nacional y con 115 puestos de vacunación con apoyo directo de personal militar, administrando más de 2,952,187 de dosis y más de 304,648 hisopados realizados. Así también, se realizó la construcción y remodelación de módulos COVID-19 en Huehuetenango Cuilapa y Hospital Temporal en el Parque de la Industria.</w:t>
      </w:r>
    </w:p>
    <w:p w14:paraId="7DC6A263" w14:textId="5391BBF1" w:rsidR="5499291F" w:rsidRDefault="0831ED43" w:rsidP="009B4095">
      <w:pPr>
        <w:spacing w:after="120" w:line="240" w:lineRule="auto"/>
        <w:jc w:val="both"/>
      </w:pPr>
      <w:r w:rsidRPr="0831ED43">
        <w:rPr>
          <w:rFonts w:ascii="Calibri" w:eastAsia="Calibri" w:hAnsi="Calibri" w:cs="Calibri"/>
          <w:sz w:val="24"/>
          <w:szCs w:val="24"/>
        </w:rPr>
        <w:t xml:space="preserve">Por último, el MINFIN realizó varias acciones con el fin de velar por el bienestar y salud de los colaboradores, dentro de las cuales se mencionan las siguientes: </w:t>
      </w:r>
    </w:p>
    <w:p w14:paraId="481A54C6" w14:textId="74D33E19" w:rsidR="5499291F" w:rsidRDefault="0831ED43" w:rsidP="005321FC">
      <w:pPr>
        <w:pStyle w:val="Prrafodelista"/>
        <w:numPr>
          <w:ilvl w:val="0"/>
          <w:numId w:val="6"/>
        </w:numPr>
        <w:spacing w:after="120" w:line="240" w:lineRule="auto"/>
        <w:contextualSpacing w:val="0"/>
        <w:jc w:val="both"/>
        <w:rPr>
          <w:rFonts w:ascii="Calibri" w:eastAsia="Calibri" w:hAnsi="Calibri" w:cs="Calibri"/>
          <w:sz w:val="24"/>
          <w:szCs w:val="24"/>
        </w:rPr>
      </w:pPr>
      <w:r w:rsidRPr="0831ED43">
        <w:rPr>
          <w:rFonts w:ascii="Calibri" w:eastAsia="Calibri" w:hAnsi="Calibri" w:cs="Calibri"/>
          <w:sz w:val="24"/>
          <w:szCs w:val="24"/>
        </w:rPr>
        <w:t>Realización de tres jornadas de vacunación: Primera jornada, se puso a disposición de los colaboradores la dosis de refuerzo, dando las opciones de suministrarse la Vacuna Moderna, Pfizer, AstraZeneca o Sputnik V, de tal forma de que las personas que laboran en ese Ministerio contaran con el esquema completo de vacunación. En la segunda jornada, se aplicó la 4ta. dosis de vacunación contra el COVID-19, para personas mayores de 50 años o con enfermedades crónicas, por último, la tercera jornada para la vacunación contra la I</w:t>
      </w:r>
      <w:r w:rsidR="006538A0">
        <w:rPr>
          <w:rFonts w:ascii="Calibri" w:eastAsia="Calibri" w:hAnsi="Calibri" w:cs="Calibri"/>
          <w:sz w:val="24"/>
          <w:szCs w:val="24"/>
        </w:rPr>
        <w:t>nfluenza.</w:t>
      </w:r>
    </w:p>
    <w:p w14:paraId="55B29417" w14:textId="5E132611" w:rsidR="5499291F" w:rsidRDefault="0831ED43" w:rsidP="005321FC">
      <w:pPr>
        <w:pStyle w:val="Prrafodelista"/>
        <w:numPr>
          <w:ilvl w:val="0"/>
          <w:numId w:val="6"/>
        </w:numPr>
        <w:spacing w:after="120" w:line="240" w:lineRule="auto"/>
        <w:contextualSpacing w:val="0"/>
        <w:jc w:val="both"/>
        <w:rPr>
          <w:rFonts w:ascii="Calibri" w:eastAsia="Calibri" w:hAnsi="Calibri" w:cs="Calibri"/>
          <w:sz w:val="24"/>
          <w:szCs w:val="24"/>
        </w:rPr>
      </w:pPr>
      <w:r w:rsidRPr="0831ED43">
        <w:rPr>
          <w:rFonts w:ascii="Calibri" w:eastAsia="Calibri" w:hAnsi="Calibri" w:cs="Calibri"/>
          <w:sz w:val="24"/>
          <w:szCs w:val="24"/>
        </w:rPr>
        <w:t>Como parte de la estrategia de prevención y control de brotes de COVID-19, el MINFIN, brindó atención en el manejo de casos sospechosos y confirmados positivos entre los trabajadores, contratistas y su núcleo familiar (papás, hijos y cónyuges), para pacientes con síntomas de leve a moderado con tratamiento ambulatorio en casa, atendiendo durante el 2022, tres mil setecientas treinta y dos (3,732) consultas, de las cuales se hizo entrega de 1,129 kit de tratamiento ambulatorio.</w:t>
      </w:r>
    </w:p>
    <w:p w14:paraId="53D5FC0A" w14:textId="77777777" w:rsidR="00E6534A" w:rsidRPr="00644EA2" w:rsidRDefault="0831ED43" w:rsidP="00644EA2">
      <w:pPr>
        <w:pStyle w:val="Ttulo2"/>
        <w:numPr>
          <w:ilvl w:val="0"/>
          <w:numId w:val="0"/>
        </w:numPr>
        <w:rPr>
          <w:rFonts w:asciiTheme="minorHAnsi" w:eastAsia="Calibri" w:hAnsiTheme="minorHAnsi" w:cstheme="minorHAnsi"/>
          <w:color w:val="002060"/>
          <w:sz w:val="32"/>
        </w:rPr>
      </w:pPr>
      <w:bookmarkStart w:id="25" w:name="_Toc82580916"/>
      <w:bookmarkStart w:id="26" w:name="_Toc82611534"/>
      <w:bookmarkStart w:id="27" w:name="_Toc130301104"/>
      <w:bookmarkStart w:id="28" w:name="_Toc50824682"/>
      <w:bookmarkStart w:id="29" w:name="_Toc66379896"/>
      <w:r w:rsidRPr="00644EA2">
        <w:rPr>
          <w:rFonts w:asciiTheme="minorHAnsi" w:eastAsia="Calibri" w:hAnsiTheme="minorHAnsi" w:cstheme="minorHAnsi"/>
          <w:color w:val="002060"/>
          <w:sz w:val="32"/>
        </w:rPr>
        <w:t>Secretarías</w:t>
      </w:r>
      <w:bookmarkEnd w:id="25"/>
      <w:bookmarkEnd w:id="26"/>
      <w:bookmarkEnd w:id="27"/>
    </w:p>
    <w:p w14:paraId="0D7F2666" w14:textId="5C918B8B" w:rsidR="00C0232A" w:rsidRDefault="0831ED43" w:rsidP="00BD6D78">
      <w:pPr>
        <w:spacing w:after="120" w:line="240" w:lineRule="auto"/>
        <w:jc w:val="both"/>
        <w:rPr>
          <w:rFonts w:eastAsia="Calibri" w:cs="Calibri"/>
          <w:b/>
          <w:bCs/>
          <w:caps/>
          <w:color w:val="4472C4" w:themeColor="accent1"/>
          <w:sz w:val="24"/>
          <w:szCs w:val="24"/>
          <w:lang w:val="es"/>
        </w:rPr>
      </w:pPr>
      <w:r w:rsidRPr="0831ED43">
        <w:rPr>
          <w:rFonts w:ascii="Calibri" w:eastAsia="Calibri" w:hAnsi="Calibri" w:cs="Calibri"/>
          <w:sz w:val="24"/>
          <w:szCs w:val="24"/>
        </w:rPr>
        <w:t>Se presentan los resultados del desempeño institucional de las secretarías a través del análisis de los porcentajes de ejecución de metas físicas y financieras. Los resultados son los siguientes:</w:t>
      </w:r>
    </w:p>
    <w:p w14:paraId="146C1947" w14:textId="7F01B7AA" w:rsidR="0831ED43" w:rsidRPr="006645F7" w:rsidRDefault="00E42F53" w:rsidP="006645F7">
      <w:pPr>
        <w:pStyle w:val="ttulosgrficas"/>
        <w:rPr>
          <w:rFonts w:asciiTheme="minorHAnsi" w:hAnsiTheme="minorHAnsi" w:cstheme="minorHAnsi"/>
          <w:color w:val="4472C4" w:themeColor="accent1"/>
          <w:lang w:val="es-ES"/>
        </w:rPr>
      </w:pPr>
      <w:bookmarkStart w:id="30" w:name="_Toc130199597"/>
      <w:r w:rsidRPr="006645F7">
        <w:rPr>
          <w:rFonts w:asciiTheme="minorHAnsi" w:hAnsiTheme="minorHAnsi" w:cstheme="minorHAnsi"/>
          <w:color w:val="4472C4" w:themeColor="accent1"/>
          <w:lang w:val="es-ES"/>
        </w:rPr>
        <w:t xml:space="preserve">Tabla </w:t>
      </w:r>
      <w:r w:rsidR="00A836C2" w:rsidRPr="006645F7">
        <w:rPr>
          <w:rFonts w:asciiTheme="minorHAnsi" w:hAnsiTheme="minorHAnsi" w:cstheme="minorHAnsi"/>
          <w:color w:val="4472C4" w:themeColor="accent1"/>
          <w:lang w:val="es-ES"/>
        </w:rPr>
        <w:fldChar w:fldCharType="begin"/>
      </w:r>
      <w:r w:rsidR="00A836C2" w:rsidRPr="006645F7">
        <w:rPr>
          <w:rFonts w:asciiTheme="minorHAnsi" w:hAnsiTheme="minorHAnsi" w:cstheme="minorHAnsi"/>
          <w:color w:val="4472C4" w:themeColor="accent1"/>
          <w:lang w:val="es-ES"/>
        </w:rPr>
        <w:instrText xml:space="preserve"> SEQ Tabla \* ARABIC </w:instrText>
      </w:r>
      <w:r w:rsidR="00A836C2" w:rsidRPr="006645F7">
        <w:rPr>
          <w:rFonts w:asciiTheme="minorHAnsi" w:hAnsiTheme="minorHAnsi" w:cstheme="minorHAnsi"/>
          <w:color w:val="4472C4" w:themeColor="accent1"/>
          <w:lang w:val="es-ES"/>
        </w:rPr>
        <w:fldChar w:fldCharType="separate"/>
      </w:r>
      <w:r w:rsidR="00777974">
        <w:rPr>
          <w:rFonts w:asciiTheme="minorHAnsi" w:hAnsiTheme="minorHAnsi" w:cstheme="minorHAnsi"/>
          <w:noProof/>
          <w:color w:val="4472C4" w:themeColor="accent1"/>
          <w:lang w:val="es-ES"/>
        </w:rPr>
        <w:t>9</w:t>
      </w:r>
      <w:r w:rsidR="00A836C2" w:rsidRPr="006645F7">
        <w:rPr>
          <w:rFonts w:asciiTheme="minorHAnsi" w:hAnsiTheme="minorHAnsi" w:cstheme="minorHAnsi"/>
          <w:color w:val="4472C4" w:themeColor="accent1"/>
          <w:lang w:val="es-ES"/>
        </w:rPr>
        <w:fldChar w:fldCharType="end"/>
      </w:r>
      <w:r w:rsidRPr="006645F7">
        <w:rPr>
          <w:rFonts w:asciiTheme="minorHAnsi" w:hAnsiTheme="minorHAnsi" w:cstheme="minorHAnsi"/>
          <w:color w:val="4472C4" w:themeColor="accent1"/>
          <w:lang w:val="es-ES"/>
        </w:rPr>
        <w:t>. Ejecución Física y Financiera. Secretarías</w:t>
      </w:r>
      <w:bookmarkEnd w:id="30"/>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175"/>
        <w:gridCol w:w="2070"/>
        <w:gridCol w:w="2040"/>
        <w:gridCol w:w="1485"/>
        <w:gridCol w:w="1530"/>
      </w:tblGrid>
      <w:tr w:rsidR="0831ED43" w:rsidRPr="00E42F53" w14:paraId="52FCFBC1" w14:textId="77777777" w:rsidTr="009B4095">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17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5FC7652D" w14:textId="311037F1" w:rsidR="0831ED43" w:rsidRPr="00E42F53" w:rsidRDefault="0831ED43" w:rsidP="0831ED43">
            <w:pPr>
              <w:jc w:val="center"/>
              <w:rPr>
                <w:rFonts w:cs="Calibri"/>
                <w:sz w:val="22"/>
                <w:szCs w:val="22"/>
                <w:lang w:val="es"/>
              </w:rPr>
            </w:pPr>
            <w:r w:rsidRPr="00E42F53">
              <w:rPr>
                <w:rFonts w:cs="Calibri"/>
                <w:color w:val="auto"/>
                <w:sz w:val="22"/>
                <w:szCs w:val="22"/>
                <w:lang w:val="es"/>
              </w:rPr>
              <w:t>Institución</w:t>
            </w:r>
          </w:p>
        </w:tc>
        <w:tc>
          <w:tcPr>
            <w:tcW w:w="207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0B0893C" w14:textId="7B280304" w:rsidR="0831ED43" w:rsidRPr="00E42F53" w:rsidRDefault="0831ED43" w:rsidP="0831ED4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00E42F53">
              <w:rPr>
                <w:rFonts w:cs="Calibri"/>
                <w:color w:val="auto"/>
                <w:sz w:val="22"/>
                <w:szCs w:val="22"/>
                <w:lang w:val="es"/>
              </w:rPr>
              <w:t>Meta financiera anual vigente</w:t>
            </w:r>
          </w:p>
        </w:tc>
        <w:tc>
          <w:tcPr>
            <w:tcW w:w="204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64E6AF0D" w14:textId="4DC59BE1" w:rsidR="0831ED43" w:rsidRPr="00E42F53" w:rsidRDefault="0831ED43" w:rsidP="0831ED4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00E42F53">
              <w:rPr>
                <w:rFonts w:cs="Calibri"/>
                <w:color w:val="auto"/>
                <w:sz w:val="22"/>
                <w:szCs w:val="22"/>
                <w:lang w:val="es"/>
              </w:rPr>
              <w:t>Ejecución financiera acumulada</w:t>
            </w:r>
          </w:p>
        </w:tc>
        <w:tc>
          <w:tcPr>
            <w:tcW w:w="148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22E5A88" w14:textId="0BF705DB" w:rsidR="0831ED43" w:rsidRPr="00E42F53" w:rsidRDefault="0831ED43" w:rsidP="0831ED4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00E42F53">
              <w:rPr>
                <w:rFonts w:cs="Calibri"/>
                <w:color w:val="auto"/>
                <w:sz w:val="22"/>
                <w:szCs w:val="22"/>
                <w:lang w:val="es"/>
              </w:rPr>
              <w:t xml:space="preserve">% ejecución </w:t>
            </w:r>
            <w:r w:rsidRPr="00E42F53">
              <w:rPr>
                <w:sz w:val="22"/>
                <w:szCs w:val="22"/>
              </w:rPr>
              <w:br/>
            </w:r>
            <w:r w:rsidRPr="00E42F53">
              <w:rPr>
                <w:rFonts w:cs="Calibri"/>
                <w:color w:val="auto"/>
                <w:sz w:val="22"/>
                <w:szCs w:val="22"/>
                <w:lang w:val="es"/>
              </w:rPr>
              <w:t>meta física</w:t>
            </w:r>
          </w:p>
        </w:tc>
        <w:tc>
          <w:tcPr>
            <w:tcW w:w="153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8334205" w14:textId="4155E41C" w:rsidR="0831ED43" w:rsidRPr="00E42F53" w:rsidRDefault="0831ED43" w:rsidP="0831ED43">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00E42F53">
              <w:rPr>
                <w:rFonts w:cs="Calibri"/>
                <w:color w:val="auto"/>
                <w:sz w:val="22"/>
                <w:szCs w:val="22"/>
                <w:lang w:val="es"/>
              </w:rPr>
              <w:t xml:space="preserve">% ejecución </w:t>
            </w:r>
            <w:r w:rsidRPr="00E42F53">
              <w:rPr>
                <w:sz w:val="22"/>
                <w:szCs w:val="22"/>
              </w:rPr>
              <w:br/>
            </w:r>
            <w:r w:rsidRPr="00E42F53">
              <w:rPr>
                <w:rFonts w:cs="Calibri"/>
                <w:color w:val="auto"/>
                <w:sz w:val="22"/>
                <w:szCs w:val="22"/>
                <w:lang w:val="es"/>
              </w:rPr>
              <w:t>meta financiera</w:t>
            </w:r>
          </w:p>
        </w:tc>
      </w:tr>
      <w:tr w:rsidR="0831ED43" w:rsidRPr="00E42F53" w14:paraId="40FF7CDF" w14:textId="77777777" w:rsidTr="009B4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4A24243E" w14:textId="3594D57D"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de Asuntos Administrativos y de Seguridad</w:t>
            </w:r>
          </w:p>
        </w:tc>
        <w:tc>
          <w:tcPr>
            <w:tcW w:w="2070" w:type="dxa"/>
            <w:tcMar>
              <w:left w:w="108" w:type="dxa"/>
              <w:right w:w="108" w:type="dxa"/>
            </w:tcMar>
            <w:vAlign w:val="center"/>
          </w:tcPr>
          <w:p w14:paraId="58A6D996" w14:textId="011C4C66"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Q136,113,686.00</w:t>
            </w:r>
          </w:p>
        </w:tc>
        <w:tc>
          <w:tcPr>
            <w:tcW w:w="2040" w:type="dxa"/>
            <w:tcMar>
              <w:left w:w="108" w:type="dxa"/>
              <w:right w:w="108" w:type="dxa"/>
            </w:tcMar>
            <w:vAlign w:val="center"/>
          </w:tcPr>
          <w:p w14:paraId="4DD310F8" w14:textId="2E34882D"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Q134,760,716.19</w:t>
            </w:r>
          </w:p>
        </w:tc>
        <w:tc>
          <w:tcPr>
            <w:tcW w:w="1485" w:type="dxa"/>
            <w:shd w:val="clear" w:color="auto" w:fill="92D050"/>
            <w:tcMar>
              <w:left w:w="108" w:type="dxa"/>
              <w:right w:w="108" w:type="dxa"/>
            </w:tcMar>
            <w:vAlign w:val="center"/>
          </w:tcPr>
          <w:p w14:paraId="6B3112E9" w14:textId="0F50FB97"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100.00%</w:t>
            </w:r>
          </w:p>
        </w:tc>
        <w:tc>
          <w:tcPr>
            <w:tcW w:w="1530" w:type="dxa"/>
            <w:shd w:val="clear" w:color="auto" w:fill="92D050"/>
            <w:tcMar>
              <w:left w:w="108" w:type="dxa"/>
              <w:right w:w="108" w:type="dxa"/>
            </w:tcMar>
            <w:vAlign w:val="center"/>
          </w:tcPr>
          <w:p w14:paraId="204229BF" w14:textId="58C96FB7"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99.01%</w:t>
            </w:r>
          </w:p>
        </w:tc>
      </w:tr>
      <w:tr w:rsidR="0831ED43" w:rsidRPr="00E42F53" w14:paraId="17330A0B" w14:textId="77777777" w:rsidTr="009B4095">
        <w:trPr>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3F803C33" w14:textId="3680FC1D"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de Inteligencia Estratégica del Estado</w:t>
            </w:r>
          </w:p>
        </w:tc>
        <w:tc>
          <w:tcPr>
            <w:tcW w:w="2070" w:type="dxa"/>
            <w:tcMar>
              <w:left w:w="108" w:type="dxa"/>
              <w:right w:w="108" w:type="dxa"/>
            </w:tcMar>
            <w:vAlign w:val="center"/>
          </w:tcPr>
          <w:p w14:paraId="4A94B3C1" w14:textId="232D6E14"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Q38,000,004.00</w:t>
            </w:r>
          </w:p>
        </w:tc>
        <w:tc>
          <w:tcPr>
            <w:tcW w:w="2040" w:type="dxa"/>
            <w:tcMar>
              <w:left w:w="108" w:type="dxa"/>
              <w:right w:w="108" w:type="dxa"/>
            </w:tcMar>
            <w:vAlign w:val="center"/>
          </w:tcPr>
          <w:p w14:paraId="15ADD61D" w14:textId="16C3DA8D"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Q35,782,915.92</w:t>
            </w:r>
          </w:p>
        </w:tc>
        <w:tc>
          <w:tcPr>
            <w:tcW w:w="1485" w:type="dxa"/>
            <w:shd w:val="clear" w:color="auto" w:fill="92D050"/>
            <w:tcMar>
              <w:left w:w="108" w:type="dxa"/>
              <w:right w:w="108" w:type="dxa"/>
            </w:tcMar>
            <w:vAlign w:val="center"/>
          </w:tcPr>
          <w:p w14:paraId="5BFB2017" w14:textId="3E75F4D4"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100.00%</w:t>
            </w:r>
          </w:p>
        </w:tc>
        <w:tc>
          <w:tcPr>
            <w:tcW w:w="1530" w:type="dxa"/>
            <w:shd w:val="clear" w:color="auto" w:fill="92D050"/>
            <w:tcMar>
              <w:left w:w="108" w:type="dxa"/>
              <w:right w:w="108" w:type="dxa"/>
            </w:tcMar>
            <w:vAlign w:val="center"/>
          </w:tcPr>
          <w:p w14:paraId="30D42C48" w14:textId="7FB42A59"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94.17%</w:t>
            </w:r>
          </w:p>
        </w:tc>
      </w:tr>
      <w:tr w:rsidR="0831ED43" w:rsidRPr="00E42F53" w14:paraId="0FD595B1" w14:textId="77777777" w:rsidTr="009B4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2CD6BE17" w14:textId="27444D75"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de Seguridad Alimentaria y Nutricional</w:t>
            </w:r>
          </w:p>
        </w:tc>
        <w:tc>
          <w:tcPr>
            <w:tcW w:w="2070" w:type="dxa"/>
            <w:tcMar>
              <w:left w:w="108" w:type="dxa"/>
              <w:right w:w="108" w:type="dxa"/>
            </w:tcMar>
            <w:vAlign w:val="center"/>
          </w:tcPr>
          <w:p w14:paraId="07E223D6" w14:textId="7C210D28"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Q53,052,449.00</w:t>
            </w:r>
          </w:p>
        </w:tc>
        <w:tc>
          <w:tcPr>
            <w:tcW w:w="2040" w:type="dxa"/>
            <w:tcMar>
              <w:left w:w="108" w:type="dxa"/>
              <w:right w:w="108" w:type="dxa"/>
            </w:tcMar>
            <w:vAlign w:val="center"/>
          </w:tcPr>
          <w:p w14:paraId="7BB6ED33" w14:textId="4176A96B"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Q52,574,547.99</w:t>
            </w:r>
          </w:p>
        </w:tc>
        <w:tc>
          <w:tcPr>
            <w:tcW w:w="1485" w:type="dxa"/>
            <w:shd w:val="clear" w:color="auto" w:fill="92D050"/>
            <w:tcMar>
              <w:left w:w="108" w:type="dxa"/>
              <w:right w:w="108" w:type="dxa"/>
            </w:tcMar>
            <w:vAlign w:val="center"/>
          </w:tcPr>
          <w:p w14:paraId="64F471CF" w14:textId="15FFF517"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100.00%</w:t>
            </w:r>
          </w:p>
        </w:tc>
        <w:tc>
          <w:tcPr>
            <w:tcW w:w="1530" w:type="dxa"/>
            <w:shd w:val="clear" w:color="auto" w:fill="92D050"/>
            <w:tcMar>
              <w:left w:w="108" w:type="dxa"/>
              <w:right w:w="108" w:type="dxa"/>
            </w:tcMar>
            <w:vAlign w:val="center"/>
          </w:tcPr>
          <w:p w14:paraId="3F65E41D" w14:textId="76D936CF"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99.10%</w:t>
            </w:r>
          </w:p>
        </w:tc>
      </w:tr>
      <w:tr w:rsidR="0831ED43" w:rsidRPr="00E42F53" w14:paraId="3A2BBF46" w14:textId="77777777" w:rsidTr="009B4095">
        <w:trPr>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68114856" w14:textId="004C91AE"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General de la Presidencia de la República</w:t>
            </w:r>
          </w:p>
        </w:tc>
        <w:tc>
          <w:tcPr>
            <w:tcW w:w="2070" w:type="dxa"/>
            <w:tcMar>
              <w:left w:w="108" w:type="dxa"/>
              <w:right w:w="108" w:type="dxa"/>
            </w:tcMar>
            <w:vAlign w:val="center"/>
          </w:tcPr>
          <w:p w14:paraId="6CA03D16" w14:textId="4F33D6FC"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Q39,038,457.00</w:t>
            </w:r>
          </w:p>
        </w:tc>
        <w:tc>
          <w:tcPr>
            <w:tcW w:w="2040" w:type="dxa"/>
            <w:tcMar>
              <w:left w:w="108" w:type="dxa"/>
              <w:right w:w="108" w:type="dxa"/>
            </w:tcMar>
            <w:vAlign w:val="center"/>
          </w:tcPr>
          <w:p w14:paraId="2A06597A" w14:textId="211AE5B0"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Q38,056,832.97</w:t>
            </w:r>
          </w:p>
        </w:tc>
        <w:tc>
          <w:tcPr>
            <w:tcW w:w="1485" w:type="dxa"/>
            <w:shd w:val="clear" w:color="auto" w:fill="92D050"/>
            <w:tcMar>
              <w:left w:w="108" w:type="dxa"/>
              <w:right w:w="108" w:type="dxa"/>
            </w:tcMar>
            <w:vAlign w:val="center"/>
          </w:tcPr>
          <w:p w14:paraId="5366F803" w14:textId="49585125"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100.00%</w:t>
            </w:r>
          </w:p>
        </w:tc>
        <w:tc>
          <w:tcPr>
            <w:tcW w:w="1530" w:type="dxa"/>
            <w:shd w:val="clear" w:color="auto" w:fill="92D050"/>
            <w:tcMar>
              <w:left w:w="108" w:type="dxa"/>
              <w:right w:w="108" w:type="dxa"/>
            </w:tcMar>
            <w:vAlign w:val="center"/>
          </w:tcPr>
          <w:p w14:paraId="47F2AB93" w14:textId="2EC164D7"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97.49%</w:t>
            </w:r>
          </w:p>
        </w:tc>
      </w:tr>
      <w:tr w:rsidR="0831ED43" w:rsidRPr="00E42F53" w14:paraId="403642EC" w14:textId="77777777" w:rsidTr="009B4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21F01131" w14:textId="14F36804"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Privada de la Presidencia de la República</w:t>
            </w:r>
          </w:p>
        </w:tc>
        <w:tc>
          <w:tcPr>
            <w:tcW w:w="2070" w:type="dxa"/>
            <w:tcMar>
              <w:left w:w="108" w:type="dxa"/>
              <w:right w:w="108" w:type="dxa"/>
            </w:tcMar>
            <w:vAlign w:val="center"/>
          </w:tcPr>
          <w:p w14:paraId="62D6B20E" w14:textId="40DA8CF4"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Q13,890,000.00</w:t>
            </w:r>
          </w:p>
        </w:tc>
        <w:tc>
          <w:tcPr>
            <w:tcW w:w="2040" w:type="dxa"/>
            <w:tcMar>
              <w:left w:w="108" w:type="dxa"/>
              <w:right w:w="108" w:type="dxa"/>
            </w:tcMar>
            <w:vAlign w:val="center"/>
          </w:tcPr>
          <w:p w14:paraId="673683C5" w14:textId="2285DA68"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Q13,037,630.97</w:t>
            </w:r>
          </w:p>
        </w:tc>
        <w:tc>
          <w:tcPr>
            <w:tcW w:w="1485" w:type="dxa"/>
            <w:shd w:val="clear" w:color="auto" w:fill="92D050"/>
            <w:tcMar>
              <w:left w:w="108" w:type="dxa"/>
              <w:right w:w="108" w:type="dxa"/>
            </w:tcMar>
            <w:vAlign w:val="center"/>
          </w:tcPr>
          <w:p w14:paraId="22914316" w14:textId="62F4F325"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100.00%</w:t>
            </w:r>
          </w:p>
        </w:tc>
        <w:tc>
          <w:tcPr>
            <w:tcW w:w="1530" w:type="dxa"/>
            <w:shd w:val="clear" w:color="auto" w:fill="92D050"/>
            <w:tcMar>
              <w:left w:w="108" w:type="dxa"/>
              <w:right w:w="108" w:type="dxa"/>
            </w:tcMar>
            <w:vAlign w:val="center"/>
          </w:tcPr>
          <w:p w14:paraId="29409BB3" w14:textId="0D719658"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93.86%</w:t>
            </w:r>
          </w:p>
        </w:tc>
      </w:tr>
      <w:tr w:rsidR="0831ED43" w:rsidRPr="00E42F53" w14:paraId="20563AB5" w14:textId="77777777" w:rsidTr="009B4095">
        <w:trPr>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36932031" w14:textId="3658D36B"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Ejecutiva de la Instancia Coordinadora de Modernización del Sector Justicia</w:t>
            </w:r>
          </w:p>
        </w:tc>
        <w:tc>
          <w:tcPr>
            <w:tcW w:w="2070" w:type="dxa"/>
            <w:tcMar>
              <w:left w:w="108" w:type="dxa"/>
              <w:right w:w="108" w:type="dxa"/>
            </w:tcMar>
            <w:vAlign w:val="center"/>
          </w:tcPr>
          <w:p w14:paraId="3DB9A791" w14:textId="4168CA80"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Q41,845,754.73</w:t>
            </w:r>
          </w:p>
        </w:tc>
        <w:tc>
          <w:tcPr>
            <w:tcW w:w="2040" w:type="dxa"/>
            <w:tcMar>
              <w:left w:w="108" w:type="dxa"/>
              <w:right w:w="108" w:type="dxa"/>
            </w:tcMar>
            <w:vAlign w:val="center"/>
          </w:tcPr>
          <w:p w14:paraId="31E05F84" w14:textId="72741A89"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Q29,962,023.51</w:t>
            </w:r>
          </w:p>
        </w:tc>
        <w:tc>
          <w:tcPr>
            <w:tcW w:w="1485" w:type="dxa"/>
            <w:shd w:val="clear" w:color="auto" w:fill="92D050"/>
            <w:tcMar>
              <w:left w:w="108" w:type="dxa"/>
              <w:right w:w="108" w:type="dxa"/>
            </w:tcMar>
            <w:vAlign w:val="center"/>
          </w:tcPr>
          <w:p w14:paraId="1CB68A4E" w14:textId="0B2F8038"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100.00%</w:t>
            </w:r>
          </w:p>
        </w:tc>
        <w:tc>
          <w:tcPr>
            <w:tcW w:w="1530" w:type="dxa"/>
            <w:shd w:val="clear" w:color="auto" w:fill="FFFF00"/>
            <w:tcMar>
              <w:left w:w="108" w:type="dxa"/>
              <w:right w:w="108" w:type="dxa"/>
            </w:tcMar>
            <w:vAlign w:val="center"/>
          </w:tcPr>
          <w:p w14:paraId="13F2F088" w14:textId="4C261F07"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71.60%</w:t>
            </w:r>
          </w:p>
        </w:tc>
      </w:tr>
      <w:tr w:rsidR="0831ED43" w:rsidRPr="00E42F53" w14:paraId="6B8A5E17" w14:textId="77777777" w:rsidTr="009B4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3EC8F9A6" w14:textId="3676C879"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de Comunicación Social de la Presidencia de la República</w:t>
            </w:r>
          </w:p>
        </w:tc>
        <w:tc>
          <w:tcPr>
            <w:tcW w:w="2070" w:type="dxa"/>
            <w:tcMar>
              <w:left w:w="108" w:type="dxa"/>
              <w:right w:w="108" w:type="dxa"/>
            </w:tcMar>
            <w:vAlign w:val="center"/>
          </w:tcPr>
          <w:p w14:paraId="6A776EB5" w14:textId="21E55F36"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Q64,100,000.00</w:t>
            </w:r>
          </w:p>
        </w:tc>
        <w:tc>
          <w:tcPr>
            <w:tcW w:w="2040" w:type="dxa"/>
            <w:tcMar>
              <w:left w:w="108" w:type="dxa"/>
              <w:right w:w="108" w:type="dxa"/>
            </w:tcMar>
            <w:vAlign w:val="center"/>
          </w:tcPr>
          <w:p w14:paraId="028F2F5B" w14:textId="45463C04"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Q61,176,631.13</w:t>
            </w:r>
          </w:p>
        </w:tc>
        <w:tc>
          <w:tcPr>
            <w:tcW w:w="1485" w:type="dxa"/>
            <w:shd w:val="clear" w:color="auto" w:fill="92D050"/>
            <w:tcMar>
              <w:left w:w="108" w:type="dxa"/>
              <w:right w:w="108" w:type="dxa"/>
            </w:tcMar>
            <w:vAlign w:val="center"/>
          </w:tcPr>
          <w:p w14:paraId="4BE159B6" w14:textId="18E449E6"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99.97%</w:t>
            </w:r>
          </w:p>
        </w:tc>
        <w:tc>
          <w:tcPr>
            <w:tcW w:w="1530" w:type="dxa"/>
            <w:shd w:val="clear" w:color="auto" w:fill="92D050"/>
            <w:tcMar>
              <w:left w:w="108" w:type="dxa"/>
              <w:right w:w="108" w:type="dxa"/>
            </w:tcMar>
            <w:vAlign w:val="center"/>
          </w:tcPr>
          <w:p w14:paraId="3FEFBE93" w14:textId="6D6375E6"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95.44%</w:t>
            </w:r>
          </w:p>
        </w:tc>
      </w:tr>
      <w:tr w:rsidR="0831ED43" w:rsidRPr="00E42F53" w14:paraId="4B147301" w14:textId="77777777" w:rsidTr="009B4095">
        <w:trPr>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72502DFE" w14:textId="542C49DC"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Técnica del Consejo Nacional de Seguridad</w:t>
            </w:r>
          </w:p>
        </w:tc>
        <w:tc>
          <w:tcPr>
            <w:tcW w:w="2070" w:type="dxa"/>
            <w:tcMar>
              <w:left w:w="108" w:type="dxa"/>
              <w:right w:w="108" w:type="dxa"/>
            </w:tcMar>
            <w:vAlign w:val="center"/>
          </w:tcPr>
          <w:p w14:paraId="1B1AFB70" w14:textId="36DB91A6"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Q28,800,000.00</w:t>
            </w:r>
          </w:p>
        </w:tc>
        <w:tc>
          <w:tcPr>
            <w:tcW w:w="2040" w:type="dxa"/>
            <w:tcMar>
              <w:left w:w="108" w:type="dxa"/>
              <w:right w:w="108" w:type="dxa"/>
            </w:tcMar>
            <w:vAlign w:val="center"/>
          </w:tcPr>
          <w:p w14:paraId="3FC4781B" w14:textId="0BCDEB5D"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Q27,606,538.30</w:t>
            </w:r>
          </w:p>
        </w:tc>
        <w:tc>
          <w:tcPr>
            <w:tcW w:w="1485" w:type="dxa"/>
            <w:shd w:val="clear" w:color="auto" w:fill="92D050"/>
            <w:tcMar>
              <w:left w:w="108" w:type="dxa"/>
              <w:right w:w="108" w:type="dxa"/>
            </w:tcMar>
            <w:vAlign w:val="center"/>
          </w:tcPr>
          <w:p w14:paraId="01C32540" w14:textId="11899A1C"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99.92%</w:t>
            </w:r>
          </w:p>
        </w:tc>
        <w:tc>
          <w:tcPr>
            <w:tcW w:w="1530" w:type="dxa"/>
            <w:shd w:val="clear" w:color="auto" w:fill="92D050"/>
            <w:tcMar>
              <w:left w:w="108" w:type="dxa"/>
              <w:right w:w="108" w:type="dxa"/>
            </w:tcMar>
            <w:vAlign w:val="center"/>
          </w:tcPr>
          <w:p w14:paraId="489CF0D5" w14:textId="65D28931"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95.86%</w:t>
            </w:r>
          </w:p>
        </w:tc>
      </w:tr>
      <w:tr w:rsidR="0831ED43" w:rsidRPr="00E42F53" w14:paraId="55CF65EA" w14:textId="77777777" w:rsidTr="009B4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0A96B2E8" w14:textId="57B7E098"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de Bienestar Social de la Presidencia de la República</w:t>
            </w:r>
          </w:p>
        </w:tc>
        <w:tc>
          <w:tcPr>
            <w:tcW w:w="2070" w:type="dxa"/>
            <w:tcMar>
              <w:left w:w="108" w:type="dxa"/>
              <w:right w:w="108" w:type="dxa"/>
            </w:tcMar>
            <w:vAlign w:val="center"/>
          </w:tcPr>
          <w:p w14:paraId="24133527" w14:textId="27F256AC"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Q278,829,753.00</w:t>
            </w:r>
          </w:p>
        </w:tc>
        <w:tc>
          <w:tcPr>
            <w:tcW w:w="2040" w:type="dxa"/>
            <w:tcMar>
              <w:left w:w="108" w:type="dxa"/>
              <w:right w:w="108" w:type="dxa"/>
            </w:tcMar>
            <w:vAlign w:val="center"/>
          </w:tcPr>
          <w:p w14:paraId="5508D02A" w14:textId="192710D8"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Q110,969,627.28</w:t>
            </w:r>
          </w:p>
        </w:tc>
        <w:tc>
          <w:tcPr>
            <w:tcW w:w="1485" w:type="dxa"/>
            <w:shd w:val="clear" w:color="auto" w:fill="92D050"/>
            <w:tcMar>
              <w:left w:w="108" w:type="dxa"/>
              <w:right w:w="108" w:type="dxa"/>
            </w:tcMar>
            <w:vAlign w:val="center"/>
          </w:tcPr>
          <w:p w14:paraId="0113EB51" w14:textId="01E0D67A"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99.65%</w:t>
            </w:r>
          </w:p>
        </w:tc>
        <w:tc>
          <w:tcPr>
            <w:tcW w:w="1530" w:type="dxa"/>
            <w:shd w:val="clear" w:color="auto" w:fill="FF0000"/>
            <w:tcMar>
              <w:left w:w="108" w:type="dxa"/>
              <w:right w:w="108" w:type="dxa"/>
            </w:tcMar>
            <w:vAlign w:val="center"/>
          </w:tcPr>
          <w:p w14:paraId="72388CF5" w14:textId="65BF9738"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39.80%</w:t>
            </w:r>
          </w:p>
        </w:tc>
      </w:tr>
      <w:tr w:rsidR="0831ED43" w:rsidRPr="00E42F53" w14:paraId="0BB91B2B" w14:textId="77777777" w:rsidTr="009B4095">
        <w:trPr>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3DBFCA26" w14:textId="1F151CC8"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de Planificación y Programación de la Presidencia</w:t>
            </w:r>
          </w:p>
        </w:tc>
        <w:tc>
          <w:tcPr>
            <w:tcW w:w="2070" w:type="dxa"/>
            <w:tcMar>
              <w:left w:w="108" w:type="dxa"/>
              <w:right w:w="108" w:type="dxa"/>
            </w:tcMar>
            <w:vAlign w:val="center"/>
          </w:tcPr>
          <w:p w14:paraId="1CAD5662" w14:textId="67374696"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Q110,169,878.00</w:t>
            </w:r>
          </w:p>
        </w:tc>
        <w:tc>
          <w:tcPr>
            <w:tcW w:w="2040" w:type="dxa"/>
            <w:tcMar>
              <w:left w:w="108" w:type="dxa"/>
              <w:right w:w="108" w:type="dxa"/>
            </w:tcMar>
            <w:vAlign w:val="center"/>
          </w:tcPr>
          <w:p w14:paraId="79054F8B" w14:textId="2FF6DD90"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Q105,942,002.23</w:t>
            </w:r>
          </w:p>
        </w:tc>
        <w:tc>
          <w:tcPr>
            <w:tcW w:w="1485" w:type="dxa"/>
            <w:shd w:val="clear" w:color="auto" w:fill="92D050"/>
            <w:tcMar>
              <w:left w:w="108" w:type="dxa"/>
              <w:right w:w="108" w:type="dxa"/>
            </w:tcMar>
            <w:vAlign w:val="center"/>
          </w:tcPr>
          <w:p w14:paraId="5083375C" w14:textId="18734305"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99.59%</w:t>
            </w:r>
          </w:p>
        </w:tc>
        <w:tc>
          <w:tcPr>
            <w:tcW w:w="1530" w:type="dxa"/>
            <w:shd w:val="clear" w:color="auto" w:fill="92D050"/>
            <w:tcMar>
              <w:left w:w="108" w:type="dxa"/>
              <w:right w:w="108" w:type="dxa"/>
            </w:tcMar>
            <w:vAlign w:val="center"/>
          </w:tcPr>
          <w:p w14:paraId="28109938" w14:textId="3292E733"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96.16%</w:t>
            </w:r>
          </w:p>
        </w:tc>
      </w:tr>
      <w:tr w:rsidR="0831ED43" w:rsidRPr="00E42F53" w14:paraId="281196ED" w14:textId="77777777" w:rsidTr="009B4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750470F7" w14:textId="31078272"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Ejecutiva de la Comisión contra la Adicción y Tráfico Ilícito de Drogas</w:t>
            </w:r>
          </w:p>
        </w:tc>
        <w:tc>
          <w:tcPr>
            <w:tcW w:w="2070" w:type="dxa"/>
            <w:tcMar>
              <w:left w:w="108" w:type="dxa"/>
              <w:right w:w="108" w:type="dxa"/>
            </w:tcMar>
            <w:vAlign w:val="center"/>
          </w:tcPr>
          <w:p w14:paraId="78879EF7" w14:textId="2FAE628F"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Q8,000,000.00</w:t>
            </w:r>
          </w:p>
        </w:tc>
        <w:tc>
          <w:tcPr>
            <w:tcW w:w="2040" w:type="dxa"/>
            <w:tcMar>
              <w:left w:w="108" w:type="dxa"/>
              <w:right w:w="108" w:type="dxa"/>
            </w:tcMar>
            <w:vAlign w:val="center"/>
          </w:tcPr>
          <w:p w14:paraId="29139D8A" w14:textId="3805A2E8"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Q7,364,044.01</w:t>
            </w:r>
          </w:p>
        </w:tc>
        <w:tc>
          <w:tcPr>
            <w:tcW w:w="1485" w:type="dxa"/>
            <w:shd w:val="clear" w:color="auto" w:fill="92D050"/>
            <w:tcMar>
              <w:left w:w="108" w:type="dxa"/>
              <w:right w:w="108" w:type="dxa"/>
            </w:tcMar>
            <w:vAlign w:val="center"/>
          </w:tcPr>
          <w:p w14:paraId="4C28CF84" w14:textId="01E41F04"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98.35%</w:t>
            </w:r>
          </w:p>
        </w:tc>
        <w:tc>
          <w:tcPr>
            <w:tcW w:w="1530" w:type="dxa"/>
            <w:shd w:val="clear" w:color="auto" w:fill="92D050"/>
            <w:tcMar>
              <w:left w:w="108" w:type="dxa"/>
              <w:right w:w="108" w:type="dxa"/>
            </w:tcMar>
            <w:vAlign w:val="center"/>
          </w:tcPr>
          <w:p w14:paraId="43151B2A" w14:textId="6F8368C8"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92.05%</w:t>
            </w:r>
          </w:p>
        </w:tc>
      </w:tr>
      <w:tr w:rsidR="0831ED43" w:rsidRPr="00E42F53" w14:paraId="1F4BED7A" w14:textId="77777777" w:rsidTr="009B4095">
        <w:trPr>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4BBFD5E8" w14:textId="3BEBC944"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Presidencial de la Mujer</w:t>
            </w:r>
          </w:p>
        </w:tc>
        <w:tc>
          <w:tcPr>
            <w:tcW w:w="2070" w:type="dxa"/>
            <w:tcMar>
              <w:left w:w="108" w:type="dxa"/>
              <w:right w:w="108" w:type="dxa"/>
            </w:tcMar>
            <w:vAlign w:val="center"/>
          </w:tcPr>
          <w:p w14:paraId="3B9A5910" w14:textId="66697F79"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Q22,910,494.00</w:t>
            </w:r>
          </w:p>
        </w:tc>
        <w:tc>
          <w:tcPr>
            <w:tcW w:w="2040" w:type="dxa"/>
            <w:tcMar>
              <w:left w:w="108" w:type="dxa"/>
              <w:right w:w="108" w:type="dxa"/>
            </w:tcMar>
            <w:vAlign w:val="center"/>
          </w:tcPr>
          <w:p w14:paraId="53D2F045" w14:textId="00E1A585"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Q21,999,912.20</w:t>
            </w:r>
          </w:p>
        </w:tc>
        <w:tc>
          <w:tcPr>
            <w:tcW w:w="1485" w:type="dxa"/>
            <w:shd w:val="clear" w:color="auto" w:fill="92D050"/>
            <w:tcMar>
              <w:left w:w="108" w:type="dxa"/>
              <w:right w:w="108" w:type="dxa"/>
            </w:tcMar>
            <w:vAlign w:val="center"/>
          </w:tcPr>
          <w:p w14:paraId="7E7B3EBF" w14:textId="1C9CEDD0"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95.66%</w:t>
            </w:r>
          </w:p>
        </w:tc>
        <w:tc>
          <w:tcPr>
            <w:tcW w:w="1530" w:type="dxa"/>
            <w:shd w:val="clear" w:color="auto" w:fill="92D050"/>
            <w:tcMar>
              <w:left w:w="108" w:type="dxa"/>
              <w:right w:w="108" w:type="dxa"/>
            </w:tcMar>
            <w:vAlign w:val="center"/>
          </w:tcPr>
          <w:p w14:paraId="5C1706D2" w14:textId="301F9393"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96.03%</w:t>
            </w:r>
          </w:p>
        </w:tc>
      </w:tr>
      <w:tr w:rsidR="0831ED43" w:rsidRPr="00E42F53" w14:paraId="3836841F" w14:textId="77777777" w:rsidTr="009B40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01BAD4FD" w14:textId="47DAAEB2"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Nacional de Ciencia y Tecnología</w:t>
            </w:r>
          </w:p>
        </w:tc>
        <w:tc>
          <w:tcPr>
            <w:tcW w:w="2070" w:type="dxa"/>
            <w:tcMar>
              <w:left w:w="108" w:type="dxa"/>
              <w:right w:w="108" w:type="dxa"/>
            </w:tcMar>
            <w:vAlign w:val="center"/>
          </w:tcPr>
          <w:p w14:paraId="0165A49E" w14:textId="5B544AE1"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Q33,832,000.00</w:t>
            </w:r>
          </w:p>
        </w:tc>
        <w:tc>
          <w:tcPr>
            <w:tcW w:w="2040" w:type="dxa"/>
            <w:tcMar>
              <w:left w:w="108" w:type="dxa"/>
              <w:right w:w="108" w:type="dxa"/>
            </w:tcMar>
            <w:vAlign w:val="center"/>
          </w:tcPr>
          <w:p w14:paraId="58C45852" w14:textId="379CB60F" w:rsidR="0831ED43" w:rsidRPr="00E42F53" w:rsidRDefault="0831ED43" w:rsidP="0831ED43">
            <w:pPr>
              <w:jc w:val="right"/>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sz w:val="22"/>
                <w:szCs w:val="22"/>
                <w:lang w:val="es"/>
              </w:rPr>
              <w:t>Q24,946,939.30</w:t>
            </w:r>
          </w:p>
        </w:tc>
        <w:tc>
          <w:tcPr>
            <w:tcW w:w="1485" w:type="dxa"/>
            <w:shd w:val="clear" w:color="auto" w:fill="92D050"/>
            <w:tcMar>
              <w:left w:w="108" w:type="dxa"/>
              <w:right w:w="108" w:type="dxa"/>
            </w:tcMar>
            <w:vAlign w:val="center"/>
          </w:tcPr>
          <w:p w14:paraId="289252BA" w14:textId="420B575E"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91.52%</w:t>
            </w:r>
          </w:p>
        </w:tc>
        <w:tc>
          <w:tcPr>
            <w:tcW w:w="1530" w:type="dxa"/>
            <w:shd w:val="clear" w:color="auto" w:fill="FFFF00"/>
            <w:tcMar>
              <w:left w:w="108" w:type="dxa"/>
              <w:right w:w="108" w:type="dxa"/>
            </w:tcMar>
            <w:vAlign w:val="center"/>
          </w:tcPr>
          <w:p w14:paraId="65381052" w14:textId="347E3056" w:rsidR="0831ED43" w:rsidRPr="00E42F53" w:rsidRDefault="0831ED43" w:rsidP="0831ED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E42F53">
              <w:rPr>
                <w:rFonts w:cs="Calibri"/>
                <w:color w:val="000000" w:themeColor="text1"/>
                <w:sz w:val="22"/>
                <w:szCs w:val="22"/>
                <w:lang w:val="es"/>
              </w:rPr>
              <w:t>73.74%</w:t>
            </w:r>
          </w:p>
        </w:tc>
      </w:tr>
      <w:tr w:rsidR="0831ED43" w:rsidRPr="00E42F53" w14:paraId="58E1AAFF" w14:textId="77777777" w:rsidTr="009B4095">
        <w:trPr>
          <w:trHeight w:val="300"/>
        </w:trPr>
        <w:tc>
          <w:tcPr>
            <w:cnfStyle w:val="001000000000" w:firstRow="0" w:lastRow="0" w:firstColumn="1" w:lastColumn="0" w:oddVBand="0" w:evenVBand="0" w:oddHBand="0" w:evenHBand="0" w:firstRowFirstColumn="0" w:firstRowLastColumn="0" w:lastRowFirstColumn="0" w:lastRowLastColumn="0"/>
            <w:tcW w:w="2175" w:type="dxa"/>
            <w:tcMar>
              <w:left w:w="108" w:type="dxa"/>
              <w:right w:w="108" w:type="dxa"/>
            </w:tcMar>
            <w:vAlign w:val="center"/>
          </w:tcPr>
          <w:p w14:paraId="1ADE53B1" w14:textId="539B85C6" w:rsidR="0831ED43" w:rsidRPr="00E42F53" w:rsidRDefault="0831ED43" w:rsidP="0831ED43">
            <w:pPr>
              <w:ind w:firstLine="22"/>
              <w:rPr>
                <w:b w:val="0"/>
                <w:sz w:val="22"/>
                <w:szCs w:val="22"/>
              </w:rPr>
            </w:pPr>
            <w:r w:rsidRPr="00E42F53">
              <w:rPr>
                <w:rFonts w:cs="Calibri"/>
                <w:b w:val="0"/>
                <w:color w:val="000000" w:themeColor="text1"/>
                <w:sz w:val="22"/>
                <w:szCs w:val="22"/>
                <w:lang w:val="es"/>
              </w:rPr>
              <w:t>Secretaría de Obras Sociales de la Esposa del Presidente</w:t>
            </w:r>
          </w:p>
        </w:tc>
        <w:tc>
          <w:tcPr>
            <w:tcW w:w="2070" w:type="dxa"/>
            <w:tcMar>
              <w:left w:w="108" w:type="dxa"/>
              <w:right w:w="108" w:type="dxa"/>
            </w:tcMar>
            <w:vAlign w:val="center"/>
          </w:tcPr>
          <w:p w14:paraId="48327D03" w14:textId="4D1110C6"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Q164,611,275.00</w:t>
            </w:r>
          </w:p>
        </w:tc>
        <w:tc>
          <w:tcPr>
            <w:tcW w:w="2040" w:type="dxa"/>
            <w:tcMar>
              <w:left w:w="108" w:type="dxa"/>
              <w:right w:w="108" w:type="dxa"/>
            </w:tcMar>
            <w:vAlign w:val="center"/>
          </w:tcPr>
          <w:p w14:paraId="23D15267" w14:textId="6975B749" w:rsidR="0831ED43" w:rsidRPr="00E42F53" w:rsidRDefault="0831ED43" w:rsidP="0831ED43">
            <w:pPr>
              <w:jc w:val="right"/>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sz w:val="22"/>
                <w:szCs w:val="22"/>
                <w:lang w:val="es"/>
              </w:rPr>
              <w:t>Q157,895,227.42</w:t>
            </w:r>
          </w:p>
        </w:tc>
        <w:tc>
          <w:tcPr>
            <w:tcW w:w="1485" w:type="dxa"/>
            <w:shd w:val="clear" w:color="auto" w:fill="FFFF00"/>
            <w:tcMar>
              <w:left w:w="108" w:type="dxa"/>
              <w:right w:w="108" w:type="dxa"/>
            </w:tcMar>
            <w:vAlign w:val="center"/>
          </w:tcPr>
          <w:p w14:paraId="629F2C35" w14:textId="68619996"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89.68%</w:t>
            </w:r>
          </w:p>
        </w:tc>
        <w:tc>
          <w:tcPr>
            <w:tcW w:w="1530" w:type="dxa"/>
            <w:shd w:val="clear" w:color="auto" w:fill="92D050"/>
            <w:tcMar>
              <w:left w:w="108" w:type="dxa"/>
              <w:right w:w="108" w:type="dxa"/>
            </w:tcMar>
            <w:vAlign w:val="center"/>
          </w:tcPr>
          <w:p w14:paraId="4C45C266" w14:textId="7B4CF6C7" w:rsidR="0831ED43" w:rsidRPr="00E42F53" w:rsidRDefault="0831ED43" w:rsidP="0831ED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E42F53">
              <w:rPr>
                <w:rFonts w:cs="Calibri"/>
                <w:color w:val="000000" w:themeColor="text1"/>
                <w:sz w:val="22"/>
                <w:szCs w:val="22"/>
                <w:lang w:val="es"/>
              </w:rPr>
              <w:t>95.92%</w:t>
            </w:r>
          </w:p>
        </w:tc>
      </w:tr>
    </w:tbl>
    <w:p w14:paraId="32B00E31" w14:textId="1A06D386" w:rsidR="0831ED43" w:rsidRDefault="0831ED43" w:rsidP="0831ED43">
      <w:pPr>
        <w:jc w:val="both"/>
      </w:pPr>
      <w:r w:rsidRPr="0831ED43">
        <w:rPr>
          <w:rFonts w:ascii="Calibri" w:eastAsia="Calibri" w:hAnsi="Calibri" w:cs="Calibri"/>
          <w:sz w:val="16"/>
          <w:szCs w:val="16"/>
        </w:rPr>
        <w:t>Fuente: Con base a registros de Siplan. Segeplan. Año 2022.</w:t>
      </w:r>
    </w:p>
    <w:p w14:paraId="4BFFA3B5" w14:textId="183A27EE" w:rsidR="0831ED43" w:rsidRDefault="00C8352D" w:rsidP="00AD78CC">
      <w:pPr>
        <w:spacing w:after="120" w:line="240" w:lineRule="auto"/>
        <w:jc w:val="both"/>
      </w:pPr>
      <w:r w:rsidRPr="0831ED43">
        <w:rPr>
          <w:rFonts w:ascii="Calibri" w:eastAsia="Calibri" w:hAnsi="Calibri" w:cs="Calibri"/>
          <w:b/>
          <w:bCs/>
          <w:sz w:val="24"/>
          <w:szCs w:val="24"/>
        </w:rPr>
        <w:t>Ejecución de metas físicas y financieras</w:t>
      </w:r>
    </w:p>
    <w:p w14:paraId="68DAD75F" w14:textId="1A5B7FDB" w:rsidR="009878A6" w:rsidRDefault="009878A6" w:rsidP="00AD78CC">
      <w:pPr>
        <w:spacing w:after="120" w:line="240" w:lineRule="auto"/>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762176" behindDoc="0" locked="0" layoutInCell="1" allowOverlap="1" wp14:anchorId="1FD83CF9" wp14:editId="76E3C077">
            <wp:simplePos x="0" y="0"/>
            <wp:positionH relativeFrom="column">
              <wp:posOffset>4463415</wp:posOffset>
            </wp:positionH>
            <wp:positionV relativeFrom="paragraph">
              <wp:posOffset>56515</wp:posOffset>
            </wp:positionV>
            <wp:extent cx="1504800" cy="994960"/>
            <wp:effectExtent l="19050" t="19050" r="19685" b="1524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415" r="21043" b="40216"/>
                    <a:stretch/>
                  </pic:blipFill>
                  <pic:spPr bwMode="auto">
                    <a:xfrm>
                      <a:off x="0" y="0"/>
                      <a:ext cx="1504800" cy="99496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2C98DE9" w:rsidRPr="22C98DE9">
        <w:rPr>
          <w:rFonts w:ascii="Calibri" w:eastAsia="Calibri" w:hAnsi="Calibri" w:cs="Calibri"/>
          <w:sz w:val="24"/>
          <w:szCs w:val="24"/>
        </w:rPr>
        <w:t>Al finalizar el año 2022, las secretarías alcanzaron un promedio de ejecución de metas físicas de 98% y un promedio de ejecución financiera de 89%, lo que demuestra una alta efectividad en el cumplimiento de las metas programadas en el POA.</w:t>
      </w:r>
    </w:p>
    <w:p w14:paraId="397C3D41" w14:textId="5B7C4E9A" w:rsidR="1041AE5A" w:rsidRDefault="1041AE5A" w:rsidP="009B4095">
      <w:pPr>
        <w:spacing w:after="120" w:line="240" w:lineRule="auto"/>
        <w:jc w:val="both"/>
      </w:pPr>
      <w:r w:rsidRPr="1041AE5A">
        <w:rPr>
          <w:rFonts w:ascii="Calibri" w:eastAsia="Calibri" w:hAnsi="Calibri" w:cs="Calibri"/>
          <w:sz w:val="24"/>
          <w:szCs w:val="24"/>
        </w:rPr>
        <w:t>Trece de las secretarías contenidas en la tabla de resultados, lograron un alto desempeño en el cumplimiento de las metas fiscas, por arriba del 91%. De estas secretarías, 10 lograron también un buen desempeño en la ejecución de metas financieras.</w:t>
      </w:r>
    </w:p>
    <w:p w14:paraId="7CAA3781" w14:textId="580633FB" w:rsidR="0831ED43" w:rsidRDefault="22C98DE9" w:rsidP="009B4095">
      <w:pPr>
        <w:spacing w:after="120" w:line="240" w:lineRule="auto"/>
        <w:jc w:val="both"/>
      </w:pPr>
      <w:r w:rsidRPr="22C98DE9">
        <w:rPr>
          <w:rFonts w:ascii="Calibri" w:eastAsia="Calibri" w:hAnsi="Calibri" w:cs="Calibri"/>
          <w:b/>
          <w:bCs/>
          <w:sz w:val="24"/>
          <w:szCs w:val="24"/>
        </w:rPr>
        <w:t>Ejecución física</w:t>
      </w:r>
    </w:p>
    <w:p w14:paraId="5057EA33" w14:textId="21BC0E1C" w:rsidR="0831ED43" w:rsidRDefault="22C98DE9" w:rsidP="009B4095">
      <w:pPr>
        <w:spacing w:after="120" w:line="240" w:lineRule="auto"/>
        <w:jc w:val="both"/>
      </w:pPr>
      <w:r w:rsidRPr="22C98DE9">
        <w:rPr>
          <w:rFonts w:ascii="Calibri" w:eastAsia="Calibri" w:hAnsi="Calibri" w:cs="Calibri"/>
          <w:sz w:val="24"/>
          <w:szCs w:val="24"/>
        </w:rPr>
        <w:t>De las 17 secretarías, únicamente la Secretaría de Obras Sociales de la Esposa del Presidente, se ubicó con un avance físico medio, aunque muy cerca del rango de ejecución alta. El resto de las secretarías alcanzaron una ejecución alta de metas físicas, de las cuales, 10 se ubicaron por arriba del 99% de ejecución en el año.</w:t>
      </w:r>
    </w:p>
    <w:p w14:paraId="703206F2" w14:textId="7138BD6B" w:rsidR="0831ED43" w:rsidRDefault="1041AE5A" w:rsidP="009B4095">
      <w:pPr>
        <w:spacing w:after="120" w:line="240" w:lineRule="auto"/>
        <w:jc w:val="both"/>
      </w:pPr>
      <w:r w:rsidRPr="1041AE5A">
        <w:rPr>
          <w:rFonts w:ascii="Calibri" w:eastAsia="Calibri" w:hAnsi="Calibri" w:cs="Calibri"/>
          <w:sz w:val="24"/>
          <w:szCs w:val="24"/>
        </w:rPr>
        <w:t>En general, las secretarías mostraron un comportamiento similar de ejecución en el año 2022, con un buen desempeño en el cumplimiento de las metas físicas, principalmente, la SCSP, SEICMSJ, SENACYT, SIE y SEPREM.</w:t>
      </w:r>
    </w:p>
    <w:p w14:paraId="313D6A40" w14:textId="724973B7" w:rsidR="1041AE5A" w:rsidRDefault="1041AE5A" w:rsidP="009B4095">
      <w:pPr>
        <w:spacing w:after="120" w:line="240" w:lineRule="auto"/>
        <w:jc w:val="both"/>
      </w:pPr>
      <w:r w:rsidRPr="1041AE5A">
        <w:rPr>
          <w:rFonts w:ascii="Calibri" w:eastAsia="Calibri" w:hAnsi="Calibri" w:cs="Calibri"/>
          <w:sz w:val="24"/>
          <w:szCs w:val="24"/>
        </w:rPr>
        <w:t>Los datos de la SVET, SCEP y SENABED no fueron incluidos dentro de la tabla de resultados, debido a que presentaron registros de ejecución financiera mayor a la meta vigente, provocando un avance de metas físicas y financieras superior al 100%. Por lo que, en el próximo ejercicio fiscal, deberán de prestar especial atención a los registros que se realicen en Siplan para contar con información vigente, clara y confiable.</w:t>
      </w:r>
    </w:p>
    <w:p w14:paraId="3E2AB618" w14:textId="7EC590DF" w:rsidR="0831ED43" w:rsidRDefault="10DDB783" w:rsidP="009B4095">
      <w:pPr>
        <w:spacing w:after="120" w:line="240" w:lineRule="auto"/>
        <w:jc w:val="both"/>
      </w:pPr>
      <w:r w:rsidRPr="10DDB783">
        <w:rPr>
          <w:rFonts w:ascii="Calibri" w:eastAsia="Calibri" w:hAnsi="Calibri" w:cs="Calibri"/>
          <w:b/>
          <w:bCs/>
          <w:sz w:val="24"/>
          <w:szCs w:val="24"/>
        </w:rPr>
        <w:t>Principales productos con mayor avance de meta física</w:t>
      </w:r>
    </w:p>
    <w:p w14:paraId="4A14DE59" w14:textId="6DE7081A" w:rsidR="0831ED43" w:rsidRDefault="10DDB783" w:rsidP="009B4095">
      <w:pPr>
        <w:spacing w:after="120" w:line="240" w:lineRule="auto"/>
        <w:jc w:val="both"/>
      </w:pPr>
      <w:r w:rsidRPr="10DDB783">
        <w:rPr>
          <w:rFonts w:ascii="Calibri" w:eastAsia="Calibri" w:hAnsi="Calibri" w:cs="Calibri"/>
          <w:sz w:val="24"/>
          <w:szCs w:val="24"/>
        </w:rPr>
        <w:t>Varias de las Secretarías reportaron cuáles fueron los principales productos que alcanzaron mayor ejecución de meta física al finalizar el año 2022, los cuales se detallan a continuación</w:t>
      </w:r>
      <w:r w:rsidRPr="10DDB783">
        <w:rPr>
          <w:rFonts w:ascii="Calibri" w:eastAsia="Calibri" w:hAnsi="Calibri" w:cs="Calibri"/>
          <w:sz w:val="24"/>
          <w:szCs w:val="24"/>
          <w:vertAlign w:val="superscript"/>
        </w:rPr>
        <w:t xml:space="preserve"> </w:t>
      </w:r>
      <w:r w:rsidR="00E42F53" w:rsidRPr="00204CE4">
        <w:rPr>
          <w:rStyle w:val="Refdenotaalpie"/>
          <w:rFonts w:eastAsia="Candara" w:cstheme="minorHAnsi"/>
          <w:sz w:val="24"/>
          <w:szCs w:val="24"/>
          <w:lang w:eastAsia="es-GT"/>
        </w:rPr>
        <w:footnoteReference w:id="6"/>
      </w:r>
      <w:r w:rsidRPr="10DDB783">
        <w:rPr>
          <w:rFonts w:ascii="Calibri" w:eastAsia="Calibri" w:hAnsi="Calibri" w:cs="Calibri"/>
          <w:sz w:val="24"/>
          <w:szCs w:val="24"/>
        </w:rPr>
        <w:t>.</w:t>
      </w:r>
    </w:p>
    <w:tbl>
      <w:tblPr>
        <w:tblStyle w:val="Tablaconcuadrcula4-nfasis5"/>
        <w:tblW w:w="0" w:type="auto"/>
        <w:tblLayout w:type="fixed"/>
        <w:tblLook w:val="04A0" w:firstRow="1" w:lastRow="0" w:firstColumn="1" w:lastColumn="0" w:noHBand="0" w:noVBand="1"/>
      </w:tblPr>
      <w:tblGrid>
        <w:gridCol w:w="1560"/>
        <w:gridCol w:w="7770"/>
      </w:tblGrid>
      <w:tr w:rsidR="10DDB783" w:rsidRPr="009A2A15" w14:paraId="782D7AF2" w14:textId="77777777" w:rsidTr="009B4095">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5B9BD5" w:themeColor="accent5"/>
              <w:bottom w:val="single" w:sz="6" w:space="0" w:color="BDD6EE" w:themeColor="accent5" w:themeTint="66"/>
              <w:right w:val="single" w:sz="6" w:space="0" w:color="BDD6EE" w:themeColor="accent5" w:themeTint="66"/>
            </w:tcBorders>
            <w:tcMar>
              <w:left w:w="108" w:type="dxa"/>
              <w:right w:w="108" w:type="dxa"/>
            </w:tcMar>
            <w:vAlign w:val="center"/>
          </w:tcPr>
          <w:p w14:paraId="30835666" w14:textId="79D02584" w:rsidR="10DDB783" w:rsidRPr="009A2A15" w:rsidRDefault="10DDB783" w:rsidP="10DDB783">
            <w:pPr>
              <w:spacing w:line="254" w:lineRule="auto"/>
              <w:jc w:val="center"/>
              <w:rPr>
                <w:rFonts w:asciiTheme="minorHAnsi" w:hAnsiTheme="minorHAnsi" w:cstheme="minorHAnsi"/>
                <w:sz w:val="22"/>
                <w:szCs w:val="22"/>
              </w:rPr>
            </w:pPr>
            <w:r w:rsidRPr="009A2A15">
              <w:rPr>
                <w:rFonts w:asciiTheme="minorHAnsi" w:hAnsiTheme="minorHAnsi" w:cstheme="minorHAnsi"/>
                <w:color w:val="000000" w:themeColor="text1"/>
                <w:sz w:val="22"/>
                <w:szCs w:val="22"/>
                <w:lang w:val="es"/>
              </w:rPr>
              <w:t>Institución</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vAlign w:val="center"/>
          </w:tcPr>
          <w:p w14:paraId="2C748CC0" w14:textId="49CF752E" w:rsidR="10DDB783" w:rsidRPr="009A2A15" w:rsidRDefault="10DDB783" w:rsidP="10DDB783">
            <w:pPr>
              <w:spacing w:line="25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2A15">
              <w:rPr>
                <w:rFonts w:asciiTheme="minorHAnsi" w:hAnsiTheme="minorHAnsi" w:cstheme="minorHAnsi"/>
                <w:color w:val="000000" w:themeColor="text1"/>
                <w:sz w:val="22"/>
                <w:szCs w:val="22"/>
                <w:lang w:val="es"/>
              </w:rPr>
              <w:t>Producción institucional (productos/subproductos)</w:t>
            </w:r>
          </w:p>
        </w:tc>
      </w:tr>
      <w:tr w:rsidR="10DDB783" w:rsidRPr="009A2A15" w14:paraId="7FBCAE4A" w14:textId="77777777" w:rsidTr="009B40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663F5B93" w14:textId="561D3E67"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SAAS</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56162566" w14:textId="0A6E4A30" w:rsidR="10DDB783" w:rsidRPr="009A2A15" w:rsidRDefault="10DDB783" w:rsidP="00E42F5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Servicios administrativos y de seguridad permanente con un avance de metas institucionales del 100%.</w:t>
            </w:r>
          </w:p>
        </w:tc>
      </w:tr>
      <w:tr w:rsidR="10DDB783" w:rsidRPr="009A2A15" w14:paraId="20FCFB4F" w14:textId="77777777" w:rsidTr="009B4095">
        <w:trPr>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330FD999" w14:textId="28CE70AE"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SIE</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4B136E0D" w14:textId="39F5059D" w:rsidR="10DDB783" w:rsidRPr="009A2A15" w:rsidRDefault="10DDB783" w:rsidP="00DE5090">
            <w:pPr>
              <w:pStyle w:val="Prrafodelista"/>
              <w:numPr>
                <w:ilvl w:val="0"/>
                <w:numId w:val="5"/>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Agenda Nacional de Riesgos y Amenazas -ANRA-, con 100% de avance físico.</w:t>
            </w:r>
          </w:p>
          <w:p w14:paraId="55E00BB1" w14:textId="5BB1B7D8" w:rsidR="10DDB783" w:rsidRPr="009A2A15" w:rsidRDefault="10DDB783" w:rsidP="00DE5090">
            <w:pPr>
              <w:pStyle w:val="Prrafodelista"/>
              <w:numPr>
                <w:ilvl w:val="0"/>
                <w:numId w:val="5"/>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Plan Nacional de Inteligencia -PNI-, con 100% de avance físico.</w:t>
            </w:r>
          </w:p>
          <w:p w14:paraId="2EC2FADC" w14:textId="1247ABDC" w:rsidR="10DDB783" w:rsidRPr="009A2A15" w:rsidRDefault="10DDB783" w:rsidP="00DE5090">
            <w:pPr>
              <w:pStyle w:val="Prrafodelista"/>
              <w:numPr>
                <w:ilvl w:val="0"/>
                <w:numId w:val="5"/>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Informes de Inteligencia, con 100% de avance físico.</w:t>
            </w:r>
          </w:p>
        </w:tc>
      </w:tr>
      <w:tr w:rsidR="10DDB783" w:rsidRPr="009A2A15" w14:paraId="49A3022E" w14:textId="77777777" w:rsidTr="009B40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1C76B43E" w14:textId="54F8F83D"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SVET</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55CB7084" w14:textId="75EB4C10" w:rsidR="10DDB783" w:rsidRPr="009A2A15" w:rsidRDefault="10DDB783" w:rsidP="00E42F53">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Personas prevenidas, sensibilizadas, formadas e informadas en materia de delitos de violencia sexual, explotación y trata de personas, con 100% de avance físico.</w:t>
            </w:r>
          </w:p>
        </w:tc>
      </w:tr>
      <w:tr w:rsidR="10DDB783" w:rsidRPr="009A2A15" w14:paraId="26A6EEA0" w14:textId="77777777" w:rsidTr="009B4095">
        <w:trPr>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1D952818" w14:textId="39602BB2"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SEGEPLAN</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136BAFD6" w14:textId="7F33979C" w:rsidR="10DDB783" w:rsidRPr="009A2A15" w:rsidRDefault="10DDB783" w:rsidP="00DE5090">
            <w:pPr>
              <w:pStyle w:val="Prrafodelista"/>
              <w:numPr>
                <w:ilvl w:val="0"/>
                <w:numId w:val="5"/>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Entidades e instituciones públicas y Sistema de Consejos de Desarrollo, con asesoría técnica en procesos de políticas públicas, planificación y programación, con orientación a resultados, en el marco de las Prioridades Nacionales de Desarrollo: se brindaron 12,626 asesorías técnicas a 502 entidades del sector público, incluyendo instituciones, gobiernos locales y el Sistema de Consejos de Desarrollo, con 100% de avance físico.</w:t>
            </w:r>
          </w:p>
          <w:p w14:paraId="0F14C807" w14:textId="4763D2D2" w:rsidR="10DDB783" w:rsidRPr="009A2A15" w:rsidRDefault="10DDB783" w:rsidP="00DE5090">
            <w:pPr>
              <w:pStyle w:val="Prrafodelista"/>
              <w:numPr>
                <w:ilvl w:val="0"/>
                <w:numId w:val="5"/>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Estudiantes, profesionales, funcionarios y servidores públicos beneficiados con el programa de becas: 242 estudiantes, profesionales y servidores públicos beneficiados con becas y créditos educativos, con 99.59% de avance físico.</w:t>
            </w:r>
          </w:p>
        </w:tc>
      </w:tr>
      <w:tr w:rsidR="10DDB783" w:rsidRPr="009A2A15" w14:paraId="54707377" w14:textId="77777777" w:rsidTr="009B40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7253CAAB" w14:textId="6AF0656D"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SCSP</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7CE488A8" w14:textId="127B48C5" w:rsidR="10DDB783" w:rsidRPr="009A2A15" w:rsidRDefault="10DDB783" w:rsidP="00DE5090">
            <w:pPr>
              <w:pStyle w:val="Prrafodelista"/>
              <w:numPr>
                <w:ilvl w:val="0"/>
                <w:numId w:val="5"/>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 xml:space="preserve">Difusión de acciones de Gobierno para informar a la población a través de medios digitales gubernamentales: mediante la difusión de 42 mil 566 publicaciones de acciones del Gobierno de Guatemala, se logró un alcance de 5.2 millones de personas, con 100% de avance físico. </w:t>
            </w:r>
          </w:p>
          <w:p w14:paraId="15372A24" w14:textId="2AF36093" w:rsidR="10DDB783" w:rsidRPr="009A2A15" w:rsidRDefault="10DDB783" w:rsidP="00DE5090">
            <w:pPr>
              <w:pStyle w:val="Prrafodelista"/>
              <w:numPr>
                <w:ilvl w:val="0"/>
                <w:numId w:val="5"/>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Difusión de acciones de Gobierno para informar a la población a través de medios de comunicación no gubernamentales: mediante la divulgación de información en vallas, mupis, spots radiales, impresos, pantallas, entre otros, se logró un alcance aproximado de 11 millones de personas, con 100% de avance físico.</w:t>
            </w:r>
          </w:p>
        </w:tc>
      </w:tr>
      <w:tr w:rsidR="10DDB783" w:rsidRPr="009A2A15" w14:paraId="63860422" w14:textId="77777777" w:rsidTr="009B4095">
        <w:trPr>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111CCFAB" w14:textId="68EC260E"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SEPREM</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744DF710" w14:textId="043EAA39" w:rsidR="10DDB783" w:rsidRPr="009A2A15" w:rsidRDefault="10DDB783" w:rsidP="00E42F53">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Entidades de gobierno central, local y consejos de desarrollo con asistencia técnica para institucionalizar la equidad entre hombres y mujeres: al tercer cuatrimestre se brindó asistencia técnica a 431 entidades de gobierno central, gobiernos locales y al sistema de consejos de desarrollo, por medio de transferencias metodológicas, con quienes se abordaron temáticas sobre contextualización del proceso de implementación de políticas públicas y de la PNPDIM; situación de las mujeres en el marco de las prioridades de la PNPDIM; marco legal y de política pública de los derechos humanos de las mujeres y el Clasificador Presupuestario con Enfoque de Género -CPEG-, con 91.31% de avance físico.</w:t>
            </w:r>
          </w:p>
        </w:tc>
      </w:tr>
      <w:tr w:rsidR="10DDB783" w:rsidRPr="009A2A15" w14:paraId="209D092F" w14:textId="77777777" w:rsidTr="009B40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3C036179" w14:textId="3810E6A0"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SENABED</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7053CDDA" w14:textId="5AF541D7" w:rsidR="10DDB783" w:rsidRPr="009A2A15" w:rsidRDefault="10DDB783" w:rsidP="00DE5090">
            <w:pPr>
              <w:pStyle w:val="Prrafodelista"/>
              <w:numPr>
                <w:ilvl w:val="0"/>
                <w:numId w:val="5"/>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Integrantes del CONABED beneficiados con la administración de bienes e inmuebles mediante estudios de valoración económica: se reportaron 26 documentos, con 100% de avance físico.</w:t>
            </w:r>
          </w:p>
          <w:p w14:paraId="2A70E9D0" w14:textId="631B8956" w:rsidR="10DDB783" w:rsidRPr="009A2A15" w:rsidRDefault="10DDB783" w:rsidP="00DE5090">
            <w:pPr>
              <w:pStyle w:val="Prrafodelista"/>
              <w:numPr>
                <w:ilvl w:val="0"/>
                <w:numId w:val="5"/>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Integrantes del CONABED beneficiados con la recepción de dinero, bienes muebles e inmuebles incautados, extinguidos y en proceso de extinción: se reportaron 14 documentos, con 100% de avance físico.</w:t>
            </w:r>
          </w:p>
          <w:p w14:paraId="045ABD53" w14:textId="34DAAA47" w:rsidR="10DDB783" w:rsidRPr="009A2A15" w:rsidRDefault="10DDB783" w:rsidP="00DE5090">
            <w:pPr>
              <w:pStyle w:val="Prrafodelista"/>
              <w:numPr>
                <w:ilvl w:val="0"/>
                <w:numId w:val="5"/>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Servicios de administración de inversiones y renovaciones de bienes en extinción en beneficio de integrantes del CONABED: se reportaron 37 documentos, con 100% de avance físico.</w:t>
            </w:r>
          </w:p>
        </w:tc>
      </w:tr>
      <w:tr w:rsidR="10DDB783" w:rsidRPr="009A2A15" w14:paraId="3B9A0AF1" w14:textId="77777777" w:rsidTr="009B4095">
        <w:trPr>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1FCE868E" w14:textId="587EDA66"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SGPR</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33708C8D" w14:textId="2CD485D1" w:rsidR="10DDB783" w:rsidRPr="009A2A15" w:rsidRDefault="10DDB783" w:rsidP="00E42F53">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Expedientes tramitados en beneficio de entidades, personas jurídicas e individuales: 9,949 documentos generados, con 100% de avance físico.</w:t>
            </w:r>
          </w:p>
        </w:tc>
      </w:tr>
      <w:tr w:rsidR="10DDB783" w:rsidRPr="009A2A15" w14:paraId="287B5280" w14:textId="77777777" w:rsidTr="009B40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14C2E08C" w14:textId="5F942C14"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SENACYT</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7AE91E60" w14:textId="0C776731" w:rsidR="10DDB783" w:rsidRPr="009A2A15" w:rsidRDefault="10DDB783" w:rsidP="00DE5090">
            <w:pPr>
              <w:pStyle w:val="Prrafodelista"/>
              <w:numPr>
                <w:ilvl w:val="0"/>
                <w:numId w:val="5"/>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 xml:space="preserve">Proyectos financiados en ciencia, tecnología e innovación: al tercer cuatrimestre se reportaron el financiamiento de 44 proyectos de ciencia y tecnología en líneas de formación de capital humano. </w:t>
            </w:r>
          </w:p>
          <w:p w14:paraId="1E0010AF" w14:textId="4E9398B0" w:rsidR="10DDB783" w:rsidRPr="009A2A15" w:rsidRDefault="10DDB783" w:rsidP="00DE5090">
            <w:pPr>
              <w:pStyle w:val="Prrafodelista"/>
              <w:numPr>
                <w:ilvl w:val="0"/>
                <w:numId w:val="5"/>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Difusión y popularización de la ciencia, tecnología e innovación a población en general: se financiaron 22 eventos, 15 eventos de popularización y difusión de la ciencia, tecnología e innovación, dirigidos a grupos de interés, beneficiando a 1,341 personas y 7 eventos especiales de sensibilización y participación de ciencia, tecnología e innovación a población en general, beneficiando a 3,792 personas.</w:t>
            </w:r>
          </w:p>
        </w:tc>
      </w:tr>
      <w:tr w:rsidR="10DDB783" w:rsidRPr="009A2A15" w14:paraId="4C0D82F4" w14:textId="77777777" w:rsidTr="009B4095">
        <w:trPr>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169ADF5B" w14:textId="19777708"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SESAN</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110618FC" w14:textId="2B9C686F" w:rsidR="10DDB783" w:rsidRPr="009A2A15" w:rsidRDefault="10DDB783" w:rsidP="00DE5090">
            <w:pPr>
              <w:pStyle w:val="Prrafodelista"/>
              <w:numPr>
                <w:ilvl w:val="0"/>
                <w:numId w:val="5"/>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 xml:space="preserve">Personas de instituciones capacitadas en alimentación y nutrición, así como en seguridad alimentaria y nutricional: 1,120 personas en el tercer cuatrimestre y 3,620 al año 2022, con 100% de avance físico. </w:t>
            </w:r>
          </w:p>
          <w:p w14:paraId="69BFD62A" w14:textId="68317EAC" w:rsidR="10DDB783" w:rsidRPr="009A2A15" w:rsidRDefault="10DDB783" w:rsidP="00DE5090">
            <w:pPr>
              <w:pStyle w:val="Prrafodelista"/>
              <w:numPr>
                <w:ilvl w:val="0"/>
                <w:numId w:val="5"/>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Informes estratégicos para el seguimiento y evaluación de la seguridad alimentaria y nutricional en el marco de la Ley del SINASAN: en el tercer cuatrimestre se reportaron 14 informes y 44 en el año 2022, con 100% de avance físico.</w:t>
            </w:r>
          </w:p>
        </w:tc>
      </w:tr>
      <w:tr w:rsidR="10DDB783" w:rsidRPr="009A2A15" w14:paraId="021824CD" w14:textId="77777777" w:rsidTr="009B40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79F37612" w14:textId="4B938686"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SECCATID</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373EDDD6" w14:textId="7733A833" w:rsidR="10DDB783" w:rsidRPr="009A2A15" w:rsidRDefault="10DDB783" w:rsidP="00DE5090">
            <w:pPr>
              <w:pStyle w:val="Prrafodelista"/>
              <w:numPr>
                <w:ilvl w:val="0"/>
                <w:numId w:val="5"/>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Personas sensibilizadas en la prevención al consumo de drogas: al tercer cuatrimestre se reportaron 18,619 personas y 59,006 personas beneficiadas al año 2022, con 98% de avance físico.</w:t>
            </w:r>
          </w:p>
          <w:p w14:paraId="00E77111" w14:textId="22830D5E" w:rsidR="10DDB783" w:rsidRPr="009A2A15" w:rsidRDefault="10DDB783" w:rsidP="00DE5090">
            <w:pPr>
              <w:pStyle w:val="Prrafodelista"/>
              <w:numPr>
                <w:ilvl w:val="0"/>
                <w:numId w:val="5"/>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Drogodependientes atendidos con tratamiento individual para la disminución del consumo de drogas: al tercer cuatrimestre se reportaron 4,577 personas y 8,450 personas beneficiadas al año 2022, con 99% de avance físico.</w:t>
            </w:r>
          </w:p>
        </w:tc>
      </w:tr>
      <w:tr w:rsidR="10DDB783" w:rsidRPr="009A2A15" w14:paraId="33310CFA" w14:textId="77777777" w:rsidTr="009B4095">
        <w:trPr>
          <w:trHeight w:val="270"/>
        </w:trPr>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BDD6EE" w:themeColor="accent5" w:themeTint="66"/>
              <w:left w:val="single" w:sz="8" w:space="0" w:color="9CC2E5" w:themeColor="accent5" w:themeTint="99"/>
              <w:bottom w:val="single" w:sz="6" w:space="0" w:color="BDD6EE" w:themeColor="accent5" w:themeTint="66"/>
              <w:right w:val="single" w:sz="6" w:space="0" w:color="BDD6EE" w:themeColor="accent5" w:themeTint="66"/>
            </w:tcBorders>
            <w:tcMar>
              <w:left w:w="108" w:type="dxa"/>
              <w:right w:w="108" w:type="dxa"/>
            </w:tcMar>
          </w:tcPr>
          <w:p w14:paraId="7EBAA4F5" w14:textId="503083ED" w:rsidR="10DDB783" w:rsidRPr="009A2A15" w:rsidRDefault="10DDB783" w:rsidP="10DDB783">
            <w:pPr>
              <w:spacing w:line="254" w:lineRule="auto"/>
              <w:jc w:val="center"/>
              <w:rPr>
                <w:rFonts w:asciiTheme="minorHAnsi" w:hAnsiTheme="minorHAnsi" w:cstheme="minorHAnsi"/>
                <w:b w:val="0"/>
                <w:sz w:val="22"/>
                <w:szCs w:val="22"/>
              </w:rPr>
            </w:pPr>
            <w:r w:rsidRPr="009A2A15">
              <w:rPr>
                <w:rFonts w:asciiTheme="minorHAnsi" w:hAnsiTheme="minorHAnsi" w:cstheme="minorHAnsi"/>
                <w:b w:val="0"/>
                <w:sz w:val="22"/>
                <w:szCs w:val="22"/>
                <w:lang w:val="es"/>
              </w:rPr>
              <w:t>SEICMSJ</w:t>
            </w:r>
          </w:p>
        </w:tc>
        <w:tc>
          <w:tcPr>
            <w:tcW w:w="7770" w:type="dxa"/>
            <w:tc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tcBorders>
            <w:tcMar>
              <w:left w:w="108" w:type="dxa"/>
              <w:right w:w="108" w:type="dxa"/>
            </w:tcMar>
          </w:tcPr>
          <w:p w14:paraId="07CAF235" w14:textId="32DDE5D2" w:rsidR="10DDB783" w:rsidRPr="009A2A15" w:rsidRDefault="10DDB783" w:rsidP="00DE5090">
            <w:pPr>
              <w:pStyle w:val="Prrafodelista"/>
              <w:numPr>
                <w:ilvl w:val="0"/>
                <w:numId w:val="5"/>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Dirección y Coordinación: se alcanzó el 100% de la ejecución de metas físicas.</w:t>
            </w:r>
          </w:p>
          <w:p w14:paraId="7645FA42" w14:textId="2957CECA" w:rsidR="10DDB783" w:rsidRPr="009A2A15" w:rsidRDefault="10DDB783" w:rsidP="00DE5090">
            <w:pPr>
              <w:pStyle w:val="Prrafodelista"/>
              <w:numPr>
                <w:ilvl w:val="0"/>
                <w:numId w:val="5"/>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A2A15">
              <w:rPr>
                <w:rFonts w:asciiTheme="minorHAnsi" w:hAnsiTheme="minorHAnsi" w:cstheme="minorHAnsi"/>
                <w:sz w:val="22"/>
                <w:szCs w:val="22"/>
                <w:lang w:val="es"/>
              </w:rPr>
              <w:t>Prevenir la violencia y el delito contra mujeres, niñez y adolescencia, se alcanzó el 100% de la ejecución de metas físicas.</w:t>
            </w:r>
          </w:p>
        </w:tc>
      </w:tr>
    </w:tbl>
    <w:p w14:paraId="7DCDDE60" w14:textId="25111335" w:rsidR="0831ED43" w:rsidRDefault="10DDB783" w:rsidP="00A242C9">
      <w:pPr>
        <w:spacing w:before="120" w:after="120" w:line="240" w:lineRule="auto"/>
        <w:jc w:val="both"/>
      </w:pPr>
      <w:r w:rsidRPr="10DDB783">
        <w:rPr>
          <w:rFonts w:ascii="Calibri" w:eastAsia="Calibri" w:hAnsi="Calibri" w:cs="Calibri"/>
          <w:b/>
          <w:bCs/>
          <w:sz w:val="24"/>
          <w:szCs w:val="24"/>
        </w:rPr>
        <w:t>Ejecución financiera</w:t>
      </w:r>
    </w:p>
    <w:p w14:paraId="2D755734" w14:textId="7392EEF3" w:rsidR="0831ED43" w:rsidRDefault="10DDB783" w:rsidP="00A242C9">
      <w:pPr>
        <w:spacing w:before="120" w:after="120" w:line="240" w:lineRule="auto"/>
        <w:jc w:val="both"/>
      </w:pPr>
      <w:r w:rsidRPr="10DDB783">
        <w:rPr>
          <w:rFonts w:ascii="Calibri" w:eastAsia="Calibri" w:hAnsi="Calibri" w:cs="Calibri"/>
          <w:sz w:val="24"/>
          <w:szCs w:val="24"/>
        </w:rPr>
        <w:t>De las 17 secretarías, tal y como se observa en la tabla de resultados, 11 alcanzaron una ejecución alta de metas financieras, de las cuáles, la SCEP, SENABED, SVET, mostraron un comportamiento similar durante el año 2022.</w:t>
      </w:r>
    </w:p>
    <w:p w14:paraId="27222C00" w14:textId="367F59FF" w:rsidR="0831ED43" w:rsidRDefault="10DDB783" w:rsidP="00A242C9">
      <w:pPr>
        <w:spacing w:before="120" w:after="120" w:line="240" w:lineRule="auto"/>
        <w:jc w:val="both"/>
      </w:pPr>
      <w:r w:rsidRPr="10DDB783">
        <w:rPr>
          <w:rFonts w:ascii="Calibri" w:eastAsia="Calibri" w:hAnsi="Calibri" w:cs="Calibri"/>
          <w:sz w:val="24"/>
          <w:szCs w:val="24"/>
        </w:rPr>
        <w:t>La SBS, reportó la ejecución financiera más baja, de 39.8%, como resultado de la carga incompleta de registros de ejecución de metas en el Sistema.</w:t>
      </w:r>
    </w:p>
    <w:p w14:paraId="50B1629F" w14:textId="74A8CB40" w:rsidR="0831ED43" w:rsidRDefault="10DDB783" w:rsidP="00F349AE">
      <w:pPr>
        <w:spacing w:after="120" w:line="240" w:lineRule="auto"/>
        <w:jc w:val="both"/>
      </w:pPr>
      <w:r w:rsidRPr="10DDB783">
        <w:rPr>
          <w:rFonts w:ascii="Calibri" w:eastAsia="Calibri" w:hAnsi="Calibri" w:cs="Calibri"/>
          <w:sz w:val="24"/>
          <w:szCs w:val="24"/>
        </w:rPr>
        <w:t>En la siguiente gráfica se visualiza el comportamiento en el avance de ejecución de metas físicas y financieras</w:t>
      </w:r>
      <w:r w:rsidRPr="10DDB783">
        <w:rPr>
          <w:rFonts w:ascii="Calibri" w:eastAsia="Calibri" w:hAnsi="Calibri" w:cs="Calibri"/>
          <w:color w:val="FF0000"/>
          <w:sz w:val="24"/>
          <w:szCs w:val="24"/>
        </w:rPr>
        <w:t xml:space="preserve"> </w:t>
      </w:r>
      <w:r w:rsidRPr="10DDB783">
        <w:rPr>
          <w:rFonts w:ascii="Calibri" w:eastAsia="Calibri" w:hAnsi="Calibri" w:cs="Calibri"/>
          <w:sz w:val="24"/>
          <w:szCs w:val="24"/>
        </w:rPr>
        <w:t>de las secretarías.</w:t>
      </w:r>
    </w:p>
    <w:p w14:paraId="74FECA8E" w14:textId="4F5B60F8" w:rsidR="0831ED43" w:rsidRPr="009113A0" w:rsidRDefault="002F770E" w:rsidP="009113A0">
      <w:pPr>
        <w:pStyle w:val="ttulosgrficas"/>
        <w:rPr>
          <w:rFonts w:asciiTheme="minorHAnsi" w:hAnsiTheme="minorHAnsi" w:cstheme="minorHAnsi"/>
        </w:rPr>
      </w:pPr>
      <w:bookmarkStart w:id="31" w:name="_Toc130204470"/>
      <w:r w:rsidRPr="009113A0">
        <w:rPr>
          <w:rFonts w:asciiTheme="minorHAnsi" w:hAnsiTheme="minorHAnsi" w:cstheme="minorHAnsi"/>
          <w:color w:val="4472C4" w:themeColor="accent1"/>
          <w:lang w:val="es"/>
        </w:rPr>
        <w:t xml:space="preserve">Gráfica </w:t>
      </w:r>
      <w:r w:rsidR="00AD78CC" w:rsidRPr="009113A0">
        <w:rPr>
          <w:rFonts w:asciiTheme="minorHAnsi" w:hAnsiTheme="minorHAnsi" w:cstheme="minorHAnsi"/>
          <w:color w:val="4472C4" w:themeColor="accent1"/>
          <w:lang w:val="es"/>
        </w:rPr>
        <w:fldChar w:fldCharType="begin"/>
      </w:r>
      <w:r w:rsidR="00AD78CC" w:rsidRPr="009113A0">
        <w:rPr>
          <w:rFonts w:asciiTheme="minorHAnsi" w:hAnsiTheme="minorHAnsi" w:cstheme="minorHAnsi"/>
          <w:color w:val="4472C4" w:themeColor="accent1"/>
          <w:lang w:val="es"/>
        </w:rPr>
        <w:instrText xml:space="preserve"> SEQ Gráfica \* ARABIC </w:instrText>
      </w:r>
      <w:r w:rsidR="00AD78CC" w:rsidRPr="009113A0">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2</w:t>
      </w:r>
      <w:r w:rsidR="00AD78CC" w:rsidRPr="009113A0">
        <w:rPr>
          <w:rFonts w:asciiTheme="minorHAnsi" w:hAnsiTheme="minorHAnsi" w:cstheme="minorHAnsi"/>
          <w:color w:val="4472C4" w:themeColor="accent1"/>
          <w:lang w:val="es"/>
        </w:rPr>
        <w:fldChar w:fldCharType="end"/>
      </w:r>
      <w:r w:rsidRPr="009113A0">
        <w:rPr>
          <w:rFonts w:asciiTheme="minorHAnsi" w:hAnsiTheme="minorHAnsi" w:cstheme="minorHAnsi"/>
          <w:color w:val="4472C4" w:themeColor="accent1"/>
          <w:lang w:val="es"/>
        </w:rPr>
        <w:t>. Comparativo de Ejecución Física y Financiera. Secretarías</w:t>
      </w:r>
      <w:bookmarkEnd w:id="31"/>
    </w:p>
    <w:p w14:paraId="419998FC" w14:textId="0022B82F" w:rsidR="0831ED43" w:rsidRDefault="002F770E" w:rsidP="0831ED43">
      <w:r>
        <w:rPr>
          <w:noProof/>
        </w:rPr>
        <w:drawing>
          <wp:anchor distT="0" distB="0" distL="114300" distR="114300" simplePos="0" relativeHeight="251729408" behindDoc="0" locked="0" layoutInCell="1" allowOverlap="1" wp14:anchorId="4F008923" wp14:editId="01A2593B">
            <wp:simplePos x="0" y="0"/>
            <wp:positionH relativeFrom="page">
              <wp:posOffset>1556578</wp:posOffset>
            </wp:positionH>
            <wp:positionV relativeFrom="paragraph">
              <wp:posOffset>34290</wp:posOffset>
            </wp:positionV>
            <wp:extent cx="5001895" cy="2190115"/>
            <wp:effectExtent l="0" t="0" r="8255" b="635"/>
            <wp:wrapSquare wrapText="bothSides"/>
            <wp:docPr id="47" name="Gráfico 47">
              <a:extLst xmlns:a="http://schemas.openxmlformats.org/drawingml/2006/main">
                <a:ext uri="{FF2B5EF4-FFF2-40B4-BE49-F238E27FC236}">
                  <a16:creationId xmlns:a16="http://schemas.microsoft.com/office/drawing/2014/main" id="{217CF5FF-7517-4ED8-8A5A-7C9F37886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6EE3A48" w14:textId="77777777" w:rsidR="002F770E" w:rsidRDefault="10DDB783" w:rsidP="0831ED43">
      <w:r>
        <w:t xml:space="preserve">               </w:t>
      </w:r>
    </w:p>
    <w:p w14:paraId="2ACDA0D9" w14:textId="77777777" w:rsidR="002F770E" w:rsidRDefault="002F770E" w:rsidP="0831ED43"/>
    <w:p w14:paraId="7E81FCAC" w14:textId="77777777" w:rsidR="002F770E" w:rsidRDefault="002F770E" w:rsidP="0831ED43"/>
    <w:p w14:paraId="0AB0252F" w14:textId="77777777" w:rsidR="002F770E" w:rsidRDefault="002F770E" w:rsidP="0831ED43"/>
    <w:p w14:paraId="6CE04635" w14:textId="77777777" w:rsidR="002F770E" w:rsidRDefault="002F770E" w:rsidP="0831ED43"/>
    <w:p w14:paraId="555F132E" w14:textId="77777777" w:rsidR="002F770E" w:rsidRDefault="002F770E" w:rsidP="0831ED43"/>
    <w:p w14:paraId="481A4245" w14:textId="77777777" w:rsidR="002F770E" w:rsidRDefault="002F770E" w:rsidP="0831ED43"/>
    <w:p w14:paraId="32470849" w14:textId="160544DD" w:rsidR="0831ED43" w:rsidRPr="002F770E" w:rsidRDefault="002F770E" w:rsidP="0831ED43">
      <w:pPr>
        <w:rPr>
          <w:sz w:val="18"/>
        </w:rPr>
      </w:pPr>
      <w:r>
        <w:rPr>
          <w:sz w:val="18"/>
        </w:rPr>
        <w:tab/>
        <w:t xml:space="preserve">  </w:t>
      </w:r>
      <w:r w:rsidR="10DDB783" w:rsidRPr="002F770E">
        <w:rPr>
          <w:sz w:val="18"/>
        </w:rPr>
        <w:t>Fuente: Con base a registros de Siplan. Segeplan. Año 2022.</w:t>
      </w:r>
    </w:p>
    <w:p w14:paraId="5BF722AA" w14:textId="632F8EFA" w:rsidR="0831ED43" w:rsidRDefault="10DDB783" w:rsidP="00F349AE">
      <w:pPr>
        <w:spacing w:after="120" w:line="240" w:lineRule="auto"/>
        <w:jc w:val="both"/>
      </w:pPr>
      <w:r w:rsidRPr="10DDB783">
        <w:rPr>
          <w:rFonts w:ascii="Calibri" w:eastAsia="Calibri" w:hAnsi="Calibri" w:cs="Calibri"/>
          <w:sz w:val="24"/>
          <w:szCs w:val="24"/>
        </w:rPr>
        <w:t>Se observa que, 10 secretarías lograron la mayor efectividad en la ejecución de metas físicas y financieras, de las cuales, SAAS, SIE, SESAN, SGPR, SPP, mostraron los resultados más altos.</w:t>
      </w:r>
    </w:p>
    <w:p w14:paraId="1794390B" w14:textId="5A6E8B5C" w:rsidR="0831ED43" w:rsidRDefault="00C8352D" w:rsidP="00F349AE">
      <w:pPr>
        <w:tabs>
          <w:tab w:val="left" w:pos="1504"/>
        </w:tabs>
        <w:spacing w:after="120" w:line="240" w:lineRule="auto"/>
        <w:jc w:val="both"/>
      </w:pPr>
      <w:r w:rsidRPr="10DDB783">
        <w:rPr>
          <w:rFonts w:ascii="Calibri" w:eastAsia="Calibri" w:hAnsi="Calibri" w:cs="Calibri"/>
          <w:b/>
          <w:bCs/>
          <w:sz w:val="24"/>
          <w:szCs w:val="24"/>
        </w:rPr>
        <w:t xml:space="preserve">Avance físico y financiero de productos vinculados a metas </w:t>
      </w:r>
      <w:r>
        <w:rPr>
          <w:rFonts w:ascii="Calibri" w:eastAsia="Calibri" w:hAnsi="Calibri" w:cs="Calibri"/>
          <w:b/>
          <w:bCs/>
          <w:sz w:val="24"/>
          <w:szCs w:val="24"/>
        </w:rPr>
        <w:t>PGG 2020-2024</w:t>
      </w:r>
    </w:p>
    <w:p w14:paraId="0DBC6BC9" w14:textId="45FB32B0" w:rsidR="0831ED43" w:rsidRDefault="10DDB783" w:rsidP="00F349AE">
      <w:pPr>
        <w:tabs>
          <w:tab w:val="left" w:pos="1504"/>
        </w:tabs>
        <w:spacing w:after="120" w:line="240" w:lineRule="auto"/>
        <w:jc w:val="both"/>
      </w:pPr>
      <w:r w:rsidRPr="10DDB783">
        <w:rPr>
          <w:rFonts w:ascii="Calibri" w:eastAsia="Calibri" w:hAnsi="Calibri" w:cs="Calibri"/>
          <w:sz w:val="24"/>
          <w:szCs w:val="24"/>
        </w:rPr>
        <w:t>Durante el año 2022, tres secretarías vincularon parte de la producción institucional para contribuir al logro de las metas PGG. En este apartado, se presenta por cada Pilar, el avance físico y financiero de la producción que a través de Siplan, las secretarías vincularon a cada una de estas metas.</w:t>
      </w:r>
    </w:p>
    <w:p w14:paraId="01F6930C" w14:textId="577F4DDE" w:rsidR="0831ED43" w:rsidRPr="006645F7" w:rsidRDefault="002F770E" w:rsidP="006645F7">
      <w:pPr>
        <w:pStyle w:val="ttulosgrficas"/>
        <w:rPr>
          <w:rFonts w:asciiTheme="minorHAnsi" w:hAnsiTheme="minorHAnsi" w:cstheme="minorHAnsi"/>
          <w:color w:val="4472C4" w:themeColor="accent1"/>
          <w:lang w:val="es-ES"/>
        </w:rPr>
      </w:pPr>
      <w:bookmarkStart w:id="32" w:name="_Toc130199598"/>
      <w:r w:rsidRPr="006645F7">
        <w:rPr>
          <w:rFonts w:asciiTheme="minorHAnsi" w:hAnsiTheme="minorHAnsi" w:cstheme="minorHAnsi"/>
          <w:color w:val="4472C4" w:themeColor="accent1"/>
          <w:lang w:val="es-ES"/>
        </w:rPr>
        <w:t xml:space="preserve">Tabla </w:t>
      </w:r>
      <w:r w:rsidR="00AD78CC" w:rsidRPr="006645F7">
        <w:rPr>
          <w:rFonts w:asciiTheme="minorHAnsi" w:hAnsiTheme="minorHAnsi" w:cstheme="minorHAnsi"/>
          <w:color w:val="4472C4" w:themeColor="accent1"/>
          <w:lang w:val="es-ES"/>
        </w:rPr>
        <w:fldChar w:fldCharType="begin"/>
      </w:r>
      <w:r w:rsidR="00AD78CC" w:rsidRPr="006645F7">
        <w:rPr>
          <w:rFonts w:asciiTheme="minorHAnsi" w:hAnsiTheme="minorHAnsi" w:cstheme="minorHAnsi"/>
          <w:color w:val="4472C4" w:themeColor="accent1"/>
          <w:lang w:val="es-ES"/>
        </w:rPr>
        <w:instrText xml:space="preserve"> SEQ Tabla \* ARABIC </w:instrText>
      </w:r>
      <w:r w:rsidR="00AD78CC" w:rsidRPr="006645F7">
        <w:rPr>
          <w:rFonts w:asciiTheme="minorHAnsi" w:hAnsiTheme="minorHAnsi" w:cstheme="minorHAnsi"/>
          <w:color w:val="4472C4" w:themeColor="accent1"/>
          <w:lang w:val="es-ES"/>
        </w:rPr>
        <w:fldChar w:fldCharType="separate"/>
      </w:r>
      <w:r w:rsidR="00777974">
        <w:rPr>
          <w:rFonts w:asciiTheme="minorHAnsi" w:hAnsiTheme="minorHAnsi" w:cstheme="minorHAnsi"/>
          <w:noProof/>
          <w:color w:val="4472C4" w:themeColor="accent1"/>
          <w:lang w:val="es-ES"/>
        </w:rPr>
        <w:t>10</w:t>
      </w:r>
      <w:r w:rsidR="00AD78CC" w:rsidRPr="006645F7">
        <w:rPr>
          <w:rFonts w:asciiTheme="minorHAnsi" w:hAnsiTheme="minorHAnsi" w:cstheme="minorHAnsi"/>
          <w:color w:val="4472C4" w:themeColor="accent1"/>
          <w:lang w:val="es-ES"/>
        </w:rPr>
        <w:fldChar w:fldCharType="end"/>
      </w:r>
      <w:r w:rsidRPr="006645F7">
        <w:rPr>
          <w:rFonts w:asciiTheme="minorHAnsi" w:hAnsiTheme="minorHAnsi" w:cstheme="minorHAnsi"/>
          <w:color w:val="4472C4" w:themeColor="accent1"/>
          <w:lang w:val="es-ES"/>
        </w:rPr>
        <w:t>. Avance Físico y Financiero. Vinculación a Metas PGG</w:t>
      </w:r>
      <w:bookmarkEnd w:id="32"/>
    </w:p>
    <w:tbl>
      <w:tblPr>
        <w:tblStyle w:val="Tablaconcuadrcula4-nfasis5"/>
        <w:tblW w:w="9403"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1593"/>
        <w:gridCol w:w="1544"/>
        <w:gridCol w:w="1776"/>
        <w:gridCol w:w="1776"/>
        <w:gridCol w:w="1383"/>
        <w:gridCol w:w="1331"/>
      </w:tblGrid>
      <w:tr w:rsidR="10DDB783" w14:paraId="0C00806F" w14:textId="77777777" w:rsidTr="00A242C9">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593"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335A647E" w14:textId="40E062F5" w:rsidR="10DDB783" w:rsidRDefault="10DDB783" w:rsidP="10DDB783">
            <w:pPr>
              <w:jc w:val="center"/>
            </w:pPr>
            <w:r w:rsidRPr="10DDB783">
              <w:rPr>
                <w:rFonts w:cs="Calibri"/>
                <w:color w:val="000000" w:themeColor="text1"/>
                <w:sz w:val="22"/>
                <w:szCs w:val="22"/>
                <w:lang w:val="es"/>
              </w:rPr>
              <w:t>Institución</w:t>
            </w:r>
          </w:p>
        </w:tc>
        <w:tc>
          <w:tcPr>
            <w:tcW w:w="1544"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36A1E9B8" w14:textId="1183CEBF" w:rsidR="10DDB783" w:rsidRDefault="10DDB783" w:rsidP="10DDB783">
            <w:pPr>
              <w:jc w:val="center"/>
              <w:cnfStyle w:val="100000000000" w:firstRow="1" w:lastRow="0" w:firstColumn="0" w:lastColumn="0" w:oddVBand="0" w:evenVBand="0" w:oddHBand="0" w:evenHBand="0" w:firstRowFirstColumn="0" w:firstRowLastColumn="0" w:lastRowFirstColumn="0" w:lastRowLastColumn="0"/>
            </w:pPr>
            <w:r w:rsidRPr="10DDB783">
              <w:rPr>
                <w:rFonts w:cs="Calibri"/>
                <w:color w:val="000000" w:themeColor="text1"/>
                <w:sz w:val="22"/>
                <w:szCs w:val="22"/>
                <w:lang w:val="es"/>
              </w:rPr>
              <w:t>Pilar PGG</w:t>
            </w:r>
          </w:p>
        </w:tc>
        <w:tc>
          <w:tcPr>
            <w:tcW w:w="1776"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D3BD605" w14:textId="44F407E4" w:rsidR="10DDB783" w:rsidRDefault="10DDB783" w:rsidP="10DDB783">
            <w:pPr>
              <w:jc w:val="center"/>
              <w:cnfStyle w:val="100000000000" w:firstRow="1" w:lastRow="0" w:firstColumn="0" w:lastColumn="0" w:oddVBand="0" w:evenVBand="0" w:oddHBand="0" w:evenHBand="0" w:firstRowFirstColumn="0" w:firstRowLastColumn="0" w:lastRowFirstColumn="0" w:lastRowLastColumn="0"/>
            </w:pPr>
            <w:r w:rsidRPr="10DDB783">
              <w:rPr>
                <w:rFonts w:cs="Calibri"/>
                <w:color w:val="000000" w:themeColor="text1"/>
                <w:sz w:val="22"/>
                <w:szCs w:val="22"/>
                <w:lang w:val="es"/>
              </w:rPr>
              <w:t>Meta financiera vigente</w:t>
            </w:r>
          </w:p>
        </w:tc>
        <w:tc>
          <w:tcPr>
            <w:tcW w:w="1776"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55BA2594" w14:textId="3FC559AC" w:rsidR="10DDB783" w:rsidRDefault="10DDB783" w:rsidP="10DDB783">
            <w:pPr>
              <w:jc w:val="center"/>
              <w:cnfStyle w:val="100000000000" w:firstRow="1" w:lastRow="0" w:firstColumn="0" w:lastColumn="0" w:oddVBand="0" w:evenVBand="0" w:oddHBand="0" w:evenHBand="0" w:firstRowFirstColumn="0" w:firstRowLastColumn="0" w:lastRowFirstColumn="0" w:lastRowLastColumn="0"/>
            </w:pPr>
            <w:r w:rsidRPr="10DDB783">
              <w:rPr>
                <w:rFonts w:cs="Calibri"/>
                <w:color w:val="000000" w:themeColor="text1"/>
                <w:sz w:val="22"/>
                <w:szCs w:val="22"/>
                <w:lang w:val="es"/>
              </w:rPr>
              <w:t>Ejecución financiera</w:t>
            </w:r>
          </w:p>
        </w:tc>
        <w:tc>
          <w:tcPr>
            <w:tcW w:w="1383"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3466318" w14:textId="73D91D65" w:rsidR="10DDB783" w:rsidRDefault="10DDB783" w:rsidP="10DDB783">
            <w:pPr>
              <w:jc w:val="center"/>
              <w:cnfStyle w:val="100000000000" w:firstRow="1" w:lastRow="0" w:firstColumn="0" w:lastColumn="0" w:oddVBand="0" w:evenVBand="0" w:oddHBand="0" w:evenHBand="0" w:firstRowFirstColumn="0" w:firstRowLastColumn="0" w:lastRowFirstColumn="0" w:lastRowLastColumn="0"/>
            </w:pPr>
            <w:r w:rsidRPr="10DDB783">
              <w:rPr>
                <w:rFonts w:cs="Calibri"/>
                <w:color w:val="000000" w:themeColor="text1"/>
                <w:sz w:val="22"/>
                <w:szCs w:val="22"/>
                <w:lang w:val="es"/>
              </w:rPr>
              <w:t xml:space="preserve">% ejecución </w:t>
            </w:r>
            <w:r>
              <w:br/>
            </w:r>
            <w:r w:rsidRPr="10DDB783">
              <w:rPr>
                <w:rFonts w:cs="Calibri"/>
                <w:color w:val="000000" w:themeColor="text1"/>
                <w:sz w:val="22"/>
                <w:szCs w:val="22"/>
                <w:lang w:val="es"/>
              </w:rPr>
              <w:t>meta física</w:t>
            </w:r>
          </w:p>
        </w:tc>
        <w:tc>
          <w:tcPr>
            <w:tcW w:w="1331"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0481529" w14:textId="1D1523AC" w:rsidR="10DDB783" w:rsidRDefault="10DDB783" w:rsidP="10DDB783">
            <w:pPr>
              <w:jc w:val="center"/>
              <w:cnfStyle w:val="100000000000" w:firstRow="1" w:lastRow="0" w:firstColumn="0" w:lastColumn="0" w:oddVBand="0" w:evenVBand="0" w:oddHBand="0" w:evenHBand="0" w:firstRowFirstColumn="0" w:firstRowLastColumn="0" w:lastRowFirstColumn="0" w:lastRowLastColumn="0"/>
            </w:pPr>
            <w:r w:rsidRPr="10DDB783">
              <w:rPr>
                <w:rFonts w:cs="Calibri"/>
                <w:color w:val="000000" w:themeColor="text1"/>
                <w:sz w:val="22"/>
                <w:szCs w:val="22"/>
                <w:lang w:val="es"/>
              </w:rPr>
              <w:t>% ejecución meta financiera</w:t>
            </w:r>
          </w:p>
        </w:tc>
      </w:tr>
      <w:tr w:rsidR="10DDB783" w14:paraId="1B1F6B15" w14:textId="77777777" w:rsidTr="00A242C9">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593" w:type="dxa"/>
            <w:tcMar>
              <w:left w:w="108" w:type="dxa"/>
              <w:right w:w="108" w:type="dxa"/>
            </w:tcMar>
          </w:tcPr>
          <w:p w14:paraId="3CE2ECC3" w14:textId="15963341" w:rsidR="10DDB783" w:rsidRPr="00AD78CC" w:rsidRDefault="10DDB783">
            <w:pPr>
              <w:rPr>
                <w:b w:val="0"/>
              </w:rPr>
            </w:pPr>
            <w:r w:rsidRPr="00AD78CC">
              <w:rPr>
                <w:rFonts w:cs="Calibri"/>
                <w:b w:val="0"/>
                <w:color w:val="000000" w:themeColor="text1"/>
                <w:sz w:val="22"/>
                <w:szCs w:val="22"/>
                <w:lang w:val="es"/>
              </w:rPr>
              <w:t>Secretaría de Seguridad Alimentaria y Nutricional</w:t>
            </w:r>
          </w:p>
        </w:tc>
        <w:tc>
          <w:tcPr>
            <w:tcW w:w="1544" w:type="dxa"/>
            <w:tcMar>
              <w:left w:w="108" w:type="dxa"/>
              <w:right w:w="108" w:type="dxa"/>
            </w:tcMar>
            <w:vAlign w:val="center"/>
          </w:tcPr>
          <w:p w14:paraId="52E5E1CF" w14:textId="3D167996" w:rsidR="10DDB783" w:rsidRDefault="10DDB783">
            <w:pPr>
              <w:cnfStyle w:val="000000100000" w:firstRow="0" w:lastRow="0" w:firstColumn="0" w:lastColumn="0" w:oddVBand="0" w:evenVBand="0" w:oddHBand="1" w:evenHBand="0" w:firstRowFirstColumn="0" w:firstRowLastColumn="0" w:lastRowFirstColumn="0" w:lastRowLastColumn="0"/>
            </w:pPr>
            <w:r w:rsidRPr="10DDB783">
              <w:rPr>
                <w:rFonts w:cs="Calibri"/>
                <w:color w:val="000000" w:themeColor="text1"/>
                <w:sz w:val="22"/>
                <w:szCs w:val="22"/>
                <w:lang w:val="es"/>
              </w:rPr>
              <w:t>Desarrollo Social</w:t>
            </w:r>
          </w:p>
        </w:tc>
        <w:tc>
          <w:tcPr>
            <w:tcW w:w="1776" w:type="dxa"/>
            <w:tcMar>
              <w:left w:w="108" w:type="dxa"/>
              <w:right w:w="108" w:type="dxa"/>
            </w:tcMar>
            <w:vAlign w:val="center"/>
          </w:tcPr>
          <w:p w14:paraId="3263A828" w14:textId="067613A7" w:rsidR="10DDB783" w:rsidRDefault="10DDB783" w:rsidP="10DDB783">
            <w:pPr>
              <w:jc w:val="right"/>
              <w:cnfStyle w:val="000000100000" w:firstRow="0" w:lastRow="0" w:firstColumn="0" w:lastColumn="0" w:oddVBand="0" w:evenVBand="0" w:oddHBand="1" w:evenHBand="0" w:firstRowFirstColumn="0" w:firstRowLastColumn="0" w:lastRowFirstColumn="0" w:lastRowLastColumn="0"/>
            </w:pPr>
            <w:r w:rsidRPr="10DDB783">
              <w:rPr>
                <w:rFonts w:cs="Calibri"/>
                <w:lang w:val="es"/>
              </w:rPr>
              <w:t>Q53,052,449.00</w:t>
            </w:r>
          </w:p>
        </w:tc>
        <w:tc>
          <w:tcPr>
            <w:tcW w:w="1776" w:type="dxa"/>
            <w:tcMar>
              <w:left w:w="108" w:type="dxa"/>
              <w:right w:w="108" w:type="dxa"/>
            </w:tcMar>
            <w:vAlign w:val="center"/>
          </w:tcPr>
          <w:p w14:paraId="5132F14C" w14:textId="30C917B9" w:rsidR="10DDB783" w:rsidRDefault="10DDB783" w:rsidP="10DDB783">
            <w:pPr>
              <w:jc w:val="right"/>
              <w:cnfStyle w:val="000000100000" w:firstRow="0" w:lastRow="0" w:firstColumn="0" w:lastColumn="0" w:oddVBand="0" w:evenVBand="0" w:oddHBand="1" w:evenHBand="0" w:firstRowFirstColumn="0" w:firstRowLastColumn="0" w:lastRowFirstColumn="0" w:lastRowLastColumn="0"/>
            </w:pPr>
            <w:r w:rsidRPr="10DDB783">
              <w:rPr>
                <w:rFonts w:cs="Calibri"/>
                <w:lang w:val="es"/>
              </w:rPr>
              <w:t>Q52,574,547.99</w:t>
            </w:r>
          </w:p>
        </w:tc>
        <w:tc>
          <w:tcPr>
            <w:tcW w:w="1383" w:type="dxa"/>
            <w:shd w:val="clear" w:color="auto" w:fill="92D050"/>
            <w:tcMar>
              <w:left w:w="108" w:type="dxa"/>
              <w:right w:w="108" w:type="dxa"/>
            </w:tcMar>
            <w:vAlign w:val="center"/>
          </w:tcPr>
          <w:p w14:paraId="0AFB8F60" w14:textId="6D8C8997" w:rsidR="10DDB783" w:rsidRDefault="10DDB783" w:rsidP="10DDB783">
            <w:pPr>
              <w:jc w:val="center"/>
              <w:cnfStyle w:val="000000100000" w:firstRow="0" w:lastRow="0" w:firstColumn="0" w:lastColumn="0" w:oddVBand="0" w:evenVBand="0" w:oddHBand="1" w:evenHBand="0" w:firstRowFirstColumn="0" w:firstRowLastColumn="0" w:lastRowFirstColumn="0" w:lastRowLastColumn="0"/>
            </w:pPr>
            <w:r w:rsidRPr="10DDB783">
              <w:rPr>
                <w:rFonts w:cs="Calibri"/>
                <w:color w:val="000000" w:themeColor="text1"/>
                <w:sz w:val="22"/>
                <w:szCs w:val="22"/>
                <w:lang w:val="es"/>
              </w:rPr>
              <w:t>100.00%</w:t>
            </w:r>
          </w:p>
        </w:tc>
        <w:tc>
          <w:tcPr>
            <w:tcW w:w="1331" w:type="dxa"/>
            <w:shd w:val="clear" w:color="auto" w:fill="92D050"/>
            <w:tcMar>
              <w:left w:w="108" w:type="dxa"/>
              <w:right w:w="108" w:type="dxa"/>
            </w:tcMar>
            <w:vAlign w:val="center"/>
          </w:tcPr>
          <w:p w14:paraId="77A5B0F7" w14:textId="7A4B1E53" w:rsidR="10DDB783" w:rsidRDefault="10DDB783" w:rsidP="10DDB783">
            <w:pPr>
              <w:jc w:val="center"/>
              <w:cnfStyle w:val="000000100000" w:firstRow="0" w:lastRow="0" w:firstColumn="0" w:lastColumn="0" w:oddVBand="0" w:evenVBand="0" w:oddHBand="1" w:evenHBand="0" w:firstRowFirstColumn="0" w:firstRowLastColumn="0" w:lastRowFirstColumn="0" w:lastRowLastColumn="0"/>
            </w:pPr>
            <w:r w:rsidRPr="10DDB783">
              <w:rPr>
                <w:rFonts w:cs="Calibri"/>
                <w:color w:val="000000" w:themeColor="text1"/>
                <w:sz w:val="22"/>
                <w:szCs w:val="22"/>
                <w:lang w:val="es"/>
              </w:rPr>
              <w:t>99.10%</w:t>
            </w:r>
          </w:p>
        </w:tc>
      </w:tr>
      <w:tr w:rsidR="10DDB783" w14:paraId="15F32606" w14:textId="77777777" w:rsidTr="00A242C9">
        <w:trPr>
          <w:trHeight w:val="810"/>
        </w:trPr>
        <w:tc>
          <w:tcPr>
            <w:cnfStyle w:val="001000000000" w:firstRow="0" w:lastRow="0" w:firstColumn="1" w:lastColumn="0" w:oddVBand="0" w:evenVBand="0" w:oddHBand="0" w:evenHBand="0" w:firstRowFirstColumn="0" w:firstRowLastColumn="0" w:lastRowFirstColumn="0" w:lastRowLastColumn="0"/>
            <w:tcW w:w="1593" w:type="dxa"/>
            <w:tcMar>
              <w:left w:w="108" w:type="dxa"/>
              <w:right w:w="108" w:type="dxa"/>
            </w:tcMar>
          </w:tcPr>
          <w:p w14:paraId="7B99D3A0" w14:textId="44522C57" w:rsidR="10DDB783" w:rsidRPr="00AD78CC" w:rsidRDefault="10DDB783">
            <w:pPr>
              <w:rPr>
                <w:b w:val="0"/>
              </w:rPr>
            </w:pPr>
            <w:r w:rsidRPr="00AD78CC">
              <w:rPr>
                <w:rFonts w:cs="Calibri"/>
                <w:b w:val="0"/>
                <w:color w:val="000000" w:themeColor="text1"/>
                <w:sz w:val="22"/>
                <w:szCs w:val="22"/>
                <w:lang w:val="es"/>
              </w:rPr>
              <w:t>Secretaría de Planificación y Programación de la Presidencia</w:t>
            </w:r>
          </w:p>
        </w:tc>
        <w:tc>
          <w:tcPr>
            <w:tcW w:w="1544" w:type="dxa"/>
            <w:tcMar>
              <w:left w:w="108" w:type="dxa"/>
              <w:right w:w="108" w:type="dxa"/>
            </w:tcMar>
            <w:vAlign w:val="center"/>
          </w:tcPr>
          <w:p w14:paraId="2F2528EA" w14:textId="33D89DEA" w:rsidR="10DDB783" w:rsidRDefault="10DDB783">
            <w:pPr>
              <w:cnfStyle w:val="000000000000" w:firstRow="0" w:lastRow="0" w:firstColumn="0" w:lastColumn="0" w:oddVBand="0" w:evenVBand="0" w:oddHBand="0" w:evenHBand="0" w:firstRowFirstColumn="0" w:firstRowLastColumn="0" w:lastRowFirstColumn="0" w:lastRowLastColumn="0"/>
            </w:pPr>
            <w:r w:rsidRPr="10DDB783">
              <w:rPr>
                <w:rFonts w:cs="Calibri"/>
                <w:color w:val="000000" w:themeColor="text1"/>
                <w:sz w:val="22"/>
                <w:szCs w:val="22"/>
                <w:lang w:val="es"/>
              </w:rPr>
              <w:t>Estado Responsable, Transparente y Efectivo</w:t>
            </w:r>
          </w:p>
        </w:tc>
        <w:tc>
          <w:tcPr>
            <w:tcW w:w="1776" w:type="dxa"/>
            <w:tcMar>
              <w:left w:w="108" w:type="dxa"/>
              <w:right w:w="108" w:type="dxa"/>
            </w:tcMar>
            <w:vAlign w:val="center"/>
          </w:tcPr>
          <w:p w14:paraId="584AEA30" w14:textId="6DC5A66C" w:rsidR="10DDB783" w:rsidRDefault="10DDB783" w:rsidP="10DDB783">
            <w:pPr>
              <w:jc w:val="right"/>
              <w:cnfStyle w:val="000000000000" w:firstRow="0" w:lastRow="0" w:firstColumn="0" w:lastColumn="0" w:oddVBand="0" w:evenVBand="0" w:oddHBand="0" w:evenHBand="0" w:firstRowFirstColumn="0" w:firstRowLastColumn="0" w:lastRowFirstColumn="0" w:lastRowLastColumn="0"/>
            </w:pPr>
            <w:r w:rsidRPr="10DDB783">
              <w:rPr>
                <w:rFonts w:cs="Calibri"/>
                <w:lang w:val="es"/>
              </w:rPr>
              <w:t>Q59,581,947.00</w:t>
            </w:r>
          </w:p>
        </w:tc>
        <w:tc>
          <w:tcPr>
            <w:tcW w:w="1776" w:type="dxa"/>
            <w:tcMar>
              <w:left w:w="108" w:type="dxa"/>
              <w:right w:w="108" w:type="dxa"/>
            </w:tcMar>
            <w:vAlign w:val="center"/>
          </w:tcPr>
          <w:p w14:paraId="73FEA99A" w14:textId="160CE956" w:rsidR="10DDB783" w:rsidRDefault="10DDB783" w:rsidP="10DDB783">
            <w:pPr>
              <w:jc w:val="right"/>
              <w:cnfStyle w:val="000000000000" w:firstRow="0" w:lastRow="0" w:firstColumn="0" w:lastColumn="0" w:oddVBand="0" w:evenVBand="0" w:oddHBand="0" w:evenHBand="0" w:firstRowFirstColumn="0" w:firstRowLastColumn="0" w:lastRowFirstColumn="0" w:lastRowLastColumn="0"/>
            </w:pPr>
            <w:r w:rsidRPr="10DDB783">
              <w:rPr>
                <w:rFonts w:cs="Calibri"/>
                <w:lang w:val="es"/>
              </w:rPr>
              <w:t>Q59,375,456.76</w:t>
            </w:r>
          </w:p>
        </w:tc>
        <w:tc>
          <w:tcPr>
            <w:tcW w:w="1383" w:type="dxa"/>
            <w:shd w:val="clear" w:color="auto" w:fill="92D050"/>
            <w:tcMar>
              <w:left w:w="108" w:type="dxa"/>
              <w:right w:w="108" w:type="dxa"/>
            </w:tcMar>
            <w:vAlign w:val="center"/>
          </w:tcPr>
          <w:p w14:paraId="2CB83528" w14:textId="008649A1" w:rsidR="10DDB783" w:rsidRDefault="10DDB783" w:rsidP="10DDB783">
            <w:pPr>
              <w:jc w:val="center"/>
              <w:cnfStyle w:val="000000000000" w:firstRow="0" w:lastRow="0" w:firstColumn="0" w:lastColumn="0" w:oddVBand="0" w:evenVBand="0" w:oddHBand="0" w:evenHBand="0" w:firstRowFirstColumn="0" w:firstRowLastColumn="0" w:lastRowFirstColumn="0" w:lastRowLastColumn="0"/>
            </w:pPr>
            <w:r w:rsidRPr="10DDB783">
              <w:rPr>
                <w:rFonts w:cs="Calibri"/>
                <w:color w:val="000000" w:themeColor="text1"/>
                <w:sz w:val="22"/>
                <w:szCs w:val="22"/>
                <w:lang w:val="es"/>
              </w:rPr>
              <w:t>99.39%</w:t>
            </w:r>
          </w:p>
        </w:tc>
        <w:tc>
          <w:tcPr>
            <w:tcW w:w="1331" w:type="dxa"/>
            <w:shd w:val="clear" w:color="auto" w:fill="92D050"/>
            <w:tcMar>
              <w:left w:w="108" w:type="dxa"/>
              <w:right w:w="108" w:type="dxa"/>
            </w:tcMar>
            <w:vAlign w:val="center"/>
          </w:tcPr>
          <w:p w14:paraId="372F24E2" w14:textId="4B7E9937" w:rsidR="10DDB783" w:rsidRDefault="10DDB783" w:rsidP="10DDB783">
            <w:pPr>
              <w:jc w:val="center"/>
              <w:cnfStyle w:val="000000000000" w:firstRow="0" w:lastRow="0" w:firstColumn="0" w:lastColumn="0" w:oddVBand="0" w:evenVBand="0" w:oddHBand="0" w:evenHBand="0" w:firstRowFirstColumn="0" w:firstRowLastColumn="0" w:lastRowFirstColumn="0" w:lastRowLastColumn="0"/>
            </w:pPr>
            <w:r w:rsidRPr="10DDB783">
              <w:rPr>
                <w:rFonts w:cs="Calibri"/>
                <w:color w:val="000000" w:themeColor="text1"/>
                <w:sz w:val="22"/>
                <w:szCs w:val="22"/>
                <w:lang w:val="es"/>
              </w:rPr>
              <w:t>99.65%</w:t>
            </w:r>
          </w:p>
        </w:tc>
      </w:tr>
      <w:tr w:rsidR="10DDB783" w14:paraId="3EA83461" w14:textId="77777777" w:rsidTr="00A242C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593" w:type="dxa"/>
            <w:tcMar>
              <w:left w:w="108" w:type="dxa"/>
              <w:right w:w="108" w:type="dxa"/>
            </w:tcMar>
          </w:tcPr>
          <w:p w14:paraId="486AA2EC" w14:textId="150FE9DA" w:rsidR="10DDB783" w:rsidRPr="00AD78CC" w:rsidRDefault="10DDB783">
            <w:pPr>
              <w:rPr>
                <w:b w:val="0"/>
              </w:rPr>
            </w:pPr>
            <w:r w:rsidRPr="00AD78CC">
              <w:rPr>
                <w:rFonts w:cs="Calibri"/>
                <w:b w:val="0"/>
                <w:color w:val="000000" w:themeColor="text1"/>
                <w:sz w:val="22"/>
                <w:szCs w:val="22"/>
                <w:lang w:val="es"/>
              </w:rPr>
              <w:t>Secretaría de Coordinación Ejecutiva de la Presidencia</w:t>
            </w:r>
          </w:p>
        </w:tc>
        <w:tc>
          <w:tcPr>
            <w:tcW w:w="1544" w:type="dxa"/>
            <w:tcMar>
              <w:left w:w="108" w:type="dxa"/>
              <w:right w:w="108" w:type="dxa"/>
            </w:tcMar>
            <w:vAlign w:val="center"/>
          </w:tcPr>
          <w:p w14:paraId="0FF96393" w14:textId="440A8F92" w:rsidR="10DDB783" w:rsidRDefault="10DDB783">
            <w:pPr>
              <w:cnfStyle w:val="000000100000" w:firstRow="0" w:lastRow="0" w:firstColumn="0" w:lastColumn="0" w:oddVBand="0" w:evenVBand="0" w:oddHBand="1" w:evenHBand="0" w:firstRowFirstColumn="0" w:firstRowLastColumn="0" w:lastRowFirstColumn="0" w:lastRowLastColumn="0"/>
            </w:pPr>
            <w:r w:rsidRPr="10DDB783">
              <w:rPr>
                <w:rFonts w:cs="Calibri"/>
                <w:color w:val="000000" w:themeColor="text1"/>
                <w:sz w:val="22"/>
                <w:szCs w:val="22"/>
                <w:lang w:val="es"/>
              </w:rPr>
              <w:t>Estado Responsable, Transparente y Efectivo</w:t>
            </w:r>
          </w:p>
        </w:tc>
        <w:tc>
          <w:tcPr>
            <w:tcW w:w="1776" w:type="dxa"/>
            <w:tcMar>
              <w:left w:w="108" w:type="dxa"/>
              <w:right w:w="108" w:type="dxa"/>
            </w:tcMar>
            <w:vAlign w:val="center"/>
          </w:tcPr>
          <w:p w14:paraId="5CEA80D9" w14:textId="05600E2D" w:rsidR="10DDB783" w:rsidRDefault="10DDB783" w:rsidP="10DDB783">
            <w:pPr>
              <w:jc w:val="right"/>
              <w:cnfStyle w:val="000000100000" w:firstRow="0" w:lastRow="0" w:firstColumn="0" w:lastColumn="0" w:oddVBand="0" w:evenVBand="0" w:oddHBand="1" w:evenHBand="0" w:firstRowFirstColumn="0" w:firstRowLastColumn="0" w:lastRowFirstColumn="0" w:lastRowLastColumn="0"/>
            </w:pPr>
            <w:r w:rsidRPr="10DDB783">
              <w:rPr>
                <w:rFonts w:cs="Calibri"/>
                <w:lang w:val="es"/>
              </w:rPr>
              <w:t>Q1,698,800.00</w:t>
            </w:r>
          </w:p>
        </w:tc>
        <w:tc>
          <w:tcPr>
            <w:tcW w:w="1776" w:type="dxa"/>
            <w:tcMar>
              <w:left w:w="108" w:type="dxa"/>
              <w:right w:w="108" w:type="dxa"/>
            </w:tcMar>
            <w:vAlign w:val="center"/>
          </w:tcPr>
          <w:p w14:paraId="4BEACB11" w14:textId="67E026F6" w:rsidR="10DDB783" w:rsidRDefault="10DDB783" w:rsidP="10DDB783">
            <w:pPr>
              <w:jc w:val="right"/>
              <w:cnfStyle w:val="000000100000" w:firstRow="0" w:lastRow="0" w:firstColumn="0" w:lastColumn="0" w:oddVBand="0" w:evenVBand="0" w:oddHBand="1" w:evenHBand="0" w:firstRowFirstColumn="0" w:firstRowLastColumn="0" w:lastRowFirstColumn="0" w:lastRowLastColumn="0"/>
            </w:pPr>
            <w:r w:rsidRPr="10DDB783">
              <w:rPr>
                <w:rFonts w:cs="Calibri"/>
                <w:lang w:val="es"/>
              </w:rPr>
              <w:t>Q1,667,725.85</w:t>
            </w:r>
          </w:p>
        </w:tc>
        <w:tc>
          <w:tcPr>
            <w:tcW w:w="1383" w:type="dxa"/>
            <w:shd w:val="clear" w:color="auto" w:fill="92D050"/>
            <w:tcMar>
              <w:left w:w="108" w:type="dxa"/>
              <w:right w:w="108" w:type="dxa"/>
            </w:tcMar>
            <w:vAlign w:val="center"/>
          </w:tcPr>
          <w:p w14:paraId="329B0E3B" w14:textId="352F26BB" w:rsidR="10DDB783" w:rsidRDefault="10DDB783" w:rsidP="10DDB783">
            <w:pPr>
              <w:jc w:val="center"/>
              <w:cnfStyle w:val="000000100000" w:firstRow="0" w:lastRow="0" w:firstColumn="0" w:lastColumn="0" w:oddVBand="0" w:evenVBand="0" w:oddHBand="1" w:evenHBand="0" w:firstRowFirstColumn="0" w:firstRowLastColumn="0" w:lastRowFirstColumn="0" w:lastRowLastColumn="0"/>
            </w:pPr>
            <w:r w:rsidRPr="10DDB783">
              <w:rPr>
                <w:rFonts w:cs="Calibri"/>
                <w:color w:val="000000" w:themeColor="text1"/>
                <w:sz w:val="22"/>
                <w:szCs w:val="22"/>
                <w:lang w:val="es"/>
              </w:rPr>
              <w:t>100%</w:t>
            </w:r>
          </w:p>
        </w:tc>
        <w:tc>
          <w:tcPr>
            <w:tcW w:w="1331" w:type="dxa"/>
            <w:shd w:val="clear" w:color="auto" w:fill="92D050"/>
            <w:tcMar>
              <w:left w:w="108" w:type="dxa"/>
              <w:right w:w="108" w:type="dxa"/>
            </w:tcMar>
            <w:vAlign w:val="center"/>
          </w:tcPr>
          <w:p w14:paraId="41DD79D9" w14:textId="7BC83924" w:rsidR="10DDB783" w:rsidRDefault="10DDB783" w:rsidP="10DDB783">
            <w:pPr>
              <w:jc w:val="center"/>
              <w:cnfStyle w:val="000000100000" w:firstRow="0" w:lastRow="0" w:firstColumn="0" w:lastColumn="0" w:oddVBand="0" w:evenVBand="0" w:oddHBand="1" w:evenHBand="0" w:firstRowFirstColumn="0" w:firstRowLastColumn="0" w:lastRowFirstColumn="0" w:lastRowLastColumn="0"/>
            </w:pPr>
            <w:r w:rsidRPr="10DDB783">
              <w:rPr>
                <w:rFonts w:cs="Calibri"/>
                <w:color w:val="000000" w:themeColor="text1"/>
                <w:sz w:val="22"/>
                <w:szCs w:val="22"/>
                <w:lang w:val="es"/>
              </w:rPr>
              <w:t>98.17%</w:t>
            </w:r>
          </w:p>
        </w:tc>
      </w:tr>
    </w:tbl>
    <w:p w14:paraId="34461825" w14:textId="6550DBBD" w:rsidR="0831ED43" w:rsidRDefault="76A07687" w:rsidP="10DDB783">
      <w:pPr>
        <w:tabs>
          <w:tab w:val="left" w:pos="1504"/>
        </w:tabs>
        <w:spacing w:line="257" w:lineRule="auto"/>
        <w:jc w:val="both"/>
      </w:pPr>
      <w:r w:rsidRPr="76A07687">
        <w:rPr>
          <w:rFonts w:ascii="Calibri" w:eastAsia="Calibri" w:hAnsi="Calibri" w:cs="Calibri"/>
          <w:sz w:val="16"/>
          <w:szCs w:val="16"/>
        </w:rPr>
        <w:t>Fuente: Con base a registros de Siplan. Segeplan. Año 2022.</w:t>
      </w:r>
    </w:p>
    <w:p w14:paraId="23284175" w14:textId="6550DBBD" w:rsidR="0831ED43" w:rsidRDefault="76A07687" w:rsidP="00F349AE">
      <w:pPr>
        <w:tabs>
          <w:tab w:val="left" w:pos="1504"/>
        </w:tabs>
        <w:spacing w:after="120" w:line="240" w:lineRule="auto"/>
        <w:jc w:val="both"/>
      </w:pPr>
      <w:r w:rsidRPr="76A07687">
        <w:rPr>
          <w:rFonts w:ascii="Calibri" w:eastAsia="Calibri" w:hAnsi="Calibri" w:cs="Calibri"/>
          <w:b/>
          <w:bCs/>
          <w:sz w:val="24"/>
          <w:szCs w:val="24"/>
        </w:rPr>
        <w:t xml:space="preserve">SESAN: </w:t>
      </w:r>
      <w:r w:rsidRPr="76A07687">
        <w:rPr>
          <w:rFonts w:ascii="Calibri" w:eastAsia="Calibri" w:hAnsi="Calibri" w:cs="Calibri"/>
          <w:sz w:val="24"/>
          <w:szCs w:val="24"/>
        </w:rPr>
        <w:t>vinculada a la meta PGG: Para el año 2023 se redujo la tasa desnutrición crónica en 7 puntos porcentuales, principalmente con los productos: Coordinación y fortalecimiento de los procesos de Gobernanza en SAN a nivel local en el marco de la Ley del SINASAN, Coordinación y asistencia técnica para la planificación de intervenciones de seguridad alimentaria y nutricional a instituciones del SINASAN, Informes estratégicos para el seguimiento y evaluación de la seguridad alimentaria y nutricional en el marco de la ley del SINASAN, Entidades y organizaciones coordinadas para la implementación  de intervenciones para la prevención de la malnutrición e Informes de coordinación, sensibilización y acciones de comunicación en  seguridad alimentaria y nutricional, todos con un 100% de avance físico.</w:t>
      </w:r>
    </w:p>
    <w:p w14:paraId="4D6F389D" w14:textId="6550DBBD" w:rsidR="0831ED43" w:rsidRDefault="76A07687" w:rsidP="00F349AE">
      <w:pPr>
        <w:tabs>
          <w:tab w:val="left" w:pos="1504"/>
        </w:tabs>
        <w:spacing w:after="120" w:line="240" w:lineRule="auto"/>
        <w:jc w:val="both"/>
      </w:pPr>
      <w:r w:rsidRPr="76A07687">
        <w:rPr>
          <w:rFonts w:ascii="Calibri" w:eastAsia="Calibri" w:hAnsi="Calibri" w:cs="Calibri"/>
          <w:b/>
          <w:bCs/>
          <w:sz w:val="24"/>
          <w:szCs w:val="24"/>
        </w:rPr>
        <w:t xml:space="preserve">SEGEPLAN: </w:t>
      </w:r>
      <w:r w:rsidRPr="76A07687">
        <w:rPr>
          <w:rFonts w:ascii="Calibri" w:eastAsia="Calibri" w:hAnsi="Calibri" w:cs="Calibri"/>
          <w:sz w:val="24"/>
          <w:szCs w:val="24"/>
        </w:rPr>
        <w:t>vinculada a las metas PGG: 1) Para el año 2023 se ha implementado el Sistema Nacional de Planificación, con el producto: Informes estratégicos e instrumentos para el seguimiento y evaluación de la gestión pública, a disposición de las entidades del Estado, con 98.8% de avance físico. 2) Para el año 2023 la totalidad de municipios implementan su plan de ordenamiento territorial, con el producto: Entidades e instituciones públicas y Sistema de Consejos de Desarrollo, con asesoría técnica en procesos de políticas públicas, planificación y programación, con orientación a resultados, en el marco de las Prioridades Nacionales de Desarrollo, con 100% de avance físico.</w:t>
      </w:r>
    </w:p>
    <w:p w14:paraId="2EC4287B" w14:textId="6550DBBD" w:rsidR="0831ED43" w:rsidRDefault="76A07687" w:rsidP="00F349AE">
      <w:pPr>
        <w:tabs>
          <w:tab w:val="left" w:pos="1504"/>
        </w:tabs>
        <w:spacing w:after="120" w:line="240" w:lineRule="auto"/>
        <w:jc w:val="both"/>
      </w:pPr>
      <w:r w:rsidRPr="76A07687">
        <w:rPr>
          <w:rFonts w:ascii="Calibri" w:eastAsia="Calibri" w:hAnsi="Calibri" w:cs="Calibri"/>
          <w:b/>
          <w:bCs/>
          <w:sz w:val="24"/>
          <w:szCs w:val="24"/>
        </w:rPr>
        <w:t>SCEP</w:t>
      </w:r>
      <w:r w:rsidRPr="76A07687">
        <w:rPr>
          <w:rFonts w:ascii="Calibri" w:eastAsia="Calibri" w:hAnsi="Calibri" w:cs="Calibri"/>
          <w:sz w:val="24"/>
          <w:szCs w:val="24"/>
        </w:rPr>
        <w:t xml:space="preserve">: vinculada a la meta PGG: Para el año 2023 se ha implementado la estrategia de descentralización en la gestión pública, con los productos: Dirección y coordinación (Apoyo a la Descentralización) y Plan Anual de Descentralización, con 100% de avance físico. </w:t>
      </w:r>
    </w:p>
    <w:p w14:paraId="745291CD" w14:textId="6550DBBD" w:rsidR="0831ED43" w:rsidRPr="00644EA2" w:rsidRDefault="76A07687" w:rsidP="00644EA2">
      <w:pPr>
        <w:pStyle w:val="Ttulo2"/>
        <w:numPr>
          <w:ilvl w:val="0"/>
          <w:numId w:val="0"/>
        </w:numPr>
        <w:rPr>
          <w:rFonts w:asciiTheme="minorHAnsi" w:eastAsia="Calibri" w:hAnsiTheme="minorHAnsi" w:cstheme="minorHAnsi"/>
          <w:color w:val="002060"/>
          <w:sz w:val="32"/>
        </w:rPr>
      </w:pPr>
      <w:bookmarkStart w:id="33" w:name="_Toc130301105"/>
      <w:r w:rsidRPr="00644EA2">
        <w:rPr>
          <w:rFonts w:asciiTheme="minorHAnsi" w:eastAsia="Calibri" w:hAnsiTheme="minorHAnsi" w:cstheme="minorHAnsi"/>
          <w:color w:val="002060"/>
          <w:sz w:val="32"/>
        </w:rPr>
        <w:t>Otras dependencias del ejecutivo, empresas y órganos de control</w:t>
      </w:r>
      <w:bookmarkEnd w:id="33"/>
    </w:p>
    <w:p w14:paraId="60216437" w14:textId="6550DBBD" w:rsidR="0831ED43" w:rsidRDefault="76A07687" w:rsidP="00A242C9">
      <w:pPr>
        <w:spacing w:before="120" w:after="120" w:line="240" w:lineRule="auto"/>
        <w:jc w:val="both"/>
      </w:pPr>
      <w:r w:rsidRPr="76A07687">
        <w:rPr>
          <w:rFonts w:ascii="Calibri" w:eastAsia="Calibri" w:hAnsi="Calibri" w:cs="Calibri"/>
          <w:sz w:val="24"/>
          <w:szCs w:val="24"/>
        </w:rPr>
        <w:t>Se presentan los resultados del desempeño institucional de otras dependencias del ejecutivo, así como de empresas y órganos de control a través del análisis de los porcentajes de ejecución de metas físicas y financieras. Los resultados son los siguientes:</w:t>
      </w:r>
    </w:p>
    <w:p w14:paraId="7032A955" w14:textId="596D646F" w:rsidR="0831ED43" w:rsidRPr="006645F7" w:rsidRDefault="002F770E" w:rsidP="006645F7">
      <w:pPr>
        <w:pStyle w:val="ttulosgrficas"/>
        <w:rPr>
          <w:rFonts w:asciiTheme="minorHAnsi" w:hAnsiTheme="minorHAnsi" w:cstheme="minorHAnsi"/>
          <w:lang w:val="es-ES"/>
        </w:rPr>
      </w:pPr>
      <w:bookmarkStart w:id="34" w:name="_Toc130199599"/>
      <w:r w:rsidRPr="006645F7">
        <w:rPr>
          <w:rFonts w:asciiTheme="minorHAnsi" w:hAnsiTheme="minorHAnsi" w:cstheme="minorHAnsi"/>
          <w:color w:val="4472C4" w:themeColor="accent1"/>
          <w:lang w:val="es-ES"/>
        </w:rPr>
        <w:t xml:space="preserve">Tabla </w:t>
      </w:r>
      <w:r w:rsidR="00AD78CC" w:rsidRPr="006645F7">
        <w:rPr>
          <w:rFonts w:asciiTheme="minorHAnsi" w:hAnsiTheme="minorHAnsi" w:cstheme="minorHAnsi"/>
          <w:color w:val="4472C4" w:themeColor="accent1"/>
          <w:lang w:val="es-ES"/>
        </w:rPr>
        <w:fldChar w:fldCharType="begin"/>
      </w:r>
      <w:r w:rsidR="00AD78CC" w:rsidRPr="006645F7">
        <w:rPr>
          <w:rFonts w:asciiTheme="minorHAnsi" w:hAnsiTheme="minorHAnsi" w:cstheme="minorHAnsi"/>
          <w:color w:val="4472C4" w:themeColor="accent1"/>
          <w:lang w:val="es-ES"/>
        </w:rPr>
        <w:instrText xml:space="preserve"> SEQ Tabla \* ARABIC </w:instrText>
      </w:r>
      <w:r w:rsidR="00AD78CC" w:rsidRPr="006645F7">
        <w:rPr>
          <w:rFonts w:asciiTheme="minorHAnsi" w:hAnsiTheme="minorHAnsi" w:cstheme="minorHAnsi"/>
          <w:color w:val="4472C4" w:themeColor="accent1"/>
          <w:lang w:val="es-ES"/>
        </w:rPr>
        <w:fldChar w:fldCharType="separate"/>
      </w:r>
      <w:r w:rsidR="00777974">
        <w:rPr>
          <w:rFonts w:asciiTheme="minorHAnsi" w:hAnsiTheme="minorHAnsi" w:cstheme="minorHAnsi"/>
          <w:noProof/>
          <w:color w:val="4472C4" w:themeColor="accent1"/>
          <w:lang w:val="es-ES"/>
        </w:rPr>
        <w:t>11</w:t>
      </w:r>
      <w:r w:rsidR="00AD78CC" w:rsidRPr="006645F7">
        <w:rPr>
          <w:rFonts w:asciiTheme="minorHAnsi" w:hAnsiTheme="minorHAnsi" w:cstheme="minorHAnsi"/>
          <w:color w:val="4472C4" w:themeColor="accent1"/>
          <w:lang w:val="es-ES"/>
        </w:rPr>
        <w:fldChar w:fldCharType="end"/>
      </w:r>
      <w:r w:rsidRPr="006645F7">
        <w:rPr>
          <w:rFonts w:asciiTheme="minorHAnsi" w:hAnsiTheme="minorHAnsi" w:cstheme="minorHAnsi"/>
          <w:color w:val="4472C4" w:themeColor="accent1"/>
          <w:lang w:val="es-ES"/>
        </w:rPr>
        <w:t xml:space="preserve">. Ejecución Física </w:t>
      </w:r>
      <w:r w:rsidR="00640D38" w:rsidRPr="006645F7">
        <w:rPr>
          <w:rFonts w:asciiTheme="minorHAnsi" w:hAnsiTheme="minorHAnsi" w:cstheme="minorHAnsi"/>
          <w:color w:val="4472C4" w:themeColor="accent1"/>
          <w:lang w:val="es-ES"/>
        </w:rPr>
        <w:t>y</w:t>
      </w:r>
      <w:r w:rsidRPr="006645F7">
        <w:rPr>
          <w:rFonts w:asciiTheme="minorHAnsi" w:hAnsiTheme="minorHAnsi" w:cstheme="minorHAnsi"/>
          <w:color w:val="4472C4" w:themeColor="accent1"/>
          <w:lang w:val="es-ES"/>
        </w:rPr>
        <w:t xml:space="preserve"> Financiera. Otras Dependencias </w:t>
      </w:r>
      <w:r w:rsidR="00640D38" w:rsidRPr="006645F7">
        <w:rPr>
          <w:rFonts w:asciiTheme="minorHAnsi" w:hAnsiTheme="minorHAnsi" w:cstheme="minorHAnsi"/>
          <w:color w:val="4472C4" w:themeColor="accent1"/>
          <w:lang w:val="es-ES"/>
        </w:rPr>
        <w:t>d</w:t>
      </w:r>
      <w:r w:rsidRPr="006645F7">
        <w:rPr>
          <w:rFonts w:asciiTheme="minorHAnsi" w:hAnsiTheme="minorHAnsi" w:cstheme="minorHAnsi"/>
          <w:color w:val="4472C4" w:themeColor="accent1"/>
          <w:lang w:val="es-ES"/>
        </w:rPr>
        <w:t xml:space="preserve">el Ejecutivo, Empresas </w:t>
      </w:r>
      <w:r w:rsidR="00640D38" w:rsidRPr="006645F7">
        <w:rPr>
          <w:rFonts w:asciiTheme="minorHAnsi" w:hAnsiTheme="minorHAnsi" w:cstheme="minorHAnsi"/>
          <w:color w:val="4472C4" w:themeColor="accent1"/>
          <w:lang w:val="es-ES"/>
        </w:rPr>
        <w:t>y</w:t>
      </w:r>
      <w:r w:rsidRPr="006645F7">
        <w:rPr>
          <w:rFonts w:asciiTheme="minorHAnsi" w:hAnsiTheme="minorHAnsi" w:cstheme="minorHAnsi"/>
          <w:color w:val="4472C4" w:themeColor="accent1"/>
          <w:lang w:val="es-ES"/>
        </w:rPr>
        <w:t xml:space="preserve"> Órganos </w:t>
      </w:r>
      <w:r w:rsidR="00640D38" w:rsidRPr="006645F7">
        <w:rPr>
          <w:rFonts w:asciiTheme="minorHAnsi" w:hAnsiTheme="minorHAnsi" w:cstheme="minorHAnsi"/>
          <w:color w:val="4472C4" w:themeColor="accent1"/>
          <w:lang w:val="es-ES"/>
        </w:rPr>
        <w:t>d</w:t>
      </w:r>
      <w:r w:rsidRPr="006645F7">
        <w:rPr>
          <w:rFonts w:asciiTheme="minorHAnsi" w:hAnsiTheme="minorHAnsi" w:cstheme="minorHAnsi"/>
          <w:color w:val="4472C4" w:themeColor="accent1"/>
          <w:lang w:val="es-ES"/>
        </w:rPr>
        <w:t>e Control</w:t>
      </w:r>
      <w:bookmarkEnd w:id="34"/>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408"/>
        <w:gridCol w:w="1902"/>
        <w:gridCol w:w="2173"/>
        <w:gridCol w:w="1460"/>
        <w:gridCol w:w="1463"/>
      </w:tblGrid>
      <w:tr w:rsidR="76A07687" w14:paraId="1657382F" w14:textId="77777777" w:rsidTr="00F349AE">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408"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42DDB61" w14:textId="79FA2FB9" w:rsidR="76A07687" w:rsidRDefault="76A07687" w:rsidP="76A07687">
            <w:pPr>
              <w:jc w:val="center"/>
              <w:rPr>
                <w:rFonts w:cs="Calibri"/>
                <w:sz w:val="22"/>
                <w:szCs w:val="22"/>
                <w:lang w:val="es"/>
              </w:rPr>
            </w:pPr>
            <w:r w:rsidRPr="76A07687">
              <w:rPr>
                <w:rFonts w:cs="Calibri"/>
                <w:color w:val="auto"/>
                <w:sz w:val="22"/>
                <w:szCs w:val="22"/>
                <w:lang w:val="es"/>
              </w:rPr>
              <w:t>Institución</w:t>
            </w:r>
          </w:p>
        </w:tc>
        <w:tc>
          <w:tcPr>
            <w:tcW w:w="1902"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578EF7C4" w14:textId="5F487488" w:rsidR="76A07687" w:rsidRDefault="76A07687" w:rsidP="76A0768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6A07687">
              <w:rPr>
                <w:rFonts w:cs="Calibri"/>
                <w:color w:val="auto"/>
                <w:sz w:val="22"/>
                <w:szCs w:val="22"/>
                <w:lang w:val="es"/>
              </w:rPr>
              <w:t>Meta financiera anual vigente</w:t>
            </w:r>
          </w:p>
        </w:tc>
        <w:tc>
          <w:tcPr>
            <w:tcW w:w="2173"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59F4BA4D" w14:textId="5524C94E" w:rsidR="76A07687" w:rsidRDefault="76A07687" w:rsidP="76A0768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6A07687">
              <w:rPr>
                <w:rFonts w:cs="Calibri"/>
                <w:color w:val="auto"/>
                <w:sz w:val="22"/>
                <w:szCs w:val="22"/>
                <w:lang w:val="es"/>
              </w:rPr>
              <w:t>Ejecución financiera acumulada</w:t>
            </w:r>
          </w:p>
        </w:tc>
        <w:tc>
          <w:tcPr>
            <w:tcW w:w="146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5300F901" w14:textId="02DDC3B8" w:rsidR="76A07687" w:rsidRDefault="76A07687" w:rsidP="76A0768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6A07687">
              <w:rPr>
                <w:rFonts w:cs="Calibri"/>
                <w:color w:val="auto"/>
                <w:sz w:val="22"/>
                <w:szCs w:val="22"/>
                <w:lang w:val="es"/>
              </w:rPr>
              <w:t xml:space="preserve">% ejecución </w:t>
            </w:r>
            <w:r>
              <w:br/>
            </w:r>
            <w:r w:rsidRPr="76A07687">
              <w:rPr>
                <w:rFonts w:cs="Calibri"/>
                <w:color w:val="auto"/>
                <w:sz w:val="22"/>
                <w:szCs w:val="22"/>
                <w:lang w:val="es"/>
              </w:rPr>
              <w:t>meta física</w:t>
            </w:r>
          </w:p>
        </w:tc>
        <w:tc>
          <w:tcPr>
            <w:tcW w:w="1463"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0672D35" w14:textId="545C70DA" w:rsidR="76A07687" w:rsidRDefault="76A07687" w:rsidP="76A0768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6A07687">
              <w:rPr>
                <w:rFonts w:cs="Calibri"/>
                <w:color w:val="auto"/>
                <w:sz w:val="22"/>
                <w:szCs w:val="22"/>
                <w:lang w:val="es"/>
              </w:rPr>
              <w:t xml:space="preserve">% ejecución </w:t>
            </w:r>
            <w:r>
              <w:br/>
            </w:r>
            <w:r w:rsidRPr="76A07687">
              <w:rPr>
                <w:rFonts w:cs="Calibri"/>
                <w:color w:val="auto"/>
                <w:sz w:val="22"/>
                <w:szCs w:val="22"/>
                <w:lang w:val="es"/>
              </w:rPr>
              <w:t>meta financiera</w:t>
            </w:r>
          </w:p>
        </w:tc>
      </w:tr>
      <w:tr w:rsidR="76A07687" w14:paraId="6A1420FA" w14:textId="77777777" w:rsidTr="00F349A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696D39B5" w14:textId="2AA81F8A" w:rsidR="76A07687" w:rsidRPr="00AD78CC" w:rsidRDefault="76A07687">
            <w:pPr>
              <w:rPr>
                <w:b w:val="0"/>
              </w:rPr>
            </w:pPr>
            <w:r w:rsidRPr="00AD78CC">
              <w:rPr>
                <w:rFonts w:cs="Calibri"/>
                <w:b w:val="0"/>
                <w:sz w:val="22"/>
                <w:szCs w:val="22"/>
                <w:lang w:val="es"/>
              </w:rPr>
              <w:t>Corte de Constitucionalidad</w:t>
            </w:r>
          </w:p>
        </w:tc>
        <w:tc>
          <w:tcPr>
            <w:tcW w:w="1902" w:type="dxa"/>
            <w:tcMar>
              <w:left w:w="108" w:type="dxa"/>
              <w:right w:w="108" w:type="dxa"/>
            </w:tcMar>
            <w:vAlign w:val="center"/>
          </w:tcPr>
          <w:p w14:paraId="5B6D9FB7" w14:textId="3E8D1516"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Q179,413,000.00</w:t>
            </w:r>
          </w:p>
        </w:tc>
        <w:tc>
          <w:tcPr>
            <w:tcW w:w="2173" w:type="dxa"/>
            <w:tcMar>
              <w:left w:w="108" w:type="dxa"/>
              <w:right w:w="108" w:type="dxa"/>
            </w:tcMar>
            <w:vAlign w:val="center"/>
          </w:tcPr>
          <w:p w14:paraId="6DAE0FED" w14:textId="295D3CDB"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Q167,398,748.57</w:t>
            </w:r>
          </w:p>
        </w:tc>
        <w:tc>
          <w:tcPr>
            <w:tcW w:w="1460" w:type="dxa"/>
            <w:shd w:val="clear" w:color="auto" w:fill="92D050"/>
            <w:tcMar>
              <w:left w:w="108" w:type="dxa"/>
              <w:right w:w="108" w:type="dxa"/>
            </w:tcMar>
            <w:vAlign w:val="center"/>
          </w:tcPr>
          <w:p w14:paraId="4085D747" w14:textId="0FB1B910"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100.00%</w:t>
            </w:r>
          </w:p>
        </w:tc>
        <w:tc>
          <w:tcPr>
            <w:tcW w:w="1463" w:type="dxa"/>
            <w:shd w:val="clear" w:color="auto" w:fill="92D050"/>
            <w:tcMar>
              <w:left w:w="108" w:type="dxa"/>
              <w:right w:w="108" w:type="dxa"/>
            </w:tcMar>
            <w:vAlign w:val="center"/>
          </w:tcPr>
          <w:p w14:paraId="36BC219E" w14:textId="12AE52E7"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93.30%</w:t>
            </w:r>
          </w:p>
        </w:tc>
      </w:tr>
      <w:tr w:rsidR="76A07687" w14:paraId="2B8B4AB0" w14:textId="77777777" w:rsidTr="00F349AE">
        <w:trPr>
          <w:trHeight w:val="585"/>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1991247D" w14:textId="00ECDBF6" w:rsidR="76A07687" w:rsidRPr="00AD78CC" w:rsidRDefault="76A07687">
            <w:pPr>
              <w:rPr>
                <w:b w:val="0"/>
              </w:rPr>
            </w:pPr>
            <w:r w:rsidRPr="00AD78CC">
              <w:rPr>
                <w:rFonts w:cs="Calibri"/>
                <w:b w:val="0"/>
                <w:sz w:val="22"/>
                <w:szCs w:val="22"/>
                <w:lang w:val="es"/>
              </w:rPr>
              <w:t>Procuraduría General de la Nación</w:t>
            </w:r>
          </w:p>
        </w:tc>
        <w:tc>
          <w:tcPr>
            <w:tcW w:w="1902" w:type="dxa"/>
            <w:tcMar>
              <w:left w:w="108" w:type="dxa"/>
              <w:right w:w="108" w:type="dxa"/>
            </w:tcMar>
            <w:vAlign w:val="center"/>
          </w:tcPr>
          <w:p w14:paraId="36E49645" w14:textId="1502B164"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Q161,691,844.00</w:t>
            </w:r>
          </w:p>
        </w:tc>
        <w:tc>
          <w:tcPr>
            <w:tcW w:w="2173" w:type="dxa"/>
            <w:tcMar>
              <w:left w:w="108" w:type="dxa"/>
              <w:right w:w="108" w:type="dxa"/>
            </w:tcMar>
            <w:vAlign w:val="center"/>
          </w:tcPr>
          <w:p w14:paraId="5147AB36" w14:textId="6D530796"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Q156,887,538.93</w:t>
            </w:r>
          </w:p>
        </w:tc>
        <w:tc>
          <w:tcPr>
            <w:tcW w:w="1460" w:type="dxa"/>
            <w:shd w:val="clear" w:color="auto" w:fill="92D050"/>
            <w:tcMar>
              <w:left w:w="108" w:type="dxa"/>
              <w:right w:w="108" w:type="dxa"/>
            </w:tcMar>
            <w:vAlign w:val="center"/>
          </w:tcPr>
          <w:p w14:paraId="46A635B9" w14:textId="6090A139"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100.00%</w:t>
            </w:r>
          </w:p>
        </w:tc>
        <w:tc>
          <w:tcPr>
            <w:tcW w:w="1463" w:type="dxa"/>
            <w:shd w:val="clear" w:color="auto" w:fill="92D050"/>
            <w:tcMar>
              <w:left w:w="108" w:type="dxa"/>
              <w:right w:w="108" w:type="dxa"/>
            </w:tcMar>
            <w:vAlign w:val="center"/>
          </w:tcPr>
          <w:p w14:paraId="1A57518A" w14:textId="417D7C60"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97.03%</w:t>
            </w:r>
          </w:p>
        </w:tc>
      </w:tr>
      <w:tr w:rsidR="76A07687" w14:paraId="2FAC3EDD" w14:textId="77777777" w:rsidTr="00F349A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62B51FF9" w14:textId="1987AF01" w:rsidR="76A07687" w:rsidRPr="00AD78CC" w:rsidRDefault="76A07687">
            <w:pPr>
              <w:rPr>
                <w:b w:val="0"/>
              </w:rPr>
            </w:pPr>
            <w:r w:rsidRPr="00AD78CC">
              <w:rPr>
                <w:rFonts w:cs="Calibri"/>
                <w:b w:val="0"/>
                <w:sz w:val="22"/>
                <w:szCs w:val="22"/>
                <w:lang w:val="es"/>
              </w:rPr>
              <w:t>Vicepresidencia de la República</w:t>
            </w:r>
          </w:p>
        </w:tc>
        <w:tc>
          <w:tcPr>
            <w:tcW w:w="1902" w:type="dxa"/>
            <w:tcMar>
              <w:left w:w="108" w:type="dxa"/>
              <w:right w:w="108" w:type="dxa"/>
            </w:tcMar>
            <w:vAlign w:val="center"/>
          </w:tcPr>
          <w:p w14:paraId="319A3B28" w14:textId="6E527166"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Q29,000,000.00</w:t>
            </w:r>
          </w:p>
        </w:tc>
        <w:tc>
          <w:tcPr>
            <w:tcW w:w="2173" w:type="dxa"/>
            <w:tcMar>
              <w:left w:w="108" w:type="dxa"/>
              <w:right w:w="108" w:type="dxa"/>
            </w:tcMar>
            <w:vAlign w:val="center"/>
          </w:tcPr>
          <w:p w14:paraId="3C1BB18B" w14:textId="21D63EE8"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Q22,268,951.83</w:t>
            </w:r>
          </w:p>
        </w:tc>
        <w:tc>
          <w:tcPr>
            <w:tcW w:w="1460" w:type="dxa"/>
            <w:shd w:val="clear" w:color="auto" w:fill="92D050"/>
            <w:tcMar>
              <w:left w:w="108" w:type="dxa"/>
              <w:right w:w="108" w:type="dxa"/>
            </w:tcMar>
            <w:vAlign w:val="center"/>
          </w:tcPr>
          <w:p w14:paraId="1B6A6E0B" w14:textId="4376D4A6"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100.00%</w:t>
            </w:r>
          </w:p>
        </w:tc>
        <w:tc>
          <w:tcPr>
            <w:tcW w:w="1463" w:type="dxa"/>
            <w:shd w:val="clear" w:color="auto" w:fill="FFFF00"/>
            <w:tcMar>
              <w:left w:w="108" w:type="dxa"/>
              <w:right w:w="108" w:type="dxa"/>
            </w:tcMar>
            <w:vAlign w:val="center"/>
          </w:tcPr>
          <w:p w14:paraId="68942467" w14:textId="4AC272F2"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76.79%</w:t>
            </w:r>
          </w:p>
        </w:tc>
      </w:tr>
      <w:tr w:rsidR="76A07687" w14:paraId="2EA75355" w14:textId="77777777" w:rsidTr="00F349AE">
        <w:trPr>
          <w:trHeight w:val="48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6FC510ED" w14:textId="2372DC25" w:rsidR="76A07687" w:rsidRPr="00AD78CC" w:rsidRDefault="76A07687">
            <w:pPr>
              <w:rPr>
                <w:b w:val="0"/>
              </w:rPr>
            </w:pPr>
            <w:r w:rsidRPr="00AD78CC">
              <w:rPr>
                <w:rFonts w:cs="Calibri"/>
                <w:b w:val="0"/>
                <w:sz w:val="22"/>
                <w:szCs w:val="22"/>
                <w:lang w:val="es"/>
              </w:rPr>
              <w:t>Comisión Presidencial por la Paz y los Derechos Humanos</w:t>
            </w:r>
          </w:p>
        </w:tc>
        <w:tc>
          <w:tcPr>
            <w:tcW w:w="1902" w:type="dxa"/>
            <w:tcMar>
              <w:left w:w="108" w:type="dxa"/>
              <w:right w:w="108" w:type="dxa"/>
            </w:tcMar>
            <w:vAlign w:val="center"/>
          </w:tcPr>
          <w:p w14:paraId="58D89BA9" w14:textId="331A9E47"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Q66,109,431.00</w:t>
            </w:r>
          </w:p>
        </w:tc>
        <w:tc>
          <w:tcPr>
            <w:tcW w:w="2173" w:type="dxa"/>
            <w:tcMar>
              <w:left w:w="108" w:type="dxa"/>
              <w:right w:w="108" w:type="dxa"/>
            </w:tcMar>
            <w:vAlign w:val="center"/>
          </w:tcPr>
          <w:p w14:paraId="4E1463DC" w14:textId="7A6FB146"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Q65,319,681.49</w:t>
            </w:r>
          </w:p>
        </w:tc>
        <w:tc>
          <w:tcPr>
            <w:tcW w:w="1460" w:type="dxa"/>
            <w:shd w:val="clear" w:color="auto" w:fill="92D050"/>
            <w:tcMar>
              <w:left w:w="108" w:type="dxa"/>
              <w:right w:w="108" w:type="dxa"/>
            </w:tcMar>
            <w:vAlign w:val="center"/>
          </w:tcPr>
          <w:p w14:paraId="2B1321AD" w14:textId="6C43C65A"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100.00%</w:t>
            </w:r>
          </w:p>
        </w:tc>
        <w:tc>
          <w:tcPr>
            <w:tcW w:w="1463" w:type="dxa"/>
            <w:shd w:val="clear" w:color="auto" w:fill="92D050"/>
            <w:tcMar>
              <w:left w:w="108" w:type="dxa"/>
              <w:right w:w="108" w:type="dxa"/>
            </w:tcMar>
            <w:vAlign w:val="center"/>
          </w:tcPr>
          <w:p w14:paraId="34C79B08" w14:textId="530D416A"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98.81%</w:t>
            </w:r>
          </w:p>
        </w:tc>
      </w:tr>
      <w:tr w:rsidR="76A07687" w14:paraId="61F057C2" w14:textId="77777777" w:rsidTr="00F349A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46B037F0" w14:textId="43506DEE" w:rsidR="76A07687" w:rsidRPr="00AD78CC" w:rsidRDefault="76A07687">
            <w:pPr>
              <w:rPr>
                <w:b w:val="0"/>
              </w:rPr>
            </w:pPr>
            <w:r w:rsidRPr="00AD78CC">
              <w:rPr>
                <w:rFonts w:cs="Calibri"/>
                <w:b w:val="0"/>
                <w:sz w:val="22"/>
                <w:szCs w:val="22"/>
                <w:lang w:val="es"/>
              </w:rPr>
              <w:t>Zona Libre de Industria y Comercio Santo Tomás de Castilla</w:t>
            </w:r>
          </w:p>
        </w:tc>
        <w:tc>
          <w:tcPr>
            <w:tcW w:w="1902" w:type="dxa"/>
            <w:tcMar>
              <w:left w:w="108" w:type="dxa"/>
              <w:right w:w="108" w:type="dxa"/>
            </w:tcMar>
            <w:vAlign w:val="center"/>
          </w:tcPr>
          <w:p w14:paraId="50984191" w14:textId="595F03B8"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Q42,219,811.00</w:t>
            </w:r>
          </w:p>
        </w:tc>
        <w:tc>
          <w:tcPr>
            <w:tcW w:w="2173" w:type="dxa"/>
            <w:tcMar>
              <w:left w:w="108" w:type="dxa"/>
              <w:right w:w="108" w:type="dxa"/>
            </w:tcMar>
            <w:vAlign w:val="center"/>
          </w:tcPr>
          <w:p w14:paraId="43D18230" w14:textId="58E8384D"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Q37,309,376.31</w:t>
            </w:r>
          </w:p>
        </w:tc>
        <w:tc>
          <w:tcPr>
            <w:tcW w:w="1460" w:type="dxa"/>
            <w:shd w:val="clear" w:color="auto" w:fill="92D050"/>
            <w:tcMar>
              <w:left w:w="108" w:type="dxa"/>
              <w:right w:w="108" w:type="dxa"/>
            </w:tcMar>
            <w:vAlign w:val="center"/>
          </w:tcPr>
          <w:p w14:paraId="4E2438C8" w14:textId="4A6C4881"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98.59%</w:t>
            </w:r>
          </w:p>
        </w:tc>
        <w:tc>
          <w:tcPr>
            <w:tcW w:w="1463" w:type="dxa"/>
            <w:shd w:val="clear" w:color="auto" w:fill="FFFF00"/>
            <w:tcMar>
              <w:left w:w="108" w:type="dxa"/>
              <w:right w:w="108" w:type="dxa"/>
            </w:tcMar>
            <w:vAlign w:val="center"/>
          </w:tcPr>
          <w:p w14:paraId="18783090" w14:textId="44C92276"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88.37%</w:t>
            </w:r>
          </w:p>
        </w:tc>
      </w:tr>
      <w:tr w:rsidR="76A07687" w14:paraId="3FA65FE2" w14:textId="77777777" w:rsidTr="00F349AE">
        <w:trPr>
          <w:trHeight w:val="48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33088B37" w14:textId="79C480AE" w:rsidR="76A07687" w:rsidRPr="00AD78CC" w:rsidRDefault="76A07687">
            <w:pPr>
              <w:rPr>
                <w:b w:val="0"/>
              </w:rPr>
            </w:pPr>
            <w:r w:rsidRPr="00AD78CC">
              <w:rPr>
                <w:rFonts w:cs="Calibri"/>
                <w:b w:val="0"/>
                <w:sz w:val="22"/>
                <w:szCs w:val="22"/>
                <w:lang w:val="es"/>
              </w:rPr>
              <w:t>Consejo Nacional de Adopciones</w:t>
            </w:r>
          </w:p>
        </w:tc>
        <w:tc>
          <w:tcPr>
            <w:tcW w:w="1902" w:type="dxa"/>
            <w:tcMar>
              <w:left w:w="108" w:type="dxa"/>
              <w:right w:w="108" w:type="dxa"/>
            </w:tcMar>
            <w:vAlign w:val="center"/>
          </w:tcPr>
          <w:p w14:paraId="734AE030" w14:textId="175C6CA7"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Q20,890,000.00</w:t>
            </w:r>
          </w:p>
        </w:tc>
        <w:tc>
          <w:tcPr>
            <w:tcW w:w="2173" w:type="dxa"/>
            <w:tcMar>
              <w:left w:w="108" w:type="dxa"/>
              <w:right w:w="108" w:type="dxa"/>
            </w:tcMar>
            <w:vAlign w:val="center"/>
          </w:tcPr>
          <w:p w14:paraId="17DD5F5D" w14:textId="54C7A387"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Q19,709,088.09</w:t>
            </w:r>
          </w:p>
        </w:tc>
        <w:tc>
          <w:tcPr>
            <w:tcW w:w="1460" w:type="dxa"/>
            <w:shd w:val="clear" w:color="auto" w:fill="92D050"/>
            <w:tcMar>
              <w:left w:w="108" w:type="dxa"/>
              <w:right w:w="108" w:type="dxa"/>
            </w:tcMar>
            <w:vAlign w:val="center"/>
          </w:tcPr>
          <w:p w14:paraId="5764CDF6" w14:textId="595E7107"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98.50%</w:t>
            </w:r>
          </w:p>
        </w:tc>
        <w:tc>
          <w:tcPr>
            <w:tcW w:w="1463" w:type="dxa"/>
            <w:shd w:val="clear" w:color="auto" w:fill="92D050"/>
            <w:tcMar>
              <w:left w:w="108" w:type="dxa"/>
              <w:right w:w="108" w:type="dxa"/>
            </w:tcMar>
            <w:vAlign w:val="center"/>
          </w:tcPr>
          <w:p w14:paraId="764A460D" w14:textId="2D4EC8F4"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94.35%</w:t>
            </w:r>
          </w:p>
        </w:tc>
      </w:tr>
      <w:tr w:rsidR="76A07687" w14:paraId="3FD70BC3" w14:textId="77777777" w:rsidTr="00F349A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5A5CD6D9" w14:textId="7624F45B" w:rsidR="76A07687" w:rsidRPr="00AD78CC" w:rsidRDefault="76A07687">
            <w:pPr>
              <w:rPr>
                <w:b w:val="0"/>
              </w:rPr>
            </w:pPr>
            <w:r w:rsidRPr="00AD78CC">
              <w:rPr>
                <w:rFonts w:cs="Calibri"/>
                <w:b w:val="0"/>
                <w:sz w:val="22"/>
                <w:szCs w:val="22"/>
                <w:lang w:val="es"/>
              </w:rPr>
              <w:t>Autoridad para el Manejo Sustentable de la Cuenca del Lago de Atitlán y su Entorno</w:t>
            </w:r>
          </w:p>
        </w:tc>
        <w:tc>
          <w:tcPr>
            <w:tcW w:w="1902" w:type="dxa"/>
            <w:tcMar>
              <w:left w:w="108" w:type="dxa"/>
              <w:right w:w="108" w:type="dxa"/>
            </w:tcMar>
            <w:vAlign w:val="center"/>
          </w:tcPr>
          <w:p w14:paraId="44A65A2F" w14:textId="49F92DC5"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Q10,000,000.00</w:t>
            </w:r>
          </w:p>
        </w:tc>
        <w:tc>
          <w:tcPr>
            <w:tcW w:w="2173" w:type="dxa"/>
            <w:tcMar>
              <w:left w:w="108" w:type="dxa"/>
              <w:right w:w="108" w:type="dxa"/>
            </w:tcMar>
            <w:vAlign w:val="center"/>
          </w:tcPr>
          <w:p w14:paraId="5C28F30D" w14:textId="2C8CCFB8"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Q9,831,943.17</w:t>
            </w:r>
          </w:p>
        </w:tc>
        <w:tc>
          <w:tcPr>
            <w:tcW w:w="1460" w:type="dxa"/>
            <w:shd w:val="clear" w:color="auto" w:fill="92D050"/>
            <w:tcMar>
              <w:left w:w="108" w:type="dxa"/>
              <w:right w:w="108" w:type="dxa"/>
            </w:tcMar>
            <w:vAlign w:val="center"/>
          </w:tcPr>
          <w:p w14:paraId="475C5C5B" w14:textId="6028E1FF"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97.75%</w:t>
            </w:r>
          </w:p>
        </w:tc>
        <w:tc>
          <w:tcPr>
            <w:tcW w:w="1463" w:type="dxa"/>
            <w:shd w:val="clear" w:color="auto" w:fill="92D050"/>
            <w:tcMar>
              <w:left w:w="108" w:type="dxa"/>
              <w:right w:w="108" w:type="dxa"/>
            </w:tcMar>
            <w:vAlign w:val="center"/>
          </w:tcPr>
          <w:p w14:paraId="2122BBBA" w14:textId="19DBDEAC"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98.32%</w:t>
            </w:r>
          </w:p>
        </w:tc>
      </w:tr>
      <w:tr w:rsidR="76A07687" w14:paraId="01F90004" w14:textId="77777777" w:rsidTr="00F349AE">
        <w:trPr>
          <w:trHeight w:val="39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087CB0B8" w14:textId="248D2F14" w:rsidR="76A07687" w:rsidRPr="00AD78CC" w:rsidRDefault="76A07687">
            <w:pPr>
              <w:rPr>
                <w:b w:val="0"/>
              </w:rPr>
            </w:pPr>
            <w:r w:rsidRPr="00AD78CC">
              <w:rPr>
                <w:rFonts w:cs="Calibri"/>
                <w:b w:val="0"/>
                <w:sz w:val="22"/>
                <w:szCs w:val="22"/>
                <w:lang w:val="es"/>
              </w:rPr>
              <w:t>Consejo Nacional de Áreas Protegidas</w:t>
            </w:r>
          </w:p>
        </w:tc>
        <w:tc>
          <w:tcPr>
            <w:tcW w:w="1902" w:type="dxa"/>
            <w:tcMar>
              <w:left w:w="108" w:type="dxa"/>
              <w:right w:w="108" w:type="dxa"/>
            </w:tcMar>
            <w:vAlign w:val="center"/>
          </w:tcPr>
          <w:p w14:paraId="0FCBF207" w14:textId="2F0449CB"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Q112,778,394.00</w:t>
            </w:r>
          </w:p>
        </w:tc>
        <w:tc>
          <w:tcPr>
            <w:tcW w:w="2173" w:type="dxa"/>
            <w:tcMar>
              <w:left w:w="108" w:type="dxa"/>
              <w:right w:w="108" w:type="dxa"/>
            </w:tcMar>
            <w:vAlign w:val="center"/>
          </w:tcPr>
          <w:p w14:paraId="37215CAE" w14:textId="14972AA9"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Q67,218,305.22</w:t>
            </w:r>
          </w:p>
        </w:tc>
        <w:tc>
          <w:tcPr>
            <w:tcW w:w="1460" w:type="dxa"/>
            <w:shd w:val="clear" w:color="auto" w:fill="92D050"/>
            <w:tcMar>
              <w:left w:w="108" w:type="dxa"/>
              <w:right w:w="108" w:type="dxa"/>
            </w:tcMar>
            <w:vAlign w:val="center"/>
          </w:tcPr>
          <w:p w14:paraId="6C30B184" w14:textId="5BE98F85"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97.00%</w:t>
            </w:r>
          </w:p>
        </w:tc>
        <w:tc>
          <w:tcPr>
            <w:tcW w:w="1463" w:type="dxa"/>
            <w:shd w:val="clear" w:color="auto" w:fill="FFFF00"/>
            <w:tcMar>
              <w:left w:w="108" w:type="dxa"/>
              <w:right w:w="108" w:type="dxa"/>
            </w:tcMar>
            <w:vAlign w:val="center"/>
          </w:tcPr>
          <w:p w14:paraId="6C30E7D7" w14:textId="56C7A3FC"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59.60%</w:t>
            </w:r>
          </w:p>
        </w:tc>
      </w:tr>
      <w:tr w:rsidR="76A07687" w14:paraId="51D6B9E0" w14:textId="77777777" w:rsidTr="00F349A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279FE72F" w14:textId="6407B957" w:rsidR="76A07687" w:rsidRPr="00AD78CC" w:rsidRDefault="76A07687">
            <w:pPr>
              <w:rPr>
                <w:b w:val="0"/>
              </w:rPr>
            </w:pPr>
            <w:r w:rsidRPr="00AD78CC">
              <w:rPr>
                <w:rFonts w:cs="Calibri"/>
                <w:b w:val="0"/>
                <w:sz w:val="22"/>
                <w:szCs w:val="22"/>
                <w:lang w:val="es"/>
              </w:rPr>
              <w:t>Oficina Nacional de Servicio Civil</w:t>
            </w:r>
          </w:p>
        </w:tc>
        <w:tc>
          <w:tcPr>
            <w:tcW w:w="1902" w:type="dxa"/>
            <w:tcMar>
              <w:left w:w="108" w:type="dxa"/>
              <w:right w:w="108" w:type="dxa"/>
            </w:tcMar>
            <w:vAlign w:val="center"/>
          </w:tcPr>
          <w:p w14:paraId="62A57BE9" w14:textId="59AA2283"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Q55,819,857.00</w:t>
            </w:r>
          </w:p>
        </w:tc>
        <w:tc>
          <w:tcPr>
            <w:tcW w:w="2173" w:type="dxa"/>
            <w:tcMar>
              <w:left w:w="108" w:type="dxa"/>
              <w:right w:w="108" w:type="dxa"/>
            </w:tcMar>
            <w:vAlign w:val="center"/>
          </w:tcPr>
          <w:p w14:paraId="6A08B687" w14:textId="089692D0"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Q54,724,205.24</w:t>
            </w:r>
          </w:p>
        </w:tc>
        <w:tc>
          <w:tcPr>
            <w:tcW w:w="1460" w:type="dxa"/>
            <w:shd w:val="clear" w:color="auto" w:fill="92D050"/>
            <w:tcMar>
              <w:left w:w="108" w:type="dxa"/>
              <w:right w:w="108" w:type="dxa"/>
            </w:tcMar>
            <w:vAlign w:val="center"/>
          </w:tcPr>
          <w:p w14:paraId="77C1F228" w14:textId="1A175356"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96.53%</w:t>
            </w:r>
          </w:p>
        </w:tc>
        <w:tc>
          <w:tcPr>
            <w:tcW w:w="1463" w:type="dxa"/>
            <w:shd w:val="clear" w:color="auto" w:fill="92D050"/>
            <w:tcMar>
              <w:left w:w="108" w:type="dxa"/>
              <w:right w:w="108" w:type="dxa"/>
            </w:tcMar>
            <w:vAlign w:val="center"/>
          </w:tcPr>
          <w:p w14:paraId="41EC9E60" w14:textId="4B630EBB"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98.04%</w:t>
            </w:r>
          </w:p>
        </w:tc>
      </w:tr>
      <w:tr w:rsidR="76A07687" w14:paraId="46F4882E" w14:textId="77777777" w:rsidTr="00F349AE">
        <w:trPr>
          <w:trHeight w:val="48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15DBA4A7" w14:textId="39DE0F2F" w:rsidR="76A07687" w:rsidRPr="00AD78CC" w:rsidRDefault="76A07687">
            <w:pPr>
              <w:rPr>
                <w:b w:val="0"/>
              </w:rPr>
            </w:pPr>
            <w:r w:rsidRPr="00AD78CC">
              <w:rPr>
                <w:rFonts w:cs="Calibri"/>
                <w:b w:val="0"/>
                <w:sz w:val="22"/>
                <w:szCs w:val="22"/>
                <w:lang w:val="es"/>
              </w:rPr>
              <w:t>Consejo Económico y Social de Guatemala</w:t>
            </w:r>
          </w:p>
        </w:tc>
        <w:tc>
          <w:tcPr>
            <w:tcW w:w="1902" w:type="dxa"/>
            <w:tcMar>
              <w:left w:w="108" w:type="dxa"/>
              <w:right w:w="108" w:type="dxa"/>
            </w:tcMar>
            <w:vAlign w:val="center"/>
          </w:tcPr>
          <w:p w14:paraId="25CD8630" w14:textId="45905FF8"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Q8,080,000.00</w:t>
            </w:r>
          </w:p>
        </w:tc>
        <w:tc>
          <w:tcPr>
            <w:tcW w:w="2173" w:type="dxa"/>
            <w:tcMar>
              <w:left w:w="108" w:type="dxa"/>
              <w:right w:w="108" w:type="dxa"/>
            </w:tcMar>
            <w:vAlign w:val="center"/>
          </w:tcPr>
          <w:p w14:paraId="507EFC5A" w14:textId="4656C88E"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Q3,361,308.21</w:t>
            </w:r>
          </w:p>
        </w:tc>
        <w:tc>
          <w:tcPr>
            <w:tcW w:w="1460" w:type="dxa"/>
            <w:shd w:val="clear" w:color="auto" w:fill="92D050"/>
            <w:tcMar>
              <w:left w:w="108" w:type="dxa"/>
              <w:right w:w="108" w:type="dxa"/>
            </w:tcMar>
            <w:vAlign w:val="center"/>
          </w:tcPr>
          <w:p w14:paraId="71C59BD5" w14:textId="17169BFA"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90.97%</w:t>
            </w:r>
          </w:p>
        </w:tc>
        <w:tc>
          <w:tcPr>
            <w:tcW w:w="1463" w:type="dxa"/>
            <w:shd w:val="clear" w:color="auto" w:fill="FF0000"/>
            <w:tcMar>
              <w:left w:w="108" w:type="dxa"/>
              <w:right w:w="108" w:type="dxa"/>
            </w:tcMar>
            <w:vAlign w:val="center"/>
          </w:tcPr>
          <w:p w14:paraId="5A1F7E2A" w14:textId="1016A1CC"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41.60%</w:t>
            </w:r>
          </w:p>
        </w:tc>
      </w:tr>
      <w:tr w:rsidR="76A07687" w14:paraId="0D5A2335" w14:textId="77777777" w:rsidTr="00F349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35FB2B1D" w14:textId="5D97B444" w:rsidR="76A07687" w:rsidRPr="00AD78CC" w:rsidRDefault="76A07687">
            <w:pPr>
              <w:rPr>
                <w:b w:val="0"/>
              </w:rPr>
            </w:pPr>
            <w:r w:rsidRPr="00AD78CC">
              <w:rPr>
                <w:rFonts w:cs="Calibri"/>
                <w:b w:val="0"/>
                <w:sz w:val="22"/>
                <w:szCs w:val="22"/>
                <w:lang w:val="es"/>
              </w:rPr>
              <w:t>Contraloría General de Cuentas</w:t>
            </w:r>
          </w:p>
        </w:tc>
        <w:tc>
          <w:tcPr>
            <w:tcW w:w="1902" w:type="dxa"/>
            <w:tcMar>
              <w:left w:w="108" w:type="dxa"/>
              <w:right w:w="108" w:type="dxa"/>
            </w:tcMar>
            <w:vAlign w:val="center"/>
          </w:tcPr>
          <w:p w14:paraId="6797B4C1" w14:textId="08426650"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Q430,590,835.00</w:t>
            </w:r>
          </w:p>
        </w:tc>
        <w:tc>
          <w:tcPr>
            <w:tcW w:w="2173" w:type="dxa"/>
            <w:tcMar>
              <w:left w:w="108" w:type="dxa"/>
              <w:right w:w="108" w:type="dxa"/>
            </w:tcMar>
            <w:vAlign w:val="center"/>
          </w:tcPr>
          <w:p w14:paraId="43EA2AC2" w14:textId="17AF31D9"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Q196,574,659.32</w:t>
            </w:r>
          </w:p>
        </w:tc>
        <w:tc>
          <w:tcPr>
            <w:tcW w:w="1460" w:type="dxa"/>
            <w:shd w:val="clear" w:color="auto" w:fill="92D050"/>
            <w:tcMar>
              <w:left w:w="108" w:type="dxa"/>
              <w:right w:w="108" w:type="dxa"/>
            </w:tcMar>
            <w:vAlign w:val="center"/>
          </w:tcPr>
          <w:p w14:paraId="67BCFDC2" w14:textId="0FAA7CB1"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90.56%</w:t>
            </w:r>
          </w:p>
        </w:tc>
        <w:tc>
          <w:tcPr>
            <w:tcW w:w="1463" w:type="dxa"/>
            <w:shd w:val="clear" w:color="auto" w:fill="FF0000"/>
            <w:tcMar>
              <w:left w:w="108" w:type="dxa"/>
              <w:right w:w="108" w:type="dxa"/>
            </w:tcMar>
            <w:vAlign w:val="center"/>
          </w:tcPr>
          <w:p w14:paraId="0B389879" w14:textId="1646351B"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45.65%</w:t>
            </w:r>
          </w:p>
        </w:tc>
      </w:tr>
      <w:tr w:rsidR="76A07687" w14:paraId="6EC9794A" w14:textId="77777777" w:rsidTr="00F349AE">
        <w:trPr>
          <w:trHeight w:val="495"/>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0C45A96B" w14:textId="3A77A3C8" w:rsidR="76A07687" w:rsidRPr="00AD78CC" w:rsidRDefault="76A07687">
            <w:pPr>
              <w:rPr>
                <w:b w:val="0"/>
              </w:rPr>
            </w:pPr>
            <w:r w:rsidRPr="00AD78CC">
              <w:rPr>
                <w:rFonts w:cs="Calibri"/>
                <w:b w:val="0"/>
                <w:sz w:val="22"/>
                <w:szCs w:val="22"/>
                <w:lang w:val="es"/>
              </w:rPr>
              <w:t>Empresa Portuaria Nacional de Champerico</w:t>
            </w:r>
          </w:p>
        </w:tc>
        <w:tc>
          <w:tcPr>
            <w:tcW w:w="1902" w:type="dxa"/>
            <w:tcMar>
              <w:left w:w="108" w:type="dxa"/>
              <w:right w:w="108" w:type="dxa"/>
            </w:tcMar>
            <w:vAlign w:val="center"/>
          </w:tcPr>
          <w:p w14:paraId="099C010E" w14:textId="33EEB754"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Q7,001,643.00</w:t>
            </w:r>
          </w:p>
        </w:tc>
        <w:tc>
          <w:tcPr>
            <w:tcW w:w="2173" w:type="dxa"/>
            <w:tcMar>
              <w:left w:w="108" w:type="dxa"/>
              <w:right w:w="108" w:type="dxa"/>
            </w:tcMar>
            <w:vAlign w:val="center"/>
          </w:tcPr>
          <w:p w14:paraId="603F9810" w14:textId="2909CC6C"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Q6,615,187.50</w:t>
            </w:r>
          </w:p>
        </w:tc>
        <w:tc>
          <w:tcPr>
            <w:tcW w:w="1460" w:type="dxa"/>
            <w:shd w:val="clear" w:color="auto" w:fill="FFFF00"/>
            <w:tcMar>
              <w:left w:w="108" w:type="dxa"/>
              <w:right w:w="108" w:type="dxa"/>
            </w:tcMar>
            <w:vAlign w:val="center"/>
          </w:tcPr>
          <w:p w14:paraId="215DE71B" w14:textId="443EBEEC"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89.60%</w:t>
            </w:r>
          </w:p>
        </w:tc>
        <w:tc>
          <w:tcPr>
            <w:tcW w:w="1463" w:type="dxa"/>
            <w:shd w:val="clear" w:color="auto" w:fill="92D050"/>
            <w:tcMar>
              <w:left w:w="108" w:type="dxa"/>
              <w:right w:w="108" w:type="dxa"/>
            </w:tcMar>
            <w:vAlign w:val="center"/>
          </w:tcPr>
          <w:p w14:paraId="47C259FD" w14:textId="33D9ADD0"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94.48%</w:t>
            </w:r>
          </w:p>
        </w:tc>
      </w:tr>
      <w:tr w:rsidR="76A07687" w14:paraId="46EEA14B" w14:textId="77777777" w:rsidTr="00F349A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27977625" w14:textId="3D29A70C" w:rsidR="76A07687" w:rsidRPr="00AD78CC" w:rsidRDefault="76A07687">
            <w:pPr>
              <w:rPr>
                <w:b w:val="0"/>
              </w:rPr>
            </w:pPr>
            <w:r w:rsidRPr="00AD78CC">
              <w:rPr>
                <w:rFonts w:cs="Calibri"/>
                <w:b w:val="0"/>
                <w:sz w:val="22"/>
                <w:szCs w:val="22"/>
                <w:lang w:val="es"/>
              </w:rPr>
              <w:t>Consejo Nacional de Atención al Migrante</w:t>
            </w:r>
          </w:p>
        </w:tc>
        <w:tc>
          <w:tcPr>
            <w:tcW w:w="1902" w:type="dxa"/>
            <w:tcMar>
              <w:left w:w="108" w:type="dxa"/>
              <w:right w:w="108" w:type="dxa"/>
            </w:tcMar>
            <w:vAlign w:val="center"/>
          </w:tcPr>
          <w:p w14:paraId="4392F2AB" w14:textId="1FAF10DA"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Q28,527,667.00</w:t>
            </w:r>
          </w:p>
        </w:tc>
        <w:tc>
          <w:tcPr>
            <w:tcW w:w="2173" w:type="dxa"/>
            <w:tcMar>
              <w:left w:w="108" w:type="dxa"/>
              <w:right w:w="108" w:type="dxa"/>
            </w:tcMar>
            <w:vAlign w:val="center"/>
          </w:tcPr>
          <w:p w14:paraId="5D5FF78E" w14:textId="4A334EF0"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Q15,766,042.95</w:t>
            </w:r>
          </w:p>
        </w:tc>
        <w:tc>
          <w:tcPr>
            <w:tcW w:w="1460" w:type="dxa"/>
            <w:shd w:val="clear" w:color="auto" w:fill="FFFF00"/>
            <w:tcMar>
              <w:left w:w="108" w:type="dxa"/>
              <w:right w:w="108" w:type="dxa"/>
            </w:tcMar>
            <w:vAlign w:val="center"/>
          </w:tcPr>
          <w:p w14:paraId="25C92FDB" w14:textId="2682791E"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82.47%</w:t>
            </w:r>
          </w:p>
        </w:tc>
        <w:tc>
          <w:tcPr>
            <w:tcW w:w="1463" w:type="dxa"/>
            <w:shd w:val="clear" w:color="auto" w:fill="FFFF00"/>
            <w:tcMar>
              <w:left w:w="108" w:type="dxa"/>
              <w:right w:w="108" w:type="dxa"/>
            </w:tcMar>
            <w:vAlign w:val="center"/>
          </w:tcPr>
          <w:p w14:paraId="7AD399D5" w14:textId="073E5045"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55.27%</w:t>
            </w:r>
          </w:p>
        </w:tc>
      </w:tr>
      <w:tr w:rsidR="76A07687" w14:paraId="402B05D0" w14:textId="77777777" w:rsidTr="00F349AE">
        <w:trPr>
          <w:trHeight w:val="48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0107FCB6" w14:textId="53F1FA5E" w:rsidR="76A07687" w:rsidRPr="00AD78CC" w:rsidRDefault="76A07687">
            <w:pPr>
              <w:rPr>
                <w:b w:val="0"/>
              </w:rPr>
            </w:pPr>
            <w:r w:rsidRPr="00AD78CC">
              <w:rPr>
                <w:rFonts w:cs="Calibri"/>
                <w:b w:val="0"/>
                <w:sz w:val="22"/>
                <w:szCs w:val="22"/>
                <w:lang w:val="es"/>
              </w:rPr>
              <w:t>Comisión Presidencial de Gobierno Abierto y Electrónico</w:t>
            </w:r>
          </w:p>
        </w:tc>
        <w:tc>
          <w:tcPr>
            <w:tcW w:w="1902" w:type="dxa"/>
            <w:tcMar>
              <w:left w:w="108" w:type="dxa"/>
              <w:right w:w="108" w:type="dxa"/>
            </w:tcMar>
            <w:vAlign w:val="center"/>
          </w:tcPr>
          <w:p w14:paraId="14E1CE1B" w14:textId="41F241F8"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Q12,000,000.00</w:t>
            </w:r>
          </w:p>
        </w:tc>
        <w:tc>
          <w:tcPr>
            <w:tcW w:w="2173" w:type="dxa"/>
            <w:tcMar>
              <w:left w:w="108" w:type="dxa"/>
              <w:right w:w="108" w:type="dxa"/>
            </w:tcMar>
            <w:vAlign w:val="center"/>
          </w:tcPr>
          <w:p w14:paraId="1CF401EC" w14:textId="4D0A75DA"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Q8,394,889.38</w:t>
            </w:r>
          </w:p>
        </w:tc>
        <w:tc>
          <w:tcPr>
            <w:tcW w:w="1460" w:type="dxa"/>
            <w:shd w:val="clear" w:color="auto" w:fill="FFFF00"/>
            <w:tcMar>
              <w:left w:w="108" w:type="dxa"/>
              <w:right w:w="108" w:type="dxa"/>
            </w:tcMar>
            <w:vAlign w:val="center"/>
          </w:tcPr>
          <w:p w14:paraId="459C4F2F" w14:textId="34CCE04F"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70.83%</w:t>
            </w:r>
          </w:p>
        </w:tc>
        <w:tc>
          <w:tcPr>
            <w:tcW w:w="1463" w:type="dxa"/>
            <w:shd w:val="clear" w:color="auto" w:fill="FFFF00"/>
            <w:tcMar>
              <w:left w:w="108" w:type="dxa"/>
              <w:right w:w="108" w:type="dxa"/>
            </w:tcMar>
            <w:vAlign w:val="center"/>
          </w:tcPr>
          <w:p w14:paraId="5B776A89" w14:textId="13B32B03"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69.96%</w:t>
            </w:r>
          </w:p>
        </w:tc>
      </w:tr>
      <w:tr w:rsidR="76A07687" w14:paraId="32E61E68" w14:textId="77777777" w:rsidTr="00F349A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52D7A3D8" w14:textId="30331EE0" w:rsidR="76A07687" w:rsidRPr="00AD78CC" w:rsidRDefault="76A07687">
            <w:pPr>
              <w:rPr>
                <w:b w:val="0"/>
              </w:rPr>
            </w:pPr>
            <w:r w:rsidRPr="00AD78CC">
              <w:rPr>
                <w:rFonts w:cs="Calibri"/>
                <w:b w:val="0"/>
                <w:sz w:val="22"/>
                <w:szCs w:val="22"/>
                <w:lang w:val="es"/>
              </w:rPr>
              <w:t>Ferrocarriles de Guatemala</w:t>
            </w:r>
          </w:p>
        </w:tc>
        <w:tc>
          <w:tcPr>
            <w:tcW w:w="1902" w:type="dxa"/>
            <w:tcMar>
              <w:left w:w="108" w:type="dxa"/>
              <w:right w:w="108" w:type="dxa"/>
            </w:tcMar>
            <w:vAlign w:val="center"/>
          </w:tcPr>
          <w:p w14:paraId="4F891CB7" w14:textId="6AD139B7"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Q6,733,000.00</w:t>
            </w:r>
          </w:p>
        </w:tc>
        <w:tc>
          <w:tcPr>
            <w:tcW w:w="2173" w:type="dxa"/>
            <w:tcMar>
              <w:left w:w="108" w:type="dxa"/>
              <w:right w:w="108" w:type="dxa"/>
            </w:tcMar>
            <w:vAlign w:val="center"/>
          </w:tcPr>
          <w:p w14:paraId="005671DE" w14:textId="46CA20B3"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Q6,350,451.09</w:t>
            </w:r>
          </w:p>
        </w:tc>
        <w:tc>
          <w:tcPr>
            <w:tcW w:w="1460" w:type="dxa"/>
            <w:shd w:val="clear" w:color="auto" w:fill="FFFF00"/>
            <w:tcMar>
              <w:left w:w="108" w:type="dxa"/>
              <w:right w:w="108" w:type="dxa"/>
            </w:tcMar>
            <w:vAlign w:val="center"/>
          </w:tcPr>
          <w:p w14:paraId="74C03E67" w14:textId="0188DC23"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69.72%</w:t>
            </w:r>
          </w:p>
        </w:tc>
        <w:tc>
          <w:tcPr>
            <w:tcW w:w="1463" w:type="dxa"/>
            <w:shd w:val="clear" w:color="auto" w:fill="92D050"/>
            <w:tcMar>
              <w:left w:w="108" w:type="dxa"/>
              <w:right w:w="108" w:type="dxa"/>
            </w:tcMar>
            <w:vAlign w:val="center"/>
          </w:tcPr>
          <w:p w14:paraId="524C4575" w14:textId="72BF77AE"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94.32%</w:t>
            </w:r>
          </w:p>
        </w:tc>
      </w:tr>
      <w:tr w:rsidR="76A07687" w14:paraId="1AB585D1" w14:textId="77777777" w:rsidTr="00F349AE">
        <w:trPr>
          <w:trHeight w:val="48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6C1D2776" w14:textId="0D69FBAF" w:rsidR="76A07687" w:rsidRPr="00AD78CC" w:rsidRDefault="76A07687">
            <w:pPr>
              <w:rPr>
                <w:b w:val="0"/>
              </w:rPr>
            </w:pPr>
            <w:r w:rsidRPr="00AD78CC">
              <w:rPr>
                <w:rFonts w:cs="Calibri"/>
                <w:b w:val="0"/>
                <w:sz w:val="22"/>
                <w:szCs w:val="22"/>
                <w:lang w:val="es"/>
              </w:rPr>
              <w:t>Consejo Nacional de la Juventud</w:t>
            </w:r>
          </w:p>
        </w:tc>
        <w:tc>
          <w:tcPr>
            <w:tcW w:w="1902" w:type="dxa"/>
            <w:tcMar>
              <w:left w:w="108" w:type="dxa"/>
              <w:right w:w="108" w:type="dxa"/>
            </w:tcMar>
            <w:vAlign w:val="center"/>
          </w:tcPr>
          <w:p w14:paraId="38717881" w14:textId="5CF53DB0"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Q13,000,000.00</w:t>
            </w:r>
          </w:p>
        </w:tc>
        <w:tc>
          <w:tcPr>
            <w:tcW w:w="2173" w:type="dxa"/>
            <w:tcMar>
              <w:left w:w="108" w:type="dxa"/>
              <w:right w:w="108" w:type="dxa"/>
            </w:tcMar>
            <w:vAlign w:val="center"/>
          </w:tcPr>
          <w:p w14:paraId="710A6061" w14:textId="18AC4DE8"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Q8,700,485.14</w:t>
            </w:r>
          </w:p>
        </w:tc>
        <w:tc>
          <w:tcPr>
            <w:tcW w:w="1460" w:type="dxa"/>
            <w:shd w:val="clear" w:color="auto" w:fill="FFFF00"/>
            <w:tcMar>
              <w:left w:w="108" w:type="dxa"/>
              <w:right w:w="108" w:type="dxa"/>
            </w:tcMar>
            <w:vAlign w:val="center"/>
          </w:tcPr>
          <w:p w14:paraId="27AAADE3" w14:textId="09140499"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66.67%</w:t>
            </w:r>
          </w:p>
        </w:tc>
        <w:tc>
          <w:tcPr>
            <w:tcW w:w="1463" w:type="dxa"/>
            <w:shd w:val="clear" w:color="auto" w:fill="FFFF00"/>
            <w:tcMar>
              <w:left w:w="108" w:type="dxa"/>
              <w:right w:w="108" w:type="dxa"/>
            </w:tcMar>
            <w:vAlign w:val="center"/>
          </w:tcPr>
          <w:p w14:paraId="2CA1704E" w14:textId="1D0B7B1E"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66.93%</w:t>
            </w:r>
          </w:p>
        </w:tc>
      </w:tr>
      <w:tr w:rsidR="76A07687" w14:paraId="045DA459" w14:textId="77777777" w:rsidTr="00F349A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7C4515A2" w14:textId="5CA7DFE6" w:rsidR="76A07687" w:rsidRPr="00AD78CC" w:rsidRDefault="76A07687">
            <w:pPr>
              <w:rPr>
                <w:b w:val="0"/>
              </w:rPr>
            </w:pPr>
            <w:r w:rsidRPr="00AD78CC">
              <w:rPr>
                <w:rFonts w:cs="Calibri"/>
                <w:b w:val="0"/>
                <w:sz w:val="22"/>
                <w:szCs w:val="22"/>
                <w:lang w:val="es"/>
              </w:rPr>
              <w:t>Empresa Guatemalteca de Telecomunicaciones</w:t>
            </w:r>
          </w:p>
        </w:tc>
        <w:tc>
          <w:tcPr>
            <w:tcW w:w="1902" w:type="dxa"/>
            <w:tcMar>
              <w:left w:w="108" w:type="dxa"/>
              <w:right w:w="108" w:type="dxa"/>
            </w:tcMar>
            <w:vAlign w:val="center"/>
          </w:tcPr>
          <w:p w14:paraId="77A3A475" w14:textId="70ADC50E"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Q33,000,000.00</w:t>
            </w:r>
          </w:p>
        </w:tc>
        <w:tc>
          <w:tcPr>
            <w:tcW w:w="2173" w:type="dxa"/>
            <w:tcMar>
              <w:left w:w="108" w:type="dxa"/>
              <w:right w:w="108" w:type="dxa"/>
            </w:tcMar>
            <w:vAlign w:val="center"/>
          </w:tcPr>
          <w:p w14:paraId="75E01D70" w14:textId="3A789334"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Q28,202,630.27</w:t>
            </w:r>
          </w:p>
        </w:tc>
        <w:tc>
          <w:tcPr>
            <w:tcW w:w="1460" w:type="dxa"/>
            <w:shd w:val="clear" w:color="auto" w:fill="FFFF00"/>
            <w:tcMar>
              <w:left w:w="108" w:type="dxa"/>
              <w:right w:w="108" w:type="dxa"/>
            </w:tcMar>
            <w:vAlign w:val="center"/>
          </w:tcPr>
          <w:p w14:paraId="2EC55C44" w14:textId="191A3CF1"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57.59%</w:t>
            </w:r>
          </w:p>
        </w:tc>
        <w:tc>
          <w:tcPr>
            <w:tcW w:w="1463" w:type="dxa"/>
            <w:shd w:val="clear" w:color="auto" w:fill="FFFF00"/>
            <w:tcMar>
              <w:left w:w="108" w:type="dxa"/>
              <w:right w:w="108" w:type="dxa"/>
            </w:tcMar>
            <w:vAlign w:val="center"/>
          </w:tcPr>
          <w:p w14:paraId="1E92C1BF" w14:textId="28A7973F"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85.46%</w:t>
            </w:r>
          </w:p>
        </w:tc>
      </w:tr>
      <w:tr w:rsidR="76A07687" w14:paraId="7E9D69C0" w14:textId="77777777" w:rsidTr="00F349AE">
        <w:trPr>
          <w:trHeight w:val="480"/>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18B2A37E" w14:textId="7506B5D3" w:rsidR="76A07687" w:rsidRPr="00AD78CC" w:rsidRDefault="76A07687">
            <w:pPr>
              <w:rPr>
                <w:b w:val="0"/>
              </w:rPr>
            </w:pPr>
            <w:r w:rsidRPr="00AD78CC">
              <w:rPr>
                <w:rFonts w:cs="Calibri"/>
                <w:b w:val="0"/>
                <w:sz w:val="22"/>
                <w:szCs w:val="22"/>
                <w:lang w:val="es"/>
              </w:rPr>
              <w:t>Comisión Presidencial contra la Discriminación y Racismo contra los Pueblos Indígenas en Guatemala</w:t>
            </w:r>
          </w:p>
        </w:tc>
        <w:tc>
          <w:tcPr>
            <w:tcW w:w="1902" w:type="dxa"/>
            <w:tcMar>
              <w:left w:w="108" w:type="dxa"/>
              <w:right w:w="108" w:type="dxa"/>
            </w:tcMar>
            <w:vAlign w:val="center"/>
          </w:tcPr>
          <w:p w14:paraId="1A46938B" w14:textId="06EB2245"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Q10,500,000.00</w:t>
            </w:r>
          </w:p>
        </w:tc>
        <w:tc>
          <w:tcPr>
            <w:tcW w:w="2173" w:type="dxa"/>
            <w:tcMar>
              <w:left w:w="108" w:type="dxa"/>
              <w:right w:w="108" w:type="dxa"/>
            </w:tcMar>
            <w:vAlign w:val="center"/>
          </w:tcPr>
          <w:p w14:paraId="2B139ED4" w14:textId="2E747CD3"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cs="Calibri"/>
                <w:sz w:val="22"/>
                <w:szCs w:val="22"/>
                <w:lang w:val="es"/>
              </w:rPr>
              <w:t>Q7,887,513.92</w:t>
            </w:r>
          </w:p>
        </w:tc>
        <w:tc>
          <w:tcPr>
            <w:tcW w:w="1460" w:type="dxa"/>
            <w:shd w:val="clear" w:color="auto" w:fill="FF0000"/>
            <w:tcMar>
              <w:left w:w="108" w:type="dxa"/>
              <w:right w:w="108" w:type="dxa"/>
            </w:tcMar>
            <w:vAlign w:val="center"/>
          </w:tcPr>
          <w:p w14:paraId="55BC501B" w14:textId="3E16E1B3"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44.18%</w:t>
            </w:r>
          </w:p>
        </w:tc>
        <w:tc>
          <w:tcPr>
            <w:tcW w:w="1463" w:type="dxa"/>
            <w:shd w:val="clear" w:color="auto" w:fill="FFFF00"/>
            <w:tcMar>
              <w:left w:w="108" w:type="dxa"/>
              <w:right w:w="108" w:type="dxa"/>
            </w:tcMar>
            <w:vAlign w:val="center"/>
          </w:tcPr>
          <w:p w14:paraId="3AC0CD83" w14:textId="319C93E5" w:rsidR="76A07687" w:rsidRDefault="76A07687" w:rsidP="76A07687">
            <w:pPr>
              <w:jc w:val="center"/>
              <w:cnfStyle w:val="000000000000" w:firstRow="0" w:lastRow="0" w:firstColumn="0" w:lastColumn="0" w:oddVBand="0" w:evenVBand="0" w:oddHBand="0" w:evenHBand="0" w:firstRowFirstColumn="0" w:firstRowLastColumn="0" w:lastRowFirstColumn="0" w:lastRowLastColumn="0"/>
            </w:pPr>
            <w:r w:rsidRPr="76A07687">
              <w:rPr>
                <w:rFonts w:cs="Calibri"/>
                <w:color w:val="000000" w:themeColor="text1"/>
                <w:sz w:val="22"/>
                <w:szCs w:val="22"/>
                <w:lang w:val="es"/>
              </w:rPr>
              <w:t>75.12%</w:t>
            </w:r>
          </w:p>
        </w:tc>
      </w:tr>
      <w:tr w:rsidR="76A07687" w14:paraId="090708E8" w14:textId="77777777" w:rsidTr="00F349A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08" w:type="dxa"/>
            <w:tcMar>
              <w:left w:w="108" w:type="dxa"/>
              <w:right w:w="108" w:type="dxa"/>
            </w:tcMar>
            <w:vAlign w:val="center"/>
          </w:tcPr>
          <w:p w14:paraId="7B1573D2" w14:textId="0F6749B0" w:rsidR="76A07687" w:rsidRPr="00AD78CC" w:rsidRDefault="76A07687">
            <w:pPr>
              <w:rPr>
                <w:b w:val="0"/>
              </w:rPr>
            </w:pPr>
            <w:r w:rsidRPr="00AD78CC">
              <w:rPr>
                <w:rFonts w:cs="Calibri"/>
                <w:b w:val="0"/>
                <w:sz w:val="22"/>
                <w:szCs w:val="22"/>
                <w:lang w:val="es"/>
              </w:rPr>
              <w:t>Defensoría de la Mujer Indígena</w:t>
            </w:r>
          </w:p>
        </w:tc>
        <w:tc>
          <w:tcPr>
            <w:tcW w:w="1902" w:type="dxa"/>
            <w:tcMar>
              <w:left w:w="108" w:type="dxa"/>
              <w:right w:w="108" w:type="dxa"/>
            </w:tcMar>
            <w:vAlign w:val="center"/>
          </w:tcPr>
          <w:p w14:paraId="2F0F31A0" w14:textId="1B99483A"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Q38,685,782.00</w:t>
            </w:r>
          </w:p>
        </w:tc>
        <w:tc>
          <w:tcPr>
            <w:tcW w:w="2173" w:type="dxa"/>
            <w:tcMar>
              <w:left w:w="108" w:type="dxa"/>
              <w:right w:w="108" w:type="dxa"/>
            </w:tcMar>
            <w:vAlign w:val="center"/>
          </w:tcPr>
          <w:p w14:paraId="174B16E2" w14:textId="5ABD0C61"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cs="Calibri"/>
                <w:sz w:val="22"/>
                <w:szCs w:val="22"/>
                <w:lang w:val="es"/>
              </w:rPr>
              <w:t>Q10,526,114.76</w:t>
            </w:r>
          </w:p>
        </w:tc>
        <w:tc>
          <w:tcPr>
            <w:tcW w:w="1460" w:type="dxa"/>
            <w:shd w:val="clear" w:color="auto" w:fill="FF0000"/>
            <w:tcMar>
              <w:left w:w="108" w:type="dxa"/>
              <w:right w:w="108" w:type="dxa"/>
            </w:tcMar>
            <w:vAlign w:val="center"/>
          </w:tcPr>
          <w:p w14:paraId="7951F8FB" w14:textId="27A5411C"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26.00%</w:t>
            </w:r>
          </w:p>
        </w:tc>
        <w:tc>
          <w:tcPr>
            <w:tcW w:w="1463" w:type="dxa"/>
            <w:shd w:val="clear" w:color="auto" w:fill="FF0000"/>
            <w:tcMar>
              <w:left w:w="108" w:type="dxa"/>
              <w:right w:w="108" w:type="dxa"/>
            </w:tcMar>
            <w:vAlign w:val="center"/>
          </w:tcPr>
          <w:p w14:paraId="78B60EB4" w14:textId="130A93D9" w:rsidR="76A07687" w:rsidRDefault="76A07687" w:rsidP="76A07687">
            <w:pPr>
              <w:jc w:val="center"/>
              <w:cnfStyle w:val="000000100000" w:firstRow="0" w:lastRow="0" w:firstColumn="0" w:lastColumn="0" w:oddVBand="0" w:evenVBand="0" w:oddHBand="1" w:evenHBand="0" w:firstRowFirstColumn="0" w:firstRowLastColumn="0" w:lastRowFirstColumn="0" w:lastRowLastColumn="0"/>
            </w:pPr>
            <w:r w:rsidRPr="76A07687">
              <w:rPr>
                <w:rFonts w:cs="Calibri"/>
                <w:color w:val="000000" w:themeColor="text1"/>
                <w:sz w:val="22"/>
                <w:szCs w:val="22"/>
                <w:lang w:val="es"/>
              </w:rPr>
              <w:t>27.21%</w:t>
            </w:r>
          </w:p>
        </w:tc>
      </w:tr>
    </w:tbl>
    <w:p w14:paraId="68FD1EE2" w14:textId="17E9CC1B" w:rsidR="0831ED43" w:rsidRDefault="76A07687" w:rsidP="76A07687">
      <w:pPr>
        <w:jc w:val="both"/>
      </w:pPr>
      <w:r w:rsidRPr="76A07687">
        <w:rPr>
          <w:rFonts w:ascii="Calibri" w:eastAsia="Calibri" w:hAnsi="Calibri" w:cs="Calibri"/>
          <w:sz w:val="16"/>
          <w:szCs w:val="16"/>
        </w:rPr>
        <w:t>Fuente: Con base a registros de Siplan. Segeplan. Año 2022.</w:t>
      </w:r>
    </w:p>
    <w:p w14:paraId="622EC128" w14:textId="552C71AC" w:rsidR="0831ED43" w:rsidRDefault="00C8352D" w:rsidP="00F349AE">
      <w:pPr>
        <w:spacing w:after="120" w:line="240" w:lineRule="auto"/>
        <w:jc w:val="both"/>
      </w:pPr>
      <w:r w:rsidRPr="76A07687">
        <w:rPr>
          <w:rFonts w:ascii="Calibri" w:eastAsia="Calibri" w:hAnsi="Calibri" w:cs="Calibri"/>
          <w:b/>
          <w:bCs/>
          <w:sz w:val="24"/>
          <w:szCs w:val="24"/>
        </w:rPr>
        <w:t>Ejecución de metas físicas y financieras</w:t>
      </w:r>
    </w:p>
    <w:p w14:paraId="31026889" w14:textId="526F8475" w:rsidR="003C5101" w:rsidRPr="003C5101" w:rsidRDefault="003C5101" w:rsidP="00F349AE">
      <w:pPr>
        <w:spacing w:after="120" w:line="240" w:lineRule="auto"/>
        <w:jc w:val="both"/>
        <w:rPr>
          <w:rFonts w:ascii="Calibri" w:eastAsia="Calibri" w:hAnsi="Calibri" w:cs="Calibri"/>
          <w:sz w:val="24"/>
          <w:szCs w:val="24"/>
        </w:rPr>
      </w:pPr>
      <w:r>
        <w:rPr>
          <w:noProof/>
        </w:rPr>
        <w:drawing>
          <wp:anchor distT="0" distB="0" distL="114300" distR="114300" simplePos="0" relativeHeight="251763200" behindDoc="0" locked="0" layoutInCell="1" allowOverlap="1" wp14:anchorId="6F01E16B" wp14:editId="76D5CAF3">
            <wp:simplePos x="0" y="0"/>
            <wp:positionH relativeFrom="column">
              <wp:posOffset>4431665</wp:posOffset>
            </wp:positionH>
            <wp:positionV relativeFrom="paragraph">
              <wp:posOffset>43815</wp:posOffset>
            </wp:positionV>
            <wp:extent cx="1504800" cy="1043546"/>
            <wp:effectExtent l="19050" t="19050" r="19685" b="2349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423" r="23060" b="40882"/>
                    <a:stretch/>
                  </pic:blipFill>
                  <pic:spPr bwMode="auto">
                    <a:xfrm>
                      <a:off x="0" y="0"/>
                      <a:ext cx="1504800" cy="1043546"/>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r w:rsidR="76A07687" w:rsidRPr="76A07687">
        <w:rPr>
          <w:rFonts w:ascii="Calibri" w:eastAsia="Calibri" w:hAnsi="Calibri" w:cs="Calibri"/>
          <w:sz w:val="24"/>
          <w:szCs w:val="24"/>
        </w:rPr>
        <w:t>Al finalizar el año 2022, las dependencias alcanzaron un promedio de ejecución de metas físicas de 83% y un promedio de ejecución financiera de 77%, lo que demuestra un avance medio en el cumplimiento de las metas programadas en el POA.</w:t>
      </w:r>
    </w:p>
    <w:p w14:paraId="26DAEFFF" w14:textId="529C797E" w:rsidR="0831ED43" w:rsidRDefault="25BD66AC" w:rsidP="00F349AE">
      <w:pPr>
        <w:spacing w:after="120" w:line="240" w:lineRule="auto"/>
        <w:jc w:val="both"/>
      </w:pPr>
      <w:r w:rsidRPr="25BD66AC">
        <w:rPr>
          <w:rFonts w:ascii="Calibri" w:eastAsia="Calibri" w:hAnsi="Calibri" w:cs="Calibri"/>
          <w:sz w:val="24"/>
          <w:szCs w:val="24"/>
        </w:rPr>
        <w:t>Los resultados muestran un comportamiento similar en la consecución de metas fiscas y financieras, sin embargo, es importante mencionar que, alrededor de 11 dependencias que se ubicaron dentro del rango de ejecución media y cinco, con ejecución baja, deberán de prestar especial atención en mejorar la efectividad en el cumplimiento de las metas programadas, especialmente las de menor ejecución.</w:t>
      </w:r>
    </w:p>
    <w:p w14:paraId="0C1081D0" w14:textId="7E2EB817" w:rsidR="0831ED43" w:rsidRDefault="25BD66AC" w:rsidP="00F349AE">
      <w:pPr>
        <w:spacing w:after="120" w:line="240" w:lineRule="auto"/>
        <w:jc w:val="both"/>
      </w:pPr>
      <w:r w:rsidRPr="25BD66AC">
        <w:rPr>
          <w:rFonts w:ascii="Calibri" w:eastAsia="Calibri" w:hAnsi="Calibri" w:cs="Calibri"/>
          <w:b/>
          <w:bCs/>
          <w:sz w:val="24"/>
          <w:szCs w:val="24"/>
        </w:rPr>
        <w:t>Ejecución física</w:t>
      </w:r>
    </w:p>
    <w:p w14:paraId="1C8218A0" w14:textId="529C797E" w:rsidR="0831ED43" w:rsidRDefault="25BD66AC" w:rsidP="00F349AE">
      <w:pPr>
        <w:spacing w:after="120" w:line="240" w:lineRule="auto"/>
        <w:jc w:val="both"/>
      </w:pPr>
      <w:r w:rsidRPr="25BD66AC">
        <w:rPr>
          <w:rFonts w:ascii="Calibri" w:eastAsia="Calibri" w:hAnsi="Calibri" w:cs="Calibri"/>
          <w:sz w:val="24"/>
          <w:szCs w:val="24"/>
        </w:rPr>
        <w:t>De las 19 dependencias, 11 alcanzaron una ejecución alta de metas físicas, con un promedio de 97%. Las dependencias con ejecución más alta fueron: CC, PGN, VICEPRESIDENCIA y COPADEH, con 100% de ejecución en el año.</w:t>
      </w:r>
    </w:p>
    <w:p w14:paraId="54C0C410" w14:textId="529C797E" w:rsidR="0831ED43" w:rsidRDefault="25BD66AC" w:rsidP="00F349AE">
      <w:pPr>
        <w:spacing w:after="120" w:line="240" w:lineRule="auto"/>
        <w:jc w:val="both"/>
      </w:pPr>
      <w:r w:rsidRPr="25BD66AC">
        <w:rPr>
          <w:rFonts w:ascii="Calibri" w:eastAsia="Calibri" w:hAnsi="Calibri" w:cs="Calibri"/>
          <w:sz w:val="24"/>
          <w:szCs w:val="24"/>
        </w:rPr>
        <w:t>La CC, COPADEH, ONSEC, CONGRESO DE LA REPÚBLICA, AMSA y CNA, mostraron un comportamiento similar durante el año 2022, manteniendo un buen desempeño en el cumplimiento de metas físicas. Seis dependencias alcanzaron una ejecución media de metas físicas, con un promedio de 73% de ejecución en el año.</w:t>
      </w:r>
    </w:p>
    <w:p w14:paraId="1E424C40" w14:textId="529C797E" w:rsidR="0831ED43" w:rsidRDefault="25BD66AC" w:rsidP="00F349AE">
      <w:pPr>
        <w:spacing w:after="120" w:line="240" w:lineRule="auto"/>
        <w:jc w:val="both"/>
      </w:pPr>
      <w:r w:rsidRPr="25BD66AC">
        <w:rPr>
          <w:rFonts w:ascii="Calibri" w:eastAsia="Calibri" w:hAnsi="Calibri" w:cs="Calibri"/>
          <w:sz w:val="24"/>
          <w:szCs w:val="24"/>
        </w:rPr>
        <w:t>Por su parte, CODISRA y DEMI, reportaron baja ejecución de metas físicas, con 44% y 26%, un resultado que de igual manera se mantuvo en el transcurso del año 2022, en el segundo cuatrimestre mostraron un avance de 28% y 11% y en el primer cuatrimestre, 6% y 11%, respectivamente. Estas dependencias deberán de prestar especial atención a la programación y la ejecución de la producción institucional, que en general, se mantuvo con bajos resultados.</w:t>
      </w:r>
    </w:p>
    <w:p w14:paraId="5398CDB4" w14:textId="529C797E" w:rsidR="0831ED43" w:rsidRDefault="25BD66AC" w:rsidP="00F349AE">
      <w:pPr>
        <w:spacing w:after="120" w:line="240" w:lineRule="auto"/>
        <w:jc w:val="both"/>
      </w:pPr>
      <w:r w:rsidRPr="25BD66AC">
        <w:rPr>
          <w:rFonts w:ascii="Calibri" w:eastAsia="Calibri" w:hAnsi="Calibri" w:cs="Calibri"/>
          <w:sz w:val="24"/>
          <w:szCs w:val="24"/>
        </w:rPr>
        <w:t>En el caso de las dependencias, EPQ y EMPORNAC, no fueron incluidas dentro de la tabla de resultados, debido a que presentaron registros de ejecución física mayor a la meta vigente, provocando un avance superior al 100%. Por lo que, en el próximo ejercicio fiscal, deberán de prestar especial atención a los registros que se realicen en Siplan para contar con información clara y confiable.</w:t>
      </w:r>
    </w:p>
    <w:p w14:paraId="4595B096" w14:textId="529C797E" w:rsidR="0831ED43" w:rsidRDefault="25BD66AC" w:rsidP="00F349AE">
      <w:pPr>
        <w:spacing w:after="120" w:line="240" w:lineRule="auto"/>
        <w:jc w:val="both"/>
      </w:pPr>
      <w:r w:rsidRPr="25BD66AC">
        <w:rPr>
          <w:rFonts w:ascii="Calibri" w:eastAsia="Calibri" w:hAnsi="Calibri" w:cs="Calibri"/>
          <w:b/>
          <w:bCs/>
          <w:sz w:val="24"/>
          <w:szCs w:val="24"/>
        </w:rPr>
        <w:t>Principales productos con mayor avance de meta física</w:t>
      </w:r>
    </w:p>
    <w:p w14:paraId="3B9F7AB2" w14:textId="7B08CB95" w:rsidR="0831ED43" w:rsidRDefault="25BD66AC" w:rsidP="00F349AE">
      <w:pPr>
        <w:spacing w:after="120" w:line="240" w:lineRule="auto"/>
        <w:jc w:val="both"/>
        <w:rPr>
          <w:rFonts w:ascii="Helvetica" w:eastAsia="Helvetica" w:hAnsi="Helvetica" w:cs="Helvetica"/>
          <w:sz w:val="24"/>
          <w:szCs w:val="24"/>
        </w:rPr>
      </w:pPr>
      <w:r w:rsidRPr="25BD66AC">
        <w:rPr>
          <w:rFonts w:ascii="Calibri" w:eastAsia="Calibri" w:hAnsi="Calibri" w:cs="Calibri"/>
          <w:sz w:val="24"/>
          <w:szCs w:val="24"/>
        </w:rPr>
        <w:t>Varias de las Dependencias reportaron cuáles fueron los principales productos con mayor ejecución de meta física al finalizar el año 2022, las cuales se detallan a continuación</w:t>
      </w:r>
      <w:r w:rsidR="00640D38" w:rsidRPr="00354093">
        <w:rPr>
          <w:rStyle w:val="Refdenotaalpie"/>
          <w:rFonts w:ascii="Helvetica" w:eastAsia="Candara" w:hAnsi="Helvetica" w:cs="Helvetica"/>
          <w:sz w:val="24"/>
          <w:szCs w:val="24"/>
          <w:lang w:eastAsia="es-GT"/>
        </w:rPr>
        <w:footnoteReference w:id="7"/>
      </w:r>
      <w:r w:rsidRPr="25BD66AC">
        <w:rPr>
          <w:rFonts w:ascii="Helvetica" w:eastAsia="Helvetica" w:hAnsi="Helvetica" w:cs="Helvetica"/>
          <w:sz w:val="24"/>
          <w:szCs w:val="24"/>
        </w:rPr>
        <w:t>.</w:t>
      </w:r>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1560"/>
        <w:gridCol w:w="7770"/>
      </w:tblGrid>
      <w:tr w:rsidR="25BD66AC" w:rsidRPr="00640D38" w14:paraId="78811207" w14:textId="77777777" w:rsidTr="00F349AE">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FBF75D4" w14:textId="45831899" w:rsidR="25BD66AC" w:rsidRPr="00640D38" w:rsidRDefault="25BD66AC" w:rsidP="25BD66AC">
            <w:pPr>
              <w:spacing w:line="254" w:lineRule="auto"/>
              <w:jc w:val="center"/>
              <w:rPr>
                <w:rFonts w:asciiTheme="minorHAnsi" w:hAnsiTheme="minorHAnsi" w:cstheme="minorHAnsi"/>
                <w:sz w:val="22"/>
                <w:szCs w:val="22"/>
              </w:rPr>
            </w:pPr>
            <w:r w:rsidRPr="00640D38">
              <w:rPr>
                <w:rFonts w:asciiTheme="minorHAnsi" w:hAnsiTheme="minorHAnsi" w:cstheme="minorHAnsi"/>
                <w:color w:val="000000" w:themeColor="text1"/>
                <w:sz w:val="22"/>
                <w:szCs w:val="22"/>
                <w:lang w:val="es"/>
              </w:rPr>
              <w:t>Institución</w:t>
            </w:r>
          </w:p>
        </w:tc>
        <w:tc>
          <w:tcPr>
            <w:tcW w:w="777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97DAADD" w14:textId="30229572" w:rsidR="25BD66AC" w:rsidRPr="00640D38" w:rsidRDefault="25BD66AC" w:rsidP="25BD66AC">
            <w:pPr>
              <w:spacing w:line="25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40D38">
              <w:rPr>
                <w:rFonts w:asciiTheme="minorHAnsi" w:hAnsiTheme="minorHAnsi" w:cstheme="minorHAnsi"/>
                <w:color w:val="000000" w:themeColor="text1"/>
                <w:sz w:val="22"/>
                <w:szCs w:val="22"/>
                <w:lang w:val="es"/>
              </w:rPr>
              <w:t>Producción institucional (productos/subproductos)</w:t>
            </w:r>
          </w:p>
        </w:tc>
      </w:tr>
      <w:tr w:rsidR="25BD66AC" w:rsidRPr="00640D38" w14:paraId="44F8CC90" w14:textId="77777777" w:rsidTr="00F349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14F51C20" w14:textId="37804483"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ONSEC</w:t>
            </w:r>
          </w:p>
        </w:tc>
        <w:tc>
          <w:tcPr>
            <w:tcW w:w="7770" w:type="dxa"/>
            <w:tcMar>
              <w:left w:w="108" w:type="dxa"/>
              <w:right w:w="108" w:type="dxa"/>
            </w:tcMar>
          </w:tcPr>
          <w:p w14:paraId="50C9A3C6" w14:textId="649D45C8"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 xml:space="preserve">Acciones de recursos humanos aprobadas a servidores, ex servidores públicos del Organismo Ejecutivo y sus beneficiarios: al mes de diciembre se reportaron 62,955 personas atendidas, con 97% de avance físico. </w:t>
            </w:r>
          </w:p>
          <w:p w14:paraId="0C47DFE7" w14:textId="077CC943"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Servidores, ex servidores públicos con peticiones jurídico-laborales por apelación resueltas, presentadas ante la Junta Nacional de Servicio Civil: al mes de agosto se benefició a 523 personas, con 95% de avance físico.</w:t>
            </w:r>
          </w:p>
          <w:p w14:paraId="65BE7904" w14:textId="0447C41F"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Servidores, ex servidores públicos del Estado y sus beneficiarios con pensiones y otros beneficios: al mes de agosto se ha favorecido a 8,006 personas, con 94% de avance físico.</w:t>
            </w:r>
          </w:p>
        </w:tc>
      </w:tr>
      <w:tr w:rsidR="25BD66AC" w:rsidRPr="00640D38" w14:paraId="1C12CF41" w14:textId="77777777" w:rsidTr="00F349AE">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47982E25" w14:textId="623341DF"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AMSA</w:t>
            </w:r>
          </w:p>
        </w:tc>
        <w:tc>
          <w:tcPr>
            <w:tcW w:w="7770" w:type="dxa"/>
            <w:tcMar>
              <w:left w:w="108" w:type="dxa"/>
              <w:right w:w="108" w:type="dxa"/>
            </w:tcMar>
          </w:tcPr>
          <w:p w14:paraId="4714CF82" w14:textId="317A6644" w:rsidR="25BD66AC" w:rsidRPr="00640D38" w:rsidRDefault="25BD66AC" w:rsidP="00640D38">
            <w:pPr>
              <w:pStyle w:val="Prrafodelista"/>
              <w:numPr>
                <w:ilvl w:val="0"/>
                <w:numId w:val="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Volumen de desechos sólidos flotantes y plantas acuáticas extraídos del lago de Amatitlán: Durante el tercer cuatrimestre se extrajo 37,204 metros cúbicos de desechos sólidos flotantes y plantas acuáticas del lago de Amatitlán, con un acumulado de 65,000 metros cúbicos extraídos en el año, con 100% de avance físico.</w:t>
            </w:r>
          </w:p>
          <w:p w14:paraId="1EB64581" w14:textId="5EC657A8" w:rsidR="25BD66AC" w:rsidRPr="00640D38" w:rsidRDefault="25BD66AC" w:rsidP="00640D38">
            <w:pPr>
              <w:pStyle w:val="Prrafodelista"/>
              <w:numPr>
                <w:ilvl w:val="0"/>
                <w:numId w:val="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Manejo y conservación de la cobertura forestal en la cuenca del lago de Amatitlán para recarga de mantos acuíferos: se reportaron 25 hectáreas de manejo y conservación de la cobertura forestal durante el tercer cuatrimestre, con un acumulado de 110 hectáreas en el año, con 100% de avance físico.</w:t>
            </w:r>
          </w:p>
        </w:tc>
      </w:tr>
      <w:tr w:rsidR="25BD66AC" w:rsidRPr="00640D38" w14:paraId="7978F143" w14:textId="77777777" w:rsidTr="00F349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8B3CAC4" w14:textId="09A60999"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CGC</w:t>
            </w:r>
          </w:p>
        </w:tc>
        <w:tc>
          <w:tcPr>
            <w:tcW w:w="7770" w:type="dxa"/>
            <w:tcMar>
              <w:left w:w="108" w:type="dxa"/>
              <w:right w:w="108" w:type="dxa"/>
            </w:tcMar>
          </w:tcPr>
          <w:p w14:paraId="363554CC" w14:textId="3309D737"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Informes de fiscalización de entidades y empleados públicos en materia de probidad: 34 informes de auditoría en el cuatrimestre y 126 informes en el año, con 100% de avance físico.</w:t>
            </w:r>
          </w:p>
          <w:p w14:paraId="48036EB4" w14:textId="508FDC62"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Personas capacitadas a nivel nacional con el fin de promover la probidad, transparencia, honestidad y rendición de cuentas: 81,031 personas capacitadas en el cuatrimestre y 199,206 personas en el año, con 72.66% de avance físico.</w:t>
            </w:r>
          </w:p>
        </w:tc>
      </w:tr>
      <w:tr w:rsidR="25BD66AC" w:rsidRPr="00640D38" w14:paraId="3DD269B1" w14:textId="77777777" w:rsidTr="00F349AE">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3A46C298" w14:textId="43763F78"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CONAP</w:t>
            </w:r>
          </w:p>
        </w:tc>
        <w:tc>
          <w:tcPr>
            <w:tcW w:w="7770" w:type="dxa"/>
            <w:tcMar>
              <w:left w:w="108" w:type="dxa"/>
              <w:right w:w="108" w:type="dxa"/>
            </w:tcMar>
          </w:tcPr>
          <w:p w14:paraId="72178D42" w14:textId="039DFCB4" w:rsidR="25BD66AC" w:rsidRPr="00640D38" w:rsidRDefault="25BD66AC" w:rsidP="00640D38">
            <w:pPr>
              <w:pStyle w:val="Prrafodelista"/>
              <w:numPr>
                <w:ilvl w:val="0"/>
                <w:numId w:val="4"/>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Ecosistemas del Sistema Guatemalteco de Áreas Protegidas SIGAP y la diversidad biológica conservados: 3,376,294 hectáreas en el año, con 97% de avance físico.</w:t>
            </w:r>
          </w:p>
          <w:p w14:paraId="5D736298" w14:textId="2F84760B" w:rsidR="25BD66AC" w:rsidRPr="00640D38" w:rsidRDefault="25BD66AC" w:rsidP="00640D38">
            <w:pPr>
              <w:pStyle w:val="Prrafodelista"/>
              <w:numPr>
                <w:ilvl w:val="0"/>
                <w:numId w:val="4"/>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Población guatemalteca adyacente o en áreas protegidas beneficiadas por el uso sostenible de los recursos naturales: 203,199 personas, con 88% de avance físico.</w:t>
            </w:r>
          </w:p>
        </w:tc>
      </w:tr>
      <w:tr w:rsidR="25BD66AC" w:rsidRPr="00640D38" w14:paraId="7811C679" w14:textId="77777777" w:rsidTr="00F349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137CB6BA" w14:textId="7A3EA048"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COPADEH</w:t>
            </w:r>
          </w:p>
        </w:tc>
        <w:tc>
          <w:tcPr>
            <w:tcW w:w="7770" w:type="dxa"/>
            <w:tcMar>
              <w:left w:w="108" w:type="dxa"/>
              <w:right w:w="108" w:type="dxa"/>
            </w:tcMar>
          </w:tcPr>
          <w:p w14:paraId="43FAE5B6" w14:textId="7FD6AAC7" w:rsidR="25BD66AC" w:rsidRPr="00640D38" w:rsidRDefault="25BD66AC" w:rsidP="00640D38">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Servidores públicos y ciudadanos formados y capacitados en cultura de paz, respeto a los derechos humanos y mecanismos de dialogo: se formó y capacitó 11,900 servidores públicos y ciudadanos, 6,319 mujeres y 5,581 hombres, con 100% de avance físico.</w:t>
            </w:r>
          </w:p>
        </w:tc>
      </w:tr>
      <w:tr w:rsidR="25BD66AC" w:rsidRPr="00640D38" w14:paraId="254501C1" w14:textId="77777777" w:rsidTr="00F349AE">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57088290" w14:textId="0DE25A31"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AMSCLAE</w:t>
            </w:r>
          </w:p>
        </w:tc>
        <w:tc>
          <w:tcPr>
            <w:tcW w:w="7770" w:type="dxa"/>
            <w:tcMar>
              <w:left w:w="108" w:type="dxa"/>
              <w:right w:w="108" w:type="dxa"/>
            </w:tcMar>
          </w:tcPr>
          <w:p w14:paraId="3DDE3C5F" w14:textId="733D52A7" w:rsidR="25BD66AC" w:rsidRPr="00640D38" w:rsidRDefault="25BD66AC" w:rsidP="00640D38">
            <w:pPr>
              <w:pStyle w:val="Prrafodelista"/>
              <w:numPr>
                <w:ilvl w:val="0"/>
                <w:numId w:val="4"/>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 xml:space="preserve">Intervenciones de manejo integrado de la cuenca del lago de Atitlán que permitan conservar, preservar y resguardar los ecosistemas de la cuenca del lago de Atitlán: 532 eventos realizados, con un avance físico acumulado de 99.62%. </w:t>
            </w:r>
          </w:p>
          <w:p w14:paraId="7DA5FB17" w14:textId="74876538" w:rsidR="25BD66AC" w:rsidRPr="00640D38" w:rsidRDefault="25BD66AC" w:rsidP="00640D38">
            <w:pPr>
              <w:pStyle w:val="Prrafodelista"/>
              <w:numPr>
                <w:ilvl w:val="0"/>
                <w:numId w:val="4"/>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Mejoramiento de infraestructuras ambientales: Proyecto de Mejoramiento de Sistema de Tratamiento, Aguas Residuales Cebollales 1, Panajachel, Sololá, 356 metros cuadrados de construcción, con un avance físico acumulado del 100%.</w:t>
            </w:r>
          </w:p>
        </w:tc>
      </w:tr>
      <w:tr w:rsidR="25BD66AC" w:rsidRPr="00640D38" w14:paraId="34CF5FD3" w14:textId="77777777" w:rsidTr="00F349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45D4B8F6" w14:textId="6BD62CCE"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CNA</w:t>
            </w:r>
          </w:p>
        </w:tc>
        <w:tc>
          <w:tcPr>
            <w:tcW w:w="7770" w:type="dxa"/>
            <w:tcMar>
              <w:left w:w="108" w:type="dxa"/>
              <w:right w:w="108" w:type="dxa"/>
            </w:tcMar>
          </w:tcPr>
          <w:p w14:paraId="74A86EC2" w14:textId="3DA643A5"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Evaluación integral de NNA declarados adoptables, preparados para su integración familiar: se reportó 82 niños, niñas y adolescentes evaluados psicosocialmente, médica y legalmente, para prepararlos en el proceso de adopción, alcanzando 251 NNA durante el año, con 99.6% de avance físico.</w:t>
            </w:r>
          </w:p>
          <w:p w14:paraId="1DD865C0" w14:textId="374B6273"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Familias informadas sobre el proceso de adopción: durante el tercer cuatrimestre del 2022 se informó a 379 familias (mono y biparentales) y durante el año se logró informar a 734 familias, con 100% de avance físico.</w:t>
            </w:r>
          </w:p>
          <w:p w14:paraId="18896BDE" w14:textId="73977E78"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Asesoría profesional post adoptiva: se realizaron 110 asesorías para verificar la adecuada integración del niño, niña o adolescente en su familia adoptiva, durante el tercer cuatrimestre y 370 durante el ejercicio fiscal 2022, con 100% de avance físico.</w:t>
            </w:r>
          </w:p>
          <w:p w14:paraId="705D28DB" w14:textId="4B630FC1"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Asesoría a madres y/o padres biológicos en conflicto con su parentalidad: Se realizaron 94 asesorías durante el tercer cuatrimestre y 240 durante el ejercicio fiscal 2022, con 100% de avance físico.</w:t>
            </w:r>
          </w:p>
          <w:p w14:paraId="079C4A5F" w14:textId="4F6969A5"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Supervisiones y monitoreo de hogares de protección, abrigo y cuidado de NNA: Se realizaron 135 supervisiones a hogares, públicos y privados, durante el tercer cuatrimestre y 456 durante el ejercicio fiscal 2022, con 100% de avance físico, beneficiando aproximadamente a 3,676 niños, niñas y adolescentes que se encontraban abrigados en los hogares supervisados.</w:t>
            </w:r>
          </w:p>
        </w:tc>
      </w:tr>
      <w:tr w:rsidR="25BD66AC" w:rsidRPr="00640D38" w14:paraId="5AA1D196" w14:textId="77777777" w:rsidTr="00F349AE">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47FA48E9" w14:textId="7AF66084"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CES</w:t>
            </w:r>
          </w:p>
        </w:tc>
        <w:tc>
          <w:tcPr>
            <w:tcW w:w="7770" w:type="dxa"/>
            <w:tcMar>
              <w:left w:w="108" w:type="dxa"/>
              <w:right w:w="108" w:type="dxa"/>
            </w:tcMar>
          </w:tcPr>
          <w:p w14:paraId="38C7F6A9" w14:textId="52C5CACE" w:rsidR="25BD66AC" w:rsidRPr="00640D38" w:rsidRDefault="25BD66AC" w:rsidP="00640D38">
            <w:pPr>
              <w:pStyle w:val="Prrafodelista"/>
              <w:numPr>
                <w:ilvl w:val="0"/>
                <w:numId w:val="4"/>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 xml:space="preserve">Talleres de capacitación en materia de políticas públicas en entidades de gobierno: con 100% de avance físico. Si bien la meta ya estaba cumplida, debido a solicitud de otra institución se programó un curso en dos entregas, con un estimado de 180 participantes. </w:t>
            </w:r>
          </w:p>
          <w:p w14:paraId="56937B28" w14:textId="1F5BBBD8" w:rsidR="25BD66AC" w:rsidRPr="00640D38" w:rsidRDefault="25BD66AC" w:rsidP="00640D38">
            <w:pPr>
              <w:pStyle w:val="Prrafodelista"/>
              <w:numPr>
                <w:ilvl w:val="0"/>
                <w:numId w:val="4"/>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Acciones de diálogo y socialización: con 100% de avance físico.</w:t>
            </w:r>
          </w:p>
        </w:tc>
      </w:tr>
      <w:tr w:rsidR="25BD66AC" w:rsidRPr="00640D38" w14:paraId="15DB6BF8" w14:textId="77777777" w:rsidTr="00F349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10604499" w14:textId="07EFB449"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CONGRESO DE LA REPÚBLICA</w:t>
            </w:r>
          </w:p>
        </w:tc>
        <w:tc>
          <w:tcPr>
            <w:tcW w:w="7770" w:type="dxa"/>
            <w:tcMar>
              <w:left w:w="108" w:type="dxa"/>
              <w:right w:w="108" w:type="dxa"/>
            </w:tcMar>
          </w:tcPr>
          <w:p w14:paraId="3784E9AD" w14:textId="443A7614"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Decretar reformar y derogar leyes Iniciativas Dictámenes Puntos Resolutivos Acuerdos e Interpelaciones: con 100% de avance físico.</w:t>
            </w:r>
          </w:p>
          <w:p w14:paraId="4CBA7398" w14:textId="7F25068A" w:rsidR="25BD66AC" w:rsidRPr="00640D38" w:rsidRDefault="25BD66AC" w:rsidP="00640D38">
            <w:pPr>
              <w:pStyle w:val="Prrafodelista"/>
              <w:numPr>
                <w:ilvl w:val="0"/>
                <w:numId w:val="4"/>
              </w:numPr>
              <w:spacing w:before="120" w:after="120"/>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Estudios investigaciones procesos de formación y capacitación y apoyo técnico: con 100% de avance físico.</w:t>
            </w:r>
          </w:p>
        </w:tc>
      </w:tr>
      <w:tr w:rsidR="25BD66AC" w:rsidRPr="00640D38" w14:paraId="53D8B339" w14:textId="77777777" w:rsidTr="00F349AE">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15259CDF" w14:textId="3A3917B2" w:rsidR="25BD66AC" w:rsidRPr="00640D38" w:rsidRDefault="25BD66AC" w:rsidP="25BD66AC">
            <w:pPr>
              <w:spacing w:line="254" w:lineRule="auto"/>
              <w:jc w:val="center"/>
              <w:rPr>
                <w:rFonts w:asciiTheme="minorHAnsi" w:hAnsiTheme="minorHAnsi" w:cstheme="minorHAnsi"/>
                <w:b w:val="0"/>
                <w:sz w:val="22"/>
                <w:szCs w:val="22"/>
              </w:rPr>
            </w:pPr>
            <w:r w:rsidRPr="00640D38">
              <w:rPr>
                <w:rFonts w:asciiTheme="minorHAnsi" w:hAnsiTheme="minorHAnsi" w:cstheme="minorHAnsi"/>
                <w:b w:val="0"/>
                <w:sz w:val="22"/>
                <w:szCs w:val="22"/>
                <w:lang w:val="es"/>
              </w:rPr>
              <w:t>CC</w:t>
            </w:r>
          </w:p>
        </w:tc>
        <w:tc>
          <w:tcPr>
            <w:tcW w:w="7770" w:type="dxa"/>
            <w:tcMar>
              <w:left w:w="108" w:type="dxa"/>
              <w:right w:w="108" w:type="dxa"/>
            </w:tcMar>
          </w:tcPr>
          <w:p w14:paraId="478C5F19" w14:textId="297744AD" w:rsidR="25BD66AC" w:rsidRPr="00640D38" w:rsidRDefault="25BD66AC" w:rsidP="00640D38">
            <w:pPr>
              <w:pStyle w:val="Prrafodelista"/>
              <w:numPr>
                <w:ilvl w:val="0"/>
                <w:numId w:val="4"/>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Resoluciones definitivas: Se logró garantizar el Orden Constitucional manteniendo un estándar de calidad en la resolución de casos recibidos en el marco de su competencia para la población guatemalteca. Se registraron 5,664 Resoluciones Definitivas conforme la Programación Inicial y se alcanzó el 100% de la meta física.</w:t>
            </w:r>
          </w:p>
          <w:p w14:paraId="4CC4162A" w14:textId="57D760CE" w:rsidR="25BD66AC" w:rsidRPr="00640D38" w:rsidRDefault="25BD66AC" w:rsidP="00640D38">
            <w:pPr>
              <w:pStyle w:val="Prrafodelista"/>
              <w:numPr>
                <w:ilvl w:val="0"/>
                <w:numId w:val="4"/>
              </w:numPr>
              <w:spacing w:before="120" w:after="120"/>
              <w:ind w:left="714"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640D38">
              <w:rPr>
                <w:rFonts w:asciiTheme="minorHAnsi" w:hAnsiTheme="minorHAnsi" w:cstheme="minorHAnsi"/>
                <w:sz w:val="22"/>
                <w:szCs w:val="22"/>
                <w:lang w:val="es"/>
              </w:rPr>
              <w:t>Informe de ejecución presupuestaria: Se logró promover la rendición de cuentas por medio de los informes de ejecución presupuestaria, financiera y contable para Presidencia de la Corte de Constitucionalidad. Se registraron 12 Informes de Ejecución Presupuestaria conforme la Programación Inicial y se alcanzó el 100% de la meta física.</w:t>
            </w:r>
          </w:p>
        </w:tc>
      </w:tr>
    </w:tbl>
    <w:p w14:paraId="3ED72EB3" w14:textId="7161A1B8" w:rsidR="0831ED43" w:rsidRDefault="25AE2413" w:rsidP="005004EE">
      <w:pPr>
        <w:spacing w:before="120" w:after="120" w:line="240" w:lineRule="auto"/>
        <w:jc w:val="both"/>
      </w:pPr>
      <w:r w:rsidRPr="25AE2413">
        <w:rPr>
          <w:rFonts w:ascii="Calibri" w:eastAsia="Calibri" w:hAnsi="Calibri" w:cs="Calibri"/>
          <w:b/>
          <w:bCs/>
          <w:sz w:val="24"/>
          <w:szCs w:val="24"/>
        </w:rPr>
        <w:t>Ejecución financiera</w:t>
      </w:r>
    </w:p>
    <w:p w14:paraId="036206E1" w14:textId="27D8E6B0" w:rsidR="0831ED43" w:rsidRDefault="25AE2413" w:rsidP="005004EE">
      <w:pPr>
        <w:spacing w:before="120" w:after="120" w:line="240" w:lineRule="auto"/>
        <w:jc w:val="both"/>
      </w:pPr>
      <w:r w:rsidRPr="25AE2413">
        <w:rPr>
          <w:rFonts w:ascii="Calibri" w:eastAsia="Calibri" w:hAnsi="Calibri" w:cs="Calibri"/>
          <w:sz w:val="24"/>
          <w:szCs w:val="24"/>
        </w:rPr>
        <w:t>De las 19 dependencias incluidas en el presente informe, ocho lograron una ejecución alta de metas, de las cuales, ONSEC, AMSCLAE, COPADEH y PGN, lograron los mayores porcentajes de avance en el año. FEGUA y AMSCLAE, mostraron un comportamiento similar durante el año 2022, logrando un buen desempeño en el cumplimiento de metas financieras.</w:t>
      </w:r>
    </w:p>
    <w:p w14:paraId="0E760FDE" w14:textId="27D8E6B0" w:rsidR="0831ED43" w:rsidRDefault="25AE2413" w:rsidP="005004EE">
      <w:pPr>
        <w:spacing w:before="120" w:after="120" w:line="240" w:lineRule="auto"/>
        <w:jc w:val="both"/>
      </w:pPr>
      <w:r w:rsidRPr="25AE2413">
        <w:rPr>
          <w:rFonts w:ascii="Calibri" w:eastAsia="Calibri" w:hAnsi="Calibri" w:cs="Calibri"/>
          <w:sz w:val="24"/>
          <w:szCs w:val="24"/>
        </w:rPr>
        <w:t>Ocho dependencias alcanzaron una ejecución media de metas financieras, con un promedio de 72% de ejecución en el año.</w:t>
      </w:r>
    </w:p>
    <w:p w14:paraId="2FC58E36" w14:textId="27D8E6B0" w:rsidR="0831ED43" w:rsidRDefault="25AE2413" w:rsidP="00F349AE">
      <w:pPr>
        <w:spacing w:after="120" w:line="240" w:lineRule="auto"/>
        <w:jc w:val="both"/>
      </w:pPr>
      <w:r w:rsidRPr="25AE2413">
        <w:rPr>
          <w:rFonts w:ascii="Calibri" w:eastAsia="Calibri" w:hAnsi="Calibri" w:cs="Calibri"/>
          <w:sz w:val="24"/>
          <w:szCs w:val="24"/>
        </w:rPr>
        <w:t>El CES y la CGC, si bien, mostraron un desempeño alto en ejecución física, los resultados en la ejecución financiera fueron bajos, 41.6% y 45.7%, respectivamente, lo que provocó una menor efectividad en alcanzar las metas físicas y financieras programadas en el POA. Se observó que, la baja ejecución financiera reportada por estas dos dependencias, fue resultado de registros incompletos de ejecución de metas en Siplan.</w:t>
      </w:r>
    </w:p>
    <w:p w14:paraId="3081901E" w14:textId="27D8E6B0" w:rsidR="0831ED43" w:rsidRDefault="25AE2413" w:rsidP="00F349AE">
      <w:pPr>
        <w:spacing w:after="120" w:line="240" w:lineRule="auto"/>
        <w:jc w:val="both"/>
      </w:pPr>
      <w:r w:rsidRPr="25AE2413">
        <w:rPr>
          <w:rFonts w:ascii="Calibri" w:eastAsia="Calibri" w:hAnsi="Calibri" w:cs="Calibri"/>
          <w:sz w:val="24"/>
          <w:szCs w:val="24"/>
        </w:rPr>
        <w:t>Por su parte, la DEMI, mostró ejecución baja en ambas metas, también como resultado de registros incompletos de ejecución en el sistema, lo cual, no permite establecer con certeza el desempeño en el cumplimiento de las metas al finalizar el año.</w:t>
      </w:r>
    </w:p>
    <w:p w14:paraId="195498A3" w14:textId="27D8E6B0" w:rsidR="0831ED43" w:rsidRDefault="25AE2413" w:rsidP="00F349AE">
      <w:pPr>
        <w:spacing w:after="120" w:line="240" w:lineRule="auto"/>
        <w:jc w:val="both"/>
      </w:pPr>
      <w:r w:rsidRPr="25AE2413">
        <w:rPr>
          <w:rFonts w:ascii="Calibri" w:eastAsia="Calibri" w:hAnsi="Calibri" w:cs="Calibri"/>
          <w:sz w:val="24"/>
          <w:szCs w:val="24"/>
        </w:rPr>
        <w:t>En el caso de AMSA, CONGRESO DE LA REPÚBLICA y CHN, estas no fueron incluidos dentro de la tabla de resultados, derivado de registros incompletos de modificaciones de metas financieras en Siplan, lo que provocó que el resultado de avance de meta financiera fuera inexacto, superando el 100% de la meta programada, por lo que, no es posible establecer con claridad el desempeño en la ejecución financiera.</w:t>
      </w:r>
    </w:p>
    <w:p w14:paraId="664C80B9" w14:textId="27D8E6B0" w:rsidR="0831ED43" w:rsidRDefault="25AE2413" w:rsidP="00F349AE">
      <w:pPr>
        <w:spacing w:after="120" w:line="240" w:lineRule="auto"/>
        <w:jc w:val="both"/>
      </w:pPr>
      <w:r w:rsidRPr="25AE2413">
        <w:rPr>
          <w:rFonts w:ascii="Calibri" w:eastAsia="Calibri" w:hAnsi="Calibri" w:cs="Calibri"/>
          <w:sz w:val="24"/>
          <w:szCs w:val="24"/>
        </w:rPr>
        <w:t>En la siguiente gráfica se visualiza el comportamiento en el avance de ejecución de metas físicas y financieras</w:t>
      </w:r>
      <w:r w:rsidRPr="25AE2413">
        <w:rPr>
          <w:rFonts w:ascii="Calibri" w:eastAsia="Calibri" w:hAnsi="Calibri" w:cs="Calibri"/>
          <w:color w:val="FF0000"/>
          <w:sz w:val="24"/>
          <w:szCs w:val="24"/>
        </w:rPr>
        <w:t xml:space="preserve"> </w:t>
      </w:r>
      <w:r w:rsidRPr="25AE2413">
        <w:rPr>
          <w:rFonts w:ascii="Calibri" w:eastAsia="Calibri" w:hAnsi="Calibri" w:cs="Calibri"/>
          <w:sz w:val="24"/>
          <w:szCs w:val="24"/>
        </w:rPr>
        <w:t>de las 19 dependencias:</w:t>
      </w:r>
    </w:p>
    <w:p w14:paraId="4E8BDD85" w14:textId="670A9EDF" w:rsidR="0831ED43" w:rsidRPr="009113A0" w:rsidRDefault="00640D38" w:rsidP="009113A0">
      <w:pPr>
        <w:pStyle w:val="ttulosgrficas"/>
        <w:rPr>
          <w:rFonts w:asciiTheme="minorHAnsi" w:hAnsiTheme="minorHAnsi" w:cstheme="minorHAnsi"/>
        </w:rPr>
      </w:pPr>
      <w:bookmarkStart w:id="35" w:name="_Toc130204471"/>
      <w:r w:rsidRPr="009113A0">
        <w:rPr>
          <w:rFonts w:asciiTheme="minorHAnsi" w:hAnsiTheme="minorHAnsi" w:cstheme="minorHAnsi"/>
          <w:noProof/>
          <w:color w:val="4472C4" w:themeColor="accent1"/>
        </w:rPr>
        <w:drawing>
          <wp:anchor distT="0" distB="0" distL="114300" distR="114300" simplePos="0" relativeHeight="251731456" behindDoc="0" locked="0" layoutInCell="1" allowOverlap="1" wp14:anchorId="6CCD0B10" wp14:editId="1EA6263C">
            <wp:simplePos x="0" y="0"/>
            <wp:positionH relativeFrom="page">
              <wp:posOffset>1398905</wp:posOffset>
            </wp:positionH>
            <wp:positionV relativeFrom="paragraph">
              <wp:posOffset>219710</wp:posOffset>
            </wp:positionV>
            <wp:extent cx="5367020" cy="2536190"/>
            <wp:effectExtent l="0" t="0" r="5080" b="16510"/>
            <wp:wrapSquare wrapText="bothSides"/>
            <wp:docPr id="48" name="Gráfico 48">
              <a:extLst xmlns:a="http://schemas.openxmlformats.org/drawingml/2006/main">
                <a:ext uri="{FF2B5EF4-FFF2-40B4-BE49-F238E27FC236}">
                  <a16:creationId xmlns:a16="http://schemas.microsoft.com/office/drawing/2014/main" id="{662AEC97-63A7-439B-A279-7E66B77C8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9113A0">
        <w:rPr>
          <w:rFonts w:asciiTheme="minorHAnsi" w:hAnsiTheme="minorHAnsi" w:cstheme="minorHAnsi"/>
          <w:color w:val="4472C4" w:themeColor="accent1"/>
          <w:lang w:val="es"/>
        </w:rPr>
        <w:t xml:space="preserve">Gráfica </w:t>
      </w:r>
      <w:r w:rsidR="00AD78CC" w:rsidRPr="009113A0">
        <w:rPr>
          <w:rFonts w:asciiTheme="minorHAnsi" w:hAnsiTheme="minorHAnsi" w:cstheme="minorHAnsi"/>
          <w:color w:val="4472C4" w:themeColor="accent1"/>
          <w:lang w:val="es"/>
        </w:rPr>
        <w:fldChar w:fldCharType="begin"/>
      </w:r>
      <w:r w:rsidR="00AD78CC" w:rsidRPr="009113A0">
        <w:rPr>
          <w:rFonts w:asciiTheme="minorHAnsi" w:hAnsiTheme="minorHAnsi" w:cstheme="minorHAnsi"/>
          <w:color w:val="4472C4" w:themeColor="accent1"/>
          <w:lang w:val="es"/>
        </w:rPr>
        <w:instrText xml:space="preserve"> SEQ Gráfica \* ARABIC </w:instrText>
      </w:r>
      <w:r w:rsidR="00AD78CC" w:rsidRPr="009113A0">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3</w:t>
      </w:r>
      <w:r w:rsidR="00AD78CC" w:rsidRPr="009113A0">
        <w:rPr>
          <w:rFonts w:asciiTheme="minorHAnsi" w:hAnsiTheme="minorHAnsi" w:cstheme="minorHAnsi"/>
          <w:color w:val="4472C4" w:themeColor="accent1"/>
          <w:lang w:val="es"/>
        </w:rPr>
        <w:fldChar w:fldCharType="end"/>
      </w:r>
      <w:r w:rsidRPr="009113A0">
        <w:rPr>
          <w:rFonts w:asciiTheme="minorHAnsi" w:hAnsiTheme="minorHAnsi" w:cstheme="minorHAnsi"/>
          <w:color w:val="4472C4" w:themeColor="accent1"/>
          <w:lang w:val="es"/>
        </w:rPr>
        <w:t>. Comparativo de Ejecución Física y Financiera. Otras Dependencias</w:t>
      </w:r>
      <w:bookmarkEnd w:id="35"/>
    </w:p>
    <w:p w14:paraId="77A6D89C" w14:textId="77777777" w:rsidR="00E31540" w:rsidRDefault="00640D38" w:rsidP="00E31540">
      <w:pPr>
        <w:spacing w:after="0" w:line="240" w:lineRule="auto"/>
        <w:rPr>
          <w:rFonts w:ascii="Calibri" w:eastAsia="Calibri" w:hAnsi="Calibri" w:cs="Calibri"/>
          <w:sz w:val="16"/>
          <w:szCs w:val="16"/>
        </w:rPr>
      </w:pPr>
      <w:r>
        <w:rPr>
          <w:rFonts w:ascii="Calibri" w:eastAsia="Calibri" w:hAnsi="Calibri" w:cs="Calibri"/>
          <w:sz w:val="16"/>
          <w:szCs w:val="16"/>
        </w:rPr>
        <w:tab/>
      </w:r>
      <w:r w:rsidR="25AE2413" w:rsidRPr="25AE2413">
        <w:rPr>
          <w:rFonts w:ascii="Calibri" w:eastAsia="Calibri" w:hAnsi="Calibri" w:cs="Calibri"/>
          <w:sz w:val="16"/>
          <w:szCs w:val="16"/>
        </w:rPr>
        <w:t>Fuente: Con base a registros de Siplan. Segeplan. Año 2022.</w:t>
      </w:r>
    </w:p>
    <w:p w14:paraId="5C7CCE42" w14:textId="3F8B5C7E" w:rsidR="25AE2413" w:rsidRPr="005004EE" w:rsidRDefault="25AE2413" w:rsidP="00517E4A">
      <w:pPr>
        <w:spacing w:before="120" w:after="120" w:line="240" w:lineRule="auto"/>
        <w:rPr>
          <w:rFonts w:ascii="Calibri" w:eastAsia="Calibri" w:hAnsi="Calibri" w:cs="Calibri"/>
          <w:sz w:val="24"/>
          <w:szCs w:val="24"/>
        </w:rPr>
      </w:pPr>
      <w:r w:rsidRPr="25AE2413">
        <w:rPr>
          <w:rFonts w:ascii="Calibri" w:eastAsia="Calibri" w:hAnsi="Calibri" w:cs="Calibri"/>
          <w:sz w:val="24"/>
          <w:szCs w:val="24"/>
        </w:rPr>
        <w:t>Se observa que, seis dependencias alcanzaron la mayor efectividad en la ejecución de metas físicas y financieras en el año, siendo estas: COPADEH, PGN, CC, AMSCLAE, CNA y ONSEC.</w:t>
      </w:r>
    </w:p>
    <w:p w14:paraId="24E5A292" w14:textId="73D8EF50" w:rsidR="25AE2413" w:rsidRDefault="00C8352D" w:rsidP="00517E4A">
      <w:pPr>
        <w:spacing w:before="120" w:after="120" w:line="240" w:lineRule="auto"/>
        <w:jc w:val="both"/>
      </w:pPr>
      <w:r w:rsidRPr="25AE2413">
        <w:rPr>
          <w:rFonts w:ascii="Calibri" w:eastAsia="Calibri" w:hAnsi="Calibri" w:cs="Calibri"/>
          <w:b/>
          <w:bCs/>
          <w:sz w:val="24"/>
          <w:szCs w:val="24"/>
        </w:rPr>
        <w:t xml:space="preserve">Vinculación a </w:t>
      </w:r>
      <w:r>
        <w:rPr>
          <w:rFonts w:ascii="Calibri" w:eastAsia="Calibri" w:hAnsi="Calibri" w:cs="Calibri"/>
          <w:b/>
          <w:bCs/>
          <w:sz w:val="24"/>
          <w:szCs w:val="24"/>
        </w:rPr>
        <w:t>R</w:t>
      </w:r>
      <w:r w:rsidRPr="25AE2413">
        <w:rPr>
          <w:rFonts w:ascii="Calibri" w:eastAsia="Calibri" w:hAnsi="Calibri" w:cs="Calibri"/>
          <w:b/>
          <w:bCs/>
          <w:sz w:val="24"/>
          <w:szCs w:val="24"/>
        </w:rPr>
        <w:t xml:space="preserve">esultados </w:t>
      </w:r>
      <w:r>
        <w:rPr>
          <w:rFonts w:ascii="Calibri" w:eastAsia="Calibri" w:hAnsi="Calibri" w:cs="Calibri"/>
          <w:b/>
          <w:bCs/>
          <w:sz w:val="24"/>
          <w:szCs w:val="24"/>
        </w:rPr>
        <w:t>E</w:t>
      </w:r>
      <w:r w:rsidRPr="25AE2413">
        <w:rPr>
          <w:rFonts w:ascii="Calibri" w:eastAsia="Calibri" w:hAnsi="Calibri" w:cs="Calibri"/>
          <w:b/>
          <w:bCs/>
          <w:sz w:val="24"/>
          <w:szCs w:val="24"/>
        </w:rPr>
        <w:t xml:space="preserve">stratégicos de </w:t>
      </w:r>
      <w:r>
        <w:rPr>
          <w:rFonts w:ascii="Calibri" w:eastAsia="Calibri" w:hAnsi="Calibri" w:cs="Calibri"/>
          <w:b/>
          <w:bCs/>
          <w:sz w:val="24"/>
          <w:szCs w:val="24"/>
        </w:rPr>
        <w:t>D</w:t>
      </w:r>
      <w:r w:rsidRPr="25AE2413">
        <w:rPr>
          <w:rFonts w:ascii="Calibri" w:eastAsia="Calibri" w:hAnsi="Calibri" w:cs="Calibri"/>
          <w:b/>
          <w:bCs/>
          <w:sz w:val="24"/>
          <w:szCs w:val="24"/>
        </w:rPr>
        <w:t>esarrollo</w:t>
      </w:r>
    </w:p>
    <w:p w14:paraId="0E4A0398" w14:textId="4EE30A3A" w:rsidR="25AE2413" w:rsidRDefault="25AE2413" w:rsidP="00517E4A">
      <w:pPr>
        <w:spacing w:before="120" w:after="120" w:line="240" w:lineRule="auto"/>
        <w:jc w:val="both"/>
      </w:pPr>
      <w:r w:rsidRPr="25AE2413">
        <w:rPr>
          <w:rFonts w:ascii="Calibri" w:eastAsia="Calibri" w:hAnsi="Calibri" w:cs="Calibri"/>
          <w:sz w:val="24"/>
          <w:szCs w:val="24"/>
        </w:rPr>
        <w:t xml:space="preserve">Los Resultados Estratégicos de Desarrollo (RED) fueron definidos de manera interinstitucional y sectorial, con la participación de las entidades rectoras según su ámbito de competencia en respuesta a los principales problemas que afronta el país. </w:t>
      </w:r>
    </w:p>
    <w:p w14:paraId="3480E135" w14:textId="3346940C" w:rsidR="0831ED43" w:rsidRPr="00AD78CC" w:rsidRDefault="25AE2413" w:rsidP="00517E4A">
      <w:pPr>
        <w:spacing w:before="120" w:after="120" w:line="240" w:lineRule="auto"/>
        <w:jc w:val="both"/>
        <w:rPr>
          <w:rFonts w:cstheme="minorHAnsi"/>
        </w:rPr>
      </w:pPr>
      <w:r w:rsidRPr="00AD78CC">
        <w:rPr>
          <w:rFonts w:eastAsia="Calibri" w:cstheme="minorHAnsi"/>
          <w:sz w:val="24"/>
          <w:szCs w:val="24"/>
        </w:rPr>
        <w:t>Si bien, ninguna de estas dependencias es responsable de alguno de los RED, el Consejo Económico y Social (CES), vinculó parte de su producción a la consecución del RED: Para el año 2023 se ha incrementado en 2.60 puntos porcentuales la tasa de crecimiento del PIB real, con el producto: Espacio de diálogo social permanente, con 78% de avance físico.</w:t>
      </w:r>
    </w:p>
    <w:p w14:paraId="40C4C81C" w14:textId="50DD6EE2" w:rsidR="00E6534A" w:rsidRPr="00AD78CC" w:rsidRDefault="34D87270" w:rsidP="00517E4A">
      <w:pPr>
        <w:pStyle w:val="Ttulo2"/>
        <w:numPr>
          <w:ilvl w:val="0"/>
          <w:numId w:val="0"/>
        </w:numPr>
        <w:spacing w:before="120" w:after="120" w:line="240" w:lineRule="auto"/>
        <w:rPr>
          <w:rFonts w:asciiTheme="minorHAnsi" w:hAnsiTheme="minorHAnsi" w:cstheme="minorHAnsi"/>
        </w:rPr>
      </w:pPr>
      <w:bookmarkStart w:id="36" w:name="_Hlk72223805"/>
      <w:bookmarkStart w:id="37" w:name="_Hlk98407975"/>
      <w:bookmarkStart w:id="38" w:name="_Toc67589092"/>
      <w:bookmarkStart w:id="39" w:name="_Toc66952607"/>
      <w:bookmarkStart w:id="40" w:name="_Toc82580918"/>
      <w:bookmarkStart w:id="41" w:name="_Toc82611536"/>
      <w:bookmarkStart w:id="42" w:name="_Toc130301106"/>
      <w:bookmarkEnd w:id="36"/>
      <w:bookmarkEnd w:id="37"/>
      <w:r w:rsidRPr="00644EA2">
        <w:rPr>
          <w:rFonts w:asciiTheme="minorHAnsi" w:eastAsia="Calibri" w:hAnsiTheme="minorHAnsi" w:cstheme="minorHAnsi"/>
          <w:color w:val="002060"/>
          <w:sz w:val="32"/>
        </w:rPr>
        <w:t>Entidades descentralizadas y autónomas</w:t>
      </w:r>
      <w:bookmarkEnd w:id="28"/>
      <w:bookmarkEnd w:id="38"/>
      <w:bookmarkEnd w:id="39"/>
      <w:bookmarkEnd w:id="40"/>
      <w:bookmarkEnd w:id="41"/>
      <w:bookmarkEnd w:id="42"/>
    </w:p>
    <w:p w14:paraId="5A7A0F98" w14:textId="1ABD672B" w:rsidR="34D87270" w:rsidRDefault="5AE381E5" w:rsidP="00517E4A">
      <w:pPr>
        <w:spacing w:before="120" w:after="120" w:line="240" w:lineRule="auto"/>
        <w:jc w:val="both"/>
        <w:rPr>
          <w:rFonts w:cstheme="minorHAnsi"/>
        </w:rPr>
      </w:pPr>
      <w:bookmarkStart w:id="43" w:name="_Toc67589093"/>
      <w:bookmarkStart w:id="44" w:name="_Toc66952608"/>
      <w:bookmarkStart w:id="45" w:name="_Toc82580919"/>
      <w:bookmarkStart w:id="46" w:name="_Toc82611537"/>
      <w:r w:rsidRPr="00AD78CC">
        <w:rPr>
          <w:rFonts w:eastAsia="Calibri" w:cstheme="minorHAnsi"/>
          <w:sz w:val="24"/>
          <w:szCs w:val="24"/>
        </w:rPr>
        <w:t>Se presentan los resultados del desempeño institucional de las entidades descentralizadas y autónomas a través del análisis de los porcentajes de ejecución de metas físicas y financieras. Los resultados son los siguientes:</w:t>
      </w:r>
      <w:r w:rsidR="00A940F1" w:rsidRPr="00A940F1">
        <w:rPr>
          <w:rStyle w:val="Refdenotaalpie"/>
          <w:rFonts w:eastAsia="Candara" w:cs="Helvetica"/>
          <w:sz w:val="24"/>
          <w:lang w:eastAsia="es-GT"/>
        </w:rPr>
        <w:t xml:space="preserve"> </w:t>
      </w:r>
      <w:r w:rsidR="00A940F1">
        <w:rPr>
          <w:rStyle w:val="Refdenotaalpie"/>
          <w:rFonts w:eastAsia="Candara" w:cs="Helvetica"/>
          <w:sz w:val="24"/>
          <w:lang w:eastAsia="es-GT"/>
        </w:rPr>
        <w:footnoteReference w:id="8"/>
      </w:r>
      <w:r w:rsidR="00A940F1" w:rsidRPr="00AD78CC">
        <w:rPr>
          <w:rFonts w:cstheme="minorHAnsi"/>
        </w:rPr>
        <w:t xml:space="preserve"> </w:t>
      </w:r>
    </w:p>
    <w:p w14:paraId="6F2BA287" w14:textId="78070E93" w:rsidR="005004EE" w:rsidRDefault="005004EE" w:rsidP="00AD78CC">
      <w:pPr>
        <w:spacing w:after="120" w:line="240" w:lineRule="auto"/>
        <w:jc w:val="both"/>
        <w:rPr>
          <w:rFonts w:cstheme="minorHAnsi"/>
        </w:rPr>
      </w:pPr>
    </w:p>
    <w:p w14:paraId="41C70F38" w14:textId="4DFD2A96" w:rsidR="005004EE" w:rsidRDefault="005004EE" w:rsidP="00AD78CC">
      <w:pPr>
        <w:spacing w:after="120" w:line="240" w:lineRule="auto"/>
        <w:jc w:val="both"/>
        <w:rPr>
          <w:rFonts w:cstheme="minorHAnsi"/>
        </w:rPr>
      </w:pPr>
    </w:p>
    <w:p w14:paraId="0457A09A" w14:textId="60681D6C" w:rsidR="005004EE" w:rsidRDefault="005004EE" w:rsidP="00AD78CC">
      <w:pPr>
        <w:spacing w:after="120" w:line="240" w:lineRule="auto"/>
        <w:jc w:val="both"/>
        <w:rPr>
          <w:rFonts w:cstheme="minorHAnsi"/>
        </w:rPr>
      </w:pPr>
    </w:p>
    <w:p w14:paraId="153D954C" w14:textId="77777777" w:rsidR="00E31540" w:rsidRDefault="00E31540" w:rsidP="00AD78CC">
      <w:pPr>
        <w:spacing w:after="120" w:line="240" w:lineRule="auto"/>
        <w:jc w:val="both"/>
        <w:rPr>
          <w:rFonts w:cstheme="minorHAnsi"/>
        </w:rPr>
      </w:pPr>
    </w:p>
    <w:p w14:paraId="62857EA5" w14:textId="311F140F" w:rsidR="005004EE" w:rsidRDefault="005004EE" w:rsidP="00AD78CC">
      <w:pPr>
        <w:spacing w:after="120" w:line="240" w:lineRule="auto"/>
        <w:jc w:val="both"/>
        <w:rPr>
          <w:rFonts w:cstheme="minorHAnsi"/>
        </w:rPr>
      </w:pPr>
    </w:p>
    <w:p w14:paraId="10514B9C" w14:textId="77777777" w:rsidR="005004EE" w:rsidRPr="00AD78CC" w:rsidRDefault="005004EE" w:rsidP="00AD78CC">
      <w:pPr>
        <w:spacing w:after="120" w:line="240" w:lineRule="auto"/>
        <w:jc w:val="both"/>
        <w:rPr>
          <w:rFonts w:cstheme="minorHAnsi"/>
        </w:rPr>
      </w:pPr>
    </w:p>
    <w:p w14:paraId="4F5F1575" w14:textId="786AAEDA" w:rsidR="34D87270" w:rsidRPr="006645F7" w:rsidRDefault="006A6ACF" w:rsidP="006645F7">
      <w:pPr>
        <w:pStyle w:val="ttulosgrficas"/>
        <w:rPr>
          <w:rFonts w:asciiTheme="minorHAnsi" w:hAnsiTheme="minorHAnsi" w:cstheme="minorHAnsi"/>
          <w:color w:val="4472C4" w:themeColor="accent1"/>
        </w:rPr>
      </w:pPr>
      <w:bookmarkStart w:id="48" w:name="_Toc130199600"/>
      <w:r w:rsidRPr="006645F7">
        <w:rPr>
          <w:rFonts w:asciiTheme="minorHAnsi" w:hAnsiTheme="minorHAnsi" w:cstheme="minorHAnsi"/>
          <w:color w:val="4472C4" w:themeColor="accent1"/>
          <w:lang w:val="es"/>
        </w:rPr>
        <w:t xml:space="preserve">Tabla </w:t>
      </w:r>
      <w:r w:rsidR="00AD78CC" w:rsidRPr="006645F7">
        <w:rPr>
          <w:rFonts w:asciiTheme="minorHAnsi" w:hAnsiTheme="minorHAnsi" w:cstheme="minorHAnsi"/>
          <w:color w:val="4472C4" w:themeColor="accent1"/>
          <w:lang w:val="es"/>
        </w:rPr>
        <w:fldChar w:fldCharType="begin"/>
      </w:r>
      <w:r w:rsidR="00AD78CC" w:rsidRPr="006645F7">
        <w:rPr>
          <w:rFonts w:asciiTheme="minorHAnsi" w:hAnsiTheme="minorHAnsi" w:cstheme="minorHAnsi"/>
          <w:color w:val="4472C4" w:themeColor="accent1"/>
          <w:lang w:val="es"/>
        </w:rPr>
        <w:instrText xml:space="preserve"> SEQ Tabla \* ARABIC </w:instrText>
      </w:r>
      <w:r w:rsidR="00AD78CC" w:rsidRPr="006645F7">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12</w:t>
      </w:r>
      <w:r w:rsidR="00AD78CC" w:rsidRPr="006645F7">
        <w:rPr>
          <w:rFonts w:asciiTheme="minorHAnsi" w:hAnsiTheme="minorHAnsi" w:cstheme="minorHAnsi"/>
          <w:color w:val="4472C4" w:themeColor="accent1"/>
          <w:lang w:val="es"/>
        </w:rPr>
        <w:fldChar w:fldCharType="end"/>
      </w:r>
      <w:r w:rsidRPr="006645F7">
        <w:rPr>
          <w:rFonts w:asciiTheme="minorHAnsi" w:hAnsiTheme="minorHAnsi" w:cstheme="minorHAnsi"/>
          <w:color w:val="4472C4" w:themeColor="accent1"/>
          <w:lang w:val="es"/>
        </w:rPr>
        <w:t>. Ejecución Física y Financiera. Descentralizadas y Autónomas</w:t>
      </w:r>
      <w:bookmarkEnd w:id="48"/>
    </w:p>
    <w:tbl>
      <w:tblPr>
        <w:tblStyle w:val="Tablaconcuadrcula4-nfasis5"/>
        <w:tblW w:w="9406"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252"/>
        <w:gridCol w:w="2037"/>
        <w:gridCol w:w="2092"/>
        <w:gridCol w:w="1549"/>
        <w:gridCol w:w="1476"/>
      </w:tblGrid>
      <w:tr w:rsidR="5AE381E5" w14:paraId="0FE37637" w14:textId="77777777" w:rsidTr="005004EE">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252"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22718B14" w14:textId="579494B3" w:rsidR="5AE381E5" w:rsidRDefault="5AE381E5" w:rsidP="5AE381E5">
            <w:pPr>
              <w:jc w:val="center"/>
              <w:rPr>
                <w:rFonts w:cs="Calibri"/>
                <w:sz w:val="22"/>
                <w:szCs w:val="22"/>
                <w:lang w:val="es"/>
              </w:rPr>
            </w:pPr>
            <w:r w:rsidRPr="5AE381E5">
              <w:rPr>
                <w:rFonts w:cs="Calibri"/>
                <w:color w:val="auto"/>
                <w:sz w:val="22"/>
                <w:szCs w:val="22"/>
                <w:lang w:val="es"/>
              </w:rPr>
              <w:t>Institución</w:t>
            </w:r>
          </w:p>
        </w:tc>
        <w:tc>
          <w:tcPr>
            <w:tcW w:w="2037"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CF908E7" w14:textId="7D5D32FD" w:rsidR="5AE381E5" w:rsidRDefault="5AE381E5" w:rsidP="5AE381E5">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5AE381E5">
              <w:rPr>
                <w:rFonts w:cs="Calibri"/>
                <w:color w:val="auto"/>
                <w:sz w:val="22"/>
                <w:szCs w:val="22"/>
                <w:lang w:val="es"/>
              </w:rPr>
              <w:t>Meta financiera anual vigente</w:t>
            </w:r>
          </w:p>
        </w:tc>
        <w:tc>
          <w:tcPr>
            <w:tcW w:w="2092"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989CB84" w14:textId="11058AFC" w:rsidR="5AE381E5" w:rsidRDefault="5AE381E5" w:rsidP="5AE381E5">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5AE381E5">
              <w:rPr>
                <w:rFonts w:cs="Calibri"/>
                <w:color w:val="auto"/>
                <w:sz w:val="22"/>
                <w:szCs w:val="22"/>
                <w:lang w:val="es"/>
              </w:rPr>
              <w:t>Ejecución financiera acumulada</w:t>
            </w:r>
          </w:p>
        </w:tc>
        <w:tc>
          <w:tcPr>
            <w:tcW w:w="1549"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DD0806F" w14:textId="0958D75F" w:rsidR="5AE381E5" w:rsidRDefault="5AE381E5" w:rsidP="5AE381E5">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5AE381E5">
              <w:rPr>
                <w:rFonts w:cs="Calibri"/>
                <w:color w:val="auto"/>
                <w:sz w:val="22"/>
                <w:szCs w:val="22"/>
                <w:lang w:val="es"/>
              </w:rPr>
              <w:t xml:space="preserve">% ejecución </w:t>
            </w:r>
            <w:r>
              <w:br/>
            </w:r>
            <w:r w:rsidRPr="5AE381E5">
              <w:rPr>
                <w:rFonts w:cs="Calibri"/>
                <w:color w:val="auto"/>
                <w:sz w:val="22"/>
                <w:szCs w:val="22"/>
                <w:lang w:val="es"/>
              </w:rPr>
              <w:t>meta física</w:t>
            </w:r>
          </w:p>
        </w:tc>
        <w:tc>
          <w:tcPr>
            <w:tcW w:w="1476"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3274AD2E" w14:textId="4F2B665B" w:rsidR="5AE381E5" w:rsidRDefault="5AE381E5" w:rsidP="5AE381E5">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5AE381E5">
              <w:rPr>
                <w:rFonts w:cs="Calibri"/>
                <w:color w:val="auto"/>
                <w:sz w:val="22"/>
                <w:szCs w:val="22"/>
                <w:lang w:val="es"/>
              </w:rPr>
              <w:t xml:space="preserve">% ejecución </w:t>
            </w:r>
            <w:r>
              <w:br/>
            </w:r>
            <w:r w:rsidRPr="5AE381E5">
              <w:rPr>
                <w:rFonts w:cs="Calibri"/>
                <w:color w:val="auto"/>
                <w:sz w:val="22"/>
                <w:szCs w:val="22"/>
                <w:lang w:val="es"/>
              </w:rPr>
              <w:t>meta financiera</w:t>
            </w:r>
          </w:p>
        </w:tc>
      </w:tr>
      <w:tr w:rsidR="5AE381E5" w14:paraId="34D16318" w14:textId="77777777" w:rsidTr="005004E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590991A9" w14:textId="45891161" w:rsidR="5AE381E5" w:rsidRPr="00AD78CC" w:rsidRDefault="5AE381E5">
            <w:pPr>
              <w:rPr>
                <w:b w:val="0"/>
              </w:rPr>
            </w:pPr>
            <w:r w:rsidRPr="00AD78CC">
              <w:rPr>
                <w:rFonts w:cs="Calibri"/>
                <w:b w:val="0"/>
                <w:sz w:val="22"/>
                <w:szCs w:val="22"/>
                <w:lang w:val="es"/>
              </w:rPr>
              <w:t>Agencia Nacional de Alianzas para el Desarrollo de Infraestructura Económica</w:t>
            </w:r>
          </w:p>
        </w:tc>
        <w:tc>
          <w:tcPr>
            <w:tcW w:w="2037" w:type="dxa"/>
            <w:tcMar>
              <w:left w:w="108" w:type="dxa"/>
              <w:right w:w="108" w:type="dxa"/>
            </w:tcMar>
            <w:vAlign w:val="center"/>
          </w:tcPr>
          <w:p w14:paraId="49FE3766" w14:textId="2212DB77"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Q16,757,975.00</w:t>
            </w:r>
          </w:p>
        </w:tc>
        <w:tc>
          <w:tcPr>
            <w:tcW w:w="2092" w:type="dxa"/>
            <w:tcMar>
              <w:left w:w="108" w:type="dxa"/>
              <w:right w:w="108" w:type="dxa"/>
            </w:tcMar>
            <w:vAlign w:val="center"/>
          </w:tcPr>
          <w:p w14:paraId="673ED4E2" w14:textId="23CED262"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Q14,300,030.06</w:t>
            </w:r>
          </w:p>
        </w:tc>
        <w:tc>
          <w:tcPr>
            <w:tcW w:w="1549" w:type="dxa"/>
            <w:shd w:val="clear" w:color="auto" w:fill="92D050"/>
            <w:tcMar>
              <w:left w:w="108" w:type="dxa"/>
              <w:right w:w="108" w:type="dxa"/>
            </w:tcMar>
            <w:vAlign w:val="center"/>
          </w:tcPr>
          <w:p w14:paraId="4B68C43F" w14:textId="58A9393B"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100.00%</w:t>
            </w:r>
          </w:p>
        </w:tc>
        <w:tc>
          <w:tcPr>
            <w:tcW w:w="1476" w:type="dxa"/>
            <w:shd w:val="clear" w:color="auto" w:fill="FFFF00"/>
            <w:tcMar>
              <w:left w:w="108" w:type="dxa"/>
              <w:right w:w="108" w:type="dxa"/>
            </w:tcMar>
            <w:vAlign w:val="center"/>
          </w:tcPr>
          <w:p w14:paraId="1EECFE07" w14:textId="7FD0FFA0"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85.33%</w:t>
            </w:r>
          </w:p>
        </w:tc>
      </w:tr>
      <w:tr w:rsidR="5AE381E5" w14:paraId="4E5DBCEB" w14:textId="77777777" w:rsidTr="005004EE">
        <w:trPr>
          <w:trHeight w:val="27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543244FC" w14:textId="634C8E25" w:rsidR="5AE381E5" w:rsidRPr="00AD78CC" w:rsidRDefault="5AE381E5">
            <w:pPr>
              <w:rPr>
                <w:b w:val="0"/>
              </w:rPr>
            </w:pPr>
            <w:r w:rsidRPr="00AD78CC">
              <w:rPr>
                <w:rFonts w:cs="Calibri"/>
                <w:b w:val="0"/>
                <w:sz w:val="22"/>
                <w:szCs w:val="22"/>
                <w:lang w:val="es"/>
              </w:rPr>
              <w:t>Aporte para la Descentralización Cultural</w:t>
            </w:r>
          </w:p>
        </w:tc>
        <w:tc>
          <w:tcPr>
            <w:tcW w:w="2037" w:type="dxa"/>
            <w:shd w:val="clear" w:color="auto" w:fill="auto"/>
            <w:tcMar>
              <w:left w:w="108" w:type="dxa"/>
              <w:right w:w="108" w:type="dxa"/>
            </w:tcMar>
            <w:vAlign w:val="center"/>
          </w:tcPr>
          <w:p w14:paraId="731556DA" w14:textId="6F1166DD"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Q5,000,000.00</w:t>
            </w:r>
          </w:p>
        </w:tc>
        <w:tc>
          <w:tcPr>
            <w:tcW w:w="2092" w:type="dxa"/>
            <w:shd w:val="clear" w:color="auto" w:fill="auto"/>
            <w:tcMar>
              <w:left w:w="108" w:type="dxa"/>
              <w:right w:w="108" w:type="dxa"/>
            </w:tcMar>
            <w:vAlign w:val="center"/>
          </w:tcPr>
          <w:p w14:paraId="526640FA" w14:textId="67B8E30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Q4,986,557.41</w:t>
            </w:r>
          </w:p>
        </w:tc>
        <w:tc>
          <w:tcPr>
            <w:tcW w:w="1549" w:type="dxa"/>
            <w:shd w:val="clear" w:color="auto" w:fill="92D050"/>
            <w:tcMar>
              <w:left w:w="108" w:type="dxa"/>
              <w:right w:w="108" w:type="dxa"/>
            </w:tcMar>
            <w:vAlign w:val="center"/>
          </w:tcPr>
          <w:p w14:paraId="3E0BA5BF" w14:textId="0DBB331C"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100.00%</w:t>
            </w:r>
          </w:p>
        </w:tc>
        <w:tc>
          <w:tcPr>
            <w:tcW w:w="1476" w:type="dxa"/>
            <w:shd w:val="clear" w:color="auto" w:fill="92D050"/>
            <w:tcMar>
              <w:left w:w="108" w:type="dxa"/>
              <w:right w:w="108" w:type="dxa"/>
            </w:tcMar>
            <w:vAlign w:val="center"/>
          </w:tcPr>
          <w:p w14:paraId="4A4051A8" w14:textId="17911426"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99.73%</w:t>
            </w:r>
          </w:p>
        </w:tc>
      </w:tr>
      <w:tr w:rsidR="5AE381E5" w14:paraId="1564D6E0" w14:textId="77777777" w:rsidTr="005004E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475D8647" w14:textId="7D25C98F" w:rsidR="5AE381E5" w:rsidRPr="00AD78CC" w:rsidRDefault="5AE381E5">
            <w:pPr>
              <w:rPr>
                <w:b w:val="0"/>
              </w:rPr>
            </w:pPr>
            <w:r w:rsidRPr="00AD78CC">
              <w:rPr>
                <w:rFonts w:cs="Calibri"/>
                <w:b w:val="0"/>
                <w:sz w:val="22"/>
                <w:szCs w:val="22"/>
                <w:lang w:val="es"/>
              </w:rPr>
              <w:t>Benemérito Cuerpo Voluntario de Bomberos de Guatemala</w:t>
            </w:r>
          </w:p>
        </w:tc>
        <w:tc>
          <w:tcPr>
            <w:tcW w:w="2037" w:type="dxa"/>
            <w:tcMar>
              <w:left w:w="108" w:type="dxa"/>
              <w:right w:w="108" w:type="dxa"/>
            </w:tcMar>
            <w:vAlign w:val="center"/>
          </w:tcPr>
          <w:p w14:paraId="473156C4" w14:textId="25BA6424"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Q105,200,000.00</w:t>
            </w:r>
          </w:p>
        </w:tc>
        <w:tc>
          <w:tcPr>
            <w:tcW w:w="2092" w:type="dxa"/>
            <w:tcMar>
              <w:left w:w="108" w:type="dxa"/>
              <w:right w:w="108" w:type="dxa"/>
            </w:tcMar>
            <w:vAlign w:val="center"/>
          </w:tcPr>
          <w:p w14:paraId="514E143A" w14:textId="167F3B89"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Q103,480,839.35</w:t>
            </w:r>
          </w:p>
        </w:tc>
        <w:tc>
          <w:tcPr>
            <w:tcW w:w="1549" w:type="dxa"/>
            <w:shd w:val="clear" w:color="auto" w:fill="92D050"/>
            <w:tcMar>
              <w:left w:w="108" w:type="dxa"/>
              <w:right w:w="108" w:type="dxa"/>
            </w:tcMar>
            <w:vAlign w:val="center"/>
          </w:tcPr>
          <w:p w14:paraId="32F9E4F4" w14:textId="166CEB49"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100.00%</w:t>
            </w:r>
          </w:p>
        </w:tc>
        <w:tc>
          <w:tcPr>
            <w:tcW w:w="1476" w:type="dxa"/>
            <w:shd w:val="clear" w:color="auto" w:fill="92D050"/>
            <w:tcMar>
              <w:left w:w="108" w:type="dxa"/>
              <w:right w:w="108" w:type="dxa"/>
            </w:tcMar>
            <w:vAlign w:val="center"/>
          </w:tcPr>
          <w:p w14:paraId="259CDD0E" w14:textId="2194486C"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98.37%</w:t>
            </w:r>
          </w:p>
        </w:tc>
      </w:tr>
      <w:tr w:rsidR="5AE381E5" w14:paraId="6A2A7662" w14:textId="77777777" w:rsidTr="005004EE">
        <w:trPr>
          <w:trHeight w:val="45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1C6F3460" w14:textId="2A9C83E5" w:rsidR="5AE381E5" w:rsidRPr="00AD78CC" w:rsidRDefault="5AE381E5">
            <w:pPr>
              <w:rPr>
                <w:b w:val="0"/>
              </w:rPr>
            </w:pPr>
            <w:r w:rsidRPr="00AD78CC">
              <w:rPr>
                <w:rFonts w:cs="Calibri"/>
                <w:b w:val="0"/>
                <w:sz w:val="22"/>
                <w:szCs w:val="22"/>
                <w:lang w:val="es"/>
              </w:rPr>
              <w:t>Comisión Nacional de Energía Eléctrica</w:t>
            </w:r>
          </w:p>
        </w:tc>
        <w:tc>
          <w:tcPr>
            <w:tcW w:w="2037" w:type="dxa"/>
            <w:shd w:val="clear" w:color="auto" w:fill="auto"/>
            <w:tcMar>
              <w:left w:w="108" w:type="dxa"/>
              <w:right w:w="108" w:type="dxa"/>
            </w:tcMar>
            <w:vAlign w:val="center"/>
          </w:tcPr>
          <w:p w14:paraId="171F469B" w14:textId="7EEDAD0A"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Q47,877,200.00</w:t>
            </w:r>
          </w:p>
        </w:tc>
        <w:tc>
          <w:tcPr>
            <w:tcW w:w="2092" w:type="dxa"/>
            <w:shd w:val="clear" w:color="auto" w:fill="auto"/>
            <w:tcMar>
              <w:left w:w="108" w:type="dxa"/>
              <w:right w:w="108" w:type="dxa"/>
            </w:tcMar>
            <w:vAlign w:val="center"/>
          </w:tcPr>
          <w:p w14:paraId="4EE72AE9" w14:textId="72C6B7D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Q39,492,512.16</w:t>
            </w:r>
          </w:p>
        </w:tc>
        <w:tc>
          <w:tcPr>
            <w:tcW w:w="1549" w:type="dxa"/>
            <w:shd w:val="clear" w:color="auto" w:fill="92D050"/>
            <w:tcMar>
              <w:left w:w="108" w:type="dxa"/>
              <w:right w:w="108" w:type="dxa"/>
            </w:tcMar>
            <w:vAlign w:val="center"/>
          </w:tcPr>
          <w:p w14:paraId="37162E2A" w14:textId="59664464"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100.00%</w:t>
            </w:r>
          </w:p>
        </w:tc>
        <w:tc>
          <w:tcPr>
            <w:tcW w:w="1476" w:type="dxa"/>
            <w:shd w:val="clear" w:color="auto" w:fill="FFFF00"/>
            <w:tcMar>
              <w:left w:w="108" w:type="dxa"/>
              <w:right w:w="108" w:type="dxa"/>
            </w:tcMar>
            <w:vAlign w:val="center"/>
          </w:tcPr>
          <w:p w14:paraId="639B71AF" w14:textId="0DC6008B"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82.49%</w:t>
            </w:r>
          </w:p>
        </w:tc>
      </w:tr>
      <w:tr w:rsidR="5AE381E5" w14:paraId="43C17479"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3C8ADAD9" w14:textId="7D2D7045" w:rsidR="5AE381E5" w:rsidRPr="00AD78CC" w:rsidRDefault="5AE381E5">
            <w:pPr>
              <w:rPr>
                <w:b w:val="0"/>
              </w:rPr>
            </w:pPr>
            <w:r w:rsidRPr="00AD78CC">
              <w:rPr>
                <w:rFonts w:cs="Calibri"/>
                <w:b w:val="0"/>
                <w:sz w:val="22"/>
                <w:szCs w:val="22"/>
                <w:lang w:val="es"/>
              </w:rPr>
              <w:t>Comité Olímpico Guatemalteco</w:t>
            </w:r>
          </w:p>
        </w:tc>
        <w:tc>
          <w:tcPr>
            <w:tcW w:w="2037" w:type="dxa"/>
            <w:tcMar>
              <w:left w:w="108" w:type="dxa"/>
              <w:right w:w="108" w:type="dxa"/>
            </w:tcMar>
            <w:vAlign w:val="center"/>
          </w:tcPr>
          <w:p w14:paraId="7244CA06" w14:textId="0A064DE8"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Q129,461,696.00</w:t>
            </w:r>
          </w:p>
        </w:tc>
        <w:tc>
          <w:tcPr>
            <w:tcW w:w="2092" w:type="dxa"/>
            <w:tcMar>
              <w:left w:w="108" w:type="dxa"/>
              <w:right w:w="108" w:type="dxa"/>
            </w:tcMar>
            <w:vAlign w:val="center"/>
          </w:tcPr>
          <w:p w14:paraId="3BBE8C5E" w14:textId="38B883B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Q114,230,744.87</w:t>
            </w:r>
          </w:p>
        </w:tc>
        <w:tc>
          <w:tcPr>
            <w:tcW w:w="1549" w:type="dxa"/>
            <w:shd w:val="clear" w:color="auto" w:fill="92D050"/>
            <w:tcMar>
              <w:left w:w="108" w:type="dxa"/>
              <w:right w:w="108" w:type="dxa"/>
            </w:tcMar>
            <w:vAlign w:val="center"/>
          </w:tcPr>
          <w:p w14:paraId="1F1DE0F4" w14:textId="59F0109C"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100.00%</w:t>
            </w:r>
          </w:p>
        </w:tc>
        <w:tc>
          <w:tcPr>
            <w:tcW w:w="1476" w:type="dxa"/>
            <w:shd w:val="clear" w:color="auto" w:fill="FFFF00"/>
            <w:tcMar>
              <w:left w:w="108" w:type="dxa"/>
              <w:right w:w="108" w:type="dxa"/>
            </w:tcMar>
            <w:vAlign w:val="center"/>
          </w:tcPr>
          <w:p w14:paraId="78F2B0D4" w14:textId="06CA2B2D"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88.24%</w:t>
            </w:r>
          </w:p>
        </w:tc>
      </w:tr>
      <w:tr w:rsidR="5AE381E5" w14:paraId="02F6FD57" w14:textId="77777777" w:rsidTr="005004EE">
        <w:trPr>
          <w:trHeight w:val="6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3E3670A1" w14:textId="1C59B7ED" w:rsidR="5AE381E5" w:rsidRPr="00AD78CC" w:rsidRDefault="5AE381E5">
            <w:pPr>
              <w:rPr>
                <w:b w:val="0"/>
              </w:rPr>
            </w:pPr>
            <w:r w:rsidRPr="00AD78CC">
              <w:rPr>
                <w:rFonts w:cs="Calibri"/>
                <w:b w:val="0"/>
                <w:sz w:val="22"/>
                <w:szCs w:val="22"/>
                <w:lang w:val="es"/>
              </w:rPr>
              <w:t>Instituto de Ciencia y Tecnología Agrícolas</w:t>
            </w:r>
          </w:p>
        </w:tc>
        <w:tc>
          <w:tcPr>
            <w:tcW w:w="2037" w:type="dxa"/>
            <w:shd w:val="clear" w:color="auto" w:fill="auto"/>
            <w:tcMar>
              <w:left w:w="108" w:type="dxa"/>
              <w:right w:w="108" w:type="dxa"/>
            </w:tcMar>
            <w:vAlign w:val="center"/>
          </w:tcPr>
          <w:p w14:paraId="48D5F6F8" w14:textId="6820C773"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Q51,196,223.00</w:t>
            </w:r>
          </w:p>
        </w:tc>
        <w:tc>
          <w:tcPr>
            <w:tcW w:w="2092" w:type="dxa"/>
            <w:shd w:val="clear" w:color="auto" w:fill="auto"/>
            <w:tcMar>
              <w:left w:w="108" w:type="dxa"/>
              <w:right w:w="108" w:type="dxa"/>
            </w:tcMar>
            <w:vAlign w:val="center"/>
          </w:tcPr>
          <w:p w14:paraId="691A6AD0" w14:textId="5F075FEE"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Q42,758,364.35</w:t>
            </w:r>
          </w:p>
        </w:tc>
        <w:tc>
          <w:tcPr>
            <w:tcW w:w="1549" w:type="dxa"/>
            <w:shd w:val="clear" w:color="auto" w:fill="92D050"/>
            <w:tcMar>
              <w:left w:w="108" w:type="dxa"/>
              <w:right w:w="108" w:type="dxa"/>
            </w:tcMar>
            <w:vAlign w:val="center"/>
          </w:tcPr>
          <w:p w14:paraId="09AEC5D1" w14:textId="65D9B06B"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100.00%</w:t>
            </w:r>
          </w:p>
        </w:tc>
        <w:tc>
          <w:tcPr>
            <w:tcW w:w="1476" w:type="dxa"/>
            <w:shd w:val="clear" w:color="auto" w:fill="FFFF00"/>
            <w:tcMar>
              <w:left w:w="108" w:type="dxa"/>
              <w:right w:w="108" w:type="dxa"/>
            </w:tcMar>
            <w:vAlign w:val="center"/>
          </w:tcPr>
          <w:p w14:paraId="1AAF183F" w14:textId="24BD2238"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83.52%</w:t>
            </w:r>
          </w:p>
        </w:tc>
      </w:tr>
      <w:tr w:rsidR="5AE381E5" w14:paraId="2F74FBDD" w14:textId="77777777" w:rsidTr="005004E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0D2CA007" w14:textId="2660012E" w:rsidR="5AE381E5" w:rsidRPr="00AD78CC" w:rsidRDefault="5AE381E5">
            <w:pPr>
              <w:rPr>
                <w:b w:val="0"/>
              </w:rPr>
            </w:pPr>
            <w:r w:rsidRPr="00AD78CC">
              <w:rPr>
                <w:rFonts w:cs="Calibri"/>
                <w:b w:val="0"/>
                <w:sz w:val="22"/>
                <w:szCs w:val="22"/>
                <w:lang w:val="es"/>
              </w:rPr>
              <w:t>Instituto Nacional de Bosques</w:t>
            </w:r>
          </w:p>
        </w:tc>
        <w:tc>
          <w:tcPr>
            <w:tcW w:w="2037" w:type="dxa"/>
            <w:tcMar>
              <w:left w:w="108" w:type="dxa"/>
              <w:right w:w="108" w:type="dxa"/>
            </w:tcMar>
            <w:vAlign w:val="center"/>
          </w:tcPr>
          <w:p w14:paraId="624F12C0" w14:textId="5CD44404"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Q217,332,500.00</w:t>
            </w:r>
          </w:p>
        </w:tc>
        <w:tc>
          <w:tcPr>
            <w:tcW w:w="2092" w:type="dxa"/>
            <w:tcMar>
              <w:left w:w="108" w:type="dxa"/>
              <w:right w:w="108" w:type="dxa"/>
            </w:tcMar>
            <w:vAlign w:val="center"/>
          </w:tcPr>
          <w:p w14:paraId="4BAE8FB1" w14:textId="126C3C39"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Q131,254,476.18</w:t>
            </w:r>
          </w:p>
        </w:tc>
        <w:tc>
          <w:tcPr>
            <w:tcW w:w="1549" w:type="dxa"/>
            <w:shd w:val="clear" w:color="auto" w:fill="92D050"/>
            <w:tcMar>
              <w:left w:w="108" w:type="dxa"/>
              <w:right w:w="108" w:type="dxa"/>
            </w:tcMar>
            <w:vAlign w:val="center"/>
          </w:tcPr>
          <w:p w14:paraId="10C54F9C" w14:textId="0246CA12"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100.00%</w:t>
            </w:r>
          </w:p>
        </w:tc>
        <w:tc>
          <w:tcPr>
            <w:tcW w:w="1476" w:type="dxa"/>
            <w:shd w:val="clear" w:color="auto" w:fill="FFFF00"/>
            <w:tcMar>
              <w:left w:w="108" w:type="dxa"/>
              <w:right w:w="108" w:type="dxa"/>
            </w:tcMar>
            <w:vAlign w:val="center"/>
          </w:tcPr>
          <w:p w14:paraId="16F90C70" w14:textId="41DAB811"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60.39%</w:t>
            </w:r>
          </w:p>
        </w:tc>
      </w:tr>
      <w:tr w:rsidR="5AE381E5" w14:paraId="5D2AA6E1" w14:textId="77777777" w:rsidTr="005004EE">
        <w:trPr>
          <w:trHeight w:val="6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0CFEB972" w14:textId="1F6F9117" w:rsidR="5AE381E5" w:rsidRPr="00AD78CC" w:rsidRDefault="5AE381E5">
            <w:pPr>
              <w:rPr>
                <w:b w:val="0"/>
              </w:rPr>
            </w:pPr>
            <w:r w:rsidRPr="00AD78CC">
              <w:rPr>
                <w:rFonts w:cs="Calibri"/>
                <w:b w:val="0"/>
                <w:sz w:val="22"/>
                <w:szCs w:val="22"/>
                <w:lang w:val="es"/>
              </w:rPr>
              <w:t>Registro General de la Propiedad</w:t>
            </w:r>
          </w:p>
        </w:tc>
        <w:tc>
          <w:tcPr>
            <w:tcW w:w="2037" w:type="dxa"/>
            <w:shd w:val="clear" w:color="auto" w:fill="auto"/>
            <w:tcMar>
              <w:left w:w="108" w:type="dxa"/>
              <w:right w:w="108" w:type="dxa"/>
            </w:tcMar>
            <w:vAlign w:val="center"/>
          </w:tcPr>
          <w:p w14:paraId="2168C8E4" w14:textId="3563708C"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Q222,193,393.00</w:t>
            </w:r>
          </w:p>
        </w:tc>
        <w:tc>
          <w:tcPr>
            <w:tcW w:w="2092" w:type="dxa"/>
            <w:shd w:val="clear" w:color="auto" w:fill="auto"/>
            <w:tcMar>
              <w:left w:w="108" w:type="dxa"/>
              <w:right w:w="108" w:type="dxa"/>
            </w:tcMar>
            <w:vAlign w:val="center"/>
          </w:tcPr>
          <w:p w14:paraId="261F307F" w14:textId="4A96D83F"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Q174,813,405.03</w:t>
            </w:r>
          </w:p>
        </w:tc>
        <w:tc>
          <w:tcPr>
            <w:tcW w:w="1549" w:type="dxa"/>
            <w:shd w:val="clear" w:color="auto" w:fill="92D050"/>
            <w:tcMar>
              <w:left w:w="108" w:type="dxa"/>
              <w:right w:w="108" w:type="dxa"/>
            </w:tcMar>
            <w:vAlign w:val="center"/>
          </w:tcPr>
          <w:p w14:paraId="57EDCD10" w14:textId="5ADB2D9E"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100.00%</w:t>
            </w:r>
          </w:p>
        </w:tc>
        <w:tc>
          <w:tcPr>
            <w:tcW w:w="1476" w:type="dxa"/>
            <w:shd w:val="clear" w:color="auto" w:fill="FFFF00"/>
            <w:tcMar>
              <w:left w:w="108" w:type="dxa"/>
              <w:right w:w="108" w:type="dxa"/>
            </w:tcMar>
            <w:vAlign w:val="center"/>
          </w:tcPr>
          <w:p w14:paraId="67781B4F" w14:textId="33A28232"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78.68%</w:t>
            </w:r>
          </w:p>
        </w:tc>
      </w:tr>
      <w:tr w:rsidR="5AE381E5" w14:paraId="4F89F57C"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52CFE325" w14:textId="5C68BBE2" w:rsidR="5AE381E5" w:rsidRPr="00AD78CC" w:rsidRDefault="5AE381E5">
            <w:pPr>
              <w:rPr>
                <w:b w:val="0"/>
              </w:rPr>
            </w:pPr>
            <w:r w:rsidRPr="00AD78CC">
              <w:rPr>
                <w:rFonts w:cs="Calibri"/>
                <w:b w:val="0"/>
                <w:sz w:val="22"/>
                <w:szCs w:val="22"/>
                <w:lang w:val="es"/>
              </w:rPr>
              <w:t>Instituto Nacional de Administración Pública</w:t>
            </w:r>
          </w:p>
        </w:tc>
        <w:tc>
          <w:tcPr>
            <w:tcW w:w="2037" w:type="dxa"/>
            <w:tcMar>
              <w:left w:w="108" w:type="dxa"/>
              <w:right w:w="108" w:type="dxa"/>
            </w:tcMar>
            <w:vAlign w:val="center"/>
          </w:tcPr>
          <w:p w14:paraId="2919BA6F" w14:textId="02992770"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Q22,999,945.00</w:t>
            </w:r>
          </w:p>
        </w:tc>
        <w:tc>
          <w:tcPr>
            <w:tcW w:w="2092" w:type="dxa"/>
            <w:tcMar>
              <w:left w:w="108" w:type="dxa"/>
              <w:right w:w="108" w:type="dxa"/>
            </w:tcMar>
            <w:vAlign w:val="center"/>
          </w:tcPr>
          <w:p w14:paraId="5E16F632" w14:textId="13865B07"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Q14,022,492.52</w:t>
            </w:r>
          </w:p>
        </w:tc>
        <w:tc>
          <w:tcPr>
            <w:tcW w:w="1549" w:type="dxa"/>
            <w:shd w:val="clear" w:color="auto" w:fill="92D050"/>
            <w:tcMar>
              <w:left w:w="108" w:type="dxa"/>
              <w:right w:w="108" w:type="dxa"/>
            </w:tcMar>
            <w:vAlign w:val="center"/>
          </w:tcPr>
          <w:p w14:paraId="16B4312C" w14:textId="390EF13D"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100.00%</w:t>
            </w:r>
          </w:p>
        </w:tc>
        <w:tc>
          <w:tcPr>
            <w:tcW w:w="1476" w:type="dxa"/>
            <w:shd w:val="clear" w:color="auto" w:fill="FFFF00"/>
            <w:tcMar>
              <w:left w:w="108" w:type="dxa"/>
              <w:right w:w="108" w:type="dxa"/>
            </w:tcMar>
            <w:vAlign w:val="center"/>
          </w:tcPr>
          <w:p w14:paraId="279EEEC0" w14:textId="5774057D"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60.97%</w:t>
            </w:r>
          </w:p>
        </w:tc>
      </w:tr>
      <w:tr w:rsidR="5AE381E5" w14:paraId="50F67585" w14:textId="77777777" w:rsidTr="005004EE">
        <w:trPr>
          <w:trHeight w:val="6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3F9D1200" w14:textId="2FB0DB4C" w:rsidR="5AE381E5" w:rsidRPr="00AD78CC" w:rsidRDefault="5AE381E5">
            <w:pPr>
              <w:rPr>
                <w:b w:val="0"/>
              </w:rPr>
            </w:pPr>
            <w:r w:rsidRPr="00AD78CC">
              <w:rPr>
                <w:rFonts w:cs="Calibri"/>
                <w:b w:val="0"/>
                <w:sz w:val="22"/>
                <w:szCs w:val="22"/>
                <w:lang w:val="es"/>
              </w:rPr>
              <w:t>Tribunal Supremo Electoral</w:t>
            </w:r>
          </w:p>
        </w:tc>
        <w:tc>
          <w:tcPr>
            <w:tcW w:w="2037" w:type="dxa"/>
            <w:shd w:val="clear" w:color="auto" w:fill="auto"/>
            <w:tcMar>
              <w:left w:w="108" w:type="dxa"/>
              <w:right w:w="108" w:type="dxa"/>
            </w:tcMar>
            <w:vAlign w:val="center"/>
          </w:tcPr>
          <w:p w14:paraId="4D246FCE" w14:textId="52687311"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Q0.00</w:t>
            </w:r>
          </w:p>
        </w:tc>
        <w:tc>
          <w:tcPr>
            <w:tcW w:w="2092" w:type="dxa"/>
            <w:shd w:val="clear" w:color="auto" w:fill="auto"/>
            <w:tcMar>
              <w:left w:w="108" w:type="dxa"/>
              <w:right w:w="108" w:type="dxa"/>
            </w:tcMar>
            <w:vAlign w:val="center"/>
          </w:tcPr>
          <w:p w14:paraId="57EF9CC6" w14:textId="7E8B84ED"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Q123,538,701.56</w:t>
            </w:r>
          </w:p>
        </w:tc>
        <w:tc>
          <w:tcPr>
            <w:tcW w:w="1549" w:type="dxa"/>
            <w:shd w:val="clear" w:color="auto" w:fill="92D050"/>
            <w:tcMar>
              <w:left w:w="108" w:type="dxa"/>
              <w:right w:w="108" w:type="dxa"/>
            </w:tcMar>
            <w:vAlign w:val="center"/>
          </w:tcPr>
          <w:p w14:paraId="1FBFFC77" w14:textId="74365696"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99.83%</w:t>
            </w:r>
          </w:p>
        </w:tc>
        <w:tc>
          <w:tcPr>
            <w:tcW w:w="1476" w:type="dxa"/>
            <w:shd w:val="clear" w:color="auto" w:fill="FF0000"/>
            <w:tcMar>
              <w:left w:w="108" w:type="dxa"/>
              <w:right w:w="108" w:type="dxa"/>
            </w:tcMar>
            <w:vAlign w:val="center"/>
          </w:tcPr>
          <w:p w14:paraId="28B631B6" w14:textId="333DAA38"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0.00%</w:t>
            </w:r>
          </w:p>
        </w:tc>
      </w:tr>
      <w:tr w:rsidR="5AE381E5" w14:paraId="63AE4AF9" w14:textId="77777777" w:rsidTr="005004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0EDFD419" w14:textId="1841B3A5" w:rsidR="5AE381E5" w:rsidRPr="00AD78CC" w:rsidRDefault="5AE381E5">
            <w:pPr>
              <w:rPr>
                <w:b w:val="0"/>
              </w:rPr>
            </w:pPr>
            <w:r w:rsidRPr="00AD78CC">
              <w:rPr>
                <w:rFonts w:cs="Calibri"/>
                <w:b w:val="0"/>
                <w:sz w:val="22"/>
                <w:szCs w:val="22"/>
                <w:lang w:val="es"/>
              </w:rPr>
              <w:t>Instituto para la Asistencia y Atención a la Víctima del Delito</w:t>
            </w:r>
          </w:p>
        </w:tc>
        <w:tc>
          <w:tcPr>
            <w:tcW w:w="2037" w:type="dxa"/>
            <w:tcMar>
              <w:left w:w="108" w:type="dxa"/>
              <w:right w:w="108" w:type="dxa"/>
            </w:tcMar>
            <w:vAlign w:val="center"/>
          </w:tcPr>
          <w:p w14:paraId="7054B8A2" w14:textId="47C39CE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Q29,297,219.00</w:t>
            </w:r>
          </w:p>
        </w:tc>
        <w:tc>
          <w:tcPr>
            <w:tcW w:w="2092" w:type="dxa"/>
            <w:tcMar>
              <w:left w:w="108" w:type="dxa"/>
              <w:right w:w="108" w:type="dxa"/>
            </w:tcMar>
            <w:vAlign w:val="center"/>
          </w:tcPr>
          <w:p w14:paraId="05E9A4AF" w14:textId="4A99BFB4"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Q25,977,726.00</w:t>
            </w:r>
          </w:p>
        </w:tc>
        <w:tc>
          <w:tcPr>
            <w:tcW w:w="1549" w:type="dxa"/>
            <w:shd w:val="clear" w:color="auto" w:fill="92D050"/>
            <w:tcMar>
              <w:left w:w="108" w:type="dxa"/>
              <w:right w:w="108" w:type="dxa"/>
            </w:tcMar>
            <w:vAlign w:val="center"/>
          </w:tcPr>
          <w:p w14:paraId="079D41D8" w14:textId="73FB76CE"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99.82%</w:t>
            </w:r>
          </w:p>
        </w:tc>
        <w:tc>
          <w:tcPr>
            <w:tcW w:w="1476" w:type="dxa"/>
            <w:shd w:val="clear" w:color="auto" w:fill="FFFF00"/>
            <w:tcMar>
              <w:left w:w="108" w:type="dxa"/>
              <w:right w:w="108" w:type="dxa"/>
            </w:tcMar>
            <w:vAlign w:val="center"/>
          </w:tcPr>
          <w:p w14:paraId="7BF8553D" w14:textId="2864A64E"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88.67%</w:t>
            </w:r>
          </w:p>
        </w:tc>
      </w:tr>
      <w:tr w:rsidR="5AE381E5" w14:paraId="3EBD171C" w14:textId="77777777" w:rsidTr="005004EE">
        <w:trPr>
          <w:trHeight w:val="285"/>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343E841F" w14:textId="113D95EF" w:rsidR="5AE381E5" w:rsidRPr="00AD78CC" w:rsidRDefault="5AE381E5">
            <w:pPr>
              <w:rPr>
                <w:b w:val="0"/>
              </w:rPr>
            </w:pPr>
            <w:r w:rsidRPr="00AD78CC">
              <w:rPr>
                <w:rFonts w:cs="Calibri"/>
                <w:b w:val="0"/>
                <w:sz w:val="22"/>
                <w:szCs w:val="22"/>
                <w:lang w:val="es"/>
              </w:rPr>
              <w:t>Instituto Nacional de Comercialización  Agrícola</w:t>
            </w:r>
          </w:p>
        </w:tc>
        <w:tc>
          <w:tcPr>
            <w:tcW w:w="2037" w:type="dxa"/>
            <w:shd w:val="clear" w:color="auto" w:fill="auto"/>
            <w:tcMar>
              <w:left w:w="108" w:type="dxa"/>
              <w:right w:w="108" w:type="dxa"/>
            </w:tcMar>
            <w:vAlign w:val="center"/>
          </w:tcPr>
          <w:p w14:paraId="5C13FEB5" w14:textId="6DAF104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Q17,500,000.00</w:t>
            </w:r>
          </w:p>
        </w:tc>
        <w:tc>
          <w:tcPr>
            <w:tcW w:w="2092" w:type="dxa"/>
            <w:shd w:val="clear" w:color="auto" w:fill="auto"/>
            <w:tcMar>
              <w:left w:w="108" w:type="dxa"/>
              <w:right w:w="108" w:type="dxa"/>
            </w:tcMar>
            <w:vAlign w:val="center"/>
          </w:tcPr>
          <w:p w14:paraId="05A649A3" w14:textId="6A428817"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Q14,433,135.81</w:t>
            </w:r>
          </w:p>
        </w:tc>
        <w:tc>
          <w:tcPr>
            <w:tcW w:w="1549" w:type="dxa"/>
            <w:shd w:val="clear" w:color="auto" w:fill="92D050"/>
            <w:tcMar>
              <w:left w:w="108" w:type="dxa"/>
              <w:right w:w="108" w:type="dxa"/>
            </w:tcMar>
            <w:vAlign w:val="center"/>
          </w:tcPr>
          <w:p w14:paraId="6BBB9974" w14:textId="61F0C9F3"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99.42%</w:t>
            </w:r>
          </w:p>
        </w:tc>
        <w:tc>
          <w:tcPr>
            <w:tcW w:w="1476" w:type="dxa"/>
            <w:shd w:val="clear" w:color="auto" w:fill="FFFF00"/>
            <w:tcMar>
              <w:left w:w="108" w:type="dxa"/>
              <w:right w:w="108" w:type="dxa"/>
            </w:tcMar>
            <w:vAlign w:val="center"/>
          </w:tcPr>
          <w:p w14:paraId="27B90E76" w14:textId="4ECD9255"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82.48%</w:t>
            </w:r>
          </w:p>
        </w:tc>
      </w:tr>
      <w:tr w:rsidR="5AE381E5" w14:paraId="2EC07CE8" w14:textId="77777777" w:rsidTr="005004EE">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450BE3ED" w14:textId="15E12DD2" w:rsidR="5AE381E5" w:rsidRPr="00AD78CC" w:rsidRDefault="5AE381E5">
            <w:pPr>
              <w:rPr>
                <w:b w:val="0"/>
              </w:rPr>
            </w:pPr>
            <w:r w:rsidRPr="00AD78CC">
              <w:rPr>
                <w:rFonts w:cs="Calibri"/>
                <w:b w:val="0"/>
                <w:sz w:val="22"/>
                <w:szCs w:val="22"/>
                <w:lang w:val="es"/>
              </w:rPr>
              <w:t>Registro de Información Catastral de Guatemala</w:t>
            </w:r>
          </w:p>
        </w:tc>
        <w:tc>
          <w:tcPr>
            <w:tcW w:w="2037" w:type="dxa"/>
            <w:tcMar>
              <w:left w:w="108" w:type="dxa"/>
              <w:right w:w="108" w:type="dxa"/>
            </w:tcMar>
            <w:vAlign w:val="center"/>
          </w:tcPr>
          <w:p w14:paraId="2AA2F188" w14:textId="2DC9F57B"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Q151,240,000.00</w:t>
            </w:r>
          </w:p>
        </w:tc>
        <w:tc>
          <w:tcPr>
            <w:tcW w:w="2092" w:type="dxa"/>
            <w:tcMar>
              <w:left w:w="108" w:type="dxa"/>
              <w:right w:w="108" w:type="dxa"/>
            </w:tcMar>
            <w:vAlign w:val="center"/>
          </w:tcPr>
          <w:p w14:paraId="01BD6A9E" w14:textId="63C1D1B7"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Q108,273,084.86</w:t>
            </w:r>
          </w:p>
        </w:tc>
        <w:tc>
          <w:tcPr>
            <w:tcW w:w="1549" w:type="dxa"/>
            <w:shd w:val="clear" w:color="auto" w:fill="92D050"/>
            <w:tcMar>
              <w:left w:w="108" w:type="dxa"/>
              <w:right w:w="108" w:type="dxa"/>
            </w:tcMar>
            <w:vAlign w:val="center"/>
          </w:tcPr>
          <w:p w14:paraId="779418AB" w14:textId="33724533"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99.03%</w:t>
            </w:r>
          </w:p>
        </w:tc>
        <w:tc>
          <w:tcPr>
            <w:tcW w:w="1476" w:type="dxa"/>
            <w:shd w:val="clear" w:color="auto" w:fill="FFFF00"/>
            <w:tcMar>
              <w:left w:w="108" w:type="dxa"/>
              <w:right w:w="108" w:type="dxa"/>
            </w:tcMar>
            <w:vAlign w:val="center"/>
          </w:tcPr>
          <w:p w14:paraId="1A989EF3" w14:textId="2FDF9DFC"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71.59%</w:t>
            </w:r>
          </w:p>
        </w:tc>
      </w:tr>
      <w:tr w:rsidR="5AE381E5" w14:paraId="3FF0005F" w14:textId="77777777" w:rsidTr="005004EE">
        <w:trPr>
          <w:trHeight w:val="135"/>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03316C72" w14:textId="1CA17649" w:rsidR="5AE381E5" w:rsidRPr="00AD78CC" w:rsidRDefault="5AE381E5">
            <w:pPr>
              <w:rPr>
                <w:b w:val="0"/>
              </w:rPr>
            </w:pPr>
            <w:r w:rsidRPr="00AD78CC">
              <w:rPr>
                <w:rFonts w:cs="Calibri"/>
                <w:b w:val="0"/>
                <w:sz w:val="22"/>
                <w:szCs w:val="22"/>
                <w:lang w:val="es"/>
              </w:rPr>
              <w:t>Coordinadora Nacional para la Reducción de Desastres</w:t>
            </w:r>
          </w:p>
        </w:tc>
        <w:tc>
          <w:tcPr>
            <w:tcW w:w="2037" w:type="dxa"/>
            <w:shd w:val="clear" w:color="auto" w:fill="auto"/>
            <w:tcMar>
              <w:left w:w="108" w:type="dxa"/>
              <w:right w:w="108" w:type="dxa"/>
            </w:tcMar>
            <w:vAlign w:val="center"/>
          </w:tcPr>
          <w:p w14:paraId="5CB4A8E2" w14:textId="49EE3892"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Q125,000,000.00</w:t>
            </w:r>
          </w:p>
        </w:tc>
        <w:tc>
          <w:tcPr>
            <w:tcW w:w="2092" w:type="dxa"/>
            <w:shd w:val="clear" w:color="auto" w:fill="auto"/>
            <w:tcMar>
              <w:left w:w="108" w:type="dxa"/>
              <w:right w:w="108" w:type="dxa"/>
            </w:tcMar>
            <w:vAlign w:val="center"/>
          </w:tcPr>
          <w:p w14:paraId="50F97EC6" w14:textId="5CDA584E"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Q115,716,515.56</w:t>
            </w:r>
          </w:p>
        </w:tc>
        <w:tc>
          <w:tcPr>
            <w:tcW w:w="1549" w:type="dxa"/>
            <w:shd w:val="clear" w:color="auto" w:fill="92D050"/>
            <w:tcMar>
              <w:left w:w="108" w:type="dxa"/>
              <w:right w:w="108" w:type="dxa"/>
            </w:tcMar>
            <w:vAlign w:val="center"/>
          </w:tcPr>
          <w:p w14:paraId="291F78ED" w14:textId="5700EB21"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98.98%</w:t>
            </w:r>
          </w:p>
        </w:tc>
        <w:tc>
          <w:tcPr>
            <w:tcW w:w="1476" w:type="dxa"/>
            <w:shd w:val="clear" w:color="auto" w:fill="92D050"/>
            <w:tcMar>
              <w:left w:w="108" w:type="dxa"/>
              <w:right w:w="108" w:type="dxa"/>
            </w:tcMar>
            <w:vAlign w:val="center"/>
          </w:tcPr>
          <w:p w14:paraId="31995516" w14:textId="4CD7A082"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92.57%</w:t>
            </w:r>
          </w:p>
        </w:tc>
      </w:tr>
      <w:tr w:rsidR="5AE381E5" w14:paraId="66F273EF"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5D8B64E3" w14:textId="6198F0CC" w:rsidR="5AE381E5" w:rsidRPr="00AD78CC" w:rsidRDefault="5AE381E5">
            <w:pPr>
              <w:rPr>
                <w:b w:val="0"/>
              </w:rPr>
            </w:pPr>
            <w:r w:rsidRPr="00AD78CC">
              <w:rPr>
                <w:rFonts w:cs="Calibri"/>
                <w:b w:val="0"/>
                <w:sz w:val="22"/>
                <w:szCs w:val="22"/>
                <w:lang w:val="es"/>
              </w:rPr>
              <w:t>Consejo Nacional para la Protección de la Antigua Guatemala</w:t>
            </w:r>
          </w:p>
        </w:tc>
        <w:tc>
          <w:tcPr>
            <w:tcW w:w="2037" w:type="dxa"/>
            <w:tcMar>
              <w:left w:w="108" w:type="dxa"/>
              <w:right w:w="108" w:type="dxa"/>
            </w:tcMar>
            <w:vAlign w:val="center"/>
          </w:tcPr>
          <w:p w14:paraId="6BA1B26C" w14:textId="782A8D29"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Q16,000,000.00</w:t>
            </w:r>
          </w:p>
        </w:tc>
        <w:tc>
          <w:tcPr>
            <w:tcW w:w="2092" w:type="dxa"/>
            <w:tcMar>
              <w:left w:w="108" w:type="dxa"/>
              <w:right w:w="108" w:type="dxa"/>
            </w:tcMar>
            <w:vAlign w:val="center"/>
          </w:tcPr>
          <w:p w14:paraId="42FCBBF4" w14:textId="08F4D68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Q14,383,764.48</w:t>
            </w:r>
          </w:p>
        </w:tc>
        <w:tc>
          <w:tcPr>
            <w:tcW w:w="1549" w:type="dxa"/>
            <w:shd w:val="clear" w:color="auto" w:fill="92D050"/>
            <w:tcMar>
              <w:left w:w="108" w:type="dxa"/>
              <w:right w:w="108" w:type="dxa"/>
            </w:tcMar>
            <w:vAlign w:val="center"/>
          </w:tcPr>
          <w:p w14:paraId="5B0356A1" w14:textId="42ACF64E"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98.95%</w:t>
            </w:r>
          </w:p>
        </w:tc>
        <w:tc>
          <w:tcPr>
            <w:tcW w:w="1476" w:type="dxa"/>
            <w:shd w:val="clear" w:color="auto" w:fill="FFFF00"/>
            <w:tcMar>
              <w:left w:w="108" w:type="dxa"/>
              <w:right w:w="108" w:type="dxa"/>
            </w:tcMar>
            <w:vAlign w:val="center"/>
          </w:tcPr>
          <w:p w14:paraId="1490A725" w14:textId="2A907BC0"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89.90%</w:t>
            </w:r>
          </w:p>
        </w:tc>
      </w:tr>
      <w:tr w:rsidR="5AE381E5" w14:paraId="59003F00" w14:textId="77777777" w:rsidTr="005004EE">
        <w:trPr>
          <w:trHeight w:val="48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43BA9068" w14:textId="34CB4B80" w:rsidR="5AE381E5" w:rsidRPr="00AD78CC" w:rsidRDefault="5AE381E5">
            <w:pPr>
              <w:rPr>
                <w:b w:val="0"/>
              </w:rPr>
            </w:pPr>
            <w:r w:rsidRPr="00AD78CC">
              <w:rPr>
                <w:rFonts w:cs="Calibri"/>
                <w:b w:val="0"/>
                <w:sz w:val="22"/>
                <w:szCs w:val="22"/>
                <w:lang w:val="es"/>
              </w:rPr>
              <w:t>Instituto Nacional de Electrificación</w:t>
            </w:r>
          </w:p>
        </w:tc>
        <w:tc>
          <w:tcPr>
            <w:tcW w:w="2037" w:type="dxa"/>
            <w:shd w:val="clear" w:color="auto" w:fill="auto"/>
            <w:tcMar>
              <w:left w:w="108" w:type="dxa"/>
              <w:right w:w="108" w:type="dxa"/>
            </w:tcMar>
            <w:vAlign w:val="center"/>
          </w:tcPr>
          <w:p w14:paraId="782E588E" w14:textId="0F8FB55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Q3,043,785,350.00</w:t>
            </w:r>
          </w:p>
        </w:tc>
        <w:tc>
          <w:tcPr>
            <w:tcW w:w="2092" w:type="dxa"/>
            <w:shd w:val="clear" w:color="auto" w:fill="auto"/>
            <w:tcMar>
              <w:left w:w="108" w:type="dxa"/>
              <w:right w:w="108" w:type="dxa"/>
            </w:tcMar>
            <w:vAlign w:val="center"/>
          </w:tcPr>
          <w:p w14:paraId="058DCC4F" w14:textId="06593E02"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Q2,659,174,214.34</w:t>
            </w:r>
          </w:p>
        </w:tc>
        <w:tc>
          <w:tcPr>
            <w:tcW w:w="1549" w:type="dxa"/>
            <w:shd w:val="clear" w:color="auto" w:fill="92D050"/>
            <w:tcMar>
              <w:left w:w="108" w:type="dxa"/>
              <w:right w:w="108" w:type="dxa"/>
            </w:tcMar>
            <w:vAlign w:val="center"/>
          </w:tcPr>
          <w:p w14:paraId="68EAED74" w14:textId="06813831"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97.49%</w:t>
            </w:r>
          </w:p>
        </w:tc>
        <w:tc>
          <w:tcPr>
            <w:tcW w:w="1476" w:type="dxa"/>
            <w:shd w:val="clear" w:color="auto" w:fill="FFFF00"/>
            <w:tcMar>
              <w:left w:w="108" w:type="dxa"/>
              <w:right w:w="108" w:type="dxa"/>
            </w:tcMar>
            <w:vAlign w:val="center"/>
          </w:tcPr>
          <w:p w14:paraId="3D130DE3" w14:textId="5225EAE1"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87.36%</w:t>
            </w:r>
          </w:p>
        </w:tc>
      </w:tr>
      <w:tr w:rsidR="5AE381E5" w14:paraId="26D55333" w14:textId="77777777" w:rsidTr="005004EE">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7BAF1C11" w14:textId="0DD83F3A" w:rsidR="5AE381E5" w:rsidRPr="00AD78CC" w:rsidRDefault="5AE381E5">
            <w:pPr>
              <w:rPr>
                <w:b w:val="0"/>
              </w:rPr>
            </w:pPr>
            <w:r w:rsidRPr="00AD78CC">
              <w:rPr>
                <w:rFonts w:cs="Calibri"/>
                <w:b w:val="0"/>
                <w:sz w:val="22"/>
                <w:szCs w:val="22"/>
                <w:lang w:val="es"/>
              </w:rPr>
              <w:t>Instituto Guatemalteco de Turismo</w:t>
            </w:r>
          </w:p>
        </w:tc>
        <w:tc>
          <w:tcPr>
            <w:tcW w:w="2037" w:type="dxa"/>
            <w:tcMar>
              <w:left w:w="108" w:type="dxa"/>
              <w:right w:w="108" w:type="dxa"/>
            </w:tcMar>
            <w:vAlign w:val="center"/>
          </w:tcPr>
          <w:p w14:paraId="20EC5CDD" w14:textId="573D445D"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Q48,112,042.84</w:t>
            </w:r>
          </w:p>
        </w:tc>
        <w:tc>
          <w:tcPr>
            <w:tcW w:w="2092" w:type="dxa"/>
            <w:tcMar>
              <w:left w:w="108" w:type="dxa"/>
              <w:right w:w="108" w:type="dxa"/>
            </w:tcMar>
            <w:vAlign w:val="center"/>
          </w:tcPr>
          <w:p w14:paraId="3F4D8BB7" w14:textId="5556F66A"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Q26,679,491.59</w:t>
            </w:r>
          </w:p>
        </w:tc>
        <w:tc>
          <w:tcPr>
            <w:tcW w:w="1549" w:type="dxa"/>
            <w:shd w:val="clear" w:color="auto" w:fill="92D050"/>
            <w:tcMar>
              <w:left w:w="108" w:type="dxa"/>
              <w:right w:w="108" w:type="dxa"/>
            </w:tcMar>
            <w:vAlign w:val="center"/>
          </w:tcPr>
          <w:p w14:paraId="3CFB07D9" w14:textId="6C8040F9"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97.37%</w:t>
            </w:r>
          </w:p>
        </w:tc>
        <w:tc>
          <w:tcPr>
            <w:tcW w:w="1476" w:type="dxa"/>
            <w:shd w:val="clear" w:color="auto" w:fill="FFFF00"/>
            <w:tcMar>
              <w:left w:w="108" w:type="dxa"/>
              <w:right w:w="108" w:type="dxa"/>
            </w:tcMar>
            <w:vAlign w:val="center"/>
          </w:tcPr>
          <w:p w14:paraId="0088D2CE" w14:textId="5E590AC7"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55.45%</w:t>
            </w:r>
          </w:p>
        </w:tc>
      </w:tr>
      <w:tr w:rsidR="5AE381E5" w14:paraId="03C22DF9" w14:textId="77777777" w:rsidTr="005004EE">
        <w:trPr>
          <w:trHeight w:val="75"/>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4EB0FDC1" w14:textId="053105BB" w:rsidR="5AE381E5" w:rsidRPr="00AD78CC" w:rsidRDefault="5AE381E5">
            <w:pPr>
              <w:rPr>
                <w:b w:val="0"/>
              </w:rPr>
            </w:pPr>
            <w:r w:rsidRPr="00AD78CC">
              <w:rPr>
                <w:rFonts w:cs="Calibri"/>
                <w:b w:val="0"/>
                <w:sz w:val="22"/>
                <w:szCs w:val="22"/>
                <w:lang w:val="es"/>
              </w:rPr>
              <w:t>Superintendencia de Administración Tributaria</w:t>
            </w:r>
          </w:p>
        </w:tc>
        <w:tc>
          <w:tcPr>
            <w:tcW w:w="2037" w:type="dxa"/>
            <w:shd w:val="clear" w:color="auto" w:fill="auto"/>
            <w:tcMar>
              <w:left w:w="108" w:type="dxa"/>
              <w:right w:w="108" w:type="dxa"/>
            </w:tcMar>
            <w:vAlign w:val="center"/>
          </w:tcPr>
          <w:p w14:paraId="3ACA541E" w14:textId="7C9B8EC4"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Q2,164,310,000.00</w:t>
            </w:r>
          </w:p>
        </w:tc>
        <w:tc>
          <w:tcPr>
            <w:tcW w:w="2092" w:type="dxa"/>
            <w:shd w:val="clear" w:color="auto" w:fill="auto"/>
            <w:tcMar>
              <w:left w:w="108" w:type="dxa"/>
              <w:right w:w="108" w:type="dxa"/>
            </w:tcMar>
            <w:vAlign w:val="center"/>
          </w:tcPr>
          <w:p w14:paraId="299663E8" w14:textId="7F34210B"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Q1,397,729,082.09</w:t>
            </w:r>
          </w:p>
        </w:tc>
        <w:tc>
          <w:tcPr>
            <w:tcW w:w="1549" w:type="dxa"/>
            <w:shd w:val="clear" w:color="auto" w:fill="92D050"/>
            <w:tcMar>
              <w:left w:w="108" w:type="dxa"/>
              <w:right w:w="108" w:type="dxa"/>
            </w:tcMar>
            <w:vAlign w:val="center"/>
          </w:tcPr>
          <w:p w14:paraId="6B1748FD" w14:textId="5CD827A1"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97.32%</w:t>
            </w:r>
          </w:p>
        </w:tc>
        <w:tc>
          <w:tcPr>
            <w:tcW w:w="1476" w:type="dxa"/>
            <w:shd w:val="clear" w:color="auto" w:fill="FFFF00"/>
            <w:tcMar>
              <w:left w:w="108" w:type="dxa"/>
              <w:right w:w="108" w:type="dxa"/>
            </w:tcMar>
            <w:vAlign w:val="center"/>
          </w:tcPr>
          <w:p w14:paraId="263AE199" w14:textId="1F54ACCB"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64.58%</w:t>
            </w:r>
          </w:p>
        </w:tc>
      </w:tr>
      <w:tr w:rsidR="5AE381E5" w14:paraId="7323A7AC" w14:textId="77777777" w:rsidTr="005004E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42F9A85A" w14:textId="62E89AE8" w:rsidR="5AE381E5" w:rsidRPr="00AD78CC" w:rsidRDefault="5AE381E5">
            <w:pPr>
              <w:rPr>
                <w:b w:val="0"/>
              </w:rPr>
            </w:pPr>
            <w:r w:rsidRPr="00AD78CC">
              <w:rPr>
                <w:rFonts w:cs="Calibri"/>
                <w:b w:val="0"/>
                <w:sz w:val="22"/>
                <w:szCs w:val="22"/>
                <w:lang w:val="es"/>
              </w:rPr>
              <w:t>Registro Nacional de las Personas</w:t>
            </w:r>
          </w:p>
        </w:tc>
        <w:tc>
          <w:tcPr>
            <w:tcW w:w="2037" w:type="dxa"/>
            <w:tcMar>
              <w:left w:w="108" w:type="dxa"/>
              <w:right w:w="108" w:type="dxa"/>
            </w:tcMar>
            <w:vAlign w:val="center"/>
          </w:tcPr>
          <w:p w14:paraId="67654A3D" w14:textId="02AE58DA"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Q545,830,660.00</w:t>
            </w:r>
          </w:p>
        </w:tc>
        <w:tc>
          <w:tcPr>
            <w:tcW w:w="2092" w:type="dxa"/>
            <w:tcMar>
              <w:left w:w="108" w:type="dxa"/>
              <w:right w:w="108" w:type="dxa"/>
            </w:tcMar>
            <w:vAlign w:val="center"/>
          </w:tcPr>
          <w:p w14:paraId="3230CC73" w14:textId="6A42E4FC"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Q491,612,080.03</w:t>
            </w:r>
          </w:p>
        </w:tc>
        <w:tc>
          <w:tcPr>
            <w:tcW w:w="1549" w:type="dxa"/>
            <w:shd w:val="clear" w:color="auto" w:fill="92D050"/>
            <w:tcMar>
              <w:left w:w="108" w:type="dxa"/>
              <w:right w:w="108" w:type="dxa"/>
            </w:tcMar>
            <w:vAlign w:val="center"/>
          </w:tcPr>
          <w:p w14:paraId="151418D9" w14:textId="18D57BDC"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95.83%</w:t>
            </w:r>
          </w:p>
        </w:tc>
        <w:tc>
          <w:tcPr>
            <w:tcW w:w="1476" w:type="dxa"/>
            <w:shd w:val="clear" w:color="auto" w:fill="92D050"/>
            <w:tcMar>
              <w:left w:w="108" w:type="dxa"/>
              <w:right w:w="108" w:type="dxa"/>
            </w:tcMar>
            <w:vAlign w:val="center"/>
          </w:tcPr>
          <w:p w14:paraId="63EF5D8F" w14:textId="3FCD704D"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90.07%</w:t>
            </w:r>
          </w:p>
        </w:tc>
      </w:tr>
      <w:tr w:rsidR="5AE381E5" w14:paraId="7EC41D1C" w14:textId="77777777" w:rsidTr="005004EE">
        <w:trPr>
          <w:trHeight w:val="6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165BC1BA" w14:textId="537FB8D0" w:rsidR="5AE381E5" w:rsidRPr="00AD78CC" w:rsidRDefault="5AE381E5">
            <w:pPr>
              <w:rPr>
                <w:b w:val="0"/>
              </w:rPr>
            </w:pPr>
            <w:r w:rsidRPr="00AD78CC">
              <w:rPr>
                <w:rFonts w:cs="Calibri"/>
                <w:b w:val="0"/>
                <w:sz w:val="22"/>
                <w:szCs w:val="22"/>
                <w:lang w:val="es"/>
              </w:rPr>
              <w:t>Instituto de Previsión Militar</w:t>
            </w:r>
          </w:p>
        </w:tc>
        <w:tc>
          <w:tcPr>
            <w:tcW w:w="2037" w:type="dxa"/>
            <w:shd w:val="clear" w:color="auto" w:fill="auto"/>
            <w:tcMar>
              <w:left w:w="108" w:type="dxa"/>
              <w:right w:w="108" w:type="dxa"/>
            </w:tcMar>
            <w:vAlign w:val="center"/>
          </w:tcPr>
          <w:p w14:paraId="2ED2B833" w14:textId="4C0A85C4"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Q432,406,323.00</w:t>
            </w:r>
          </w:p>
        </w:tc>
        <w:tc>
          <w:tcPr>
            <w:tcW w:w="2092" w:type="dxa"/>
            <w:shd w:val="clear" w:color="auto" w:fill="auto"/>
            <w:tcMar>
              <w:left w:w="108" w:type="dxa"/>
              <w:right w:w="108" w:type="dxa"/>
            </w:tcMar>
            <w:vAlign w:val="center"/>
          </w:tcPr>
          <w:p w14:paraId="1A67437D" w14:textId="2011641C"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Q386,177,219.70</w:t>
            </w:r>
          </w:p>
        </w:tc>
        <w:tc>
          <w:tcPr>
            <w:tcW w:w="1549" w:type="dxa"/>
            <w:shd w:val="clear" w:color="auto" w:fill="92D050"/>
            <w:tcMar>
              <w:left w:w="108" w:type="dxa"/>
              <w:right w:w="108" w:type="dxa"/>
            </w:tcMar>
            <w:vAlign w:val="center"/>
          </w:tcPr>
          <w:p w14:paraId="38BFC20E" w14:textId="5A5B43D7"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95.40%</w:t>
            </w:r>
          </w:p>
        </w:tc>
        <w:tc>
          <w:tcPr>
            <w:tcW w:w="1476" w:type="dxa"/>
            <w:shd w:val="clear" w:color="auto" w:fill="FFFF00"/>
            <w:tcMar>
              <w:left w:w="108" w:type="dxa"/>
              <w:right w:w="108" w:type="dxa"/>
            </w:tcMar>
            <w:vAlign w:val="center"/>
          </w:tcPr>
          <w:p w14:paraId="77ABF3C4" w14:textId="58649FDF"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89.31%</w:t>
            </w:r>
          </w:p>
        </w:tc>
      </w:tr>
      <w:tr w:rsidR="5AE381E5" w14:paraId="1F10EC26"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36844FFE" w14:textId="34B8707F" w:rsidR="5AE381E5" w:rsidRPr="00AD78CC" w:rsidRDefault="5AE381E5">
            <w:pPr>
              <w:rPr>
                <w:b w:val="0"/>
              </w:rPr>
            </w:pPr>
            <w:r w:rsidRPr="00AD78CC">
              <w:rPr>
                <w:rFonts w:cs="Calibri"/>
                <w:b w:val="0"/>
                <w:sz w:val="22"/>
                <w:szCs w:val="22"/>
                <w:lang w:val="es"/>
              </w:rPr>
              <w:t>Comité Permanente de Exposiciones</w:t>
            </w:r>
          </w:p>
        </w:tc>
        <w:tc>
          <w:tcPr>
            <w:tcW w:w="2037" w:type="dxa"/>
            <w:tcMar>
              <w:left w:w="108" w:type="dxa"/>
              <w:right w:w="108" w:type="dxa"/>
            </w:tcMar>
            <w:vAlign w:val="center"/>
          </w:tcPr>
          <w:p w14:paraId="6EDA3120" w14:textId="7F872013"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Q64,584,420.00</w:t>
            </w:r>
          </w:p>
        </w:tc>
        <w:tc>
          <w:tcPr>
            <w:tcW w:w="2092" w:type="dxa"/>
            <w:tcMar>
              <w:left w:w="108" w:type="dxa"/>
              <w:right w:w="108" w:type="dxa"/>
            </w:tcMar>
            <w:vAlign w:val="center"/>
          </w:tcPr>
          <w:p w14:paraId="053E200E" w14:textId="7BDD06B6"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Q7,761,640.26</w:t>
            </w:r>
          </w:p>
        </w:tc>
        <w:tc>
          <w:tcPr>
            <w:tcW w:w="1549" w:type="dxa"/>
            <w:shd w:val="clear" w:color="auto" w:fill="92D050"/>
            <w:tcMar>
              <w:left w:w="108" w:type="dxa"/>
              <w:right w:w="108" w:type="dxa"/>
            </w:tcMar>
            <w:vAlign w:val="center"/>
          </w:tcPr>
          <w:p w14:paraId="73506162" w14:textId="131CBCC4"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93.86%</w:t>
            </w:r>
          </w:p>
        </w:tc>
        <w:tc>
          <w:tcPr>
            <w:tcW w:w="1476" w:type="dxa"/>
            <w:shd w:val="clear" w:color="auto" w:fill="FF0000"/>
            <w:tcMar>
              <w:left w:w="108" w:type="dxa"/>
              <w:right w:w="108" w:type="dxa"/>
            </w:tcMar>
            <w:vAlign w:val="center"/>
          </w:tcPr>
          <w:p w14:paraId="55C12AB1" w14:textId="61290B43"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12.02%</w:t>
            </w:r>
          </w:p>
        </w:tc>
      </w:tr>
      <w:tr w:rsidR="5AE381E5" w14:paraId="6770160D" w14:textId="77777777" w:rsidTr="005004EE">
        <w:trPr>
          <w:trHeight w:val="6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4B7C29FA" w14:textId="521F8F5D" w:rsidR="5AE381E5" w:rsidRPr="00AD78CC" w:rsidRDefault="5AE381E5">
            <w:pPr>
              <w:rPr>
                <w:b w:val="0"/>
              </w:rPr>
            </w:pPr>
            <w:r w:rsidRPr="00AD78CC">
              <w:rPr>
                <w:rFonts w:cs="Calibri"/>
                <w:b w:val="0"/>
                <w:sz w:val="22"/>
                <w:szCs w:val="22"/>
                <w:lang w:val="es"/>
              </w:rPr>
              <w:t>Fondo de Tierras</w:t>
            </w:r>
          </w:p>
        </w:tc>
        <w:tc>
          <w:tcPr>
            <w:tcW w:w="2037" w:type="dxa"/>
            <w:shd w:val="clear" w:color="auto" w:fill="auto"/>
            <w:tcMar>
              <w:left w:w="108" w:type="dxa"/>
              <w:right w:w="108" w:type="dxa"/>
            </w:tcMar>
            <w:vAlign w:val="center"/>
          </w:tcPr>
          <w:p w14:paraId="171661F6" w14:textId="2C49EAB8"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Q187,550,938.00</w:t>
            </w:r>
          </w:p>
        </w:tc>
        <w:tc>
          <w:tcPr>
            <w:tcW w:w="2092" w:type="dxa"/>
            <w:shd w:val="clear" w:color="auto" w:fill="auto"/>
            <w:tcMar>
              <w:left w:w="108" w:type="dxa"/>
              <w:right w:w="108" w:type="dxa"/>
            </w:tcMar>
            <w:vAlign w:val="center"/>
          </w:tcPr>
          <w:p w14:paraId="18D335EB" w14:textId="19EF54FC"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Q116,755,667.87</w:t>
            </w:r>
          </w:p>
        </w:tc>
        <w:tc>
          <w:tcPr>
            <w:tcW w:w="1549" w:type="dxa"/>
            <w:shd w:val="clear" w:color="auto" w:fill="92D050"/>
            <w:tcMar>
              <w:left w:w="108" w:type="dxa"/>
              <w:right w:w="108" w:type="dxa"/>
            </w:tcMar>
            <w:vAlign w:val="center"/>
          </w:tcPr>
          <w:p w14:paraId="399361C3" w14:textId="4B271BDC"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93.38%</w:t>
            </w:r>
          </w:p>
        </w:tc>
        <w:tc>
          <w:tcPr>
            <w:tcW w:w="1476" w:type="dxa"/>
            <w:shd w:val="clear" w:color="auto" w:fill="FFFF00"/>
            <w:tcMar>
              <w:left w:w="108" w:type="dxa"/>
              <w:right w:w="108" w:type="dxa"/>
            </w:tcMar>
            <w:vAlign w:val="center"/>
          </w:tcPr>
          <w:p w14:paraId="0A10FA6C" w14:textId="117DD207"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62.25%</w:t>
            </w:r>
          </w:p>
        </w:tc>
      </w:tr>
      <w:tr w:rsidR="5AE381E5" w14:paraId="6B4CE326"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208766F4" w14:textId="23F28AAE" w:rsidR="5AE381E5" w:rsidRPr="00AD78CC" w:rsidRDefault="5AE381E5">
            <w:pPr>
              <w:rPr>
                <w:b w:val="0"/>
              </w:rPr>
            </w:pPr>
            <w:r w:rsidRPr="00AD78CC">
              <w:rPr>
                <w:rFonts w:cs="Calibri"/>
                <w:b w:val="0"/>
                <w:sz w:val="22"/>
                <w:szCs w:val="22"/>
                <w:lang w:val="es"/>
              </w:rPr>
              <w:t>Procuraduría de los Derechos Humanos</w:t>
            </w:r>
          </w:p>
        </w:tc>
        <w:tc>
          <w:tcPr>
            <w:tcW w:w="2037" w:type="dxa"/>
            <w:tcMar>
              <w:left w:w="108" w:type="dxa"/>
              <w:right w:w="108" w:type="dxa"/>
            </w:tcMar>
            <w:vAlign w:val="center"/>
          </w:tcPr>
          <w:p w14:paraId="110D7C5E" w14:textId="631FD6F0"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Q120,220,000.00</w:t>
            </w:r>
          </w:p>
        </w:tc>
        <w:tc>
          <w:tcPr>
            <w:tcW w:w="2092" w:type="dxa"/>
            <w:tcMar>
              <w:left w:w="108" w:type="dxa"/>
              <w:right w:w="108" w:type="dxa"/>
            </w:tcMar>
            <w:vAlign w:val="center"/>
          </w:tcPr>
          <w:p w14:paraId="778F6F14" w14:textId="7DF35A52"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Q117,104,816.38</w:t>
            </w:r>
          </w:p>
        </w:tc>
        <w:tc>
          <w:tcPr>
            <w:tcW w:w="1549" w:type="dxa"/>
            <w:shd w:val="clear" w:color="auto" w:fill="92D050"/>
            <w:tcMar>
              <w:left w:w="108" w:type="dxa"/>
              <w:right w:w="108" w:type="dxa"/>
            </w:tcMar>
            <w:vAlign w:val="center"/>
          </w:tcPr>
          <w:p w14:paraId="7DDCD690" w14:textId="17FA2B12"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93.13%</w:t>
            </w:r>
          </w:p>
        </w:tc>
        <w:tc>
          <w:tcPr>
            <w:tcW w:w="1476" w:type="dxa"/>
            <w:shd w:val="clear" w:color="auto" w:fill="92D050"/>
            <w:tcMar>
              <w:left w:w="108" w:type="dxa"/>
              <w:right w:w="108" w:type="dxa"/>
            </w:tcMar>
            <w:vAlign w:val="center"/>
          </w:tcPr>
          <w:p w14:paraId="21C413FD" w14:textId="19FEEAAB"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97.41%</w:t>
            </w:r>
          </w:p>
        </w:tc>
      </w:tr>
      <w:tr w:rsidR="5AE381E5" w14:paraId="21E9F65C" w14:textId="77777777" w:rsidTr="005004EE">
        <w:trPr>
          <w:trHeight w:val="6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2ABE8E95" w14:textId="57FDF770" w:rsidR="5AE381E5" w:rsidRPr="00AD78CC" w:rsidRDefault="5AE381E5">
            <w:pPr>
              <w:rPr>
                <w:b w:val="0"/>
              </w:rPr>
            </w:pPr>
            <w:r w:rsidRPr="00AD78CC">
              <w:rPr>
                <w:rFonts w:cs="Calibri"/>
                <w:b w:val="0"/>
                <w:sz w:val="22"/>
                <w:szCs w:val="22"/>
                <w:lang w:val="es"/>
              </w:rPr>
              <w:t>Segundo Registro de la Propiedad</w:t>
            </w:r>
          </w:p>
        </w:tc>
        <w:tc>
          <w:tcPr>
            <w:tcW w:w="2037" w:type="dxa"/>
            <w:shd w:val="clear" w:color="auto" w:fill="auto"/>
            <w:tcMar>
              <w:left w:w="108" w:type="dxa"/>
              <w:right w:w="108" w:type="dxa"/>
            </w:tcMar>
            <w:vAlign w:val="center"/>
          </w:tcPr>
          <w:p w14:paraId="5ECB3062" w14:textId="496587A2"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Q65,390,777.00</w:t>
            </w:r>
          </w:p>
        </w:tc>
        <w:tc>
          <w:tcPr>
            <w:tcW w:w="2092" w:type="dxa"/>
            <w:shd w:val="clear" w:color="auto" w:fill="auto"/>
            <w:tcMar>
              <w:left w:w="108" w:type="dxa"/>
              <w:right w:w="108" w:type="dxa"/>
            </w:tcMar>
            <w:vAlign w:val="center"/>
          </w:tcPr>
          <w:p w14:paraId="65AB84F6" w14:textId="6B4E3894"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Q52,617,111.88</w:t>
            </w:r>
          </w:p>
        </w:tc>
        <w:tc>
          <w:tcPr>
            <w:tcW w:w="1549" w:type="dxa"/>
            <w:shd w:val="clear" w:color="auto" w:fill="92D050"/>
            <w:tcMar>
              <w:left w:w="108" w:type="dxa"/>
              <w:right w:w="108" w:type="dxa"/>
            </w:tcMar>
            <w:vAlign w:val="center"/>
          </w:tcPr>
          <w:p w14:paraId="5F362B43" w14:textId="2549C04F"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92.74%</w:t>
            </w:r>
          </w:p>
        </w:tc>
        <w:tc>
          <w:tcPr>
            <w:tcW w:w="1476" w:type="dxa"/>
            <w:shd w:val="clear" w:color="auto" w:fill="FFFF00"/>
            <w:tcMar>
              <w:left w:w="108" w:type="dxa"/>
              <w:right w:w="108" w:type="dxa"/>
            </w:tcMar>
            <w:vAlign w:val="center"/>
          </w:tcPr>
          <w:p w14:paraId="3B925166" w14:textId="6DDEDE0E"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80.47%</w:t>
            </w:r>
          </w:p>
        </w:tc>
      </w:tr>
      <w:tr w:rsidR="5AE381E5" w14:paraId="773AC77B"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541E5108" w14:textId="34F09DCF" w:rsidR="5AE381E5" w:rsidRPr="00AD78CC" w:rsidRDefault="5AE381E5">
            <w:pPr>
              <w:rPr>
                <w:b w:val="0"/>
              </w:rPr>
            </w:pPr>
            <w:r w:rsidRPr="00AD78CC">
              <w:rPr>
                <w:rFonts w:cs="Calibri"/>
                <w:b w:val="0"/>
                <w:sz w:val="22"/>
                <w:szCs w:val="22"/>
                <w:lang w:val="es"/>
              </w:rPr>
              <w:t>Inspección General de Cooperativas</w:t>
            </w:r>
          </w:p>
        </w:tc>
        <w:tc>
          <w:tcPr>
            <w:tcW w:w="2037" w:type="dxa"/>
            <w:tcMar>
              <w:left w:w="108" w:type="dxa"/>
              <w:right w:w="108" w:type="dxa"/>
            </w:tcMar>
            <w:vAlign w:val="center"/>
          </w:tcPr>
          <w:p w14:paraId="5A3187E7" w14:textId="582ADADD"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Q37,699,250.00</w:t>
            </w:r>
          </w:p>
        </w:tc>
        <w:tc>
          <w:tcPr>
            <w:tcW w:w="2092" w:type="dxa"/>
            <w:tcMar>
              <w:left w:w="108" w:type="dxa"/>
              <w:right w:w="108" w:type="dxa"/>
            </w:tcMar>
            <w:vAlign w:val="center"/>
          </w:tcPr>
          <w:p w14:paraId="38F0FF37" w14:textId="4ABF00A1"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Q31,240,648.02</w:t>
            </w:r>
          </w:p>
        </w:tc>
        <w:tc>
          <w:tcPr>
            <w:tcW w:w="1549" w:type="dxa"/>
            <w:shd w:val="clear" w:color="auto" w:fill="92D050"/>
            <w:tcMar>
              <w:left w:w="108" w:type="dxa"/>
              <w:right w:w="108" w:type="dxa"/>
            </w:tcMar>
            <w:vAlign w:val="center"/>
          </w:tcPr>
          <w:p w14:paraId="2B02B982" w14:textId="4AD4180D"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91.44%</w:t>
            </w:r>
          </w:p>
        </w:tc>
        <w:tc>
          <w:tcPr>
            <w:tcW w:w="1476" w:type="dxa"/>
            <w:shd w:val="clear" w:color="auto" w:fill="FFFF00"/>
            <w:tcMar>
              <w:left w:w="108" w:type="dxa"/>
              <w:right w:w="108" w:type="dxa"/>
            </w:tcMar>
            <w:vAlign w:val="center"/>
          </w:tcPr>
          <w:p w14:paraId="08750FE9" w14:textId="7BD3F54A"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82.87%</w:t>
            </w:r>
          </w:p>
        </w:tc>
      </w:tr>
      <w:tr w:rsidR="5AE381E5" w14:paraId="05DB65A7" w14:textId="77777777" w:rsidTr="005004EE">
        <w:trPr>
          <w:trHeight w:val="195"/>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269A5AF9" w14:textId="6F66DA25" w:rsidR="5AE381E5" w:rsidRPr="00AD78CC" w:rsidRDefault="5AE381E5">
            <w:pPr>
              <w:rPr>
                <w:b w:val="0"/>
              </w:rPr>
            </w:pPr>
            <w:r w:rsidRPr="00AD78CC">
              <w:rPr>
                <w:rFonts w:cs="Calibri"/>
                <w:b w:val="0"/>
                <w:sz w:val="22"/>
                <w:szCs w:val="22"/>
                <w:lang w:val="es"/>
              </w:rPr>
              <w:t>Instituto Nacional de Estadística</w:t>
            </w:r>
          </w:p>
        </w:tc>
        <w:tc>
          <w:tcPr>
            <w:tcW w:w="2037" w:type="dxa"/>
            <w:shd w:val="clear" w:color="auto" w:fill="auto"/>
            <w:tcMar>
              <w:left w:w="108" w:type="dxa"/>
              <w:right w:w="108" w:type="dxa"/>
            </w:tcMar>
            <w:vAlign w:val="center"/>
          </w:tcPr>
          <w:p w14:paraId="550089B2" w14:textId="1AEF5D74"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Q81,169,550.00</w:t>
            </w:r>
          </w:p>
        </w:tc>
        <w:tc>
          <w:tcPr>
            <w:tcW w:w="2092" w:type="dxa"/>
            <w:shd w:val="clear" w:color="auto" w:fill="auto"/>
            <w:tcMar>
              <w:left w:w="108" w:type="dxa"/>
              <w:right w:w="108" w:type="dxa"/>
            </w:tcMar>
            <w:vAlign w:val="center"/>
          </w:tcPr>
          <w:p w14:paraId="1FFE9A9E" w14:textId="06B4FAF6"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Q73,558,874.59</w:t>
            </w:r>
          </w:p>
        </w:tc>
        <w:tc>
          <w:tcPr>
            <w:tcW w:w="1549" w:type="dxa"/>
            <w:shd w:val="clear" w:color="auto" w:fill="92D050"/>
            <w:tcMar>
              <w:left w:w="108" w:type="dxa"/>
              <w:right w:w="108" w:type="dxa"/>
            </w:tcMar>
            <w:vAlign w:val="center"/>
          </w:tcPr>
          <w:p w14:paraId="5975B41C" w14:textId="0798A4BC"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90.00%</w:t>
            </w:r>
          </w:p>
        </w:tc>
        <w:tc>
          <w:tcPr>
            <w:tcW w:w="1476" w:type="dxa"/>
            <w:shd w:val="clear" w:color="auto" w:fill="92D050"/>
            <w:tcMar>
              <w:left w:w="108" w:type="dxa"/>
              <w:right w:w="108" w:type="dxa"/>
            </w:tcMar>
            <w:vAlign w:val="center"/>
          </w:tcPr>
          <w:p w14:paraId="68B4DA4A" w14:textId="034AE036"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90.62%</w:t>
            </w:r>
          </w:p>
        </w:tc>
      </w:tr>
      <w:tr w:rsidR="5AE381E5" w14:paraId="3B3DF494" w14:textId="77777777" w:rsidTr="005004E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155F67A7" w14:textId="52D52E7B" w:rsidR="5AE381E5" w:rsidRPr="00AD78CC" w:rsidRDefault="5AE381E5">
            <w:pPr>
              <w:rPr>
                <w:b w:val="0"/>
              </w:rPr>
            </w:pPr>
            <w:r w:rsidRPr="00AD78CC">
              <w:rPr>
                <w:rFonts w:cs="Calibri"/>
                <w:b w:val="0"/>
                <w:sz w:val="22"/>
                <w:szCs w:val="22"/>
                <w:lang w:val="es"/>
              </w:rPr>
              <w:t>Instituto de Fomento Municipal</w:t>
            </w:r>
          </w:p>
        </w:tc>
        <w:tc>
          <w:tcPr>
            <w:tcW w:w="2037" w:type="dxa"/>
            <w:tcMar>
              <w:left w:w="108" w:type="dxa"/>
              <w:right w:w="108" w:type="dxa"/>
            </w:tcMar>
            <w:vAlign w:val="center"/>
          </w:tcPr>
          <w:p w14:paraId="474EA08E" w14:textId="155B7564"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Q388,930,429.00</w:t>
            </w:r>
          </w:p>
        </w:tc>
        <w:tc>
          <w:tcPr>
            <w:tcW w:w="2092" w:type="dxa"/>
            <w:tcMar>
              <w:left w:w="108" w:type="dxa"/>
              <w:right w:w="108" w:type="dxa"/>
            </w:tcMar>
            <w:vAlign w:val="center"/>
          </w:tcPr>
          <w:p w14:paraId="624726A4" w14:textId="7C78E5C4"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Q286,140,611.23</w:t>
            </w:r>
          </w:p>
        </w:tc>
        <w:tc>
          <w:tcPr>
            <w:tcW w:w="1549" w:type="dxa"/>
            <w:shd w:val="clear" w:color="auto" w:fill="FFFF00"/>
            <w:tcMar>
              <w:left w:w="108" w:type="dxa"/>
              <w:right w:w="108" w:type="dxa"/>
            </w:tcMar>
            <w:vAlign w:val="center"/>
          </w:tcPr>
          <w:p w14:paraId="6A5AACDC" w14:textId="67E27643"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87.22%</w:t>
            </w:r>
          </w:p>
        </w:tc>
        <w:tc>
          <w:tcPr>
            <w:tcW w:w="1476" w:type="dxa"/>
            <w:shd w:val="clear" w:color="auto" w:fill="FFFF00"/>
            <w:tcMar>
              <w:left w:w="108" w:type="dxa"/>
              <w:right w:w="108" w:type="dxa"/>
            </w:tcMar>
            <w:vAlign w:val="center"/>
          </w:tcPr>
          <w:p w14:paraId="085619F5" w14:textId="38727832"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73.57%</w:t>
            </w:r>
          </w:p>
        </w:tc>
      </w:tr>
      <w:tr w:rsidR="5AE381E5" w14:paraId="31371220" w14:textId="77777777" w:rsidTr="005004EE">
        <w:trPr>
          <w:trHeight w:val="75"/>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7239F7EC" w14:textId="68A527BE" w:rsidR="5AE381E5" w:rsidRPr="00AD78CC" w:rsidRDefault="5AE381E5">
            <w:pPr>
              <w:rPr>
                <w:b w:val="0"/>
              </w:rPr>
            </w:pPr>
            <w:r w:rsidRPr="00AD78CC">
              <w:rPr>
                <w:rFonts w:cs="Calibri"/>
                <w:b w:val="0"/>
                <w:sz w:val="22"/>
                <w:szCs w:val="22"/>
                <w:lang w:val="es"/>
              </w:rPr>
              <w:t>Comité Nacional de Alfabetización</w:t>
            </w:r>
          </w:p>
        </w:tc>
        <w:tc>
          <w:tcPr>
            <w:tcW w:w="2037" w:type="dxa"/>
            <w:shd w:val="clear" w:color="auto" w:fill="auto"/>
            <w:tcMar>
              <w:left w:w="108" w:type="dxa"/>
              <w:right w:w="108" w:type="dxa"/>
            </w:tcMar>
            <w:vAlign w:val="center"/>
          </w:tcPr>
          <w:p w14:paraId="6E53AE97" w14:textId="2F356302"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Q190,737,962.00</w:t>
            </w:r>
          </w:p>
        </w:tc>
        <w:tc>
          <w:tcPr>
            <w:tcW w:w="2092" w:type="dxa"/>
            <w:shd w:val="clear" w:color="auto" w:fill="auto"/>
            <w:tcMar>
              <w:left w:w="108" w:type="dxa"/>
              <w:right w:w="108" w:type="dxa"/>
            </w:tcMar>
            <w:vAlign w:val="center"/>
          </w:tcPr>
          <w:p w14:paraId="7BE35AD3" w14:textId="17CE3061"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Q182,080,757.15</w:t>
            </w:r>
          </w:p>
        </w:tc>
        <w:tc>
          <w:tcPr>
            <w:tcW w:w="1549" w:type="dxa"/>
            <w:shd w:val="clear" w:color="auto" w:fill="FFFF00"/>
            <w:tcMar>
              <w:left w:w="108" w:type="dxa"/>
              <w:right w:w="108" w:type="dxa"/>
            </w:tcMar>
            <w:vAlign w:val="center"/>
          </w:tcPr>
          <w:p w14:paraId="2214E799" w14:textId="551D86BC"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87.21%</w:t>
            </w:r>
          </w:p>
        </w:tc>
        <w:tc>
          <w:tcPr>
            <w:tcW w:w="1476" w:type="dxa"/>
            <w:shd w:val="clear" w:color="auto" w:fill="92D050"/>
            <w:tcMar>
              <w:left w:w="108" w:type="dxa"/>
              <w:right w:w="108" w:type="dxa"/>
            </w:tcMar>
            <w:vAlign w:val="center"/>
          </w:tcPr>
          <w:p w14:paraId="52E5EF99" w14:textId="29C9D544"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95.46%</w:t>
            </w:r>
          </w:p>
        </w:tc>
      </w:tr>
      <w:tr w:rsidR="5AE381E5" w14:paraId="79C8F3E7"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0E8320C5" w14:textId="3449EB9E" w:rsidR="5AE381E5" w:rsidRPr="00AD78CC" w:rsidRDefault="5AE381E5">
            <w:pPr>
              <w:rPr>
                <w:b w:val="0"/>
              </w:rPr>
            </w:pPr>
            <w:r w:rsidRPr="00AD78CC">
              <w:rPr>
                <w:rFonts w:cs="Calibri"/>
                <w:b w:val="0"/>
                <w:sz w:val="22"/>
                <w:szCs w:val="22"/>
                <w:lang w:val="es"/>
              </w:rPr>
              <w:t>Academia de Lenguas Mayas de Guatemala</w:t>
            </w:r>
          </w:p>
        </w:tc>
        <w:tc>
          <w:tcPr>
            <w:tcW w:w="2037" w:type="dxa"/>
            <w:tcMar>
              <w:left w:w="108" w:type="dxa"/>
              <w:right w:w="108" w:type="dxa"/>
            </w:tcMar>
            <w:vAlign w:val="center"/>
          </w:tcPr>
          <w:p w14:paraId="788F3C43" w14:textId="059676D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Q10,035,538.37</w:t>
            </w:r>
          </w:p>
        </w:tc>
        <w:tc>
          <w:tcPr>
            <w:tcW w:w="2092" w:type="dxa"/>
            <w:tcMar>
              <w:left w:w="108" w:type="dxa"/>
              <w:right w:w="108" w:type="dxa"/>
            </w:tcMar>
            <w:vAlign w:val="center"/>
          </w:tcPr>
          <w:p w14:paraId="48811E3E" w14:textId="4643CA16"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Q8,370,552.17</w:t>
            </w:r>
          </w:p>
        </w:tc>
        <w:tc>
          <w:tcPr>
            <w:tcW w:w="1549" w:type="dxa"/>
            <w:shd w:val="clear" w:color="auto" w:fill="FFFF00"/>
            <w:tcMar>
              <w:left w:w="108" w:type="dxa"/>
              <w:right w:w="108" w:type="dxa"/>
            </w:tcMar>
            <w:vAlign w:val="center"/>
          </w:tcPr>
          <w:p w14:paraId="6FBFB222" w14:textId="7B805184"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86.22%</w:t>
            </w:r>
          </w:p>
        </w:tc>
        <w:tc>
          <w:tcPr>
            <w:tcW w:w="1476" w:type="dxa"/>
            <w:shd w:val="clear" w:color="auto" w:fill="FFFF00"/>
            <w:tcMar>
              <w:left w:w="108" w:type="dxa"/>
              <w:right w:w="108" w:type="dxa"/>
            </w:tcMar>
            <w:vAlign w:val="center"/>
          </w:tcPr>
          <w:p w14:paraId="29EE50D6" w14:textId="74133F11"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83.41%</w:t>
            </w:r>
          </w:p>
        </w:tc>
      </w:tr>
      <w:tr w:rsidR="5AE381E5" w14:paraId="163131BE" w14:textId="77777777" w:rsidTr="005004EE">
        <w:trPr>
          <w:trHeight w:val="6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27F08F74" w14:textId="0774A3CD" w:rsidR="5AE381E5" w:rsidRPr="00AD78CC" w:rsidRDefault="5AE381E5">
            <w:pPr>
              <w:rPr>
                <w:b w:val="0"/>
              </w:rPr>
            </w:pPr>
            <w:r w:rsidRPr="00AD78CC">
              <w:rPr>
                <w:rFonts w:cs="Calibri"/>
                <w:b w:val="0"/>
                <w:sz w:val="22"/>
                <w:szCs w:val="22"/>
                <w:lang w:val="es"/>
              </w:rPr>
              <w:t>Consejo Nacional para la Atención a las Personas con Discapacidad</w:t>
            </w:r>
          </w:p>
        </w:tc>
        <w:tc>
          <w:tcPr>
            <w:tcW w:w="2037" w:type="dxa"/>
            <w:shd w:val="clear" w:color="auto" w:fill="auto"/>
            <w:tcMar>
              <w:left w:w="108" w:type="dxa"/>
              <w:right w:w="108" w:type="dxa"/>
            </w:tcMar>
            <w:vAlign w:val="center"/>
          </w:tcPr>
          <w:p w14:paraId="7EAE01E5" w14:textId="0D7FC37C"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Q26,807,333.29</w:t>
            </w:r>
          </w:p>
        </w:tc>
        <w:tc>
          <w:tcPr>
            <w:tcW w:w="2092" w:type="dxa"/>
            <w:shd w:val="clear" w:color="auto" w:fill="auto"/>
            <w:tcMar>
              <w:left w:w="108" w:type="dxa"/>
              <w:right w:w="108" w:type="dxa"/>
            </w:tcMar>
            <w:vAlign w:val="center"/>
          </w:tcPr>
          <w:p w14:paraId="48859640" w14:textId="24FF8ED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Q14,648,645.80</w:t>
            </w:r>
          </w:p>
        </w:tc>
        <w:tc>
          <w:tcPr>
            <w:tcW w:w="1549" w:type="dxa"/>
            <w:shd w:val="clear" w:color="auto" w:fill="FFFF00"/>
            <w:tcMar>
              <w:left w:w="108" w:type="dxa"/>
              <w:right w:w="108" w:type="dxa"/>
            </w:tcMar>
            <w:vAlign w:val="center"/>
          </w:tcPr>
          <w:p w14:paraId="1561FF2F" w14:textId="2605544E"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85.69%</w:t>
            </w:r>
          </w:p>
        </w:tc>
        <w:tc>
          <w:tcPr>
            <w:tcW w:w="1476" w:type="dxa"/>
            <w:shd w:val="clear" w:color="auto" w:fill="FFFF00"/>
            <w:tcMar>
              <w:left w:w="108" w:type="dxa"/>
              <w:right w:w="108" w:type="dxa"/>
            </w:tcMar>
            <w:vAlign w:val="center"/>
          </w:tcPr>
          <w:p w14:paraId="40326B5A" w14:textId="4EDCF160"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54.64%</w:t>
            </w:r>
          </w:p>
        </w:tc>
      </w:tr>
      <w:tr w:rsidR="5AE381E5" w14:paraId="6B39DF09"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2ED813CB" w14:textId="2E9393DB" w:rsidR="5AE381E5" w:rsidRPr="00AD78CC" w:rsidRDefault="5AE381E5">
            <w:pPr>
              <w:rPr>
                <w:b w:val="0"/>
              </w:rPr>
            </w:pPr>
            <w:r w:rsidRPr="00AD78CC">
              <w:rPr>
                <w:rFonts w:cs="Calibri"/>
                <w:b w:val="0"/>
                <w:sz w:val="22"/>
                <w:szCs w:val="22"/>
                <w:lang w:val="es"/>
              </w:rPr>
              <w:t>Instituto Guatemalteco de Migración</w:t>
            </w:r>
          </w:p>
        </w:tc>
        <w:tc>
          <w:tcPr>
            <w:tcW w:w="2037" w:type="dxa"/>
            <w:tcMar>
              <w:left w:w="108" w:type="dxa"/>
              <w:right w:w="108" w:type="dxa"/>
            </w:tcMar>
            <w:vAlign w:val="center"/>
          </w:tcPr>
          <w:p w14:paraId="7C061EAE" w14:textId="697E7288"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Q247,575,000.00</w:t>
            </w:r>
          </w:p>
        </w:tc>
        <w:tc>
          <w:tcPr>
            <w:tcW w:w="2092" w:type="dxa"/>
            <w:tcMar>
              <w:left w:w="108" w:type="dxa"/>
              <w:right w:w="108" w:type="dxa"/>
            </w:tcMar>
            <w:vAlign w:val="center"/>
          </w:tcPr>
          <w:p w14:paraId="5469FFA7" w14:textId="51E45F21"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Q203,018,287.23</w:t>
            </w:r>
          </w:p>
        </w:tc>
        <w:tc>
          <w:tcPr>
            <w:tcW w:w="1549" w:type="dxa"/>
            <w:shd w:val="clear" w:color="auto" w:fill="FFFF00"/>
            <w:tcMar>
              <w:left w:w="108" w:type="dxa"/>
              <w:right w:w="108" w:type="dxa"/>
            </w:tcMar>
            <w:vAlign w:val="center"/>
          </w:tcPr>
          <w:p w14:paraId="0768F0AC" w14:textId="0F8BD2C2"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84.90%</w:t>
            </w:r>
          </w:p>
        </w:tc>
        <w:tc>
          <w:tcPr>
            <w:tcW w:w="1476" w:type="dxa"/>
            <w:shd w:val="clear" w:color="auto" w:fill="FFFF00"/>
            <w:tcMar>
              <w:left w:w="108" w:type="dxa"/>
              <w:right w:w="108" w:type="dxa"/>
            </w:tcMar>
            <w:vAlign w:val="center"/>
          </w:tcPr>
          <w:p w14:paraId="4903A9C4" w14:textId="3C7C914A"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82.00%</w:t>
            </w:r>
          </w:p>
        </w:tc>
      </w:tr>
      <w:tr w:rsidR="5AE381E5" w14:paraId="08D45FEC" w14:textId="77777777" w:rsidTr="005004EE">
        <w:trPr>
          <w:trHeight w:val="30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5848E634" w14:textId="38197A67" w:rsidR="5AE381E5" w:rsidRPr="00AD78CC" w:rsidRDefault="5AE381E5">
            <w:pPr>
              <w:rPr>
                <w:b w:val="0"/>
              </w:rPr>
            </w:pPr>
            <w:r w:rsidRPr="00AD78CC">
              <w:rPr>
                <w:rFonts w:cs="Calibri"/>
                <w:b w:val="0"/>
                <w:sz w:val="22"/>
                <w:szCs w:val="22"/>
                <w:lang w:val="es"/>
              </w:rPr>
              <w:t>Instituto Nacional de Ciencias Forenses de Guatemala</w:t>
            </w:r>
          </w:p>
        </w:tc>
        <w:tc>
          <w:tcPr>
            <w:tcW w:w="2037" w:type="dxa"/>
            <w:shd w:val="clear" w:color="auto" w:fill="auto"/>
            <w:tcMar>
              <w:left w:w="108" w:type="dxa"/>
              <w:right w:w="108" w:type="dxa"/>
            </w:tcMar>
            <w:vAlign w:val="center"/>
          </w:tcPr>
          <w:p w14:paraId="625631AF" w14:textId="552A07FB"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Q205,641,419.15</w:t>
            </w:r>
          </w:p>
        </w:tc>
        <w:tc>
          <w:tcPr>
            <w:tcW w:w="2092" w:type="dxa"/>
            <w:shd w:val="clear" w:color="auto" w:fill="auto"/>
            <w:tcMar>
              <w:left w:w="108" w:type="dxa"/>
              <w:right w:w="108" w:type="dxa"/>
            </w:tcMar>
            <w:vAlign w:val="center"/>
          </w:tcPr>
          <w:p w14:paraId="5545D1AF" w14:textId="19302659"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Q179,608,863.13</w:t>
            </w:r>
          </w:p>
        </w:tc>
        <w:tc>
          <w:tcPr>
            <w:tcW w:w="1549" w:type="dxa"/>
            <w:shd w:val="clear" w:color="auto" w:fill="FFFF00"/>
            <w:tcMar>
              <w:left w:w="108" w:type="dxa"/>
              <w:right w:w="108" w:type="dxa"/>
            </w:tcMar>
            <w:vAlign w:val="center"/>
          </w:tcPr>
          <w:p w14:paraId="1DAABA9F" w14:textId="07886A02"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83.57%</w:t>
            </w:r>
          </w:p>
        </w:tc>
        <w:tc>
          <w:tcPr>
            <w:tcW w:w="1476" w:type="dxa"/>
            <w:shd w:val="clear" w:color="auto" w:fill="FFFF00"/>
            <w:tcMar>
              <w:left w:w="108" w:type="dxa"/>
              <w:right w:w="108" w:type="dxa"/>
            </w:tcMar>
            <w:vAlign w:val="center"/>
          </w:tcPr>
          <w:p w14:paraId="6C1889C8" w14:textId="39A5AE8A"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87.34%</w:t>
            </w:r>
          </w:p>
        </w:tc>
      </w:tr>
      <w:tr w:rsidR="5AE381E5" w14:paraId="79507A35"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7619F450" w14:textId="242C1DD8" w:rsidR="5AE381E5" w:rsidRPr="00AD78CC" w:rsidRDefault="5AE381E5">
            <w:pPr>
              <w:rPr>
                <w:b w:val="0"/>
              </w:rPr>
            </w:pPr>
            <w:r w:rsidRPr="00AD78CC">
              <w:rPr>
                <w:rFonts w:cs="Calibri"/>
                <w:b w:val="0"/>
                <w:sz w:val="22"/>
                <w:szCs w:val="22"/>
                <w:lang w:val="es"/>
              </w:rPr>
              <w:t>Confederación Deportiva Autónoma de Guatemala</w:t>
            </w:r>
          </w:p>
        </w:tc>
        <w:tc>
          <w:tcPr>
            <w:tcW w:w="2037" w:type="dxa"/>
            <w:tcMar>
              <w:left w:w="108" w:type="dxa"/>
              <w:right w:w="108" w:type="dxa"/>
            </w:tcMar>
            <w:vAlign w:val="center"/>
          </w:tcPr>
          <w:p w14:paraId="3BDFD83A" w14:textId="58F075A3"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Q327,443,228.59</w:t>
            </w:r>
          </w:p>
        </w:tc>
        <w:tc>
          <w:tcPr>
            <w:tcW w:w="2092" w:type="dxa"/>
            <w:tcMar>
              <w:left w:w="108" w:type="dxa"/>
              <w:right w:w="108" w:type="dxa"/>
            </w:tcMar>
            <w:vAlign w:val="center"/>
          </w:tcPr>
          <w:p w14:paraId="394EE8F9" w14:textId="3AC1C327"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Q281,878,132.11</w:t>
            </w:r>
          </w:p>
        </w:tc>
        <w:tc>
          <w:tcPr>
            <w:tcW w:w="1549" w:type="dxa"/>
            <w:shd w:val="clear" w:color="auto" w:fill="FFFF00"/>
            <w:tcMar>
              <w:left w:w="108" w:type="dxa"/>
              <w:right w:w="108" w:type="dxa"/>
            </w:tcMar>
            <w:vAlign w:val="center"/>
          </w:tcPr>
          <w:p w14:paraId="4D81AB8B" w14:textId="489C9922"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81.60%</w:t>
            </w:r>
          </w:p>
        </w:tc>
        <w:tc>
          <w:tcPr>
            <w:tcW w:w="1476" w:type="dxa"/>
            <w:shd w:val="clear" w:color="auto" w:fill="FFFF00"/>
            <w:tcMar>
              <w:left w:w="108" w:type="dxa"/>
              <w:right w:w="108" w:type="dxa"/>
            </w:tcMar>
            <w:vAlign w:val="center"/>
          </w:tcPr>
          <w:p w14:paraId="3FF8B6D2" w14:textId="6BD443A4"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86.08%</w:t>
            </w:r>
          </w:p>
        </w:tc>
      </w:tr>
      <w:tr w:rsidR="5AE381E5" w14:paraId="71CBB600" w14:textId="77777777" w:rsidTr="005004EE">
        <w:trPr>
          <w:trHeight w:val="135"/>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004018B4" w14:textId="36A91EF2" w:rsidR="5AE381E5" w:rsidRPr="00AD78CC" w:rsidRDefault="5AE381E5">
            <w:pPr>
              <w:rPr>
                <w:b w:val="0"/>
              </w:rPr>
            </w:pPr>
            <w:r w:rsidRPr="00AD78CC">
              <w:rPr>
                <w:rFonts w:cs="Calibri"/>
                <w:b w:val="0"/>
                <w:sz w:val="22"/>
                <w:szCs w:val="22"/>
                <w:lang w:val="es"/>
              </w:rPr>
              <w:t>Instituto de la Defensa Pública Penal</w:t>
            </w:r>
          </w:p>
        </w:tc>
        <w:tc>
          <w:tcPr>
            <w:tcW w:w="2037" w:type="dxa"/>
            <w:shd w:val="clear" w:color="auto" w:fill="auto"/>
            <w:tcMar>
              <w:left w:w="108" w:type="dxa"/>
              <w:right w:w="108" w:type="dxa"/>
            </w:tcMar>
            <w:vAlign w:val="center"/>
          </w:tcPr>
          <w:p w14:paraId="071CC600" w14:textId="69D2A823"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Q326,403,054.00</w:t>
            </w:r>
          </w:p>
        </w:tc>
        <w:tc>
          <w:tcPr>
            <w:tcW w:w="2092" w:type="dxa"/>
            <w:shd w:val="clear" w:color="auto" w:fill="auto"/>
            <w:tcMar>
              <w:left w:w="108" w:type="dxa"/>
              <w:right w:w="108" w:type="dxa"/>
            </w:tcMar>
            <w:vAlign w:val="center"/>
          </w:tcPr>
          <w:p w14:paraId="7F59ABF1" w14:textId="61BC3C1F"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Q302,073,813.31</w:t>
            </w:r>
          </w:p>
        </w:tc>
        <w:tc>
          <w:tcPr>
            <w:tcW w:w="1549" w:type="dxa"/>
            <w:shd w:val="clear" w:color="auto" w:fill="FFFF00"/>
            <w:tcMar>
              <w:left w:w="108" w:type="dxa"/>
              <w:right w:w="108" w:type="dxa"/>
            </w:tcMar>
            <w:vAlign w:val="center"/>
          </w:tcPr>
          <w:p w14:paraId="0C24CCB3" w14:textId="6B3E6CED"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74.74%</w:t>
            </w:r>
          </w:p>
        </w:tc>
        <w:tc>
          <w:tcPr>
            <w:tcW w:w="1476" w:type="dxa"/>
            <w:shd w:val="clear" w:color="auto" w:fill="92D050"/>
            <w:tcMar>
              <w:left w:w="108" w:type="dxa"/>
              <w:right w:w="108" w:type="dxa"/>
            </w:tcMar>
            <w:vAlign w:val="center"/>
          </w:tcPr>
          <w:p w14:paraId="1E5E26D7" w14:textId="59F9513B"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92.55%</w:t>
            </w:r>
          </w:p>
        </w:tc>
      </w:tr>
      <w:tr w:rsidR="5AE381E5" w14:paraId="443CC799" w14:textId="77777777" w:rsidTr="005004E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0B53E7DD" w14:textId="4A324F9D" w:rsidR="5AE381E5" w:rsidRPr="00AD78CC" w:rsidRDefault="5AE381E5">
            <w:pPr>
              <w:rPr>
                <w:b w:val="0"/>
              </w:rPr>
            </w:pPr>
            <w:r w:rsidRPr="00AD78CC">
              <w:rPr>
                <w:rFonts w:cs="Calibri"/>
                <w:b w:val="0"/>
                <w:sz w:val="22"/>
                <w:szCs w:val="22"/>
                <w:lang w:val="es"/>
              </w:rPr>
              <w:t>Instituto de Fomento de Hipotecas Aseguradas</w:t>
            </w:r>
          </w:p>
        </w:tc>
        <w:tc>
          <w:tcPr>
            <w:tcW w:w="2037" w:type="dxa"/>
            <w:tcMar>
              <w:left w:w="108" w:type="dxa"/>
              <w:right w:w="108" w:type="dxa"/>
            </w:tcMar>
            <w:vAlign w:val="center"/>
          </w:tcPr>
          <w:p w14:paraId="7BB5AEE9" w14:textId="464B8302"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Q440,867,091.00</w:t>
            </w:r>
          </w:p>
        </w:tc>
        <w:tc>
          <w:tcPr>
            <w:tcW w:w="2092" w:type="dxa"/>
            <w:tcMar>
              <w:left w:w="108" w:type="dxa"/>
              <w:right w:w="108" w:type="dxa"/>
            </w:tcMar>
            <w:vAlign w:val="center"/>
          </w:tcPr>
          <w:p w14:paraId="3A40F82B" w14:textId="235BEFB3"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Q370,055,031.02</w:t>
            </w:r>
          </w:p>
        </w:tc>
        <w:tc>
          <w:tcPr>
            <w:tcW w:w="1549" w:type="dxa"/>
            <w:shd w:val="clear" w:color="auto" w:fill="FFFF00"/>
            <w:tcMar>
              <w:left w:w="108" w:type="dxa"/>
              <w:right w:w="108" w:type="dxa"/>
            </w:tcMar>
            <w:vAlign w:val="center"/>
          </w:tcPr>
          <w:p w14:paraId="1CE0E784" w14:textId="408559B6"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70.95%</w:t>
            </w:r>
          </w:p>
        </w:tc>
        <w:tc>
          <w:tcPr>
            <w:tcW w:w="1476" w:type="dxa"/>
            <w:shd w:val="clear" w:color="auto" w:fill="FFFF00"/>
            <w:tcMar>
              <w:left w:w="108" w:type="dxa"/>
              <w:right w:w="108" w:type="dxa"/>
            </w:tcMar>
            <w:vAlign w:val="center"/>
          </w:tcPr>
          <w:p w14:paraId="53C4727A" w14:textId="16A8A829"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83.94%</w:t>
            </w:r>
          </w:p>
        </w:tc>
      </w:tr>
      <w:tr w:rsidR="5AE381E5" w14:paraId="6733EBA5" w14:textId="77777777" w:rsidTr="005004EE">
        <w:trPr>
          <w:trHeight w:val="6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220FD2B5" w14:textId="7DAD39E8" w:rsidR="5AE381E5" w:rsidRPr="00AD78CC" w:rsidRDefault="5AE381E5">
            <w:pPr>
              <w:rPr>
                <w:b w:val="0"/>
              </w:rPr>
            </w:pPr>
            <w:r w:rsidRPr="00AD78CC">
              <w:rPr>
                <w:rFonts w:cs="Calibri"/>
                <w:b w:val="0"/>
                <w:sz w:val="22"/>
                <w:szCs w:val="22"/>
                <w:lang w:val="es"/>
              </w:rPr>
              <w:t>Instituto Guatemalteco de Seguridad Social</w:t>
            </w:r>
          </w:p>
        </w:tc>
        <w:tc>
          <w:tcPr>
            <w:tcW w:w="2037" w:type="dxa"/>
            <w:shd w:val="clear" w:color="auto" w:fill="auto"/>
            <w:tcMar>
              <w:left w:w="108" w:type="dxa"/>
              <w:right w:w="108" w:type="dxa"/>
            </w:tcMar>
            <w:vAlign w:val="center"/>
          </w:tcPr>
          <w:p w14:paraId="6C9FFB02" w14:textId="7ADEA9E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Q15,567,928,332.00</w:t>
            </w:r>
          </w:p>
        </w:tc>
        <w:tc>
          <w:tcPr>
            <w:tcW w:w="2092" w:type="dxa"/>
            <w:shd w:val="clear" w:color="auto" w:fill="auto"/>
            <w:tcMar>
              <w:left w:w="108" w:type="dxa"/>
              <w:right w:w="108" w:type="dxa"/>
            </w:tcMar>
            <w:vAlign w:val="center"/>
          </w:tcPr>
          <w:p w14:paraId="4CA9281C" w14:textId="61E219FA"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Q14,315,044,958.99</w:t>
            </w:r>
          </w:p>
        </w:tc>
        <w:tc>
          <w:tcPr>
            <w:tcW w:w="1549" w:type="dxa"/>
            <w:shd w:val="clear" w:color="auto" w:fill="FFFF00"/>
            <w:tcMar>
              <w:left w:w="108" w:type="dxa"/>
              <w:right w:w="108" w:type="dxa"/>
            </w:tcMar>
            <w:vAlign w:val="center"/>
          </w:tcPr>
          <w:p w14:paraId="5861C4B9" w14:textId="54AB1628"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64.93%</w:t>
            </w:r>
          </w:p>
        </w:tc>
        <w:tc>
          <w:tcPr>
            <w:tcW w:w="1476" w:type="dxa"/>
            <w:shd w:val="clear" w:color="auto" w:fill="92D050"/>
            <w:tcMar>
              <w:left w:w="108" w:type="dxa"/>
              <w:right w:w="108" w:type="dxa"/>
            </w:tcMar>
            <w:vAlign w:val="center"/>
          </w:tcPr>
          <w:p w14:paraId="7904BBB4" w14:textId="2D466DDF"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91.95%</w:t>
            </w:r>
          </w:p>
        </w:tc>
      </w:tr>
      <w:tr w:rsidR="5AE381E5" w14:paraId="0F54E759" w14:textId="77777777" w:rsidTr="005004E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52" w:type="dxa"/>
            <w:tcMar>
              <w:left w:w="108" w:type="dxa"/>
              <w:right w:w="108" w:type="dxa"/>
            </w:tcMar>
            <w:vAlign w:val="center"/>
          </w:tcPr>
          <w:p w14:paraId="249D30F9" w14:textId="78D1BAC0" w:rsidR="5AE381E5" w:rsidRPr="00AD78CC" w:rsidRDefault="5AE381E5">
            <w:pPr>
              <w:rPr>
                <w:b w:val="0"/>
              </w:rPr>
            </w:pPr>
            <w:r w:rsidRPr="00AD78CC">
              <w:rPr>
                <w:rFonts w:cs="Calibri"/>
                <w:b w:val="0"/>
                <w:sz w:val="22"/>
                <w:szCs w:val="22"/>
                <w:lang w:val="es"/>
              </w:rPr>
              <w:t>Consejo Nacional del Deporte, la Educación Física y la Recreación</w:t>
            </w:r>
          </w:p>
        </w:tc>
        <w:tc>
          <w:tcPr>
            <w:tcW w:w="2037" w:type="dxa"/>
            <w:tcMar>
              <w:left w:w="108" w:type="dxa"/>
              <w:right w:w="108" w:type="dxa"/>
            </w:tcMar>
            <w:vAlign w:val="center"/>
          </w:tcPr>
          <w:p w14:paraId="14DCE834" w14:textId="185E9870"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Q111,032,175.87</w:t>
            </w:r>
          </w:p>
        </w:tc>
        <w:tc>
          <w:tcPr>
            <w:tcW w:w="2092" w:type="dxa"/>
            <w:tcMar>
              <w:left w:w="108" w:type="dxa"/>
              <w:right w:w="108" w:type="dxa"/>
            </w:tcMar>
            <w:vAlign w:val="center"/>
          </w:tcPr>
          <w:p w14:paraId="6872708F" w14:textId="71AC6EC6"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Q12,008,619.68</w:t>
            </w:r>
          </w:p>
        </w:tc>
        <w:tc>
          <w:tcPr>
            <w:tcW w:w="1549" w:type="dxa"/>
            <w:shd w:val="clear" w:color="auto" w:fill="FF0000"/>
            <w:tcMar>
              <w:left w:w="108" w:type="dxa"/>
              <w:right w:w="108" w:type="dxa"/>
            </w:tcMar>
            <w:vAlign w:val="center"/>
          </w:tcPr>
          <w:p w14:paraId="054642B7" w14:textId="1375570D"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42.23%</w:t>
            </w:r>
          </w:p>
        </w:tc>
        <w:tc>
          <w:tcPr>
            <w:tcW w:w="1476" w:type="dxa"/>
            <w:shd w:val="clear" w:color="auto" w:fill="FF0000"/>
            <w:tcMar>
              <w:left w:w="108" w:type="dxa"/>
              <w:right w:w="108" w:type="dxa"/>
            </w:tcMar>
            <w:vAlign w:val="center"/>
          </w:tcPr>
          <w:p w14:paraId="0EE5CEF3" w14:textId="700DA6CB" w:rsidR="5AE381E5" w:rsidRDefault="5AE381E5" w:rsidP="5AE381E5">
            <w:pPr>
              <w:jc w:val="center"/>
              <w:cnfStyle w:val="000000100000" w:firstRow="0" w:lastRow="0" w:firstColumn="0" w:lastColumn="0" w:oddVBand="0" w:evenVBand="0" w:oddHBand="1" w:evenHBand="0" w:firstRowFirstColumn="0" w:firstRowLastColumn="0" w:lastRowFirstColumn="0" w:lastRowLastColumn="0"/>
            </w:pPr>
            <w:r w:rsidRPr="5AE381E5">
              <w:rPr>
                <w:rFonts w:cs="Calibri"/>
                <w:color w:val="000000" w:themeColor="text1"/>
                <w:sz w:val="22"/>
                <w:szCs w:val="22"/>
                <w:lang w:val="es"/>
              </w:rPr>
              <w:t>10.82%</w:t>
            </w:r>
          </w:p>
        </w:tc>
      </w:tr>
      <w:tr w:rsidR="5AE381E5" w14:paraId="43CAED57" w14:textId="77777777" w:rsidTr="005004EE">
        <w:trPr>
          <w:trHeight w:val="60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Mar>
              <w:left w:w="108" w:type="dxa"/>
              <w:right w:w="108" w:type="dxa"/>
            </w:tcMar>
            <w:vAlign w:val="center"/>
          </w:tcPr>
          <w:p w14:paraId="126FDCEF" w14:textId="5388E5D6" w:rsidR="5AE381E5" w:rsidRPr="00AD78CC" w:rsidRDefault="5AE381E5">
            <w:pPr>
              <w:rPr>
                <w:b w:val="0"/>
              </w:rPr>
            </w:pPr>
            <w:r w:rsidRPr="00AD78CC">
              <w:rPr>
                <w:rFonts w:cs="Calibri"/>
                <w:b w:val="0"/>
                <w:sz w:val="22"/>
                <w:szCs w:val="22"/>
                <w:lang w:val="es"/>
              </w:rPr>
              <w:t>Organismo Judicial</w:t>
            </w:r>
          </w:p>
        </w:tc>
        <w:tc>
          <w:tcPr>
            <w:tcW w:w="2037" w:type="dxa"/>
            <w:shd w:val="clear" w:color="auto" w:fill="auto"/>
            <w:tcMar>
              <w:left w:w="108" w:type="dxa"/>
              <w:right w:w="108" w:type="dxa"/>
            </w:tcMar>
            <w:vAlign w:val="center"/>
          </w:tcPr>
          <w:p w14:paraId="4486F385" w14:textId="107DB863"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Q0.00</w:t>
            </w:r>
          </w:p>
        </w:tc>
        <w:tc>
          <w:tcPr>
            <w:tcW w:w="2092" w:type="dxa"/>
            <w:shd w:val="clear" w:color="auto" w:fill="auto"/>
            <w:tcMar>
              <w:left w:w="108" w:type="dxa"/>
              <w:right w:w="108" w:type="dxa"/>
            </w:tcMar>
            <w:vAlign w:val="center"/>
          </w:tcPr>
          <w:p w14:paraId="49D5F9FC" w14:textId="616125FF"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Q2,120,338,646.59</w:t>
            </w:r>
          </w:p>
        </w:tc>
        <w:tc>
          <w:tcPr>
            <w:tcW w:w="1549" w:type="dxa"/>
            <w:shd w:val="clear" w:color="auto" w:fill="FF0000"/>
            <w:tcMar>
              <w:left w:w="108" w:type="dxa"/>
              <w:right w:w="108" w:type="dxa"/>
            </w:tcMar>
            <w:vAlign w:val="center"/>
          </w:tcPr>
          <w:p w14:paraId="6D26F268" w14:textId="610249C9"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22.91%</w:t>
            </w:r>
          </w:p>
        </w:tc>
        <w:tc>
          <w:tcPr>
            <w:tcW w:w="1476" w:type="dxa"/>
            <w:shd w:val="clear" w:color="auto" w:fill="FF0000"/>
            <w:tcMar>
              <w:left w:w="108" w:type="dxa"/>
              <w:right w:w="108" w:type="dxa"/>
            </w:tcMar>
            <w:vAlign w:val="center"/>
          </w:tcPr>
          <w:p w14:paraId="5BF49A01" w14:textId="424EF05B" w:rsidR="5AE381E5" w:rsidRDefault="5AE381E5" w:rsidP="5AE381E5">
            <w:pPr>
              <w:jc w:val="center"/>
              <w:cnfStyle w:val="000000000000" w:firstRow="0" w:lastRow="0" w:firstColumn="0" w:lastColumn="0" w:oddVBand="0" w:evenVBand="0" w:oddHBand="0" w:evenHBand="0" w:firstRowFirstColumn="0" w:firstRowLastColumn="0" w:lastRowFirstColumn="0" w:lastRowLastColumn="0"/>
            </w:pPr>
            <w:r w:rsidRPr="5AE381E5">
              <w:rPr>
                <w:rFonts w:cs="Calibri"/>
                <w:color w:val="000000" w:themeColor="text1"/>
                <w:sz w:val="22"/>
                <w:szCs w:val="22"/>
                <w:lang w:val="es"/>
              </w:rPr>
              <w:t>0.00%</w:t>
            </w:r>
          </w:p>
        </w:tc>
      </w:tr>
    </w:tbl>
    <w:p w14:paraId="53423565" w14:textId="77777777" w:rsidR="00AD78CC" w:rsidRDefault="5AE381E5" w:rsidP="002C6654">
      <w:pPr>
        <w:spacing w:after="120" w:line="240" w:lineRule="auto"/>
        <w:rPr>
          <w:rFonts w:ascii="Calibri" w:eastAsia="Calibri" w:hAnsi="Calibri" w:cs="Calibri"/>
          <w:sz w:val="16"/>
          <w:szCs w:val="16"/>
        </w:rPr>
      </w:pPr>
      <w:r w:rsidRPr="5AE381E5">
        <w:rPr>
          <w:rFonts w:ascii="Calibri" w:eastAsia="Calibri" w:hAnsi="Calibri" w:cs="Calibri"/>
          <w:sz w:val="16"/>
          <w:szCs w:val="16"/>
        </w:rPr>
        <w:t>Fuente: Con base a registros de Siplan. Segeplan. Año 2022.</w:t>
      </w:r>
    </w:p>
    <w:p w14:paraId="79B5CA0F" w14:textId="4CB845EC" w:rsidR="34D87270" w:rsidRDefault="00C8352D" w:rsidP="005004EE">
      <w:pPr>
        <w:spacing w:before="120" w:after="120" w:line="240" w:lineRule="auto"/>
      </w:pPr>
      <w:r w:rsidRPr="5AE381E5">
        <w:rPr>
          <w:rFonts w:ascii="Calibri" w:eastAsia="Calibri" w:hAnsi="Calibri" w:cs="Calibri"/>
          <w:b/>
          <w:bCs/>
          <w:sz w:val="24"/>
          <w:szCs w:val="24"/>
        </w:rPr>
        <w:t>Ejecución de metas físicas y financieras</w:t>
      </w:r>
    </w:p>
    <w:p w14:paraId="176292D1" w14:textId="29EF4ADD" w:rsidR="00A368F6" w:rsidRDefault="00682075" w:rsidP="005004EE">
      <w:pPr>
        <w:spacing w:before="120" w:after="120" w:line="240" w:lineRule="auto"/>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764224" behindDoc="0" locked="0" layoutInCell="1" allowOverlap="1" wp14:anchorId="7831031B" wp14:editId="1A2A452C">
            <wp:simplePos x="0" y="0"/>
            <wp:positionH relativeFrom="column">
              <wp:posOffset>4438015</wp:posOffset>
            </wp:positionH>
            <wp:positionV relativeFrom="paragraph">
              <wp:posOffset>65405</wp:posOffset>
            </wp:positionV>
            <wp:extent cx="1504800" cy="948230"/>
            <wp:effectExtent l="19050" t="19050" r="19685" b="2349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847" r="19924" b="40216"/>
                    <a:stretch/>
                  </pic:blipFill>
                  <pic:spPr bwMode="auto">
                    <a:xfrm>
                      <a:off x="0" y="0"/>
                      <a:ext cx="1504800" cy="948230"/>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r w:rsidR="5AE381E5" w:rsidRPr="5AE381E5">
        <w:rPr>
          <w:rFonts w:ascii="Calibri" w:eastAsia="Calibri" w:hAnsi="Calibri" w:cs="Calibri"/>
          <w:sz w:val="24"/>
          <w:szCs w:val="24"/>
        </w:rPr>
        <w:t>Al finalizar el año 2022, las entidades alcanzaron un promedio de ejecución de metas físicas de 90% y un promedio de ejecución financiera de 72%, lo que demuestra un mayor desempeño en el cumplimiento de las metas físicas programadas en el POA.</w:t>
      </w:r>
    </w:p>
    <w:p w14:paraId="7D5907DB" w14:textId="427E2BC0" w:rsidR="34D87270" w:rsidRDefault="5AE381E5" w:rsidP="00AD78CC">
      <w:pPr>
        <w:spacing w:after="120" w:line="240" w:lineRule="auto"/>
        <w:jc w:val="both"/>
      </w:pPr>
      <w:r w:rsidRPr="5AE381E5">
        <w:rPr>
          <w:rFonts w:ascii="Calibri" w:eastAsia="Calibri" w:hAnsi="Calibri" w:cs="Calibri"/>
          <w:sz w:val="24"/>
          <w:szCs w:val="24"/>
        </w:rPr>
        <w:t>De las entidades incluidas en la tabla de resultados, 27 lograron un desempeño alto en la consecución de las metas fiscas, sin embargo, la mayoría de estas no mostró el mismo comportamiento en la ejecución del presupuesto, ubicándose dentro del rango de ejecución media.</w:t>
      </w:r>
    </w:p>
    <w:p w14:paraId="507910C2" w14:textId="427E2BC0" w:rsidR="34D87270" w:rsidRDefault="5AE381E5" w:rsidP="00535CA1">
      <w:pPr>
        <w:spacing w:after="120" w:line="240" w:lineRule="auto"/>
        <w:jc w:val="both"/>
      </w:pPr>
      <w:r w:rsidRPr="5AE381E5">
        <w:rPr>
          <w:rFonts w:ascii="Calibri" w:eastAsia="Calibri" w:hAnsi="Calibri" w:cs="Calibri"/>
          <w:sz w:val="24"/>
          <w:szCs w:val="24"/>
        </w:rPr>
        <w:t>El resultado en el promedio de la ejecución financiera, se da principalmente por las 25 entidades con ejecución media y cinco con ejecución baja, quienes deberán de prestar especial atención en mejorar la efectividad en el cumplimiento de las metas programadas, especialmente las de menor ejecución.</w:t>
      </w:r>
    </w:p>
    <w:p w14:paraId="4CBC3CDB" w14:textId="13003878" w:rsidR="34D87270" w:rsidRDefault="5AE381E5" w:rsidP="00535CA1">
      <w:pPr>
        <w:spacing w:after="120" w:line="240" w:lineRule="auto"/>
        <w:jc w:val="both"/>
      </w:pPr>
      <w:r w:rsidRPr="5AE381E5">
        <w:rPr>
          <w:rFonts w:ascii="Calibri" w:eastAsia="Calibri" w:hAnsi="Calibri" w:cs="Calibri"/>
          <w:b/>
          <w:bCs/>
          <w:sz w:val="24"/>
          <w:szCs w:val="24"/>
        </w:rPr>
        <w:t>Ejecución física</w:t>
      </w:r>
    </w:p>
    <w:p w14:paraId="041B5F93" w14:textId="1AE789C6" w:rsidR="34D87270" w:rsidRDefault="5AE381E5" w:rsidP="00535CA1">
      <w:pPr>
        <w:spacing w:after="120" w:line="240" w:lineRule="auto"/>
        <w:jc w:val="both"/>
      </w:pPr>
      <w:r w:rsidRPr="5AE381E5">
        <w:rPr>
          <w:rFonts w:ascii="Calibri" w:eastAsia="Calibri" w:hAnsi="Calibri" w:cs="Calibri"/>
          <w:sz w:val="24"/>
          <w:szCs w:val="24"/>
        </w:rPr>
        <w:t>De las 39 entidades en el presente informe, 27 alcanzaron una ejecución alta de metas físicas, con un promedio de 98%. Las entidades con ejecución más alta fueron: ANADIE, ADESCA, BCVBG, CNEE, COG, ICTA, INAB, RGP e INAP, con 100% de ejecución en el año.</w:t>
      </w:r>
    </w:p>
    <w:p w14:paraId="42C274B0" w14:textId="7059A6D0" w:rsidR="34D87270" w:rsidRDefault="5AE381E5" w:rsidP="00535CA1">
      <w:pPr>
        <w:spacing w:after="120" w:line="240" w:lineRule="auto"/>
        <w:jc w:val="both"/>
      </w:pPr>
      <w:r w:rsidRPr="5AE381E5">
        <w:rPr>
          <w:rFonts w:ascii="Calibri" w:eastAsia="Calibri" w:hAnsi="Calibri" w:cs="Calibri"/>
          <w:sz w:val="24"/>
          <w:szCs w:val="24"/>
        </w:rPr>
        <w:t xml:space="preserve">El Instituto de la Víctima, el COG, ADESCA, RIC, INGECOP, CONRED e INCA, mostraron un comportamiento similar durante el año 2022, manteniendo un buen desempeño en el cumplimiento de metas físicas. </w:t>
      </w:r>
    </w:p>
    <w:p w14:paraId="6835ABF3" w14:textId="23095048" w:rsidR="34D87270" w:rsidRDefault="5AE381E5" w:rsidP="00535CA1">
      <w:pPr>
        <w:spacing w:after="120" w:line="240" w:lineRule="auto"/>
        <w:jc w:val="both"/>
      </w:pPr>
      <w:r w:rsidRPr="5AE381E5">
        <w:rPr>
          <w:rFonts w:ascii="Calibri" w:eastAsia="Calibri" w:hAnsi="Calibri" w:cs="Calibri"/>
          <w:sz w:val="24"/>
          <w:szCs w:val="24"/>
        </w:rPr>
        <w:t>Por su parte, 10 entidades alcanzaron una ejecución media de metas físicas, con un promedio de 81% de ejecución en el año, de estas, el IGSS, FHA e IDPP, mostraron la ejecución más baja dentro de este rango de avance.</w:t>
      </w:r>
    </w:p>
    <w:p w14:paraId="118442E4" w14:textId="6793D06E" w:rsidR="34D87270" w:rsidRDefault="5AE381E5" w:rsidP="00535CA1">
      <w:pPr>
        <w:spacing w:after="120" w:line="240" w:lineRule="auto"/>
        <w:jc w:val="both"/>
      </w:pPr>
      <w:r w:rsidRPr="5AE381E5">
        <w:rPr>
          <w:rFonts w:ascii="Calibri" w:eastAsia="Calibri" w:hAnsi="Calibri" w:cs="Calibri"/>
          <w:sz w:val="24"/>
          <w:szCs w:val="24"/>
        </w:rPr>
        <w:t>El CONADER y el OJ, reportaron baja ejecución de metas físicas, con 42% y 23%, respectivamente, el mismo comportamiento se mantuvo en el transcurso del año 2022. Estas dependencias deberán de prestar especial atención a la programación y la ejecución de la producción institucional, que en general, se mantuvo con bajos resultados</w:t>
      </w:r>
    </w:p>
    <w:p w14:paraId="14F724A5" w14:textId="156CCA71" w:rsidR="34D87270" w:rsidRDefault="5AE381E5" w:rsidP="00535CA1">
      <w:pPr>
        <w:spacing w:after="120" w:line="240" w:lineRule="auto"/>
        <w:jc w:val="both"/>
      </w:pPr>
      <w:r w:rsidRPr="5AE381E5">
        <w:rPr>
          <w:rFonts w:ascii="Calibri" w:eastAsia="Calibri" w:hAnsi="Calibri" w:cs="Calibri"/>
          <w:sz w:val="24"/>
          <w:szCs w:val="24"/>
        </w:rPr>
        <w:t>En el caso de las dependencias, EPQ, EMPORNAC y FODIGUA no fueron incluidas dentro de la tabla de resultados, debido a que presentaron registros de ejecución física mayor a la meta vigente, provocando un avance superior al 100%. Por lo que, en el próximo ejercicio fiscal, deberán de prestar especial atención a los registros que se realicen en Siplan para contar con información clara y confiable.</w:t>
      </w:r>
    </w:p>
    <w:p w14:paraId="3A91FE5D" w14:textId="26C33651" w:rsidR="34D87270" w:rsidRDefault="5AE381E5" w:rsidP="00535CA1">
      <w:pPr>
        <w:spacing w:after="120" w:line="240" w:lineRule="auto"/>
        <w:jc w:val="both"/>
      </w:pPr>
      <w:r w:rsidRPr="5AE381E5">
        <w:rPr>
          <w:rFonts w:ascii="Calibri" w:eastAsia="Calibri" w:hAnsi="Calibri" w:cs="Calibri"/>
          <w:b/>
          <w:bCs/>
          <w:sz w:val="24"/>
          <w:szCs w:val="24"/>
        </w:rPr>
        <w:t>Principales productos con mayor avance de meta física</w:t>
      </w:r>
    </w:p>
    <w:p w14:paraId="608464CE" w14:textId="16348615" w:rsidR="34D87270" w:rsidRDefault="6B4CB047" w:rsidP="00535CA1">
      <w:pPr>
        <w:spacing w:after="120" w:line="240" w:lineRule="auto"/>
        <w:jc w:val="both"/>
      </w:pPr>
      <w:r w:rsidRPr="6B4CB047">
        <w:rPr>
          <w:rFonts w:ascii="Calibri" w:eastAsia="Calibri" w:hAnsi="Calibri" w:cs="Calibri"/>
          <w:sz w:val="24"/>
          <w:szCs w:val="24"/>
        </w:rPr>
        <w:t>Varias de las Entidades reportaron cuáles fueron los principales productos con mayor avance de meta física al finalizar el año 2022, los cuales se detallan a continuación</w:t>
      </w:r>
      <w:r w:rsidR="006A6ACF" w:rsidRPr="00A909F4">
        <w:rPr>
          <w:rStyle w:val="Refdenotaalpie"/>
          <w:rFonts w:eastAsia="Candara" w:cs="Helvetica"/>
          <w:sz w:val="24"/>
          <w:lang w:eastAsia="es-GT"/>
        </w:rPr>
        <w:footnoteReference w:id="9"/>
      </w:r>
      <w:r w:rsidRPr="6B4CB047">
        <w:rPr>
          <w:rFonts w:ascii="Calibri" w:eastAsia="Calibri" w:hAnsi="Calibri" w:cs="Calibri"/>
          <w:sz w:val="24"/>
          <w:szCs w:val="24"/>
        </w:rPr>
        <w:t>.</w:t>
      </w:r>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1560"/>
        <w:gridCol w:w="7770"/>
      </w:tblGrid>
      <w:tr w:rsidR="6B4CB047" w14:paraId="0A24A10F" w14:textId="77777777" w:rsidTr="00535CA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EAC15AD" w14:textId="73B15445" w:rsidR="6B4CB047" w:rsidRPr="00A55633" w:rsidRDefault="6B4CB047" w:rsidP="6B4CB047">
            <w:pPr>
              <w:spacing w:line="254" w:lineRule="auto"/>
              <w:jc w:val="center"/>
              <w:rPr>
                <w:rFonts w:asciiTheme="minorHAnsi" w:hAnsiTheme="minorHAnsi" w:cstheme="minorHAnsi"/>
                <w:sz w:val="22"/>
                <w:szCs w:val="22"/>
              </w:rPr>
            </w:pPr>
            <w:r w:rsidRPr="00A55633">
              <w:rPr>
                <w:rFonts w:asciiTheme="minorHAnsi" w:hAnsiTheme="minorHAnsi" w:cstheme="minorHAnsi"/>
                <w:color w:val="000000" w:themeColor="text1"/>
                <w:sz w:val="22"/>
                <w:szCs w:val="22"/>
                <w:lang w:val="es"/>
              </w:rPr>
              <w:t>Institución</w:t>
            </w:r>
          </w:p>
        </w:tc>
        <w:tc>
          <w:tcPr>
            <w:tcW w:w="777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390E4A1" w14:textId="5A150709" w:rsidR="6B4CB047" w:rsidRPr="00A55633" w:rsidRDefault="6B4CB047" w:rsidP="6B4CB047">
            <w:pPr>
              <w:spacing w:line="25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55633">
              <w:rPr>
                <w:rFonts w:asciiTheme="minorHAnsi" w:hAnsiTheme="minorHAnsi" w:cstheme="minorHAnsi"/>
                <w:color w:val="000000" w:themeColor="text1"/>
                <w:sz w:val="22"/>
                <w:szCs w:val="22"/>
                <w:lang w:val="es"/>
              </w:rPr>
              <w:t>Producción institucional (productos/subproductos)</w:t>
            </w:r>
          </w:p>
        </w:tc>
      </w:tr>
      <w:tr w:rsidR="6B4CB047" w14:paraId="4555E5C2"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149CB08B" w14:textId="2F770164"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INAB</w:t>
            </w:r>
          </w:p>
        </w:tc>
        <w:tc>
          <w:tcPr>
            <w:tcW w:w="7770" w:type="dxa"/>
            <w:tcMar>
              <w:left w:w="108" w:type="dxa"/>
              <w:right w:w="108" w:type="dxa"/>
            </w:tcMar>
          </w:tcPr>
          <w:p w14:paraId="1017B6C7" w14:textId="2F5EE0ED"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Establecimiento y mantenimiento de 270,634 hectáreas de bosque natural, plantaciones y sistemas agroforestales bajo manejo forestal que proveen bienes y servicios ambientales a la población, con 100% de avance físico.</w:t>
            </w:r>
          </w:p>
          <w:p w14:paraId="460A02F8" w14:textId="0C1F8BEB"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Más de 2,700 empresarios y productores forestales cuentan con asistencia técnica, capacitación e instrumentos de apoyo que facilitan el acceso a mecanismos financieros, con 100% de avance físico.</w:t>
            </w:r>
          </w:p>
          <w:p w14:paraId="0169B54A" w14:textId="0F143A7C"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Gobiernos locales se fortalecen con 315 Municipalidades con Oficina de Gestión Forestal Municipal y Organizaciones Forestales Comunitarias, técnicamente asistidas para promover acciones de manejo sostenible de sus recursos naturales, con 100% de avance físico.</w:t>
            </w:r>
          </w:p>
          <w:p w14:paraId="69884FAF" w14:textId="615A1C5E"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Se fortalece la educación forestal con 850 Jornadas de reforestación y eventos de sensibilización implementados en coordinación con el sector educativo, empresa privada, municipalidades y sociedad civil, promueven la sensibilización sobre la importancia, uso y cuidado del bosque, con 100% de avance físico.</w:t>
            </w:r>
          </w:p>
        </w:tc>
      </w:tr>
      <w:tr w:rsidR="6B4CB047" w14:paraId="1BCA27AA"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263C7037" w14:textId="17198426"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CONADI</w:t>
            </w:r>
          </w:p>
        </w:tc>
        <w:tc>
          <w:tcPr>
            <w:tcW w:w="7770" w:type="dxa"/>
            <w:tcMar>
              <w:left w:w="108" w:type="dxa"/>
              <w:right w:w="108" w:type="dxa"/>
            </w:tcMar>
          </w:tcPr>
          <w:p w14:paraId="2C8BD2F4" w14:textId="57594F87"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Fortalecer a las organizaciones de personas con discapacidad mediante formación permanente, legalización y acompañamiento: reporta 32 organizaciones, con 100% de avance físico.</w:t>
            </w:r>
          </w:p>
          <w:p w14:paraId="34ED22DF" w14:textId="57D74B5E"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Propiciar el cumplimiento de los derechos de las personas con discapacidad en acciones técnicas, políticas, sociales y culturales dentro del territorio nacional: reporta 2,033 personas, con 100% de avance físico.</w:t>
            </w:r>
          </w:p>
        </w:tc>
      </w:tr>
      <w:tr w:rsidR="6B4CB047" w14:paraId="2C36EAE5"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63BF2E68" w14:textId="5161BE79"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SAT</w:t>
            </w:r>
          </w:p>
        </w:tc>
        <w:tc>
          <w:tcPr>
            <w:tcW w:w="7770" w:type="dxa"/>
            <w:tcMar>
              <w:left w:w="108" w:type="dxa"/>
              <w:right w:w="108" w:type="dxa"/>
            </w:tcMar>
          </w:tcPr>
          <w:p w14:paraId="573E8EBD" w14:textId="1BF5A7CB"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Emisores de Documentos Tributarios Electrónicos FEL, de septiembre a diciembre reportaron 36,000 personas incorporadas al sistema y 100,000 al finalizar el año, con 100% de avance físico.</w:t>
            </w:r>
          </w:p>
          <w:p w14:paraId="0960B80D" w14:textId="620D316E"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Solicitudes de los Contribuyentes de Asuntos Aduanales y Franquicias Aduaneras atendidas y resueltas, de septiembre a diciembre se reportaron 3,056 solicitudes atendidas de los contribuyentes, con 99.87% de avance físico.</w:t>
            </w:r>
          </w:p>
          <w:p w14:paraId="54971109" w14:textId="7033607F"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Auditorias programadas a contribuyentes a nivel nacional (centralizadas, comercio exterior, precios de transferencia y Gabinete), del mes de septiembre a diciembre se reportaron 675 eventos de auditorías y 2,274 al finalizar el año, con 90.49% de avance físico.</w:t>
            </w:r>
          </w:p>
          <w:p w14:paraId="6B351F74" w14:textId="113568E7"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Contribuyentes y/o usuarios atendidos a nivel nacional a través del Contact Center y capacitaciones en diversas modalidades, del mes de septiembre a diciembre se reportaron 202,640 personas atendidas y 649,640 al finalizar el año, con 99.94% de avance físico.</w:t>
            </w:r>
          </w:p>
          <w:p w14:paraId="35ECD0AD" w14:textId="6489EEA3"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Acciones judiciales realizadas por SAT ante los Órganos Jurisdiccionales correspondientes, del mes de septiembre a diciembre se reportaron 950 acciones judiciales y 3,000 al finalizar el año, con 100% de avance físico.</w:t>
            </w:r>
          </w:p>
        </w:tc>
      </w:tr>
      <w:tr w:rsidR="6B4CB047" w14:paraId="68CBA6BE"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18F2BE32" w14:textId="3E55346B"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CNPAG</w:t>
            </w:r>
          </w:p>
        </w:tc>
        <w:tc>
          <w:tcPr>
            <w:tcW w:w="7770" w:type="dxa"/>
            <w:tcMar>
              <w:left w:w="108" w:type="dxa"/>
              <w:right w:w="108" w:type="dxa"/>
            </w:tcMar>
          </w:tcPr>
          <w:p w14:paraId="05C674ED" w14:textId="0C903945"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Bienes muebles restaurados al tercer cuatrimestre se reportan 8 muebles y al año 2022, 12 muebles, con 100% de avance físico.</w:t>
            </w:r>
          </w:p>
          <w:p w14:paraId="61166B36" w14:textId="205E736A"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Monumentos en Antigua Guatemala con servicios de Conservación al tercer cuatrimestre se reportan 5,629 metros cuadrados y al año 2022, 9,322 metros cuadrados, con 95.6% de avance físico.</w:t>
            </w:r>
          </w:p>
        </w:tc>
      </w:tr>
      <w:tr w:rsidR="6B4CB047" w14:paraId="2636C2C6"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6A8CC973" w14:textId="6659FB31"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AMSA</w:t>
            </w:r>
          </w:p>
        </w:tc>
        <w:tc>
          <w:tcPr>
            <w:tcW w:w="7770" w:type="dxa"/>
            <w:tcMar>
              <w:left w:w="108" w:type="dxa"/>
              <w:right w:w="108" w:type="dxa"/>
            </w:tcMar>
          </w:tcPr>
          <w:p w14:paraId="5FCD88E2" w14:textId="6C101688"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Volumen de desechos sólidos flotantes y plantas acuáticas extraídos del lago de Amatitlán. Durante el tercer cuatrimestre se extrajó 37,204 metros cúbicos de desechos sólidos flotantes y plantas acuáticas del lago de Amatitlán, con un acumulado de 65,000 metros cúbicos extraídos durante el año 2022, con 100% de avance físico.</w:t>
            </w:r>
          </w:p>
          <w:p w14:paraId="0A225212" w14:textId="4BDFD354"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Manejo y conservación de la cobertura forestal en la cuenca del lago de Amatitlán para recarga de mantos acuíferos. Se reportaron 25 hectáreas de manejo y conservación de la cobertura forestal durante el tercer cuatrimestre, con un acumulado de 110 hectáreas durante el año 2022, con 100% de avance físico.</w:t>
            </w:r>
          </w:p>
        </w:tc>
      </w:tr>
      <w:tr w:rsidR="6B4CB047" w14:paraId="00FE649D"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6A56A4B6" w14:textId="5E4CC5D3"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SRP</w:t>
            </w:r>
          </w:p>
        </w:tc>
        <w:tc>
          <w:tcPr>
            <w:tcW w:w="7770" w:type="dxa"/>
            <w:tcMar>
              <w:left w:w="108" w:type="dxa"/>
              <w:right w:w="108" w:type="dxa"/>
            </w:tcMar>
          </w:tcPr>
          <w:p w14:paraId="58B5024F" w14:textId="63E8A274"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Resguardo de información: Usuarios de la región suroccidente y región noroccidente, beneficiados de los procesos internos para llevar a cabo la entrega del producto final, resguardo y garantizando la certeza y seguridad registral, con 100% de avance físico.</w:t>
            </w:r>
          </w:p>
          <w:p w14:paraId="3D06BB9B" w14:textId="675D8AE9"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Certificaciones: Usuarios de la región suroccidente y región noroccidente beneficiados con certificaciones, con 82.31% de avance físico.</w:t>
            </w:r>
          </w:p>
          <w:p w14:paraId="5658E80A" w14:textId="48ABD958"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Asientos registrales: Usuarios de la región suroccidente y región noroccidente beneficiados con asientos registrales de los procesos internos para llevar a cabo la entrega del servicio final, con 88.65% de avance físico.</w:t>
            </w:r>
          </w:p>
        </w:tc>
      </w:tr>
      <w:tr w:rsidR="6B4CB047" w14:paraId="7A0E3DB9"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58903CB6" w14:textId="74C6C781"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ALMG</w:t>
            </w:r>
          </w:p>
        </w:tc>
        <w:tc>
          <w:tcPr>
            <w:tcW w:w="7770" w:type="dxa"/>
            <w:tcMar>
              <w:left w:w="108" w:type="dxa"/>
              <w:right w:w="108" w:type="dxa"/>
            </w:tcMar>
          </w:tcPr>
          <w:p w14:paraId="64A0D019" w14:textId="76875147"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Población con habilidades lingüísticas y metodológicas adquiridas: 9,987 personas beneficiadas, con 97.5% de avance físico.</w:t>
            </w:r>
          </w:p>
          <w:p w14:paraId="664E3395" w14:textId="7315EF80"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Idiomas mayas promocionados y difundidos en medios de comunicación y en espacios públicos: 2,101 eventos realizados, con 92.68% de avance fís</w:t>
            </w:r>
            <w:r w:rsidR="00A55633">
              <w:rPr>
                <w:rFonts w:asciiTheme="minorHAnsi" w:hAnsiTheme="minorHAnsi" w:cstheme="minorHAnsi"/>
                <w:sz w:val="22"/>
                <w:szCs w:val="22"/>
                <w:lang w:val="es"/>
              </w:rPr>
              <w:t>ico</w:t>
            </w:r>
            <w:r w:rsidRPr="00A55633">
              <w:rPr>
                <w:rFonts w:asciiTheme="minorHAnsi" w:hAnsiTheme="minorHAnsi" w:cstheme="minorHAnsi"/>
                <w:sz w:val="22"/>
                <w:szCs w:val="22"/>
                <w:lang w:val="es"/>
              </w:rPr>
              <w:t>.</w:t>
            </w:r>
          </w:p>
        </w:tc>
      </w:tr>
      <w:tr w:rsidR="6B4CB047" w14:paraId="6DFEBC2E"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7C35BA1" w14:textId="46E6687D"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COG</w:t>
            </w:r>
          </w:p>
        </w:tc>
        <w:tc>
          <w:tcPr>
            <w:tcW w:w="7770" w:type="dxa"/>
            <w:tcMar>
              <w:left w:w="108" w:type="dxa"/>
              <w:right w:w="108" w:type="dxa"/>
            </w:tcMar>
          </w:tcPr>
          <w:p w14:paraId="49E2F22E" w14:textId="4E1D2CBC"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Apoyo Económico a deportistas de alto rendimiento en los procesos del ciclo Olímpico, se benefició 335 Deportistas, con 100% de avance físico.</w:t>
            </w:r>
          </w:p>
          <w:p w14:paraId="699A6CA6" w14:textId="2FF7877A"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Programa de campamentos y competencias (alto rendimiento) se ejecutaron 670 eventos, con 100% de avance físico.</w:t>
            </w:r>
          </w:p>
          <w:p w14:paraId="25F28B96" w14:textId="3D2E83E6"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 xml:space="preserve">Ayuda económica en la contratación de entrenadores nacionales y extranjeros mediante el programa de asistencia técnica, se benefició a 151 profesionales, con 100% de avance físico. </w:t>
            </w:r>
          </w:p>
          <w:p w14:paraId="43030ECF" w14:textId="50B8E2BC"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Promoción de los principios y valores del Olimpismo, 21,903 personas atendidas, con 100% de avance físico.</w:t>
            </w:r>
          </w:p>
        </w:tc>
      </w:tr>
      <w:tr w:rsidR="6B4CB047" w14:paraId="0EADF033"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5B62335F" w14:textId="65BB7B15"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RIC</w:t>
            </w:r>
          </w:p>
        </w:tc>
        <w:tc>
          <w:tcPr>
            <w:tcW w:w="7770" w:type="dxa"/>
            <w:tcMar>
              <w:left w:w="108" w:type="dxa"/>
              <w:right w:w="108" w:type="dxa"/>
            </w:tcMar>
          </w:tcPr>
          <w:p w14:paraId="51BEF697" w14:textId="432E256F"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Formación y actualización de profesionales y técnicos en materia catastral y desarrollo territorial, en el presente cuatrimestre se impartieron 52 cursos beneficiando a 1,345 personas.</w:t>
            </w:r>
          </w:p>
          <w:p w14:paraId="73BFD142" w14:textId="3D682B19"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 xml:space="preserve">Declaratoria administrativa de tierras comunales entregada a comunidades, se reportan en el presente cuatrimestre la declaratoria de 2 tierras comunales que corresponden al predio 17-01-34-00006 de la Asociación Civil Agrícola La Colorada, situada en el municipio de Flores, Petén y los predios identificados con CCC 16-04-01-00600 y 16-04-01-03385 del caserío Chiji en Tactic, Alta Verapaz. Las personas beneficiadas son 1,245 que pertenecen a 317 familias del pueblo Maya </w:t>
            </w:r>
            <w:r w:rsidR="00A55633" w:rsidRPr="00A55633">
              <w:rPr>
                <w:rFonts w:asciiTheme="minorHAnsi" w:hAnsiTheme="minorHAnsi" w:cstheme="minorHAnsi"/>
                <w:sz w:val="22"/>
                <w:szCs w:val="22"/>
                <w:lang w:val="es"/>
              </w:rPr>
              <w:t>Q'eqchi'</w:t>
            </w:r>
            <w:r w:rsidRPr="00A55633">
              <w:rPr>
                <w:rFonts w:asciiTheme="minorHAnsi" w:hAnsiTheme="minorHAnsi" w:cstheme="minorHAnsi"/>
                <w:sz w:val="22"/>
                <w:szCs w:val="22"/>
                <w:lang w:val="es"/>
              </w:rPr>
              <w:t>y mestizos.</w:t>
            </w:r>
          </w:p>
        </w:tc>
      </w:tr>
      <w:tr w:rsidR="6B4CB047" w14:paraId="78E60C37"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ED2594A" w14:textId="0756B83E"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IGM</w:t>
            </w:r>
          </w:p>
        </w:tc>
        <w:tc>
          <w:tcPr>
            <w:tcW w:w="7770" w:type="dxa"/>
            <w:tcMar>
              <w:left w:w="108" w:type="dxa"/>
              <w:right w:w="108" w:type="dxa"/>
            </w:tcMar>
          </w:tcPr>
          <w:p w14:paraId="2506A083" w14:textId="6F9E9457"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Asistencia y protección a las personas migrantes: al tercer cuatrimestre se reportaron 35,205 personas atendidas; para el año 2022  se registró  el total de 100,067 personas, con 86% de avance físico.</w:t>
            </w:r>
          </w:p>
          <w:p w14:paraId="5ADA8FBF" w14:textId="782D261D"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Emisión de documentos migratorios: al tercer cuatrimestre se reportaron 337,970 documentos emitidos a personas; para el año 2022 se emitieron 737,615 documentos, con 97% de avance físico.</w:t>
            </w:r>
          </w:p>
          <w:p w14:paraId="59107B49" w14:textId="73AD6782"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Personas nacionales y extranjeras con registro de ingreso, permanencia  y egreso del país: al tercer cuatrimestre se reportaron 3,142,028 de personas atendidas; para el año 2022 se atendieron a 8,403,952 de personas, con 70% de avance físico.</w:t>
            </w:r>
          </w:p>
        </w:tc>
      </w:tr>
      <w:tr w:rsidR="6B4CB047" w14:paraId="089D62FE"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2B6D2D5D" w14:textId="2EC43778"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CONALFA</w:t>
            </w:r>
          </w:p>
        </w:tc>
        <w:tc>
          <w:tcPr>
            <w:tcW w:w="7770" w:type="dxa"/>
            <w:tcMar>
              <w:left w:w="108" w:type="dxa"/>
              <w:right w:w="108" w:type="dxa"/>
            </w:tcMar>
          </w:tcPr>
          <w:p w14:paraId="1C53E790" w14:textId="63B2CEA7"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 xml:space="preserve">Personas de 15 años en adelante, de I Etapa de </w:t>
            </w:r>
            <w:r w:rsidR="00A55633">
              <w:rPr>
                <w:rFonts w:asciiTheme="minorHAnsi" w:hAnsiTheme="minorHAnsi" w:cstheme="minorHAnsi"/>
                <w:sz w:val="22"/>
                <w:szCs w:val="22"/>
                <w:lang w:val="es"/>
              </w:rPr>
              <w:t>Postalfabetización</w:t>
            </w:r>
            <w:r w:rsidRPr="00A55633">
              <w:rPr>
                <w:rFonts w:asciiTheme="minorHAnsi" w:hAnsiTheme="minorHAnsi" w:cstheme="minorHAnsi"/>
                <w:sz w:val="22"/>
                <w:szCs w:val="22"/>
                <w:lang w:val="es"/>
              </w:rPr>
              <w:t>, atendidas en idioma español, se reportaron 20,899 personas beneficiadas, con 89.04% de avance físico.</w:t>
            </w:r>
          </w:p>
          <w:p w14:paraId="26B798FA" w14:textId="132F044E"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 xml:space="preserve">Personas de 15 años en adelante, de II Etapa de </w:t>
            </w:r>
            <w:r w:rsidR="00A55633">
              <w:rPr>
                <w:rFonts w:asciiTheme="minorHAnsi" w:hAnsiTheme="minorHAnsi" w:cstheme="minorHAnsi"/>
                <w:sz w:val="22"/>
                <w:szCs w:val="22"/>
                <w:lang w:val="es"/>
              </w:rPr>
              <w:t>Postalfabetización</w:t>
            </w:r>
            <w:r w:rsidRPr="00A55633">
              <w:rPr>
                <w:rFonts w:asciiTheme="minorHAnsi" w:hAnsiTheme="minorHAnsi" w:cstheme="minorHAnsi"/>
                <w:sz w:val="22"/>
                <w:szCs w:val="22"/>
                <w:lang w:val="es"/>
              </w:rPr>
              <w:t>, atendidas en idioma español, se reportaron 12,850 personas beneficiadas, con 93.20% de avance físico.</w:t>
            </w:r>
          </w:p>
          <w:p w14:paraId="1F0AB753" w14:textId="5686567B"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 xml:space="preserve">Personas analfabetas de 15 años en adelante, de I Etapa de </w:t>
            </w:r>
            <w:r w:rsidR="00A55633">
              <w:rPr>
                <w:rFonts w:asciiTheme="minorHAnsi" w:hAnsiTheme="minorHAnsi" w:cstheme="minorHAnsi"/>
                <w:sz w:val="22"/>
                <w:szCs w:val="22"/>
                <w:lang w:val="es"/>
              </w:rPr>
              <w:t>Postalfabetización</w:t>
            </w:r>
            <w:r w:rsidRPr="00A55633">
              <w:rPr>
                <w:rFonts w:asciiTheme="minorHAnsi" w:hAnsiTheme="minorHAnsi" w:cstheme="minorHAnsi"/>
                <w:sz w:val="22"/>
                <w:szCs w:val="22"/>
                <w:lang w:val="es"/>
              </w:rPr>
              <w:t>, atendidas en idiomas Maya, Garífuna y Xinca, se reportaron 8,723 personas beneficiadas, con 83.75% de avance físico.</w:t>
            </w:r>
          </w:p>
          <w:p w14:paraId="7B241F63" w14:textId="60DDB795"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 xml:space="preserve">Personas analfabetas de 15 años en adelante, de II Etapa de </w:t>
            </w:r>
            <w:r w:rsidR="00A55633">
              <w:rPr>
                <w:rFonts w:asciiTheme="minorHAnsi" w:hAnsiTheme="minorHAnsi" w:cstheme="minorHAnsi"/>
                <w:sz w:val="22"/>
                <w:szCs w:val="22"/>
                <w:lang w:val="es"/>
              </w:rPr>
              <w:t>Postalfabetización</w:t>
            </w:r>
            <w:r w:rsidRPr="00A55633">
              <w:rPr>
                <w:rFonts w:asciiTheme="minorHAnsi" w:hAnsiTheme="minorHAnsi" w:cstheme="minorHAnsi"/>
                <w:sz w:val="22"/>
                <w:szCs w:val="22"/>
                <w:lang w:val="es"/>
              </w:rPr>
              <w:t>, atendidas en idiomas Maya, Garífuna y Xinca, se reportaron 4,987 personas beneficiadas, con 84.47% de avance físico.</w:t>
            </w:r>
          </w:p>
        </w:tc>
      </w:tr>
      <w:tr w:rsidR="6B4CB047" w14:paraId="2D4AB3BB"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623534BD" w14:textId="41535887"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FONTIERRAS</w:t>
            </w:r>
          </w:p>
        </w:tc>
        <w:tc>
          <w:tcPr>
            <w:tcW w:w="7770" w:type="dxa"/>
            <w:tcMar>
              <w:left w:w="108" w:type="dxa"/>
              <w:right w:w="108" w:type="dxa"/>
            </w:tcMar>
          </w:tcPr>
          <w:p w14:paraId="221360F9" w14:textId="5C606B3D"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Familias campesinas con acceso a la tierra vía crédito y subsidio para la compra de tierras: 70 familias beneficiadas, con 80.46% de avance físico.</w:t>
            </w:r>
          </w:p>
          <w:p w14:paraId="3E5C8704" w14:textId="64ED0CD7"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Familias campesinas con acceso a la tierra vía crédito y subsidio para arrendamiento de tierras: 16,086 familias beneficiadas, con 78.19% de avance físico.</w:t>
            </w:r>
          </w:p>
          <w:p w14:paraId="487B766F" w14:textId="34784BBA"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Familias campesinas con asistencia técnica para la ejecución de Proyectos Productivos: 1,178 familias beneficiadas, con 87.91% de avance físico.</w:t>
            </w:r>
          </w:p>
          <w:p w14:paraId="7A811C56" w14:textId="08DC0B50"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Familias campesinas beneficiadas con certeza jurídica vía regularización y adjudicación de tierras del Estado:2,928 familias beneficiadas, con 84.87% de avance físico.</w:t>
            </w:r>
          </w:p>
          <w:p w14:paraId="2D90DAB8" w14:textId="16CE179E"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Familias campesinas posesionarias de tierras del Estado, beneficiadas con escrituras públicas de adjudicación: 2,580 familias beneficiadas, con 95.73% de avance físico.</w:t>
            </w:r>
          </w:p>
        </w:tc>
      </w:tr>
      <w:tr w:rsidR="6B4CB047" w14:paraId="64375C83"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06807022" w14:textId="36D3C5B3"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MP</w:t>
            </w:r>
          </w:p>
        </w:tc>
        <w:tc>
          <w:tcPr>
            <w:tcW w:w="7770" w:type="dxa"/>
            <w:tcMar>
              <w:left w:w="108" w:type="dxa"/>
              <w:right w:w="108" w:type="dxa"/>
            </w:tcMar>
          </w:tcPr>
          <w:p w14:paraId="0931C582" w14:textId="1EC02E27"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Denuncias de delitos contra el tráfico ilícito de migrantes, atendidas: 36 casos atendidos y 403 personas beneficiadas, con 100% de avance físico.</w:t>
            </w:r>
          </w:p>
          <w:p w14:paraId="2F30E402" w14:textId="466D3FF8"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Denuncias contra el delito de extorsión, atendidas: 5,224 casos atendidos y 9,131 personas beneficiadas, con 91.01% de avance físico.</w:t>
            </w:r>
          </w:p>
          <w:p w14:paraId="06A208FA" w14:textId="00EC2EBB"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Denuncias atendidas en Fiscalías Distritales OAP: 152,895 personas beneficiadas en el año.</w:t>
            </w:r>
          </w:p>
          <w:p w14:paraId="2FAF17B5" w14:textId="6B69D058"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Denuncias atendidas en Fiscalías Municipales OAP: 113,915 personas beneficiadas.</w:t>
            </w:r>
          </w:p>
          <w:p w14:paraId="212BE644" w14:textId="32C8CE0A" w:rsidR="6B4CB047" w:rsidRPr="00A55633" w:rsidRDefault="6B4CB047" w:rsidP="00A55633">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Denuncias atendidas en Agencias Fiscales OAP: 85,633 personas beneficiadas.</w:t>
            </w:r>
          </w:p>
        </w:tc>
      </w:tr>
      <w:tr w:rsidR="6B4CB047" w14:paraId="32F37DF7"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3F8C19F9" w14:textId="45F188D6"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INE</w:t>
            </w:r>
          </w:p>
        </w:tc>
        <w:tc>
          <w:tcPr>
            <w:tcW w:w="7770" w:type="dxa"/>
            <w:tcMar>
              <w:left w:w="108" w:type="dxa"/>
              <w:right w:w="108" w:type="dxa"/>
            </w:tcMar>
          </w:tcPr>
          <w:p w14:paraId="215538CC" w14:textId="3589B25A"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Estadísticas Continuas: 61 publicaciones en el año, con 100% de avance físico.</w:t>
            </w:r>
          </w:p>
          <w:p w14:paraId="256C280F" w14:textId="33EE2234" w:rsidR="6B4CB047" w:rsidRPr="00A55633" w:rsidRDefault="6B4CB047" w:rsidP="00A55633">
            <w:pPr>
              <w:pStyle w:val="Prrafodelista"/>
              <w:numPr>
                <w:ilvl w:val="0"/>
                <w:numId w:val="3"/>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Índices e Indicadores Económicos: 62 publicaciones en el año, con 100% de avance físico.</w:t>
            </w:r>
          </w:p>
        </w:tc>
      </w:tr>
      <w:tr w:rsidR="6B4CB047" w14:paraId="6EC2AA70"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4116CC5E" w14:textId="135BB336"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INSTITUTO DE LA VÍCTIMA</w:t>
            </w:r>
          </w:p>
        </w:tc>
        <w:tc>
          <w:tcPr>
            <w:tcW w:w="7770" w:type="dxa"/>
            <w:tcMar>
              <w:left w:w="108" w:type="dxa"/>
              <w:right w:w="108" w:type="dxa"/>
            </w:tcMar>
          </w:tcPr>
          <w:p w14:paraId="316711B7" w14:textId="54A7AB82" w:rsidR="6B4CB047" w:rsidRPr="00A55633" w:rsidRDefault="6B4CB047" w:rsidP="00722285">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Atención a personas víctimas de hechos delictivos: con un total de 65,430 atenciones victimológicas en el año, con 100% de avance físico.</w:t>
            </w:r>
          </w:p>
          <w:p w14:paraId="57CAA460" w14:textId="13E6F1D2" w:rsidR="6B4CB047" w:rsidRPr="00A55633" w:rsidRDefault="6B4CB047" w:rsidP="00722285">
            <w:pPr>
              <w:pStyle w:val="Prrafodelista"/>
              <w:numPr>
                <w:ilvl w:val="0"/>
                <w:numId w:val="3"/>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Asistencia legal a personas víctimas de hechos delictivos: con un total de 46,165 asistencias legales brindadas en el año, con 100% de avance físico.</w:t>
            </w:r>
          </w:p>
        </w:tc>
      </w:tr>
      <w:tr w:rsidR="6B4CB047" w14:paraId="33083BDF"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A1CCAA1" w14:textId="501B7AA2"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PDH</w:t>
            </w:r>
          </w:p>
        </w:tc>
        <w:tc>
          <w:tcPr>
            <w:tcW w:w="7770" w:type="dxa"/>
            <w:tcMar>
              <w:left w:w="108" w:type="dxa"/>
              <w:right w:w="108" w:type="dxa"/>
            </w:tcMar>
          </w:tcPr>
          <w:p w14:paraId="07C63206" w14:textId="21076FA4" w:rsidR="6B4CB047" w:rsidRPr="00A55633" w:rsidRDefault="6B4CB047" w:rsidP="003C1D42">
            <w:pPr>
              <w:pStyle w:val="Prrafodelista"/>
              <w:numPr>
                <w:ilvl w:val="0"/>
                <w:numId w:val="26"/>
              </w:numPr>
              <w:spacing w:before="120" w:after="120"/>
              <w:ind w:left="73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Procesos metodológicos institucionales en derechos humanos:  23,252 personas beneficiadas, con 100% de avance físico.</w:t>
            </w:r>
          </w:p>
          <w:p w14:paraId="2B1A3A91" w14:textId="1497DA2D" w:rsidR="6B4CB047" w:rsidRPr="00A55633" w:rsidRDefault="6B4CB047" w:rsidP="003C1D42">
            <w:pPr>
              <w:pStyle w:val="Prrafodelista"/>
              <w:numPr>
                <w:ilvl w:val="0"/>
                <w:numId w:val="26"/>
              </w:numPr>
              <w:spacing w:before="120" w:after="120"/>
              <w:ind w:left="73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Defensa y resolución de derechos violentados: 2,503 personas beneficiadas, con 94.76% de avance físico.</w:t>
            </w:r>
          </w:p>
          <w:p w14:paraId="7B5398EE" w14:textId="6411F03C" w:rsidR="6B4CB047" w:rsidRPr="00A55633" w:rsidRDefault="6B4CB047" w:rsidP="003C1D42">
            <w:pPr>
              <w:pStyle w:val="Prrafodelista"/>
              <w:numPr>
                <w:ilvl w:val="0"/>
                <w:numId w:val="26"/>
              </w:numPr>
              <w:spacing w:before="120" w:after="120"/>
              <w:ind w:left="73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 xml:space="preserve">Acciones legales, asesoría técnica e informes en materia de la Ley de Acceso a la Información Pública: 2,030 personas beneficiadas, con 100% de avance físico. </w:t>
            </w:r>
          </w:p>
        </w:tc>
      </w:tr>
      <w:tr w:rsidR="6B4CB047" w14:paraId="27928BF5"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2A9AE903" w14:textId="4E358555"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INFOM</w:t>
            </w:r>
          </w:p>
        </w:tc>
        <w:tc>
          <w:tcPr>
            <w:tcW w:w="7770" w:type="dxa"/>
            <w:tcMar>
              <w:left w:w="108" w:type="dxa"/>
              <w:right w:w="108" w:type="dxa"/>
            </w:tcMar>
          </w:tcPr>
          <w:p w14:paraId="68436393" w14:textId="093897E6" w:rsidR="6B4CB047" w:rsidRPr="00A55633" w:rsidRDefault="6B4CB047" w:rsidP="003C1D42">
            <w:pPr>
              <w:pStyle w:val="Prrafodelista"/>
              <w:numPr>
                <w:ilvl w:val="0"/>
                <w:numId w:val="27"/>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Construcción de alcantarillados: se programaron 5 obras ubicadas en el departamento de San Marcos, con meta vigente global de 103,991 metros, de los cuales se ejecutaron 80,367 metros, con 77.28% de avance físico. Al tercer cuatrimestre, 2 obras alcanzaron el 100% de ejecución física (SNIP: 153750 y 153759), ambos proyectos en el departamento de San Marcos, municipios de San Pablo y San José El Rodeo, beneficiado a 12,610 personas, 5,981 hombres y 6,629 mujeres.</w:t>
            </w:r>
          </w:p>
          <w:p w14:paraId="228AB9FF" w14:textId="78B26A56" w:rsidR="6B4CB047" w:rsidRPr="00A55633" w:rsidRDefault="6B4CB047" w:rsidP="003C1D42">
            <w:pPr>
              <w:pStyle w:val="Prrafodelista"/>
              <w:numPr>
                <w:ilvl w:val="0"/>
                <w:numId w:val="27"/>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Análisis de laboratorio de agua a entidades, personas jurídicas e individuales: de una meta vigente anual de 6,320 análisis de laboratorio, se realizaron 6,197 análisis en el año, con 98.05% de avance físico. Se atendieron 18 departamentos y 85 municipios.</w:t>
            </w:r>
          </w:p>
          <w:p w14:paraId="529C1999" w14:textId="6E9428FF" w:rsidR="6B4CB047" w:rsidRPr="00A55633" w:rsidRDefault="6B4CB047" w:rsidP="003C1D42">
            <w:pPr>
              <w:pStyle w:val="Prrafodelista"/>
              <w:numPr>
                <w:ilvl w:val="0"/>
                <w:numId w:val="27"/>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Construcción de acueductos: se programaron 25 obras, con meta vigente de 187,689 metros, de los cuales se ejecutó 88,879.81 metros, con 47.35% de avance físico, cabe destacar que al III cuatrimestre 2 obras alcanzaron el 100% de ejecución física (SNIP: 153745 y 188890) y fueron finalizados dichos proyectos en el departamento de San Marcos municipios de San Pablo y San José El Rodeo, habiendo beneficiado a 12,610 personas, 5,981 hombres y 6,629 mujeres.</w:t>
            </w:r>
          </w:p>
        </w:tc>
      </w:tr>
      <w:tr w:rsidR="6B4CB047" w14:paraId="271DE667"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7D62B3E" w14:textId="4F384443"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RENAP</w:t>
            </w:r>
          </w:p>
        </w:tc>
        <w:tc>
          <w:tcPr>
            <w:tcW w:w="7770" w:type="dxa"/>
            <w:tcMar>
              <w:left w:w="108" w:type="dxa"/>
              <w:right w:w="108" w:type="dxa"/>
            </w:tcMar>
          </w:tcPr>
          <w:p w14:paraId="7200518E" w14:textId="1573410C" w:rsidR="6B4CB047" w:rsidRPr="00A55633" w:rsidRDefault="6B4CB047" w:rsidP="003C1D42">
            <w:pPr>
              <w:pStyle w:val="Prrafodelista"/>
              <w:numPr>
                <w:ilvl w:val="0"/>
                <w:numId w:val="28"/>
              </w:numPr>
              <w:spacing w:before="120" w:after="120"/>
              <w:ind w:left="731"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Inscripciones de hechos y actos registrales realizadas: se reportó una ejecución de 633,080, con 98.75% de avance físico.</w:t>
            </w:r>
          </w:p>
          <w:p w14:paraId="681729FD" w14:textId="5867D6D3" w:rsidR="6B4CB047" w:rsidRPr="00A55633" w:rsidRDefault="6B4CB047" w:rsidP="003C1D42">
            <w:pPr>
              <w:pStyle w:val="Prrafodelista"/>
              <w:numPr>
                <w:ilvl w:val="0"/>
                <w:numId w:val="28"/>
              </w:numPr>
              <w:spacing w:before="120" w:after="120"/>
              <w:ind w:left="731"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Certificaciones de hechos y actos registrales emitidas: se reportó una ejecución de 6,541,005, con 92.47% de avance físico.</w:t>
            </w:r>
          </w:p>
          <w:p w14:paraId="13EE9405" w14:textId="099B64F9" w:rsidR="6B4CB047" w:rsidRPr="00A55633" w:rsidRDefault="6B4CB047" w:rsidP="003C1D42">
            <w:pPr>
              <w:pStyle w:val="Prrafodelista"/>
              <w:numPr>
                <w:ilvl w:val="0"/>
                <w:numId w:val="28"/>
              </w:numPr>
              <w:spacing w:before="120" w:after="120"/>
              <w:ind w:left="731"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Servicios de verificación de identidad y apoyo social (se refiere a las personas naturales sin poderse inscribir en el Registro Central de las Personas o sin poder obtener el Documento Personal de Identificación -DPI-: se reportó una ejecución de 3,604 casos resueltos, con 98.07% de avance físico.</w:t>
            </w:r>
          </w:p>
          <w:p w14:paraId="061CFC62" w14:textId="5C3EA503" w:rsidR="6B4CB047" w:rsidRPr="00A55633" w:rsidRDefault="6B4CB047" w:rsidP="003C1D42">
            <w:pPr>
              <w:pStyle w:val="Prrafodelista"/>
              <w:numPr>
                <w:ilvl w:val="0"/>
                <w:numId w:val="28"/>
              </w:numPr>
              <w:spacing w:before="120" w:after="120"/>
              <w:ind w:left="731"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Documentos Personales de Identificación (DPI) emitidos: se registró 1,955,050, con el 100% de avance físico. Sin embargo, al 27 de diciembre de 2022 se superó la meta anual por 62,249, con 103.18% de avance.</w:t>
            </w:r>
          </w:p>
        </w:tc>
      </w:tr>
      <w:tr w:rsidR="6B4CB047" w14:paraId="6CE30ED8"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0D17CC1F" w14:textId="5E7CD5AC"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INGUAT</w:t>
            </w:r>
          </w:p>
        </w:tc>
        <w:tc>
          <w:tcPr>
            <w:tcW w:w="7770" w:type="dxa"/>
            <w:tcMar>
              <w:left w:w="108" w:type="dxa"/>
              <w:right w:w="108" w:type="dxa"/>
            </w:tcMar>
          </w:tcPr>
          <w:p w14:paraId="0AC543E2" w14:textId="2A3124C0" w:rsidR="6B4CB047" w:rsidRPr="00A55633" w:rsidRDefault="6B4CB047" w:rsidP="003C1D42">
            <w:pPr>
              <w:pStyle w:val="Prrafodelista"/>
              <w:numPr>
                <w:ilvl w:val="0"/>
                <w:numId w:val="29"/>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Señalización turística en beneficio de visitantes nacionales e internacionales: 66 señales (55 viales y 11 interpretativas) en el tercer cuatrimestre y 317 (255 viales y 62 interpretativas) al finalizar el año, se beneficia a todas las personas que transitan o visitan los atractivos turísticos, con 97.84% de avance físico.</w:t>
            </w:r>
          </w:p>
          <w:p w14:paraId="705939BE" w14:textId="150718F8" w:rsidR="6B4CB047" w:rsidRPr="00A55633" w:rsidRDefault="6B4CB047" w:rsidP="003C1D42">
            <w:pPr>
              <w:pStyle w:val="Prrafodelista"/>
              <w:numPr>
                <w:ilvl w:val="0"/>
                <w:numId w:val="29"/>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Personas individuales y jurídicas beneficiadas con actividades para la conservación del patrimonio: apoyo a 48 eventos y otras actividades culturales y festivales gastronómicos con la finalidad de preservar los elementos identitarios de las culturas locales, con un aproximado de 42,726 beneficiarios, con 100% de avance físico.</w:t>
            </w:r>
          </w:p>
          <w:p w14:paraId="493DD391" w14:textId="119F9379" w:rsidR="6B4CB047" w:rsidRPr="00A55633" w:rsidRDefault="6B4CB047" w:rsidP="003C1D42">
            <w:pPr>
              <w:pStyle w:val="Prrafodelista"/>
              <w:numPr>
                <w:ilvl w:val="0"/>
                <w:numId w:val="29"/>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Servicios de asistencia en seguridad a visitantes nacionales e internacionales: se brindó 1,099 asistencias en eventualidades y se gestionó 1,164 apoyos de seguridad para acompañamiento con la Dirección de Seguridad Turística -DISETUR- de la Policía Nacional Civil -PNC-. El total de beneficiarios de ambas acciones fue 3,649 turistas en el último cuatrimestre, con 100% de avance físico.</w:t>
            </w:r>
          </w:p>
        </w:tc>
      </w:tr>
      <w:tr w:rsidR="6B4CB047" w14:paraId="7C84E56E"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7CBF1164" w14:textId="047721CD"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RGP</w:t>
            </w:r>
          </w:p>
        </w:tc>
        <w:tc>
          <w:tcPr>
            <w:tcW w:w="7770" w:type="dxa"/>
            <w:tcMar>
              <w:left w:w="108" w:type="dxa"/>
              <w:right w:w="108" w:type="dxa"/>
            </w:tcMar>
          </w:tcPr>
          <w:p w14:paraId="7B2AADF8" w14:textId="3A9EA40C" w:rsidR="6B4CB047" w:rsidRPr="00A55633" w:rsidRDefault="6B4CB047" w:rsidP="003C1D42">
            <w:pPr>
              <w:pStyle w:val="Prrafodelista"/>
              <w:numPr>
                <w:ilvl w:val="0"/>
                <w:numId w:val="29"/>
              </w:numPr>
              <w:ind w:left="73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 xml:space="preserve">Durante el tercer cuatrimestre se operaron 96,064 documentos registrales y un total de 323,784 documentos registrales en el año. Se brindaron servicios institucionales a 627,845 personas, con 100% de avance físico. </w:t>
            </w:r>
          </w:p>
        </w:tc>
      </w:tr>
      <w:tr w:rsidR="6B4CB047" w14:paraId="4C4F32B8"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13419D4C" w14:textId="5F5F93F6"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INACIF</w:t>
            </w:r>
          </w:p>
        </w:tc>
        <w:tc>
          <w:tcPr>
            <w:tcW w:w="7770" w:type="dxa"/>
            <w:tcMar>
              <w:left w:w="108" w:type="dxa"/>
              <w:right w:w="108" w:type="dxa"/>
            </w:tcMar>
          </w:tcPr>
          <w:p w14:paraId="6F683019" w14:textId="177EE33F" w:rsidR="6B4CB047" w:rsidRPr="00A55633" w:rsidRDefault="6B4CB047" w:rsidP="003C1D42">
            <w:pPr>
              <w:pStyle w:val="Prrafodelista"/>
              <w:numPr>
                <w:ilvl w:val="0"/>
                <w:numId w:val="29"/>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Dictámenes técnicos científicos de los laboratorios de criminalística: 52,431 documentos al finalizar el año, con 87.57% de avance físico.</w:t>
            </w:r>
          </w:p>
          <w:p w14:paraId="0857A483" w14:textId="58789DC1" w:rsidR="6B4CB047" w:rsidRPr="00A55633" w:rsidRDefault="6B4CB047" w:rsidP="003C1D42">
            <w:pPr>
              <w:pStyle w:val="Prrafodelista"/>
              <w:numPr>
                <w:ilvl w:val="0"/>
                <w:numId w:val="29"/>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Dictámenes científicos de medicina forense: 98,296.00 documentos al finalizar el año, con 79.57% de avance físico.</w:t>
            </w:r>
          </w:p>
        </w:tc>
      </w:tr>
      <w:tr w:rsidR="6B4CB047" w14:paraId="4AB338F5"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21D3554A" w14:textId="1928B312"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INDECA</w:t>
            </w:r>
          </w:p>
        </w:tc>
        <w:tc>
          <w:tcPr>
            <w:tcW w:w="7770" w:type="dxa"/>
            <w:tcMar>
              <w:left w:w="108" w:type="dxa"/>
              <w:right w:w="108" w:type="dxa"/>
            </w:tcMar>
          </w:tcPr>
          <w:p w14:paraId="6CC7C131" w14:textId="5F30690A" w:rsidR="6B4CB047" w:rsidRPr="00A55633" w:rsidRDefault="6B4CB047" w:rsidP="003C1D42">
            <w:pPr>
              <w:pStyle w:val="Prrafodelista"/>
              <w:numPr>
                <w:ilvl w:val="0"/>
                <w:numId w:val="29"/>
              </w:numPr>
              <w:ind w:left="73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Resguardo y conservación de alimentos: con un acumulado de 36,782.58 toneladas métricas de existencias promedio, con 98.84% de avance físico. El INDECA no atiende a población final, sus beneficiarios son instituciones (MAGA y MIDES).</w:t>
            </w:r>
          </w:p>
        </w:tc>
      </w:tr>
      <w:tr w:rsidR="6B4CB047" w14:paraId="23B3A04B"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Mar>
              <w:left w:w="108" w:type="dxa"/>
              <w:right w:w="108" w:type="dxa"/>
            </w:tcMar>
          </w:tcPr>
          <w:p w14:paraId="303978F8" w14:textId="42CCAF37" w:rsidR="6B4CB047" w:rsidRPr="00A55633" w:rsidRDefault="6B4CB047" w:rsidP="6B4CB047">
            <w:pPr>
              <w:spacing w:line="254" w:lineRule="auto"/>
              <w:jc w:val="center"/>
              <w:rPr>
                <w:rFonts w:asciiTheme="minorHAnsi" w:hAnsiTheme="minorHAnsi" w:cstheme="minorHAnsi"/>
                <w:b w:val="0"/>
                <w:sz w:val="22"/>
                <w:szCs w:val="22"/>
              </w:rPr>
            </w:pPr>
            <w:r w:rsidRPr="00A55633">
              <w:rPr>
                <w:rFonts w:asciiTheme="minorHAnsi" w:hAnsiTheme="minorHAnsi" w:cstheme="minorHAnsi"/>
                <w:b w:val="0"/>
                <w:sz w:val="22"/>
                <w:szCs w:val="22"/>
                <w:lang w:val="es"/>
              </w:rPr>
              <w:t>IGSS</w:t>
            </w:r>
          </w:p>
        </w:tc>
        <w:tc>
          <w:tcPr>
            <w:tcW w:w="7770" w:type="dxa"/>
            <w:tcMar>
              <w:left w:w="108" w:type="dxa"/>
              <w:right w:w="108" w:type="dxa"/>
            </w:tcMar>
          </w:tcPr>
          <w:p w14:paraId="38974A05" w14:textId="630C2F22" w:rsidR="6B4CB047" w:rsidRPr="00A55633" w:rsidRDefault="6B4CB047" w:rsidP="003C1D42">
            <w:pPr>
              <w:pStyle w:val="Prrafodelista"/>
              <w:numPr>
                <w:ilvl w:val="0"/>
                <w:numId w:val="29"/>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1,088,655 consultas externas por enfermedad, brindadas a afiliados, beneficiarios (adultos y niños) y pensionados.</w:t>
            </w:r>
          </w:p>
          <w:p w14:paraId="4797FDD6" w14:textId="71563050" w:rsidR="6B4CB047" w:rsidRPr="00A55633" w:rsidRDefault="6B4CB047" w:rsidP="003C1D42">
            <w:pPr>
              <w:pStyle w:val="Prrafodelista"/>
              <w:numPr>
                <w:ilvl w:val="0"/>
                <w:numId w:val="29"/>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312,881 emergencias por enfermedad, brindadas a  afiliados, beneficiarios (adultos y niños), pensionados y población no afiliada.</w:t>
            </w:r>
          </w:p>
          <w:p w14:paraId="5B043BBC" w14:textId="3FF5618A" w:rsidR="6B4CB047" w:rsidRPr="00A55633" w:rsidRDefault="6B4CB047" w:rsidP="003C1D42">
            <w:pPr>
              <w:pStyle w:val="Prrafodelista"/>
              <w:numPr>
                <w:ilvl w:val="0"/>
                <w:numId w:val="29"/>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65,942 pagos por incapacidad temporal en el riesgo de enfermedad del programa EMA.</w:t>
            </w:r>
          </w:p>
          <w:p w14:paraId="204D8A36" w14:textId="0EB42EFE" w:rsidR="6B4CB047" w:rsidRPr="00A55633" w:rsidRDefault="6B4CB047" w:rsidP="003C1D42">
            <w:pPr>
              <w:pStyle w:val="Prrafodelista"/>
              <w:numPr>
                <w:ilvl w:val="0"/>
                <w:numId w:val="29"/>
              </w:numPr>
              <w:spacing w:before="120" w:after="120"/>
              <w:ind w:left="731"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642,363 pagos de pensiones por vejez, en el programa de IVS.</w:t>
            </w:r>
          </w:p>
          <w:p w14:paraId="10BF7997" w14:textId="6546654B" w:rsidR="6B4CB047" w:rsidRPr="00A55633" w:rsidRDefault="6B4CB047" w:rsidP="003C1D42">
            <w:pPr>
              <w:pStyle w:val="Prrafodelista"/>
              <w:numPr>
                <w:ilvl w:val="0"/>
                <w:numId w:val="29"/>
              </w:numPr>
              <w:ind w:left="73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A55633">
              <w:rPr>
                <w:rFonts w:asciiTheme="minorHAnsi" w:hAnsiTheme="minorHAnsi" w:cstheme="minorHAnsi"/>
                <w:sz w:val="22"/>
                <w:szCs w:val="22"/>
                <w:lang w:val="es"/>
              </w:rPr>
              <w:t>437,736 pagos por sobrevivencia, en el programa de IVS.</w:t>
            </w:r>
          </w:p>
        </w:tc>
      </w:tr>
    </w:tbl>
    <w:p w14:paraId="4319570A" w14:textId="00B149BB" w:rsidR="34D87270" w:rsidRDefault="34D87270" w:rsidP="002C6654">
      <w:pPr>
        <w:spacing w:after="120" w:line="240" w:lineRule="auto"/>
        <w:jc w:val="both"/>
      </w:pPr>
      <w:r>
        <w:br/>
      </w:r>
      <w:r w:rsidR="6B4CB047" w:rsidRPr="6B4CB047">
        <w:rPr>
          <w:rFonts w:ascii="Calibri" w:eastAsia="Calibri" w:hAnsi="Calibri" w:cs="Calibri"/>
          <w:b/>
          <w:bCs/>
          <w:sz w:val="24"/>
          <w:szCs w:val="24"/>
        </w:rPr>
        <w:t>Ejecución financiera</w:t>
      </w:r>
    </w:p>
    <w:p w14:paraId="214B6038" w14:textId="1CA7E420" w:rsidR="34D87270" w:rsidRDefault="6B4CB047" w:rsidP="002C6654">
      <w:pPr>
        <w:spacing w:after="120" w:line="240" w:lineRule="auto"/>
        <w:jc w:val="both"/>
      </w:pPr>
      <w:r w:rsidRPr="6B4CB047">
        <w:rPr>
          <w:rFonts w:ascii="Calibri" w:eastAsia="Calibri" w:hAnsi="Calibri" w:cs="Calibri"/>
          <w:sz w:val="24"/>
          <w:szCs w:val="24"/>
        </w:rPr>
        <w:t>De las 39 entidades incluidas en el presente informe, nueve alcanzaron una ejecución alta de meta financiera, con un promedio de 94%, de las cuales ADESCA, BCVBG, CONRED, RENAP, PDH e INE, lograron la mayor efectividad en el cumplimiento de metas físicas y financieras.</w:t>
      </w:r>
    </w:p>
    <w:p w14:paraId="6544A5B4" w14:textId="3983840F" w:rsidR="34D87270" w:rsidRDefault="6B4CB047" w:rsidP="002C6654">
      <w:pPr>
        <w:spacing w:after="120" w:line="240" w:lineRule="auto"/>
        <w:jc w:val="both"/>
      </w:pPr>
      <w:r w:rsidRPr="6B4CB047">
        <w:rPr>
          <w:rFonts w:ascii="Calibri" w:eastAsia="Calibri" w:hAnsi="Calibri" w:cs="Calibri"/>
          <w:sz w:val="24"/>
          <w:szCs w:val="24"/>
        </w:rPr>
        <w:t>Un total de 25 entidades alcanzaron una ejecución media de metas financieras, con un promedio de 77.8% de ejecución en el año. Mientras que, el TSE, FODIGUA, COPEREX, CONADER y OJ, mostraron baja ejecución financiera. En el caso de TSE, FODIGUA y OJ, aunque reportaron ejecución, no se pudo establecer el avance, por no contar con registros de meta financiera vigente.</w:t>
      </w:r>
    </w:p>
    <w:p w14:paraId="2E0D3E34" w14:textId="05E2654D" w:rsidR="34D87270" w:rsidRDefault="6B4CB047" w:rsidP="00D40E91">
      <w:pPr>
        <w:spacing w:before="120" w:after="120" w:line="240" w:lineRule="auto"/>
        <w:jc w:val="both"/>
      </w:pPr>
      <w:r w:rsidRPr="6B4CB047">
        <w:rPr>
          <w:rFonts w:ascii="Calibri" w:eastAsia="Calibri" w:hAnsi="Calibri" w:cs="Calibri"/>
          <w:sz w:val="24"/>
          <w:szCs w:val="24"/>
        </w:rPr>
        <w:t>Las entidades, MP, INACOP e INTECAP, no fueron incluidas en la tabla de resultados, derivado de registros incompletos de modificaciones de metas financieras en Siplan, lo que provocó que el resultado de avance de meta financiera fuera inexacto, superando el 100% de la meta programada, por lo que, no fue posible establecer con claridad el desempeño en la ejecución financiera.</w:t>
      </w:r>
    </w:p>
    <w:p w14:paraId="1FD84237" w14:textId="139B02CF" w:rsidR="34D87270" w:rsidRDefault="6B4CB047" w:rsidP="00D40E91">
      <w:pPr>
        <w:spacing w:before="120" w:after="120" w:line="240" w:lineRule="auto"/>
        <w:jc w:val="both"/>
      </w:pPr>
      <w:r w:rsidRPr="6B4CB047">
        <w:rPr>
          <w:rFonts w:ascii="Calibri" w:eastAsia="Calibri" w:hAnsi="Calibri" w:cs="Calibri"/>
          <w:sz w:val="24"/>
          <w:szCs w:val="24"/>
        </w:rPr>
        <w:t>En las siguientes gráficas se visualiza el comportamiento en el avance de ejecución de metas físicas y financieras</w:t>
      </w:r>
      <w:r w:rsidRPr="6B4CB047">
        <w:rPr>
          <w:rFonts w:ascii="Calibri" w:eastAsia="Calibri" w:hAnsi="Calibri" w:cs="Calibri"/>
          <w:color w:val="FF0000"/>
          <w:sz w:val="24"/>
          <w:szCs w:val="24"/>
        </w:rPr>
        <w:t xml:space="preserve"> </w:t>
      </w:r>
      <w:r w:rsidRPr="6B4CB047">
        <w:rPr>
          <w:rFonts w:ascii="Calibri" w:eastAsia="Calibri" w:hAnsi="Calibri" w:cs="Calibri"/>
          <w:sz w:val="24"/>
          <w:szCs w:val="24"/>
        </w:rPr>
        <w:t>de las entidades descentralizadas y autónomas.</w:t>
      </w:r>
    </w:p>
    <w:p w14:paraId="43F91A51" w14:textId="2E46E313" w:rsidR="00F11809" w:rsidRPr="009113A0" w:rsidRDefault="00F11809" w:rsidP="009113A0">
      <w:pPr>
        <w:pStyle w:val="ttulosgrficas"/>
        <w:rPr>
          <w:rFonts w:asciiTheme="minorHAnsi" w:hAnsiTheme="minorHAnsi" w:cstheme="minorHAnsi"/>
          <w:caps/>
          <w:color w:val="4472C4" w:themeColor="accent1"/>
          <w:lang w:val="es"/>
        </w:rPr>
      </w:pPr>
      <w:bookmarkStart w:id="49" w:name="_Toc130204472"/>
      <w:r w:rsidRPr="009113A0">
        <w:rPr>
          <w:rFonts w:asciiTheme="minorHAnsi" w:hAnsiTheme="minorHAnsi" w:cstheme="minorHAnsi"/>
          <w:color w:val="4472C4" w:themeColor="accent1"/>
          <w:lang w:val="es"/>
        </w:rPr>
        <w:t xml:space="preserve">Gráfica </w:t>
      </w:r>
      <w:r w:rsidR="002C6654" w:rsidRPr="009113A0">
        <w:rPr>
          <w:rFonts w:asciiTheme="minorHAnsi" w:hAnsiTheme="minorHAnsi" w:cstheme="minorHAnsi"/>
          <w:color w:val="4472C4" w:themeColor="accent1"/>
          <w:lang w:val="es"/>
        </w:rPr>
        <w:fldChar w:fldCharType="begin"/>
      </w:r>
      <w:r w:rsidR="002C6654" w:rsidRPr="009113A0">
        <w:rPr>
          <w:rFonts w:asciiTheme="minorHAnsi" w:hAnsiTheme="minorHAnsi" w:cstheme="minorHAnsi"/>
          <w:color w:val="4472C4" w:themeColor="accent1"/>
          <w:lang w:val="es"/>
        </w:rPr>
        <w:instrText xml:space="preserve"> SEQ Gráfica \* ARABIC </w:instrText>
      </w:r>
      <w:r w:rsidR="002C6654" w:rsidRPr="009113A0">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4</w:t>
      </w:r>
      <w:r w:rsidR="002C6654" w:rsidRPr="009113A0">
        <w:rPr>
          <w:rFonts w:asciiTheme="minorHAnsi" w:hAnsiTheme="minorHAnsi" w:cstheme="minorHAnsi"/>
          <w:color w:val="4472C4" w:themeColor="accent1"/>
          <w:lang w:val="es"/>
        </w:rPr>
        <w:fldChar w:fldCharType="end"/>
      </w:r>
      <w:r w:rsidRPr="009113A0">
        <w:rPr>
          <w:rFonts w:asciiTheme="minorHAnsi" w:hAnsiTheme="minorHAnsi" w:cstheme="minorHAnsi"/>
          <w:color w:val="4472C4" w:themeColor="accent1"/>
          <w:lang w:val="es"/>
        </w:rPr>
        <w:t>. Comparativo de ejecución física y financiera</w:t>
      </w:r>
      <w:bookmarkEnd w:id="49"/>
    </w:p>
    <w:p w14:paraId="0A4CAF98" w14:textId="32320511" w:rsidR="34D87270" w:rsidRDefault="00F11809" w:rsidP="009113A0">
      <w:pPr>
        <w:pStyle w:val="ttulosgrficas"/>
        <w:rPr>
          <w:rFonts w:eastAsia="Helvetica"/>
          <w:highlight w:val="yellow"/>
          <w:lang w:val="es"/>
        </w:rPr>
      </w:pPr>
      <w:r w:rsidRPr="009113A0">
        <w:rPr>
          <w:rFonts w:asciiTheme="minorHAnsi" w:hAnsiTheme="minorHAnsi" w:cstheme="minorHAnsi"/>
          <w:color w:val="4472C4" w:themeColor="accent1"/>
          <w:lang w:val="es"/>
        </w:rPr>
        <w:t xml:space="preserve"> Descentralizadas y Autónomas</w:t>
      </w:r>
    </w:p>
    <w:p w14:paraId="425FC663" w14:textId="059095D2" w:rsidR="00F11809" w:rsidRDefault="00F11809" w:rsidP="6B4CB047">
      <w:pPr>
        <w:rPr>
          <w:rFonts w:ascii="Calibri" w:eastAsia="Calibri" w:hAnsi="Calibri" w:cs="Calibri"/>
          <w:sz w:val="16"/>
          <w:szCs w:val="16"/>
        </w:rPr>
      </w:pPr>
      <w:r>
        <w:rPr>
          <w:noProof/>
        </w:rPr>
        <w:drawing>
          <wp:anchor distT="0" distB="0" distL="114300" distR="114300" simplePos="0" relativeHeight="251735552" behindDoc="0" locked="0" layoutInCell="1" allowOverlap="1" wp14:anchorId="16D03DB5" wp14:editId="59050E17">
            <wp:simplePos x="0" y="0"/>
            <wp:positionH relativeFrom="page">
              <wp:posOffset>1430655</wp:posOffset>
            </wp:positionH>
            <wp:positionV relativeFrom="paragraph">
              <wp:posOffset>35560</wp:posOffset>
            </wp:positionV>
            <wp:extent cx="5151755" cy="2259965"/>
            <wp:effectExtent l="0" t="0" r="10795" b="6985"/>
            <wp:wrapSquare wrapText="bothSides"/>
            <wp:docPr id="50" name="Gráfico 50">
              <a:extLst xmlns:a="http://schemas.openxmlformats.org/drawingml/2006/main">
                <a:ext uri="{FF2B5EF4-FFF2-40B4-BE49-F238E27FC236}">
                  <a16:creationId xmlns:a16="http://schemas.microsoft.com/office/drawing/2014/main" id="{F50AAD29-8ACC-4D41-A720-3C68F77F9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E5AE514" w14:textId="77777777" w:rsidR="00F11809" w:rsidRDefault="00F11809" w:rsidP="6B4CB047">
      <w:pPr>
        <w:rPr>
          <w:rFonts w:ascii="Calibri" w:eastAsia="Calibri" w:hAnsi="Calibri" w:cs="Calibri"/>
          <w:sz w:val="16"/>
          <w:szCs w:val="16"/>
        </w:rPr>
      </w:pPr>
    </w:p>
    <w:p w14:paraId="115969B8" w14:textId="77777777" w:rsidR="00F11809" w:rsidRDefault="6B4CB047" w:rsidP="6B4CB047">
      <w:pPr>
        <w:rPr>
          <w:rFonts w:ascii="Calibri" w:eastAsia="Calibri" w:hAnsi="Calibri" w:cs="Calibri"/>
          <w:sz w:val="16"/>
          <w:szCs w:val="16"/>
        </w:rPr>
      </w:pPr>
      <w:r w:rsidRPr="6B4CB047">
        <w:rPr>
          <w:rFonts w:ascii="Calibri" w:eastAsia="Calibri" w:hAnsi="Calibri" w:cs="Calibri"/>
          <w:sz w:val="16"/>
          <w:szCs w:val="16"/>
        </w:rPr>
        <w:t xml:space="preserve">             </w:t>
      </w:r>
    </w:p>
    <w:p w14:paraId="6BB75BE2" w14:textId="77777777" w:rsidR="00F11809" w:rsidRDefault="00F11809" w:rsidP="6B4CB047">
      <w:pPr>
        <w:rPr>
          <w:rFonts w:ascii="Calibri" w:eastAsia="Calibri" w:hAnsi="Calibri" w:cs="Calibri"/>
          <w:sz w:val="16"/>
          <w:szCs w:val="16"/>
        </w:rPr>
      </w:pPr>
    </w:p>
    <w:p w14:paraId="4172F21F" w14:textId="77777777" w:rsidR="00F11809" w:rsidRDefault="00F11809" w:rsidP="6B4CB047">
      <w:pPr>
        <w:rPr>
          <w:rFonts w:ascii="Calibri" w:eastAsia="Calibri" w:hAnsi="Calibri" w:cs="Calibri"/>
          <w:sz w:val="16"/>
          <w:szCs w:val="16"/>
        </w:rPr>
      </w:pPr>
    </w:p>
    <w:p w14:paraId="573B5B99" w14:textId="77777777" w:rsidR="00F11809" w:rsidRDefault="00F11809" w:rsidP="6B4CB047">
      <w:pPr>
        <w:rPr>
          <w:rFonts w:ascii="Calibri" w:eastAsia="Calibri" w:hAnsi="Calibri" w:cs="Calibri"/>
          <w:sz w:val="16"/>
          <w:szCs w:val="16"/>
        </w:rPr>
      </w:pPr>
    </w:p>
    <w:p w14:paraId="7EAB99A8" w14:textId="77777777" w:rsidR="00F11809" w:rsidRDefault="00F11809" w:rsidP="6B4CB047">
      <w:pPr>
        <w:rPr>
          <w:rFonts w:ascii="Calibri" w:eastAsia="Calibri" w:hAnsi="Calibri" w:cs="Calibri"/>
          <w:sz w:val="16"/>
          <w:szCs w:val="16"/>
        </w:rPr>
      </w:pPr>
    </w:p>
    <w:p w14:paraId="6E9D062E" w14:textId="77777777" w:rsidR="00F11809" w:rsidRDefault="00F11809" w:rsidP="6B4CB047">
      <w:pPr>
        <w:rPr>
          <w:rFonts w:ascii="Calibri" w:eastAsia="Calibri" w:hAnsi="Calibri" w:cs="Calibri"/>
          <w:sz w:val="16"/>
          <w:szCs w:val="16"/>
        </w:rPr>
      </w:pPr>
    </w:p>
    <w:p w14:paraId="226475F0" w14:textId="77777777" w:rsidR="00F11809" w:rsidRDefault="00F11809" w:rsidP="6B4CB047">
      <w:pPr>
        <w:rPr>
          <w:rFonts w:ascii="Calibri" w:eastAsia="Calibri" w:hAnsi="Calibri" w:cs="Calibri"/>
          <w:sz w:val="16"/>
          <w:szCs w:val="16"/>
        </w:rPr>
      </w:pPr>
    </w:p>
    <w:p w14:paraId="2CC9797D" w14:textId="77777777" w:rsidR="00F11809" w:rsidRDefault="00F11809" w:rsidP="6B4CB047">
      <w:pPr>
        <w:rPr>
          <w:rFonts w:ascii="Calibri" w:eastAsia="Calibri" w:hAnsi="Calibri" w:cs="Calibri"/>
          <w:sz w:val="16"/>
          <w:szCs w:val="16"/>
        </w:rPr>
      </w:pPr>
    </w:p>
    <w:p w14:paraId="080E65BB" w14:textId="573CF440" w:rsidR="00F11809" w:rsidRDefault="00F11809" w:rsidP="009113A0">
      <w:pPr>
        <w:spacing w:before="120" w:after="120" w:line="240" w:lineRule="auto"/>
      </w:pPr>
      <w:r>
        <w:rPr>
          <w:rFonts w:ascii="Calibri" w:eastAsia="Calibri" w:hAnsi="Calibri" w:cs="Calibri"/>
          <w:sz w:val="16"/>
          <w:szCs w:val="16"/>
        </w:rPr>
        <w:tab/>
      </w:r>
      <w:r w:rsidR="6B4CB047" w:rsidRPr="6B4CB047">
        <w:rPr>
          <w:rFonts w:ascii="Calibri" w:eastAsia="Calibri" w:hAnsi="Calibri" w:cs="Calibri"/>
          <w:sz w:val="16"/>
          <w:szCs w:val="16"/>
        </w:rPr>
        <w:t>Fuente: Con base a registros de Siplan. Segeplan. Año 2022.</w:t>
      </w:r>
      <w:r w:rsidR="34D87270">
        <w:br/>
      </w:r>
    </w:p>
    <w:p w14:paraId="27D95D98" w14:textId="39299F69" w:rsidR="00F11809" w:rsidRPr="009113A0" w:rsidRDefault="00F11809" w:rsidP="009113A0">
      <w:pPr>
        <w:pStyle w:val="ttulosgrficas"/>
        <w:rPr>
          <w:rFonts w:asciiTheme="minorHAnsi" w:hAnsiTheme="minorHAnsi" w:cstheme="minorHAnsi"/>
          <w:caps/>
          <w:color w:val="4472C4" w:themeColor="accent1"/>
          <w:lang w:val="es"/>
        </w:rPr>
      </w:pPr>
      <w:bookmarkStart w:id="50" w:name="_Toc130204473"/>
      <w:r w:rsidRPr="009113A0">
        <w:rPr>
          <w:rFonts w:asciiTheme="minorHAnsi" w:hAnsiTheme="minorHAnsi" w:cstheme="minorHAnsi"/>
          <w:color w:val="4472C4" w:themeColor="accent1"/>
          <w:lang w:val="es"/>
        </w:rPr>
        <w:t xml:space="preserve">Gráfica </w:t>
      </w:r>
      <w:r w:rsidR="002C6654" w:rsidRPr="009113A0">
        <w:rPr>
          <w:rFonts w:asciiTheme="minorHAnsi" w:hAnsiTheme="minorHAnsi" w:cstheme="minorHAnsi"/>
          <w:color w:val="4472C4" w:themeColor="accent1"/>
          <w:lang w:val="es"/>
        </w:rPr>
        <w:fldChar w:fldCharType="begin"/>
      </w:r>
      <w:r w:rsidR="002C6654" w:rsidRPr="009113A0">
        <w:rPr>
          <w:rFonts w:asciiTheme="minorHAnsi" w:hAnsiTheme="minorHAnsi" w:cstheme="minorHAnsi"/>
          <w:color w:val="4472C4" w:themeColor="accent1"/>
          <w:lang w:val="es"/>
        </w:rPr>
        <w:instrText xml:space="preserve"> SEQ Gráfica \* ARABIC </w:instrText>
      </w:r>
      <w:r w:rsidR="002C6654" w:rsidRPr="009113A0">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5</w:t>
      </w:r>
      <w:r w:rsidR="002C6654" w:rsidRPr="009113A0">
        <w:rPr>
          <w:rFonts w:asciiTheme="minorHAnsi" w:hAnsiTheme="minorHAnsi" w:cstheme="minorHAnsi"/>
          <w:color w:val="4472C4" w:themeColor="accent1"/>
          <w:lang w:val="es"/>
        </w:rPr>
        <w:fldChar w:fldCharType="end"/>
      </w:r>
      <w:r w:rsidRPr="009113A0">
        <w:rPr>
          <w:rFonts w:asciiTheme="minorHAnsi" w:hAnsiTheme="minorHAnsi" w:cstheme="minorHAnsi"/>
          <w:color w:val="4472C4" w:themeColor="accent1"/>
          <w:lang w:val="es"/>
        </w:rPr>
        <w:t>. Comparativo de ejecución física y financiera</w:t>
      </w:r>
      <w:bookmarkEnd w:id="50"/>
    </w:p>
    <w:p w14:paraId="402B4FBA" w14:textId="3F5B2CFB" w:rsidR="6B4CB047" w:rsidRPr="009113A0" w:rsidRDefault="00F11809" w:rsidP="009113A0">
      <w:pPr>
        <w:pStyle w:val="ttulosgrficas"/>
        <w:rPr>
          <w:rFonts w:asciiTheme="minorHAnsi" w:hAnsiTheme="minorHAnsi" w:cstheme="minorHAnsi"/>
          <w:color w:val="4472C4" w:themeColor="accent1"/>
        </w:rPr>
      </w:pPr>
      <w:r w:rsidRPr="009113A0">
        <w:rPr>
          <w:rFonts w:asciiTheme="minorHAnsi" w:hAnsiTheme="minorHAnsi" w:cstheme="minorHAnsi"/>
          <w:color w:val="4472C4" w:themeColor="accent1"/>
          <w:lang w:val="es"/>
        </w:rPr>
        <w:t>Descentralizadas y Autónomas</w:t>
      </w:r>
    </w:p>
    <w:p w14:paraId="02B18C18" w14:textId="3C57EBD4" w:rsidR="6B4CB047" w:rsidRDefault="00F11809">
      <w:r>
        <w:rPr>
          <w:noProof/>
        </w:rPr>
        <w:drawing>
          <wp:anchor distT="0" distB="0" distL="114300" distR="114300" simplePos="0" relativeHeight="251737600" behindDoc="0" locked="0" layoutInCell="1" allowOverlap="1" wp14:anchorId="6DBFE736" wp14:editId="3A593FF3">
            <wp:simplePos x="0" y="0"/>
            <wp:positionH relativeFrom="margin">
              <wp:posOffset>327025</wp:posOffset>
            </wp:positionH>
            <wp:positionV relativeFrom="paragraph">
              <wp:posOffset>61595</wp:posOffset>
            </wp:positionV>
            <wp:extent cx="5279390" cy="2202180"/>
            <wp:effectExtent l="0" t="0" r="16510" b="7620"/>
            <wp:wrapSquare wrapText="bothSides"/>
            <wp:docPr id="51" name="Gráfico 51">
              <a:extLst xmlns:a="http://schemas.openxmlformats.org/drawingml/2006/main">
                <a:ext uri="{FF2B5EF4-FFF2-40B4-BE49-F238E27FC236}">
                  <a16:creationId xmlns:a16="http://schemas.microsoft.com/office/drawing/2014/main" id="{BE9C6DD2-4674-4BBD-80AB-D226F9407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6B4CB047" w:rsidRPr="6B4CB047">
        <w:rPr>
          <w:rFonts w:ascii="Helvetica" w:eastAsia="Helvetica" w:hAnsi="Helvetica" w:cs="Helvetica"/>
          <w:sz w:val="16"/>
          <w:szCs w:val="16"/>
        </w:rPr>
        <w:t xml:space="preserve">   </w:t>
      </w:r>
    </w:p>
    <w:p w14:paraId="6E3AD794" w14:textId="60606980" w:rsidR="6B4CB047" w:rsidRDefault="6B4CB047"/>
    <w:p w14:paraId="1DA13EB5" w14:textId="1FF998C5" w:rsidR="6B4CB047" w:rsidRPr="00535CA1" w:rsidRDefault="6B4CB047" w:rsidP="6B4CB047">
      <w:pPr>
        <w:rPr>
          <w:rFonts w:eastAsia="Calibri" w:cstheme="minorHAnsi"/>
        </w:rPr>
      </w:pPr>
      <w:r w:rsidRPr="6B4CB047">
        <w:rPr>
          <w:rFonts w:ascii="Helvetica" w:eastAsia="Helvetica" w:hAnsi="Helvetica" w:cs="Helvetica"/>
          <w:sz w:val="16"/>
          <w:szCs w:val="16"/>
        </w:rPr>
        <w:t xml:space="preserve">   </w:t>
      </w:r>
      <w:r>
        <w:tab/>
      </w:r>
      <w:r w:rsidRPr="00535CA1">
        <w:rPr>
          <w:rFonts w:eastAsia="Helvetica" w:cstheme="minorHAnsi"/>
          <w:sz w:val="16"/>
          <w:szCs w:val="16"/>
        </w:rPr>
        <w:t>Fuente: Con base a registros de Siplan. Segeplan. Año 2022.</w:t>
      </w:r>
    </w:p>
    <w:p w14:paraId="24416588" w14:textId="51DA6ED2" w:rsidR="6B4CB047" w:rsidRDefault="6B4CB047" w:rsidP="00535CA1">
      <w:pPr>
        <w:spacing w:after="120" w:line="240" w:lineRule="auto"/>
        <w:jc w:val="both"/>
      </w:pPr>
      <w:r w:rsidRPr="6B4CB047">
        <w:rPr>
          <w:rFonts w:ascii="Calibri" w:eastAsia="Calibri" w:hAnsi="Calibri" w:cs="Calibri"/>
          <w:sz w:val="24"/>
          <w:szCs w:val="24"/>
        </w:rPr>
        <w:t>En la primera gráfica, se observa las nueve entidades descentralizadas y autónomas que alcanzaron el 100% de ejecución de metas físicas, de las cuales, ADESCA y BCVBG lograron la mayor efectividad en el cumplimiento de las metas físicas y financieras programadas en el POA.</w:t>
      </w:r>
    </w:p>
    <w:p w14:paraId="238F0EF6" w14:textId="3953EDA6" w:rsidR="005004EE" w:rsidRDefault="005004EE" w:rsidP="00535CA1">
      <w:pPr>
        <w:spacing w:after="120" w:line="240" w:lineRule="auto"/>
        <w:jc w:val="both"/>
        <w:rPr>
          <w:rFonts w:ascii="Calibri" w:eastAsia="Calibri" w:hAnsi="Calibri" w:cs="Calibri"/>
          <w:b/>
          <w:bCs/>
          <w:sz w:val="24"/>
          <w:szCs w:val="24"/>
        </w:rPr>
      </w:pPr>
    </w:p>
    <w:p w14:paraId="63D0D4A4" w14:textId="77777777" w:rsidR="00941430" w:rsidRDefault="00941430" w:rsidP="00535CA1">
      <w:pPr>
        <w:spacing w:after="120" w:line="240" w:lineRule="auto"/>
        <w:jc w:val="both"/>
        <w:rPr>
          <w:rFonts w:ascii="Calibri" w:eastAsia="Calibri" w:hAnsi="Calibri" w:cs="Calibri"/>
          <w:b/>
          <w:bCs/>
          <w:sz w:val="24"/>
          <w:szCs w:val="24"/>
        </w:rPr>
      </w:pPr>
    </w:p>
    <w:p w14:paraId="5701E6EB" w14:textId="77777777" w:rsidR="005004EE" w:rsidRDefault="005004EE" w:rsidP="00535CA1">
      <w:pPr>
        <w:spacing w:after="120" w:line="240" w:lineRule="auto"/>
        <w:jc w:val="both"/>
        <w:rPr>
          <w:rFonts w:ascii="Calibri" w:eastAsia="Calibri" w:hAnsi="Calibri" w:cs="Calibri"/>
          <w:b/>
          <w:bCs/>
          <w:sz w:val="24"/>
          <w:szCs w:val="24"/>
        </w:rPr>
      </w:pPr>
    </w:p>
    <w:p w14:paraId="2CD15401" w14:textId="423DC6D6" w:rsidR="6B4CB047" w:rsidRDefault="00C8352D" w:rsidP="00535CA1">
      <w:pPr>
        <w:spacing w:after="120" w:line="240" w:lineRule="auto"/>
        <w:jc w:val="both"/>
      </w:pPr>
      <w:r w:rsidRPr="6B4CB047">
        <w:rPr>
          <w:rFonts w:ascii="Calibri" w:eastAsia="Calibri" w:hAnsi="Calibri" w:cs="Calibri"/>
          <w:b/>
          <w:bCs/>
          <w:sz w:val="24"/>
          <w:szCs w:val="24"/>
        </w:rPr>
        <w:t>Vinculación a resultados estratégicos de desarrollo</w:t>
      </w:r>
    </w:p>
    <w:p w14:paraId="2BD3B174" w14:textId="51DA6ED2" w:rsidR="6B4CB047" w:rsidRDefault="6B4CB047" w:rsidP="00535CA1">
      <w:pPr>
        <w:spacing w:after="120" w:line="240" w:lineRule="auto"/>
        <w:jc w:val="both"/>
      </w:pPr>
      <w:r w:rsidRPr="6B4CB047">
        <w:rPr>
          <w:rFonts w:ascii="Calibri" w:eastAsia="Calibri" w:hAnsi="Calibri" w:cs="Calibri"/>
          <w:sz w:val="24"/>
          <w:szCs w:val="24"/>
        </w:rPr>
        <w:t>Tres entidades vincularon parte de su producción a por lo menos uno de los RED, para contribuir a alcanzar los propósitos de estos resultados, las entidades vinculadas en el año 2022 fueron: el INAB, INDE e INGUAT.</w:t>
      </w:r>
    </w:p>
    <w:p w14:paraId="7CA3473A" w14:textId="51DA6ED2" w:rsidR="6B4CB047" w:rsidRDefault="6B4CB047" w:rsidP="00535CA1">
      <w:pPr>
        <w:spacing w:after="120" w:line="240" w:lineRule="auto"/>
        <w:jc w:val="both"/>
      </w:pPr>
      <w:r w:rsidRPr="6B4CB047">
        <w:rPr>
          <w:rFonts w:ascii="Calibri" w:eastAsia="Calibri" w:hAnsi="Calibri" w:cs="Calibri"/>
          <w:sz w:val="24"/>
          <w:szCs w:val="24"/>
        </w:rPr>
        <w:t>A continuación, se presentan los principales productos que fueron vinculados para contribuir a los Resultados Estratégicos de Desarrollo en el año 2022:</w:t>
      </w:r>
    </w:p>
    <w:p w14:paraId="3CF1269F" w14:textId="51DA6ED2" w:rsidR="6B4CB047" w:rsidRDefault="6B4CB047" w:rsidP="005321FC">
      <w:pPr>
        <w:pStyle w:val="Prrafodelista"/>
        <w:numPr>
          <w:ilvl w:val="0"/>
          <w:numId w:val="3"/>
        </w:numPr>
        <w:spacing w:after="120" w:line="240" w:lineRule="auto"/>
        <w:contextualSpacing w:val="0"/>
        <w:rPr>
          <w:rFonts w:ascii="Calibri" w:eastAsia="Calibri" w:hAnsi="Calibri" w:cs="Calibri"/>
          <w:sz w:val="24"/>
          <w:szCs w:val="24"/>
        </w:rPr>
      </w:pPr>
      <w:r w:rsidRPr="6B4CB047">
        <w:rPr>
          <w:rFonts w:ascii="Calibri" w:eastAsia="Calibri" w:hAnsi="Calibri" w:cs="Calibri"/>
          <w:b/>
          <w:bCs/>
          <w:sz w:val="24"/>
          <w:szCs w:val="24"/>
        </w:rPr>
        <w:t>INAB:</w:t>
      </w:r>
      <w:r w:rsidRPr="6B4CB047">
        <w:rPr>
          <w:rFonts w:ascii="Calibri" w:eastAsia="Calibri" w:hAnsi="Calibri" w:cs="Calibri"/>
          <w:sz w:val="24"/>
          <w:szCs w:val="24"/>
        </w:rPr>
        <w:t xml:space="preserve"> vinculado al RED: Para el 2024, se ha incrementado la cobertura forestal a 33.7 por ciento a nivel nacional, principalmente con los productos siguientes: Bosques naturales, plantaciones y sistemas agroforestales bajo manejo forestal, proveen bienes y servicios ambientales a la población guatemalteca, Autoridades, organizaciones, líderes locales, informados y sensibilizados sobre el uso sostenible del bosque, para mejorar la Gobernanza y promover una cultura forestal tendiente a incrementar la legalidad y reducir la conflictividad en torno al uso del bosque y Productos maderables provenientes de plantaciones forestales incentivadas y bajo manejo silvicultural, incrementan el aporte de materia prima para abastecer la demanda de la industria forestal nacional, con 100% de avance físico.</w:t>
      </w:r>
    </w:p>
    <w:p w14:paraId="6F98FE0D" w14:textId="51DA6ED2" w:rsidR="6B4CB047" w:rsidRDefault="6B4CB047" w:rsidP="005321FC">
      <w:pPr>
        <w:pStyle w:val="Prrafodelista"/>
        <w:numPr>
          <w:ilvl w:val="0"/>
          <w:numId w:val="3"/>
        </w:numPr>
        <w:spacing w:after="120" w:line="240" w:lineRule="auto"/>
        <w:contextualSpacing w:val="0"/>
        <w:rPr>
          <w:rFonts w:ascii="Calibri" w:eastAsia="Calibri" w:hAnsi="Calibri" w:cs="Calibri"/>
          <w:sz w:val="24"/>
          <w:szCs w:val="24"/>
        </w:rPr>
      </w:pPr>
      <w:r w:rsidRPr="6B4CB047">
        <w:rPr>
          <w:rFonts w:ascii="Calibri" w:eastAsia="Calibri" w:hAnsi="Calibri" w:cs="Calibri"/>
          <w:b/>
          <w:bCs/>
          <w:sz w:val="24"/>
          <w:szCs w:val="24"/>
        </w:rPr>
        <w:t>INDE:</w:t>
      </w:r>
      <w:r w:rsidRPr="6B4CB047">
        <w:rPr>
          <w:rFonts w:ascii="Calibri" w:eastAsia="Calibri" w:hAnsi="Calibri" w:cs="Calibri"/>
          <w:sz w:val="24"/>
          <w:szCs w:val="24"/>
        </w:rPr>
        <w:t xml:space="preserve"> vinculado al RED: Para el 2024, se ha incrementado en 3.29 puntos porcentuales el índice de cobertura de energía eléctrica, con el producto: Dirección e implementación de la electrificación rural, con 49% de avance físico, que incluye el subproducto de Implementación de Proyectos de Electrificación Rural, con el 100% de avance físico.</w:t>
      </w:r>
    </w:p>
    <w:p w14:paraId="4151660C" w14:textId="51DA6ED2" w:rsidR="6B4CB047" w:rsidRDefault="6B4CB047" w:rsidP="005321FC">
      <w:pPr>
        <w:pStyle w:val="Prrafodelista"/>
        <w:numPr>
          <w:ilvl w:val="0"/>
          <w:numId w:val="3"/>
        </w:numPr>
        <w:spacing w:after="120" w:line="240" w:lineRule="auto"/>
        <w:contextualSpacing w:val="0"/>
        <w:rPr>
          <w:rFonts w:ascii="Calibri" w:eastAsia="Calibri" w:hAnsi="Calibri" w:cs="Calibri"/>
          <w:sz w:val="24"/>
          <w:szCs w:val="24"/>
        </w:rPr>
      </w:pPr>
      <w:r w:rsidRPr="6B4CB047">
        <w:rPr>
          <w:rFonts w:ascii="Calibri" w:eastAsia="Calibri" w:hAnsi="Calibri" w:cs="Calibri"/>
          <w:b/>
          <w:bCs/>
          <w:sz w:val="24"/>
          <w:szCs w:val="24"/>
        </w:rPr>
        <w:t>INGUAT:</w:t>
      </w:r>
      <w:r w:rsidRPr="6B4CB047">
        <w:rPr>
          <w:rFonts w:ascii="Calibri" w:eastAsia="Calibri" w:hAnsi="Calibri" w:cs="Calibri"/>
          <w:sz w:val="24"/>
          <w:szCs w:val="24"/>
        </w:rPr>
        <w:t xml:space="preserve"> vinculado al RED: Para el 2024, se ha mantenido en 3.5 de calificación del índice de competitividad turística, con los productos: Personas individuales y jurídicas beneficiadas con actividades para la conservación del patrimonio, con 100% de avance físico, Personas jurídicas e individuales capacitadas en temas turísticos, con 98%, Señalización turística en beneficio de visitantes nacionales e internacionales, con 98%, Asistencia técnica en legislación turística a personas jurídicas e individuales, con 97% y Personas jurídicas e individuales con distintivo de calidad turística, con 88% de avance.</w:t>
      </w:r>
    </w:p>
    <w:p w14:paraId="1DF8160E" w14:textId="00F2C911" w:rsidR="6B4CB047" w:rsidRDefault="00C8352D" w:rsidP="00535CA1">
      <w:pPr>
        <w:tabs>
          <w:tab w:val="left" w:pos="1504"/>
        </w:tabs>
        <w:spacing w:after="120" w:line="240" w:lineRule="auto"/>
        <w:jc w:val="both"/>
      </w:pPr>
      <w:r w:rsidRPr="6B4CB047">
        <w:rPr>
          <w:rFonts w:ascii="Calibri" w:eastAsia="Calibri" w:hAnsi="Calibri" w:cs="Calibri"/>
          <w:b/>
          <w:bCs/>
          <w:sz w:val="24"/>
          <w:szCs w:val="24"/>
        </w:rPr>
        <w:t xml:space="preserve">Avance físico y financiero de productos vinculados a metas </w:t>
      </w:r>
      <w:r>
        <w:rPr>
          <w:rFonts w:ascii="Calibri" w:eastAsia="Calibri" w:hAnsi="Calibri" w:cs="Calibri"/>
          <w:b/>
          <w:bCs/>
          <w:sz w:val="24"/>
          <w:szCs w:val="24"/>
        </w:rPr>
        <w:t>de la PGG 2020-2024</w:t>
      </w:r>
    </w:p>
    <w:p w14:paraId="7FF35DF4" w14:textId="7F04A3C7" w:rsidR="6B4CB047" w:rsidRDefault="75375A8C" w:rsidP="00535CA1">
      <w:pPr>
        <w:spacing w:after="120" w:line="240" w:lineRule="auto"/>
        <w:rPr>
          <w:rFonts w:ascii="Calibri" w:eastAsia="Calibri" w:hAnsi="Calibri" w:cs="Calibri"/>
          <w:sz w:val="24"/>
          <w:szCs w:val="24"/>
        </w:rPr>
      </w:pPr>
      <w:r w:rsidRPr="75375A8C">
        <w:rPr>
          <w:rFonts w:ascii="Calibri" w:eastAsia="Calibri" w:hAnsi="Calibri" w:cs="Calibri"/>
          <w:sz w:val="24"/>
          <w:szCs w:val="24"/>
        </w:rPr>
        <w:t>De las entidades incluidas en el presente informe, 5 cuentan con producción vinculada a las metas de la Política General de Gobierno y reportaron avance de metas físicas y financieras según el pilar al que se encuentran vinculadas:</w:t>
      </w:r>
    </w:p>
    <w:p w14:paraId="700C0466" w14:textId="1811A7AE" w:rsidR="005004EE" w:rsidRDefault="005004EE" w:rsidP="00535CA1">
      <w:pPr>
        <w:spacing w:after="120" w:line="240" w:lineRule="auto"/>
        <w:rPr>
          <w:rFonts w:ascii="Calibri" w:eastAsia="Calibri" w:hAnsi="Calibri" w:cs="Calibri"/>
        </w:rPr>
      </w:pPr>
    </w:p>
    <w:p w14:paraId="785A83F7" w14:textId="71952540" w:rsidR="005004EE" w:rsidRDefault="005004EE" w:rsidP="00535CA1">
      <w:pPr>
        <w:spacing w:after="120" w:line="240" w:lineRule="auto"/>
        <w:rPr>
          <w:rFonts w:ascii="Calibri" w:eastAsia="Calibri" w:hAnsi="Calibri" w:cs="Calibri"/>
        </w:rPr>
      </w:pPr>
    </w:p>
    <w:p w14:paraId="01C3095B" w14:textId="3B0D4931" w:rsidR="005004EE" w:rsidRDefault="005004EE" w:rsidP="00535CA1">
      <w:pPr>
        <w:spacing w:after="120" w:line="240" w:lineRule="auto"/>
        <w:rPr>
          <w:rFonts w:ascii="Calibri" w:eastAsia="Calibri" w:hAnsi="Calibri" w:cs="Calibri"/>
        </w:rPr>
      </w:pPr>
    </w:p>
    <w:p w14:paraId="07BDC255" w14:textId="6F3ECC6F" w:rsidR="005004EE" w:rsidRDefault="005004EE" w:rsidP="00535CA1">
      <w:pPr>
        <w:spacing w:after="120" w:line="240" w:lineRule="auto"/>
        <w:rPr>
          <w:rFonts w:ascii="Calibri" w:eastAsia="Calibri" w:hAnsi="Calibri" w:cs="Calibri"/>
        </w:rPr>
      </w:pPr>
    </w:p>
    <w:p w14:paraId="5735A427" w14:textId="49B08EC1" w:rsidR="005004EE" w:rsidRDefault="005004EE" w:rsidP="00535CA1">
      <w:pPr>
        <w:spacing w:after="120" w:line="240" w:lineRule="auto"/>
        <w:rPr>
          <w:rFonts w:ascii="Calibri" w:eastAsia="Calibri" w:hAnsi="Calibri" w:cs="Calibri"/>
        </w:rPr>
      </w:pPr>
    </w:p>
    <w:p w14:paraId="15615A3B" w14:textId="3F2B72B4" w:rsidR="005004EE" w:rsidRDefault="005004EE" w:rsidP="00535CA1">
      <w:pPr>
        <w:spacing w:after="120" w:line="240" w:lineRule="auto"/>
        <w:rPr>
          <w:rFonts w:ascii="Calibri" w:eastAsia="Calibri" w:hAnsi="Calibri" w:cs="Calibri"/>
        </w:rPr>
      </w:pPr>
    </w:p>
    <w:p w14:paraId="00DC337E" w14:textId="77777777" w:rsidR="005004EE" w:rsidRDefault="005004EE" w:rsidP="00535CA1">
      <w:pPr>
        <w:spacing w:after="120" w:line="240" w:lineRule="auto"/>
        <w:rPr>
          <w:rFonts w:ascii="Calibri" w:eastAsia="Calibri" w:hAnsi="Calibri" w:cs="Calibri"/>
        </w:rPr>
      </w:pPr>
    </w:p>
    <w:p w14:paraId="0ECBF670" w14:textId="62A29139" w:rsidR="6B4CB047" w:rsidRPr="006645F7" w:rsidRDefault="00D33E9B" w:rsidP="006645F7">
      <w:pPr>
        <w:pStyle w:val="ttulosgrficas"/>
        <w:rPr>
          <w:rFonts w:asciiTheme="minorHAnsi" w:hAnsiTheme="minorHAnsi" w:cstheme="minorHAnsi"/>
          <w:color w:val="4472C4" w:themeColor="accent1"/>
        </w:rPr>
      </w:pPr>
      <w:bookmarkStart w:id="51" w:name="_Toc130199601"/>
      <w:r w:rsidRPr="006645F7">
        <w:rPr>
          <w:rFonts w:asciiTheme="minorHAnsi" w:hAnsiTheme="minorHAnsi" w:cstheme="minorHAnsi"/>
          <w:color w:val="4472C4" w:themeColor="accent1"/>
          <w:lang w:val="es"/>
        </w:rPr>
        <w:t xml:space="preserve">Tabla </w:t>
      </w:r>
      <w:r w:rsidR="002C6654" w:rsidRPr="006645F7">
        <w:rPr>
          <w:rFonts w:asciiTheme="minorHAnsi" w:hAnsiTheme="minorHAnsi" w:cstheme="minorHAnsi"/>
          <w:color w:val="4472C4" w:themeColor="accent1"/>
          <w:lang w:val="es"/>
        </w:rPr>
        <w:fldChar w:fldCharType="begin"/>
      </w:r>
      <w:r w:rsidR="002C6654" w:rsidRPr="006645F7">
        <w:rPr>
          <w:rFonts w:asciiTheme="minorHAnsi" w:hAnsiTheme="minorHAnsi" w:cstheme="minorHAnsi"/>
          <w:color w:val="4472C4" w:themeColor="accent1"/>
          <w:lang w:val="es"/>
        </w:rPr>
        <w:instrText xml:space="preserve"> SEQ Tabla \* ARABIC </w:instrText>
      </w:r>
      <w:r w:rsidR="002C6654" w:rsidRPr="006645F7">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13</w:t>
      </w:r>
      <w:r w:rsidR="002C6654" w:rsidRPr="006645F7">
        <w:rPr>
          <w:rFonts w:asciiTheme="minorHAnsi" w:hAnsiTheme="minorHAnsi" w:cstheme="minorHAnsi"/>
          <w:color w:val="4472C4" w:themeColor="accent1"/>
          <w:lang w:val="es"/>
        </w:rPr>
        <w:fldChar w:fldCharType="end"/>
      </w:r>
      <w:r w:rsidRPr="006645F7">
        <w:rPr>
          <w:rFonts w:asciiTheme="minorHAnsi" w:hAnsiTheme="minorHAnsi" w:cstheme="minorHAnsi"/>
          <w:color w:val="4472C4" w:themeColor="accent1"/>
          <w:lang w:val="es"/>
        </w:rPr>
        <w:t>. Avance Físico y Financiero. Vinculación a Metas PGG</w:t>
      </w:r>
      <w:bookmarkEnd w:id="51"/>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1542"/>
        <w:gridCol w:w="1625"/>
        <w:gridCol w:w="1791"/>
        <w:gridCol w:w="1832"/>
        <w:gridCol w:w="1275"/>
        <w:gridCol w:w="1339"/>
      </w:tblGrid>
      <w:tr w:rsidR="75375A8C" w14:paraId="635871F3" w14:textId="77777777" w:rsidTr="00535CA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42"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00E8577" w14:textId="5D5B49B6" w:rsidR="75375A8C" w:rsidRDefault="75375A8C" w:rsidP="75375A8C">
            <w:pPr>
              <w:jc w:val="center"/>
              <w:rPr>
                <w:rFonts w:cs="Calibri"/>
                <w:sz w:val="22"/>
                <w:szCs w:val="22"/>
                <w:lang w:val="es"/>
              </w:rPr>
            </w:pPr>
            <w:r w:rsidRPr="75375A8C">
              <w:rPr>
                <w:rFonts w:cs="Calibri"/>
                <w:color w:val="auto"/>
                <w:sz w:val="22"/>
                <w:szCs w:val="22"/>
                <w:lang w:val="es"/>
              </w:rPr>
              <w:t>Institución</w:t>
            </w:r>
          </w:p>
        </w:tc>
        <w:tc>
          <w:tcPr>
            <w:tcW w:w="162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874344A" w14:textId="1A842353" w:rsidR="75375A8C" w:rsidRDefault="75375A8C" w:rsidP="75375A8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5375A8C">
              <w:rPr>
                <w:rFonts w:cs="Calibri"/>
                <w:color w:val="auto"/>
                <w:sz w:val="22"/>
                <w:szCs w:val="22"/>
                <w:lang w:val="es"/>
              </w:rPr>
              <w:t>Pilar PGG</w:t>
            </w:r>
          </w:p>
        </w:tc>
        <w:tc>
          <w:tcPr>
            <w:tcW w:w="1791"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53877EB" w14:textId="610D93A2" w:rsidR="75375A8C" w:rsidRDefault="75375A8C" w:rsidP="75375A8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5375A8C">
              <w:rPr>
                <w:rFonts w:cs="Calibri"/>
                <w:color w:val="auto"/>
                <w:sz w:val="22"/>
                <w:szCs w:val="22"/>
                <w:lang w:val="es"/>
              </w:rPr>
              <w:t>Meta financiera vigente</w:t>
            </w:r>
          </w:p>
        </w:tc>
        <w:tc>
          <w:tcPr>
            <w:tcW w:w="1832"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75628E3" w14:textId="7302B32A" w:rsidR="75375A8C" w:rsidRDefault="75375A8C" w:rsidP="75375A8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5375A8C">
              <w:rPr>
                <w:rFonts w:cs="Calibri"/>
                <w:color w:val="auto"/>
                <w:sz w:val="22"/>
                <w:szCs w:val="22"/>
                <w:lang w:val="es"/>
              </w:rPr>
              <w:t>Ejecución financiera acumulada</w:t>
            </w:r>
          </w:p>
        </w:tc>
        <w:tc>
          <w:tcPr>
            <w:tcW w:w="127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2EC7FB27" w14:textId="19D00D64" w:rsidR="75375A8C" w:rsidRDefault="75375A8C" w:rsidP="75375A8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5375A8C">
              <w:rPr>
                <w:rFonts w:cs="Calibri"/>
                <w:color w:val="auto"/>
                <w:sz w:val="22"/>
                <w:szCs w:val="22"/>
                <w:lang w:val="es"/>
              </w:rPr>
              <w:t xml:space="preserve">% ejecución </w:t>
            </w:r>
            <w:r>
              <w:br/>
            </w:r>
            <w:r w:rsidRPr="75375A8C">
              <w:rPr>
                <w:rFonts w:cs="Calibri"/>
                <w:color w:val="auto"/>
                <w:sz w:val="22"/>
                <w:szCs w:val="22"/>
                <w:lang w:val="es"/>
              </w:rPr>
              <w:t>meta física</w:t>
            </w:r>
          </w:p>
        </w:tc>
        <w:tc>
          <w:tcPr>
            <w:tcW w:w="1339"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F42BEC6" w14:textId="353F7554" w:rsidR="75375A8C" w:rsidRDefault="75375A8C" w:rsidP="75375A8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5375A8C">
              <w:rPr>
                <w:rFonts w:cs="Calibri"/>
                <w:color w:val="auto"/>
                <w:sz w:val="22"/>
                <w:szCs w:val="22"/>
                <w:lang w:val="es"/>
              </w:rPr>
              <w:t>% ejecución meta financiera</w:t>
            </w:r>
          </w:p>
        </w:tc>
      </w:tr>
      <w:tr w:rsidR="75375A8C" w14:paraId="0AA5FAE9" w14:textId="77777777" w:rsidTr="00535CA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542" w:type="dxa"/>
            <w:tcMar>
              <w:left w:w="108" w:type="dxa"/>
              <w:right w:w="108" w:type="dxa"/>
            </w:tcMar>
            <w:vAlign w:val="center"/>
          </w:tcPr>
          <w:p w14:paraId="19C829A3" w14:textId="69E97401" w:rsidR="75375A8C" w:rsidRPr="002C6654" w:rsidRDefault="75375A8C">
            <w:pPr>
              <w:rPr>
                <w:b w:val="0"/>
              </w:rPr>
            </w:pPr>
            <w:r w:rsidRPr="002C6654">
              <w:rPr>
                <w:rFonts w:cs="Calibri"/>
                <w:b w:val="0"/>
                <w:color w:val="000000" w:themeColor="text1"/>
                <w:sz w:val="22"/>
                <w:szCs w:val="22"/>
                <w:lang w:val="es"/>
              </w:rPr>
              <w:t>Coordinadora Nacional para la Reducción de Desastres</w:t>
            </w:r>
          </w:p>
        </w:tc>
        <w:tc>
          <w:tcPr>
            <w:tcW w:w="1625" w:type="dxa"/>
            <w:tcMar>
              <w:left w:w="108" w:type="dxa"/>
              <w:right w:w="108" w:type="dxa"/>
            </w:tcMar>
            <w:vAlign w:val="center"/>
          </w:tcPr>
          <w:p w14:paraId="47E680DE" w14:textId="08C1F6BC" w:rsidR="75375A8C" w:rsidRDefault="75375A8C">
            <w:pP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Desarrollo Social</w:t>
            </w:r>
          </w:p>
        </w:tc>
        <w:tc>
          <w:tcPr>
            <w:tcW w:w="1791" w:type="dxa"/>
            <w:tcMar>
              <w:left w:w="108" w:type="dxa"/>
              <w:right w:w="108" w:type="dxa"/>
            </w:tcMar>
            <w:vAlign w:val="center"/>
          </w:tcPr>
          <w:p w14:paraId="44235DE6" w14:textId="64F74C3A"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Q10,000,000.00</w:t>
            </w:r>
          </w:p>
        </w:tc>
        <w:tc>
          <w:tcPr>
            <w:tcW w:w="1832" w:type="dxa"/>
            <w:tcMar>
              <w:left w:w="108" w:type="dxa"/>
              <w:right w:w="108" w:type="dxa"/>
            </w:tcMar>
            <w:vAlign w:val="center"/>
          </w:tcPr>
          <w:p w14:paraId="7B417CD7" w14:textId="2E2AE36D"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Q7,182,248.66</w:t>
            </w:r>
          </w:p>
        </w:tc>
        <w:tc>
          <w:tcPr>
            <w:tcW w:w="1275" w:type="dxa"/>
            <w:shd w:val="clear" w:color="auto" w:fill="92D050"/>
            <w:tcMar>
              <w:left w:w="108" w:type="dxa"/>
              <w:right w:w="108" w:type="dxa"/>
            </w:tcMar>
            <w:vAlign w:val="center"/>
          </w:tcPr>
          <w:p w14:paraId="673808D6" w14:textId="6805B737"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99.85</w:t>
            </w:r>
          </w:p>
        </w:tc>
        <w:tc>
          <w:tcPr>
            <w:tcW w:w="1339" w:type="dxa"/>
            <w:shd w:val="clear" w:color="auto" w:fill="FFFF00"/>
            <w:tcMar>
              <w:left w:w="108" w:type="dxa"/>
              <w:right w:w="108" w:type="dxa"/>
            </w:tcMar>
            <w:vAlign w:val="center"/>
          </w:tcPr>
          <w:p w14:paraId="497FE13A" w14:textId="052070BC"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71.82%</w:t>
            </w:r>
          </w:p>
        </w:tc>
      </w:tr>
      <w:tr w:rsidR="75375A8C" w14:paraId="4FA5D94D" w14:textId="77777777" w:rsidTr="00535CA1">
        <w:trPr>
          <w:trHeight w:val="255"/>
        </w:trPr>
        <w:tc>
          <w:tcPr>
            <w:cnfStyle w:val="001000000000" w:firstRow="0" w:lastRow="0" w:firstColumn="1" w:lastColumn="0" w:oddVBand="0" w:evenVBand="0" w:oddHBand="0" w:evenHBand="0" w:firstRowFirstColumn="0" w:firstRowLastColumn="0" w:lastRowFirstColumn="0" w:lastRowLastColumn="0"/>
            <w:tcW w:w="1542" w:type="dxa"/>
            <w:tcMar>
              <w:left w:w="108" w:type="dxa"/>
              <w:right w:w="108" w:type="dxa"/>
            </w:tcMar>
            <w:vAlign w:val="center"/>
          </w:tcPr>
          <w:p w14:paraId="3991714F" w14:textId="781F8F82" w:rsidR="75375A8C" w:rsidRPr="002C6654" w:rsidRDefault="75375A8C">
            <w:pPr>
              <w:rPr>
                <w:b w:val="0"/>
              </w:rPr>
            </w:pPr>
            <w:r w:rsidRPr="002C6654">
              <w:rPr>
                <w:rFonts w:cs="Calibri"/>
                <w:b w:val="0"/>
                <w:color w:val="000000" w:themeColor="text1"/>
                <w:sz w:val="22"/>
                <w:szCs w:val="22"/>
                <w:lang w:val="es"/>
              </w:rPr>
              <w:t>Instituto de Fomento Municipal</w:t>
            </w:r>
          </w:p>
        </w:tc>
        <w:tc>
          <w:tcPr>
            <w:tcW w:w="1625" w:type="dxa"/>
            <w:tcMar>
              <w:left w:w="108" w:type="dxa"/>
              <w:right w:w="108" w:type="dxa"/>
            </w:tcMar>
            <w:vAlign w:val="center"/>
          </w:tcPr>
          <w:p w14:paraId="6AD5EAC9" w14:textId="2CB6B11C" w:rsidR="75375A8C" w:rsidRDefault="75375A8C">
            <w:pP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Desarrollo Social</w:t>
            </w:r>
          </w:p>
        </w:tc>
        <w:tc>
          <w:tcPr>
            <w:tcW w:w="1791" w:type="dxa"/>
            <w:tcMar>
              <w:left w:w="108" w:type="dxa"/>
              <w:right w:w="108" w:type="dxa"/>
            </w:tcMar>
            <w:vAlign w:val="center"/>
          </w:tcPr>
          <w:p w14:paraId="3A1CD590" w14:textId="1AFB0615"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Q145,711,326.00</w:t>
            </w:r>
          </w:p>
        </w:tc>
        <w:tc>
          <w:tcPr>
            <w:tcW w:w="1832" w:type="dxa"/>
            <w:tcMar>
              <w:left w:w="108" w:type="dxa"/>
              <w:right w:w="108" w:type="dxa"/>
            </w:tcMar>
            <w:vAlign w:val="center"/>
          </w:tcPr>
          <w:p w14:paraId="2E295FF7" w14:textId="06E3B19A"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Q122,137,855.03</w:t>
            </w:r>
          </w:p>
        </w:tc>
        <w:tc>
          <w:tcPr>
            <w:tcW w:w="1275" w:type="dxa"/>
            <w:shd w:val="clear" w:color="auto" w:fill="FFFF00"/>
            <w:tcMar>
              <w:left w:w="108" w:type="dxa"/>
              <w:right w:w="108" w:type="dxa"/>
            </w:tcMar>
            <w:vAlign w:val="center"/>
          </w:tcPr>
          <w:p w14:paraId="2CA7FF66" w14:textId="01A0BE07"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78.68%</w:t>
            </w:r>
          </w:p>
        </w:tc>
        <w:tc>
          <w:tcPr>
            <w:tcW w:w="1339" w:type="dxa"/>
            <w:shd w:val="clear" w:color="auto" w:fill="FFFF00"/>
            <w:tcMar>
              <w:left w:w="108" w:type="dxa"/>
              <w:right w:w="108" w:type="dxa"/>
            </w:tcMar>
            <w:vAlign w:val="center"/>
          </w:tcPr>
          <w:p w14:paraId="5E81F61B" w14:textId="107FA242"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83.82%</w:t>
            </w:r>
          </w:p>
        </w:tc>
      </w:tr>
      <w:tr w:rsidR="75375A8C" w14:paraId="279332C5" w14:textId="77777777" w:rsidTr="00535CA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542" w:type="dxa"/>
            <w:tcMar>
              <w:left w:w="108" w:type="dxa"/>
              <w:right w:w="108" w:type="dxa"/>
            </w:tcMar>
            <w:vAlign w:val="center"/>
          </w:tcPr>
          <w:p w14:paraId="43676C90" w14:textId="753D22B7" w:rsidR="75375A8C" w:rsidRPr="002C6654" w:rsidRDefault="75375A8C">
            <w:pPr>
              <w:rPr>
                <w:b w:val="0"/>
              </w:rPr>
            </w:pPr>
            <w:r w:rsidRPr="002C6654">
              <w:rPr>
                <w:rFonts w:cs="Calibri"/>
                <w:b w:val="0"/>
                <w:color w:val="000000" w:themeColor="text1"/>
                <w:sz w:val="22"/>
                <w:szCs w:val="22"/>
                <w:lang w:val="es"/>
              </w:rPr>
              <w:t>Instituto Nacional de Electrificación</w:t>
            </w:r>
          </w:p>
        </w:tc>
        <w:tc>
          <w:tcPr>
            <w:tcW w:w="1625" w:type="dxa"/>
            <w:tcMar>
              <w:left w:w="108" w:type="dxa"/>
              <w:right w:w="108" w:type="dxa"/>
            </w:tcMar>
            <w:vAlign w:val="center"/>
          </w:tcPr>
          <w:p w14:paraId="0B198A61" w14:textId="48BDA6A3" w:rsidR="75375A8C" w:rsidRDefault="75375A8C">
            <w:pP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Economía, Competitividad y Prosperidad</w:t>
            </w:r>
          </w:p>
        </w:tc>
        <w:tc>
          <w:tcPr>
            <w:tcW w:w="1791" w:type="dxa"/>
            <w:tcMar>
              <w:left w:w="108" w:type="dxa"/>
              <w:right w:w="108" w:type="dxa"/>
            </w:tcMar>
            <w:vAlign w:val="center"/>
          </w:tcPr>
          <w:p w14:paraId="3F074EC1" w14:textId="5818A2BC"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Q151,282,242.00</w:t>
            </w:r>
          </w:p>
        </w:tc>
        <w:tc>
          <w:tcPr>
            <w:tcW w:w="1832" w:type="dxa"/>
            <w:tcMar>
              <w:left w:w="108" w:type="dxa"/>
              <w:right w:w="108" w:type="dxa"/>
            </w:tcMar>
            <w:vAlign w:val="center"/>
          </w:tcPr>
          <w:p w14:paraId="39C0907F" w14:textId="4086DC4B"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Q89,207,083.12</w:t>
            </w:r>
          </w:p>
        </w:tc>
        <w:tc>
          <w:tcPr>
            <w:tcW w:w="1275" w:type="dxa"/>
            <w:shd w:val="clear" w:color="auto" w:fill="FF0000"/>
            <w:tcMar>
              <w:left w:w="108" w:type="dxa"/>
              <w:right w:w="108" w:type="dxa"/>
            </w:tcMar>
            <w:vAlign w:val="center"/>
          </w:tcPr>
          <w:p w14:paraId="3A732E82" w14:textId="4CB1814C"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49.14%</w:t>
            </w:r>
          </w:p>
        </w:tc>
        <w:tc>
          <w:tcPr>
            <w:tcW w:w="1339" w:type="dxa"/>
            <w:shd w:val="clear" w:color="auto" w:fill="FFFF00"/>
            <w:tcMar>
              <w:left w:w="108" w:type="dxa"/>
              <w:right w:w="108" w:type="dxa"/>
            </w:tcMar>
            <w:vAlign w:val="center"/>
          </w:tcPr>
          <w:p w14:paraId="4401C2DE" w14:textId="61BABA9C"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58.97%</w:t>
            </w:r>
          </w:p>
        </w:tc>
      </w:tr>
      <w:tr w:rsidR="75375A8C" w14:paraId="46E0CA5E" w14:textId="77777777" w:rsidTr="00535CA1">
        <w:trPr>
          <w:trHeight w:val="360"/>
        </w:trPr>
        <w:tc>
          <w:tcPr>
            <w:cnfStyle w:val="001000000000" w:firstRow="0" w:lastRow="0" w:firstColumn="1" w:lastColumn="0" w:oddVBand="0" w:evenVBand="0" w:oddHBand="0" w:evenHBand="0" w:firstRowFirstColumn="0" w:firstRowLastColumn="0" w:lastRowFirstColumn="0" w:lastRowLastColumn="0"/>
            <w:tcW w:w="1542" w:type="dxa"/>
            <w:tcMar>
              <w:left w:w="108" w:type="dxa"/>
              <w:right w:w="108" w:type="dxa"/>
            </w:tcMar>
            <w:vAlign w:val="center"/>
          </w:tcPr>
          <w:p w14:paraId="6949AAF7" w14:textId="348B9221" w:rsidR="75375A8C" w:rsidRPr="002C6654" w:rsidRDefault="75375A8C">
            <w:pPr>
              <w:rPr>
                <w:b w:val="0"/>
              </w:rPr>
            </w:pPr>
            <w:r w:rsidRPr="002C6654">
              <w:rPr>
                <w:rFonts w:cs="Calibri"/>
                <w:b w:val="0"/>
                <w:color w:val="000000" w:themeColor="text1"/>
                <w:sz w:val="22"/>
                <w:szCs w:val="22"/>
                <w:lang w:val="es"/>
              </w:rPr>
              <w:t>Instituto Nacional de Bosques</w:t>
            </w:r>
          </w:p>
        </w:tc>
        <w:tc>
          <w:tcPr>
            <w:tcW w:w="1625" w:type="dxa"/>
            <w:tcMar>
              <w:left w:w="108" w:type="dxa"/>
              <w:right w:w="108" w:type="dxa"/>
            </w:tcMar>
            <w:vAlign w:val="center"/>
          </w:tcPr>
          <w:p w14:paraId="2E5602EF" w14:textId="287BF9F8" w:rsidR="75375A8C" w:rsidRDefault="75375A8C">
            <w:pP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Estado Responsable, Transparente y Efectivo</w:t>
            </w:r>
          </w:p>
        </w:tc>
        <w:tc>
          <w:tcPr>
            <w:tcW w:w="1791" w:type="dxa"/>
            <w:tcMar>
              <w:left w:w="108" w:type="dxa"/>
              <w:right w:w="108" w:type="dxa"/>
            </w:tcMar>
            <w:vAlign w:val="center"/>
          </w:tcPr>
          <w:p w14:paraId="157D665D" w14:textId="5584809A"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lang w:val="es"/>
              </w:rPr>
              <w:t>Q217,332,500.00</w:t>
            </w:r>
          </w:p>
        </w:tc>
        <w:tc>
          <w:tcPr>
            <w:tcW w:w="1832" w:type="dxa"/>
            <w:tcMar>
              <w:left w:w="108" w:type="dxa"/>
              <w:right w:w="108" w:type="dxa"/>
            </w:tcMar>
            <w:vAlign w:val="center"/>
          </w:tcPr>
          <w:p w14:paraId="4D40CE7E" w14:textId="4FB6D35D"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lang w:val="es"/>
              </w:rPr>
              <w:t>Q131,254,476.18</w:t>
            </w:r>
          </w:p>
        </w:tc>
        <w:tc>
          <w:tcPr>
            <w:tcW w:w="1275" w:type="dxa"/>
            <w:shd w:val="clear" w:color="auto" w:fill="92D050"/>
            <w:tcMar>
              <w:left w:w="108" w:type="dxa"/>
              <w:right w:w="108" w:type="dxa"/>
            </w:tcMar>
            <w:vAlign w:val="center"/>
          </w:tcPr>
          <w:p w14:paraId="2AB7153B" w14:textId="2C4E4D89"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100%</w:t>
            </w:r>
          </w:p>
        </w:tc>
        <w:tc>
          <w:tcPr>
            <w:tcW w:w="1339" w:type="dxa"/>
            <w:shd w:val="clear" w:color="auto" w:fill="FFFF00"/>
            <w:tcMar>
              <w:left w:w="108" w:type="dxa"/>
              <w:right w:w="108" w:type="dxa"/>
            </w:tcMar>
            <w:vAlign w:val="center"/>
          </w:tcPr>
          <w:p w14:paraId="31F5C74B" w14:textId="30E852C6"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60.39%</w:t>
            </w:r>
          </w:p>
        </w:tc>
      </w:tr>
      <w:tr w:rsidR="75375A8C" w14:paraId="5C793B7A" w14:textId="77777777" w:rsidTr="00535C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2" w:type="dxa"/>
            <w:tcMar>
              <w:left w:w="108" w:type="dxa"/>
              <w:right w:w="108" w:type="dxa"/>
            </w:tcMar>
            <w:vAlign w:val="center"/>
          </w:tcPr>
          <w:p w14:paraId="17DEC6BE" w14:textId="04679E80" w:rsidR="75375A8C" w:rsidRPr="002C6654" w:rsidRDefault="75375A8C">
            <w:pPr>
              <w:rPr>
                <w:b w:val="0"/>
              </w:rPr>
            </w:pPr>
            <w:r w:rsidRPr="002C6654">
              <w:rPr>
                <w:rFonts w:cs="Calibri"/>
                <w:b w:val="0"/>
                <w:color w:val="000000" w:themeColor="text1"/>
                <w:sz w:val="22"/>
                <w:szCs w:val="22"/>
                <w:lang w:val="es"/>
              </w:rPr>
              <w:t>Instituto Guatemalteco de Turismo</w:t>
            </w:r>
          </w:p>
        </w:tc>
        <w:tc>
          <w:tcPr>
            <w:tcW w:w="1625" w:type="dxa"/>
            <w:tcMar>
              <w:left w:w="108" w:type="dxa"/>
              <w:right w:w="108" w:type="dxa"/>
            </w:tcMar>
            <w:vAlign w:val="center"/>
          </w:tcPr>
          <w:p w14:paraId="5EE13648" w14:textId="6A35A02B" w:rsidR="75375A8C" w:rsidRDefault="75375A8C">
            <w:pP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Relaciones con el Mundo</w:t>
            </w:r>
          </w:p>
        </w:tc>
        <w:tc>
          <w:tcPr>
            <w:tcW w:w="1791" w:type="dxa"/>
            <w:tcMar>
              <w:left w:w="108" w:type="dxa"/>
              <w:right w:w="108" w:type="dxa"/>
            </w:tcMar>
            <w:vAlign w:val="center"/>
          </w:tcPr>
          <w:p w14:paraId="6A7C8B0E" w14:textId="43909F90"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lang w:val="es"/>
              </w:rPr>
              <w:t>Q3,134,775.68</w:t>
            </w:r>
          </w:p>
        </w:tc>
        <w:tc>
          <w:tcPr>
            <w:tcW w:w="1832" w:type="dxa"/>
            <w:tcMar>
              <w:left w:w="108" w:type="dxa"/>
              <w:right w:w="108" w:type="dxa"/>
            </w:tcMar>
            <w:vAlign w:val="center"/>
          </w:tcPr>
          <w:p w14:paraId="4A424E97" w14:textId="3551FF4C"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lang w:val="es"/>
              </w:rPr>
              <w:t>Q2,751,935.69</w:t>
            </w:r>
          </w:p>
        </w:tc>
        <w:tc>
          <w:tcPr>
            <w:tcW w:w="1275" w:type="dxa"/>
            <w:shd w:val="clear" w:color="auto" w:fill="92D050"/>
            <w:tcMar>
              <w:left w:w="108" w:type="dxa"/>
              <w:right w:w="108" w:type="dxa"/>
            </w:tcMar>
            <w:vAlign w:val="center"/>
          </w:tcPr>
          <w:p w14:paraId="1770B64B" w14:textId="2875C556"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96.10%</w:t>
            </w:r>
          </w:p>
        </w:tc>
        <w:tc>
          <w:tcPr>
            <w:tcW w:w="1339" w:type="dxa"/>
            <w:shd w:val="clear" w:color="auto" w:fill="FFFF00"/>
            <w:tcMar>
              <w:left w:w="108" w:type="dxa"/>
              <w:right w:w="108" w:type="dxa"/>
            </w:tcMar>
            <w:vAlign w:val="center"/>
          </w:tcPr>
          <w:p w14:paraId="68E92DF5" w14:textId="28E17790"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87.79%</w:t>
            </w:r>
          </w:p>
        </w:tc>
      </w:tr>
    </w:tbl>
    <w:p w14:paraId="4C3CC9AA" w14:textId="25FB463C" w:rsidR="6B4CB047" w:rsidRDefault="75375A8C" w:rsidP="75375A8C">
      <w:pPr>
        <w:jc w:val="both"/>
      </w:pPr>
      <w:r w:rsidRPr="75375A8C">
        <w:rPr>
          <w:rFonts w:ascii="Calibri" w:eastAsia="Calibri" w:hAnsi="Calibri" w:cs="Calibri"/>
          <w:sz w:val="16"/>
          <w:szCs w:val="16"/>
        </w:rPr>
        <w:t>Fuente: Con base a registros de Siplan. Segeplan. Año 2022.</w:t>
      </w:r>
    </w:p>
    <w:p w14:paraId="0A41FA82" w14:textId="015BCBF3" w:rsidR="6B4CB047" w:rsidRDefault="75375A8C" w:rsidP="00535CA1">
      <w:pPr>
        <w:tabs>
          <w:tab w:val="left" w:pos="1504"/>
        </w:tabs>
        <w:spacing w:after="120" w:line="240" w:lineRule="auto"/>
        <w:jc w:val="both"/>
      </w:pPr>
      <w:r w:rsidRPr="75375A8C">
        <w:rPr>
          <w:rFonts w:ascii="Calibri" w:eastAsia="Calibri" w:hAnsi="Calibri" w:cs="Calibri"/>
          <w:b/>
          <w:bCs/>
          <w:sz w:val="24"/>
          <w:szCs w:val="24"/>
        </w:rPr>
        <w:t xml:space="preserve">CONRED: </w:t>
      </w:r>
      <w:r w:rsidRPr="75375A8C">
        <w:rPr>
          <w:rFonts w:ascii="Calibri" w:eastAsia="Calibri" w:hAnsi="Calibri" w:cs="Calibri"/>
          <w:sz w:val="24"/>
          <w:szCs w:val="24"/>
        </w:rPr>
        <w:t>vinculado a la meta PGG: Para el año 2023 se ha incrementado en Q 17.0 millones el monto asignado al fondo social para la atención a desastres, con el producto: Población guatemalteca beneficiada con ayuda humanitaria en el momento de un desastre o por medio de actividades, iniciativas, proyectos, obras e investigaciones en todas las áreas de reducción de desastres, con 99.85% de avance físico.</w:t>
      </w:r>
    </w:p>
    <w:p w14:paraId="7188252F" w14:textId="03ADF54F" w:rsidR="6B4CB047" w:rsidRDefault="75375A8C" w:rsidP="00535CA1">
      <w:pPr>
        <w:tabs>
          <w:tab w:val="left" w:pos="1504"/>
        </w:tabs>
        <w:spacing w:after="120" w:line="240" w:lineRule="auto"/>
        <w:jc w:val="both"/>
      </w:pPr>
      <w:r w:rsidRPr="75375A8C">
        <w:rPr>
          <w:rFonts w:ascii="Calibri" w:eastAsia="Calibri" w:hAnsi="Calibri" w:cs="Calibri"/>
          <w:b/>
          <w:bCs/>
          <w:sz w:val="24"/>
          <w:szCs w:val="24"/>
        </w:rPr>
        <w:t xml:space="preserve">INFOM: </w:t>
      </w:r>
      <w:r w:rsidRPr="75375A8C">
        <w:rPr>
          <w:rFonts w:ascii="Calibri" w:eastAsia="Calibri" w:hAnsi="Calibri" w:cs="Calibri"/>
          <w:sz w:val="24"/>
          <w:szCs w:val="24"/>
        </w:rPr>
        <w:t>vinculado a la meta PGG: Para el año 2023 se redujo la tasa desnutrición crónica en 7 puntos porcentuales, con los productos: Construcción de alcantarillados metro y Construcción de acueductos metro, con 86% y 71% de avance físico, respectivamente.</w:t>
      </w:r>
    </w:p>
    <w:p w14:paraId="0D3554F3" w14:textId="4DD8A19E" w:rsidR="6B4CB047" w:rsidRDefault="75375A8C" w:rsidP="00535CA1">
      <w:pPr>
        <w:tabs>
          <w:tab w:val="left" w:pos="1504"/>
        </w:tabs>
        <w:spacing w:after="120" w:line="240" w:lineRule="auto"/>
        <w:jc w:val="both"/>
      </w:pPr>
      <w:r w:rsidRPr="75375A8C">
        <w:rPr>
          <w:rFonts w:ascii="Calibri" w:eastAsia="Calibri" w:hAnsi="Calibri" w:cs="Calibri"/>
          <w:b/>
          <w:bCs/>
          <w:sz w:val="24"/>
          <w:szCs w:val="24"/>
        </w:rPr>
        <w:t xml:space="preserve">INDE: </w:t>
      </w:r>
      <w:r w:rsidRPr="75375A8C">
        <w:rPr>
          <w:rFonts w:ascii="Calibri" w:eastAsia="Calibri" w:hAnsi="Calibri" w:cs="Calibri"/>
          <w:sz w:val="24"/>
          <w:szCs w:val="24"/>
        </w:rPr>
        <w:t>vinculado a la meta PGG: Para el año 2023 se ha incrementado el porcentaje de hogares con acceso a energía eléctrica en 1.86 puntos, con el producto: Dirección e implementación de la electrificación rural, con 49% de avance físico, que incluye los subproductos: Implementación de Proyectos de Electrificación Rural, con el 100% de avance físico y Acción, construcción redes y líneas eléctricas de distribución, con 49%.</w:t>
      </w:r>
    </w:p>
    <w:p w14:paraId="368E6320" w14:textId="5E8EED22" w:rsidR="6B4CB047" w:rsidRDefault="75375A8C" w:rsidP="00535CA1">
      <w:pPr>
        <w:tabs>
          <w:tab w:val="left" w:pos="1504"/>
        </w:tabs>
        <w:spacing w:after="120" w:line="240" w:lineRule="auto"/>
        <w:jc w:val="both"/>
      </w:pPr>
      <w:r w:rsidRPr="75375A8C">
        <w:rPr>
          <w:rFonts w:ascii="Calibri" w:eastAsia="Calibri" w:hAnsi="Calibri" w:cs="Calibri"/>
          <w:b/>
          <w:bCs/>
          <w:sz w:val="24"/>
          <w:szCs w:val="24"/>
        </w:rPr>
        <w:t xml:space="preserve">INGUAT: </w:t>
      </w:r>
      <w:r w:rsidRPr="75375A8C">
        <w:rPr>
          <w:rFonts w:ascii="Calibri" w:eastAsia="Calibri" w:hAnsi="Calibri" w:cs="Calibri"/>
          <w:sz w:val="24"/>
          <w:szCs w:val="24"/>
        </w:rPr>
        <w:t>vinculado a la meta PGG: Para el año 2023 se ha mejorado la calificación el índice de competitividad turística en 0.6 puntos, con los productos: Personas individuales y jurídicas beneficiadas con actividades para la conservación del patrimonio, con 100% de avance físico, Personas jurídicas e individuales capacitadas en temas turísticos, con 98%, Señalización turística en beneficio de visitantes nacionales e internacionales, con 98%, Asistencia técnica en legislación turística a personas jurídicas e individuales, con 97% y Personas jurídicas e individuales con distintivo de calidad turística, con 88% de avance.</w:t>
      </w:r>
    </w:p>
    <w:p w14:paraId="5DDC2AF1" w14:textId="1E2F44A4" w:rsidR="6B4CB047" w:rsidRPr="00644EA2" w:rsidRDefault="75375A8C" w:rsidP="00644EA2">
      <w:pPr>
        <w:pStyle w:val="Ttulo2"/>
        <w:numPr>
          <w:ilvl w:val="0"/>
          <w:numId w:val="0"/>
        </w:numPr>
        <w:rPr>
          <w:rFonts w:asciiTheme="minorHAnsi" w:eastAsia="Calibri" w:hAnsiTheme="minorHAnsi" w:cstheme="minorHAnsi"/>
          <w:color w:val="002060"/>
          <w:sz w:val="32"/>
        </w:rPr>
      </w:pPr>
      <w:bookmarkStart w:id="52" w:name="_Toc130301107"/>
      <w:r w:rsidRPr="00644EA2">
        <w:rPr>
          <w:rFonts w:asciiTheme="minorHAnsi" w:eastAsia="Calibri" w:hAnsiTheme="minorHAnsi" w:cstheme="minorHAnsi"/>
          <w:color w:val="002060"/>
          <w:sz w:val="32"/>
        </w:rPr>
        <w:t xml:space="preserve">Entidades </w:t>
      </w:r>
      <w:r w:rsidR="003276FD">
        <w:rPr>
          <w:rFonts w:asciiTheme="minorHAnsi" w:eastAsia="Calibri" w:hAnsiTheme="minorHAnsi" w:cstheme="minorHAnsi"/>
          <w:color w:val="002060"/>
          <w:sz w:val="32"/>
        </w:rPr>
        <w:t>n</w:t>
      </w:r>
      <w:r w:rsidRPr="00644EA2">
        <w:rPr>
          <w:rFonts w:asciiTheme="minorHAnsi" w:eastAsia="Calibri" w:hAnsiTheme="minorHAnsi" w:cstheme="minorHAnsi"/>
          <w:color w:val="002060"/>
          <w:sz w:val="32"/>
        </w:rPr>
        <w:t xml:space="preserve">acionales </w:t>
      </w:r>
      <w:r w:rsidR="003276FD">
        <w:rPr>
          <w:rFonts w:asciiTheme="minorHAnsi" w:eastAsia="Calibri" w:hAnsiTheme="minorHAnsi" w:cstheme="minorHAnsi"/>
          <w:color w:val="002060"/>
          <w:sz w:val="32"/>
        </w:rPr>
        <w:t>d</w:t>
      </w:r>
      <w:r w:rsidRPr="00644EA2">
        <w:rPr>
          <w:rFonts w:asciiTheme="minorHAnsi" w:eastAsia="Calibri" w:hAnsiTheme="minorHAnsi" w:cstheme="minorHAnsi"/>
          <w:color w:val="002060"/>
          <w:sz w:val="32"/>
        </w:rPr>
        <w:t>eportivas</w:t>
      </w:r>
      <w:bookmarkEnd w:id="52"/>
    </w:p>
    <w:p w14:paraId="264326A9" w14:textId="282089A8" w:rsidR="6B4CB047" w:rsidRDefault="75375A8C" w:rsidP="00535CA1">
      <w:pPr>
        <w:spacing w:after="120" w:line="240" w:lineRule="auto"/>
      </w:pPr>
      <w:r w:rsidRPr="75375A8C">
        <w:rPr>
          <w:rFonts w:ascii="Calibri" w:eastAsia="Calibri" w:hAnsi="Calibri" w:cs="Calibri"/>
          <w:sz w:val="24"/>
          <w:szCs w:val="24"/>
        </w:rPr>
        <w:t>Se presentan los resultados del desempeño institucional de las entidades deportivas a través del análisis de los porcentajes de ejecución de metas físicas y financieras. Los resultados son los siguientes:</w:t>
      </w:r>
      <w:r w:rsidR="00D33E9B" w:rsidRPr="00D33E9B">
        <w:rPr>
          <w:rStyle w:val="Refdenotaalpie"/>
          <w:rFonts w:eastAsia="Candara" w:cs="Helvetica"/>
          <w:sz w:val="24"/>
          <w:lang w:eastAsia="es-GT"/>
        </w:rPr>
        <w:t xml:space="preserve"> </w:t>
      </w:r>
      <w:r w:rsidR="00D33E9B">
        <w:rPr>
          <w:rStyle w:val="Refdenotaalpie"/>
          <w:rFonts w:eastAsia="Candara" w:cs="Helvetica"/>
          <w:sz w:val="24"/>
          <w:lang w:eastAsia="es-GT"/>
        </w:rPr>
        <w:footnoteReference w:id="10"/>
      </w:r>
      <w:r w:rsidR="00D33E9B" w:rsidRPr="75375A8C">
        <w:rPr>
          <w:rFonts w:ascii="Calibri" w:eastAsia="Calibri" w:hAnsi="Calibri" w:cs="Calibri"/>
          <w:sz w:val="24"/>
          <w:szCs w:val="24"/>
        </w:rPr>
        <w:t xml:space="preserve"> </w:t>
      </w:r>
      <w:r w:rsidRPr="75375A8C">
        <w:rPr>
          <w:rFonts w:ascii="Calibri" w:eastAsia="Calibri" w:hAnsi="Calibri" w:cs="Calibri"/>
          <w:sz w:val="24"/>
          <w:szCs w:val="24"/>
        </w:rPr>
        <w:t xml:space="preserve"> </w:t>
      </w:r>
    </w:p>
    <w:p w14:paraId="44A71555" w14:textId="68F95083" w:rsidR="6B4CB047" w:rsidRPr="006645F7" w:rsidRDefault="001A4BF5" w:rsidP="006645F7">
      <w:pPr>
        <w:pStyle w:val="ttulosgrficas"/>
        <w:rPr>
          <w:rFonts w:asciiTheme="minorHAnsi" w:hAnsiTheme="minorHAnsi" w:cstheme="minorHAnsi"/>
          <w:color w:val="4472C4" w:themeColor="accent1"/>
        </w:rPr>
      </w:pPr>
      <w:bookmarkStart w:id="53" w:name="_Toc130199602"/>
      <w:r w:rsidRPr="006645F7">
        <w:rPr>
          <w:rFonts w:asciiTheme="minorHAnsi" w:hAnsiTheme="minorHAnsi" w:cstheme="minorHAnsi"/>
          <w:color w:val="4472C4" w:themeColor="accent1"/>
          <w:lang w:val="es"/>
        </w:rPr>
        <w:t xml:space="preserve">Tabla </w:t>
      </w:r>
      <w:r w:rsidR="002C6654" w:rsidRPr="006645F7">
        <w:rPr>
          <w:rFonts w:asciiTheme="minorHAnsi" w:hAnsiTheme="minorHAnsi" w:cstheme="minorHAnsi"/>
          <w:color w:val="4472C4" w:themeColor="accent1"/>
          <w:lang w:val="es"/>
        </w:rPr>
        <w:fldChar w:fldCharType="begin"/>
      </w:r>
      <w:r w:rsidR="002C6654" w:rsidRPr="006645F7">
        <w:rPr>
          <w:rFonts w:asciiTheme="minorHAnsi" w:hAnsiTheme="minorHAnsi" w:cstheme="minorHAnsi"/>
          <w:color w:val="4472C4" w:themeColor="accent1"/>
          <w:lang w:val="es"/>
        </w:rPr>
        <w:instrText xml:space="preserve"> SEQ Tabla \* ARABIC </w:instrText>
      </w:r>
      <w:r w:rsidR="002C6654" w:rsidRPr="006645F7">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14</w:t>
      </w:r>
      <w:r w:rsidR="002C6654" w:rsidRPr="006645F7">
        <w:rPr>
          <w:rFonts w:asciiTheme="minorHAnsi" w:hAnsiTheme="minorHAnsi" w:cstheme="minorHAnsi"/>
          <w:color w:val="4472C4" w:themeColor="accent1"/>
          <w:lang w:val="es"/>
        </w:rPr>
        <w:fldChar w:fldCharType="end"/>
      </w:r>
      <w:r w:rsidRPr="006645F7">
        <w:rPr>
          <w:rFonts w:asciiTheme="minorHAnsi" w:hAnsiTheme="minorHAnsi" w:cstheme="minorHAnsi"/>
          <w:color w:val="4472C4" w:themeColor="accent1"/>
          <w:lang w:val="es"/>
        </w:rPr>
        <w:t>. Ejecución Física y Financiera. Federaciones Deportivas</w:t>
      </w:r>
      <w:bookmarkEnd w:id="53"/>
    </w:p>
    <w:tbl>
      <w:tblPr>
        <w:tblStyle w:val="Tablaconcuadrcula4-nfasis5"/>
        <w:tblW w:w="0" w:type="auto"/>
        <w:tblLayout w:type="fixed"/>
        <w:tblLook w:val="04A0" w:firstRow="1" w:lastRow="0" w:firstColumn="1" w:lastColumn="0" w:noHBand="0" w:noVBand="1"/>
      </w:tblPr>
      <w:tblGrid>
        <w:gridCol w:w="2310"/>
        <w:gridCol w:w="1950"/>
        <w:gridCol w:w="2040"/>
        <w:gridCol w:w="1530"/>
        <w:gridCol w:w="1560"/>
      </w:tblGrid>
      <w:tr w:rsidR="75375A8C" w14:paraId="130B06F4" w14:textId="77777777" w:rsidTr="75375A8C">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6752DFA9" w14:textId="78DF4FB0" w:rsidR="75375A8C" w:rsidRDefault="75375A8C" w:rsidP="75375A8C">
            <w:pPr>
              <w:jc w:val="center"/>
              <w:rPr>
                <w:rFonts w:cs="Calibri"/>
                <w:sz w:val="22"/>
                <w:szCs w:val="22"/>
                <w:lang w:val="es"/>
              </w:rPr>
            </w:pPr>
            <w:r w:rsidRPr="75375A8C">
              <w:rPr>
                <w:rFonts w:cs="Calibri"/>
                <w:color w:val="auto"/>
                <w:sz w:val="22"/>
                <w:szCs w:val="22"/>
                <w:lang w:val="es"/>
              </w:rPr>
              <w:t>Institución</w:t>
            </w:r>
          </w:p>
        </w:tc>
        <w:tc>
          <w:tcPr>
            <w:tcW w:w="1950" w:type="dxa"/>
            <w:tcMar>
              <w:left w:w="108" w:type="dxa"/>
              <w:right w:w="108" w:type="dxa"/>
            </w:tcMar>
            <w:vAlign w:val="center"/>
          </w:tcPr>
          <w:p w14:paraId="04C5A436" w14:textId="7590FEB8" w:rsidR="75375A8C" w:rsidRDefault="75375A8C" w:rsidP="75375A8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5375A8C">
              <w:rPr>
                <w:rFonts w:cs="Calibri"/>
                <w:color w:val="auto"/>
                <w:sz w:val="22"/>
                <w:szCs w:val="22"/>
                <w:lang w:val="es"/>
              </w:rPr>
              <w:t>Meta financiera anual vigente</w:t>
            </w:r>
          </w:p>
        </w:tc>
        <w:tc>
          <w:tcPr>
            <w:tcW w:w="2040" w:type="dxa"/>
            <w:tcMar>
              <w:left w:w="108" w:type="dxa"/>
              <w:right w:w="108" w:type="dxa"/>
            </w:tcMar>
            <w:vAlign w:val="center"/>
          </w:tcPr>
          <w:p w14:paraId="25938F2B" w14:textId="67E0128E" w:rsidR="75375A8C" w:rsidRDefault="75375A8C" w:rsidP="75375A8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5375A8C">
              <w:rPr>
                <w:rFonts w:cs="Calibri"/>
                <w:color w:val="auto"/>
                <w:sz w:val="22"/>
                <w:szCs w:val="22"/>
                <w:lang w:val="es"/>
              </w:rPr>
              <w:t>Ejecución financiera acumulada</w:t>
            </w:r>
          </w:p>
        </w:tc>
        <w:tc>
          <w:tcPr>
            <w:tcW w:w="1530" w:type="dxa"/>
            <w:tcMar>
              <w:left w:w="108" w:type="dxa"/>
              <w:right w:w="108" w:type="dxa"/>
            </w:tcMar>
            <w:vAlign w:val="center"/>
          </w:tcPr>
          <w:p w14:paraId="42AC82E0" w14:textId="08151EE6" w:rsidR="75375A8C" w:rsidRDefault="75375A8C" w:rsidP="75375A8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5375A8C">
              <w:rPr>
                <w:rFonts w:cs="Calibri"/>
                <w:color w:val="auto"/>
                <w:sz w:val="22"/>
                <w:szCs w:val="22"/>
                <w:lang w:val="es"/>
              </w:rPr>
              <w:t xml:space="preserve">% ejecución </w:t>
            </w:r>
            <w:r>
              <w:br/>
            </w:r>
            <w:r w:rsidRPr="75375A8C">
              <w:rPr>
                <w:rFonts w:cs="Calibri"/>
                <w:color w:val="auto"/>
                <w:sz w:val="22"/>
                <w:szCs w:val="22"/>
                <w:lang w:val="es"/>
              </w:rPr>
              <w:t>meta física</w:t>
            </w:r>
          </w:p>
        </w:tc>
        <w:tc>
          <w:tcPr>
            <w:tcW w:w="1560" w:type="dxa"/>
            <w:tcMar>
              <w:left w:w="108" w:type="dxa"/>
              <w:right w:w="108" w:type="dxa"/>
            </w:tcMar>
            <w:vAlign w:val="center"/>
          </w:tcPr>
          <w:p w14:paraId="76BF9C4B" w14:textId="29871778" w:rsidR="75375A8C" w:rsidRDefault="75375A8C" w:rsidP="75375A8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75375A8C">
              <w:rPr>
                <w:rFonts w:cs="Calibri"/>
                <w:color w:val="auto"/>
                <w:sz w:val="22"/>
                <w:szCs w:val="22"/>
                <w:lang w:val="es"/>
              </w:rPr>
              <w:t xml:space="preserve">% ejecución </w:t>
            </w:r>
            <w:r>
              <w:br/>
            </w:r>
            <w:r w:rsidRPr="75375A8C">
              <w:rPr>
                <w:rFonts w:cs="Calibri"/>
                <w:color w:val="auto"/>
                <w:sz w:val="22"/>
                <w:szCs w:val="22"/>
                <w:lang w:val="es"/>
              </w:rPr>
              <w:t>meta financiera</w:t>
            </w:r>
          </w:p>
        </w:tc>
      </w:tr>
      <w:tr w:rsidR="75375A8C" w14:paraId="26A3E685" w14:textId="77777777" w:rsidTr="75375A8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6F34242E" w14:textId="51FBBBF2" w:rsidR="75375A8C" w:rsidRPr="00D33E9B" w:rsidRDefault="75375A8C">
            <w:pPr>
              <w:rPr>
                <w:b w:val="0"/>
              </w:rPr>
            </w:pPr>
            <w:r w:rsidRPr="00D33E9B">
              <w:rPr>
                <w:rFonts w:cs="Calibri"/>
                <w:b w:val="0"/>
                <w:sz w:val="22"/>
                <w:szCs w:val="22"/>
                <w:lang w:val="es"/>
              </w:rPr>
              <w:t>Federación Nacional de Ajedrez</w:t>
            </w:r>
          </w:p>
        </w:tc>
        <w:tc>
          <w:tcPr>
            <w:tcW w:w="1950" w:type="dxa"/>
            <w:tcMar>
              <w:left w:w="108" w:type="dxa"/>
              <w:right w:w="108" w:type="dxa"/>
            </w:tcMar>
            <w:vAlign w:val="center"/>
          </w:tcPr>
          <w:p w14:paraId="5D0889CA" w14:textId="7F8EB5DA"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Q4,600,417.24</w:t>
            </w:r>
          </w:p>
        </w:tc>
        <w:tc>
          <w:tcPr>
            <w:tcW w:w="2040" w:type="dxa"/>
            <w:tcMar>
              <w:left w:w="108" w:type="dxa"/>
              <w:right w:w="108" w:type="dxa"/>
            </w:tcMar>
            <w:vAlign w:val="center"/>
          </w:tcPr>
          <w:p w14:paraId="78F9D65A" w14:textId="4BD7FBBC"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Q4,542,567.43</w:t>
            </w:r>
          </w:p>
        </w:tc>
        <w:tc>
          <w:tcPr>
            <w:tcW w:w="1530" w:type="dxa"/>
            <w:shd w:val="clear" w:color="auto" w:fill="92D050"/>
            <w:tcMar>
              <w:left w:w="108" w:type="dxa"/>
              <w:right w:w="108" w:type="dxa"/>
            </w:tcMar>
            <w:vAlign w:val="center"/>
          </w:tcPr>
          <w:p w14:paraId="095DBBB7" w14:textId="50131E98"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100.00%</w:t>
            </w:r>
          </w:p>
        </w:tc>
        <w:tc>
          <w:tcPr>
            <w:tcW w:w="1560" w:type="dxa"/>
            <w:tcBorders>
              <w:bottom w:val="single" w:sz="8" w:space="0" w:color="BDD6EE" w:themeColor="accent5" w:themeTint="66"/>
              <w:right w:val="nil"/>
            </w:tcBorders>
            <w:shd w:val="clear" w:color="auto" w:fill="92D050"/>
            <w:tcMar>
              <w:left w:w="108" w:type="dxa"/>
              <w:right w:w="108" w:type="dxa"/>
            </w:tcMar>
            <w:vAlign w:val="center"/>
          </w:tcPr>
          <w:p w14:paraId="469A8E8D" w14:textId="63D1BFA4"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98.74%</w:t>
            </w:r>
          </w:p>
        </w:tc>
      </w:tr>
      <w:tr w:rsidR="75375A8C" w14:paraId="5839DBDB" w14:textId="77777777" w:rsidTr="75375A8C">
        <w:trPr>
          <w:trHeight w:val="46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2D1D64CD" w14:textId="38B44100" w:rsidR="75375A8C" w:rsidRPr="00D33E9B" w:rsidRDefault="75375A8C">
            <w:pPr>
              <w:rPr>
                <w:b w:val="0"/>
              </w:rPr>
            </w:pPr>
            <w:r w:rsidRPr="00D33E9B">
              <w:rPr>
                <w:rFonts w:cs="Calibri"/>
                <w:b w:val="0"/>
                <w:sz w:val="22"/>
                <w:szCs w:val="22"/>
                <w:lang w:val="es"/>
              </w:rPr>
              <w:t>Federación Nacional de Baloncesto</w:t>
            </w:r>
          </w:p>
        </w:tc>
        <w:tc>
          <w:tcPr>
            <w:tcW w:w="1950" w:type="dxa"/>
            <w:tcMar>
              <w:left w:w="108" w:type="dxa"/>
              <w:right w:w="108" w:type="dxa"/>
            </w:tcMar>
            <w:vAlign w:val="center"/>
          </w:tcPr>
          <w:p w14:paraId="485BAD79" w14:textId="0E8FB73A"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Q7,131,946.90</w:t>
            </w:r>
          </w:p>
        </w:tc>
        <w:tc>
          <w:tcPr>
            <w:tcW w:w="2040" w:type="dxa"/>
            <w:tcMar>
              <w:left w:w="108" w:type="dxa"/>
              <w:right w:w="108" w:type="dxa"/>
            </w:tcMar>
            <w:vAlign w:val="center"/>
          </w:tcPr>
          <w:p w14:paraId="60C11DB3" w14:textId="09C7C84E"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Q6,726,946.86</w:t>
            </w:r>
          </w:p>
        </w:tc>
        <w:tc>
          <w:tcPr>
            <w:tcW w:w="1530" w:type="dxa"/>
            <w:tcBorders>
              <w:bottom w:val="nil"/>
              <w:right w:val="single" w:sz="8" w:space="0" w:color="BDD6EE" w:themeColor="accent5" w:themeTint="66"/>
            </w:tcBorders>
            <w:shd w:val="clear" w:color="auto" w:fill="92D050"/>
            <w:tcMar>
              <w:left w:w="108" w:type="dxa"/>
              <w:right w:w="108" w:type="dxa"/>
            </w:tcMar>
            <w:vAlign w:val="center"/>
          </w:tcPr>
          <w:p w14:paraId="722E5198" w14:textId="548A2C22"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100.00%</w:t>
            </w:r>
          </w:p>
        </w:tc>
        <w:tc>
          <w:tcPr>
            <w:tcW w:w="1560" w:type="dxa"/>
            <w:tcBorders>
              <w:top w:val="single" w:sz="8" w:space="0" w:color="BDD6EE" w:themeColor="accent5" w:themeTint="66"/>
              <w:left w:val="single" w:sz="8" w:space="0" w:color="BDD6EE" w:themeColor="accent5" w:themeTint="66"/>
              <w:bottom w:val="single" w:sz="8" w:space="0" w:color="BDD6EE" w:themeColor="accent5" w:themeTint="66"/>
              <w:right w:val="single" w:sz="8" w:space="0" w:color="BDD6EE" w:themeColor="accent5" w:themeTint="66"/>
            </w:tcBorders>
            <w:shd w:val="clear" w:color="auto" w:fill="92D050"/>
            <w:tcMar>
              <w:left w:w="108" w:type="dxa"/>
              <w:right w:w="108" w:type="dxa"/>
            </w:tcMar>
            <w:vAlign w:val="center"/>
          </w:tcPr>
          <w:p w14:paraId="6E2F389F" w14:textId="4E3EC2BB"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94.32%</w:t>
            </w:r>
          </w:p>
        </w:tc>
      </w:tr>
      <w:tr w:rsidR="75375A8C" w14:paraId="21B4D2BF" w14:textId="77777777" w:rsidTr="75375A8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2CEF0C0A" w14:textId="1C425C12" w:rsidR="75375A8C" w:rsidRPr="00D33E9B" w:rsidRDefault="75375A8C">
            <w:pPr>
              <w:rPr>
                <w:b w:val="0"/>
              </w:rPr>
            </w:pPr>
            <w:r w:rsidRPr="00D33E9B">
              <w:rPr>
                <w:rFonts w:cs="Calibri"/>
                <w:b w:val="0"/>
                <w:sz w:val="22"/>
                <w:szCs w:val="22"/>
                <w:lang w:val="es"/>
              </w:rPr>
              <w:t>Federación Nacional de Boxeo</w:t>
            </w:r>
          </w:p>
        </w:tc>
        <w:tc>
          <w:tcPr>
            <w:tcW w:w="1950" w:type="dxa"/>
            <w:tcMar>
              <w:left w:w="108" w:type="dxa"/>
              <w:right w:w="108" w:type="dxa"/>
            </w:tcMar>
            <w:vAlign w:val="center"/>
          </w:tcPr>
          <w:p w14:paraId="3D884BFA" w14:textId="61529C2F"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Q8,519,673.53</w:t>
            </w:r>
          </w:p>
        </w:tc>
        <w:tc>
          <w:tcPr>
            <w:tcW w:w="2040" w:type="dxa"/>
            <w:tcMar>
              <w:left w:w="108" w:type="dxa"/>
              <w:right w:w="108" w:type="dxa"/>
            </w:tcMar>
            <w:vAlign w:val="center"/>
          </w:tcPr>
          <w:p w14:paraId="00618BD4" w14:textId="1EFB8CE2"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Q6,936,996.70</w:t>
            </w:r>
          </w:p>
        </w:tc>
        <w:tc>
          <w:tcPr>
            <w:tcW w:w="1530" w:type="dxa"/>
            <w:shd w:val="clear" w:color="auto" w:fill="92D050"/>
            <w:tcMar>
              <w:left w:w="108" w:type="dxa"/>
              <w:right w:w="108" w:type="dxa"/>
            </w:tcMar>
            <w:vAlign w:val="center"/>
          </w:tcPr>
          <w:p w14:paraId="3A360BC6" w14:textId="7AE21F77"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100.00%</w:t>
            </w:r>
          </w:p>
        </w:tc>
        <w:tc>
          <w:tcPr>
            <w:tcW w:w="1560" w:type="dxa"/>
            <w:tcBorders>
              <w:top w:val="single" w:sz="8" w:space="0" w:color="BDD6EE" w:themeColor="accent5" w:themeTint="66"/>
              <w:bottom w:val="nil"/>
              <w:right w:val="nil"/>
            </w:tcBorders>
            <w:shd w:val="clear" w:color="auto" w:fill="FFFF00"/>
            <w:tcMar>
              <w:left w:w="108" w:type="dxa"/>
              <w:right w:w="108" w:type="dxa"/>
            </w:tcMar>
            <w:vAlign w:val="center"/>
          </w:tcPr>
          <w:p w14:paraId="3504EB57" w14:textId="6D547D05"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81.42%</w:t>
            </w:r>
          </w:p>
        </w:tc>
      </w:tr>
      <w:tr w:rsidR="75375A8C" w14:paraId="134B94D6" w14:textId="77777777" w:rsidTr="75375A8C">
        <w:trPr>
          <w:trHeight w:val="46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4250D182" w14:textId="530C3E61" w:rsidR="75375A8C" w:rsidRPr="00D33E9B" w:rsidRDefault="75375A8C">
            <w:pPr>
              <w:rPr>
                <w:b w:val="0"/>
              </w:rPr>
            </w:pPr>
            <w:r w:rsidRPr="00D33E9B">
              <w:rPr>
                <w:rFonts w:cs="Calibri"/>
                <w:b w:val="0"/>
                <w:sz w:val="22"/>
                <w:szCs w:val="22"/>
                <w:lang w:val="es"/>
              </w:rPr>
              <w:t>Federación Nacional de Esgrima</w:t>
            </w:r>
          </w:p>
        </w:tc>
        <w:tc>
          <w:tcPr>
            <w:tcW w:w="1950" w:type="dxa"/>
            <w:tcMar>
              <w:left w:w="108" w:type="dxa"/>
              <w:right w:w="108" w:type="dxa"/>
            </w:tcMar>
            <w:vAlign w:val="center"/>
          </w:tcPr>
          <w:p w14:paraId="6D52C3ED" w14:textId="76C1C05C"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Q4,532,364.02</w:t>
            </w:r>
          </w:p>
        </w:tc>
        <w:tc>
          <w:tcPr>
            <w:tcW w:w="2040" w:type="dxa"/>
            <w:tcMar>
              <w:left w:w="108" w:type="dxa"/>
              <w:right w:w="108" w:type="dxa"/>
            </w:tcMar>
            <w:vAlign w:val="center"/>
          </w:tcPr>
          <w:p w14:paraId="5C4CAD98" w14:textId="0E153B7E"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Q2,376,422.13</w:t>
            </w:r>
          </w:p>
        </w:tc>
        <w:tc>
          <w:tcPr>
            <w:tcW w:w="1530" w:type="dxa"/>
            <w:shd w:val="clear" w:color="auto" w:fill="92D050"/>
            <w:tcMar>
              <w:left w:w="108" w:type="dxa"/>
              <w:right w:w="108" w:type="dxa"/>
            </w:tcMar>
            <w:vAlign w:val="center"/>
          </w:tcPr>
          <w:p w14:paraId="6D0A6165" w14:textId="0D50F96E"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100.00%</w:t>
            </w:r>
          </w:p>
        </w:tc>
        <w:tc>
          <w:tcPr>
            <w:tcW w:w="1560" w:type="dxa"/>
            <w:shd w:val="clear" w:color="auto" w:fill="FFFF00"/>
            <w:tcMar>
              <w:left w:w="108" w:type="dxa"/>
              <w:right w:w="108" w:type="dxa"/>
            </w:tcMar>
            <w:vAlign w:val="center"/>
          </w:tcPr>
          <w:p w14:paraId="7D6B8FA6" w14:textId="61DAFF6E"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52.43%</w:t>
            </w:r>
          </w:p>
        </w:tc>
      </w:tr>
      <w:tr w:rsidR="75375A8C" w14:paraId="001ED866" w14:textId="77777777" w:rsidTr="75375A8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0F6D8756" w14:textId="2D66BF7E" w:rsidR="75375A8C" w:rsidRPr="00D33E9B" w:rsidRDefault="75375A8C">
            <w:pPr>
              <w:rPr>
                <w:b w:val="0"/>
              </w:rPr>
            </w:pPr>
            <w:r w:rsidRPr="00D33E9B">
              <w:rPr>
                <w:rFonts w:cs="Calibri"/>
                <w:b w:val="0"/>
                <w:sz w:val="22"/>
                <w:szCs w:val="22"/>
                <w:lang w:val="es"/>
              </w:rPr>
              <w:t>Federación Nacional de Levantamiento de Potencia</w:t>
            </w:r>
          </w:p>
        </w:tc>
        <w:tc>
          <w:tcPr>
            <w:tcW w:w="1950" w:type="dxa"/>
            <w:tcMar>
              <w:left w:w="108" w:type="dxa"/>
              <w:right w:w="108" w:type="dxa"/>
            </w:tcMar>
            <w:vAlign w:val="center"/>
          </w:tcPr>
          <w:p w14:paraId="38EF5B87" w14:textId="23D1EAB2"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Q4,237,902.54</w:t>
            </w:r>
          </w:p>
        </w:tc>
        <w:tc>
          <w:tcPr>
            <w:tcW w:w="2040" w:type="dxa"/>
            <w:tcMar>
              <w:left w:w="108" w:type="dxa"/>
              <w:right w:w="108" w:type="dxa"/>
            </w:tcMar>
            <w:vAlign w:val="center"/>
          </w:tcPr>
          <w:p w14:paraId="354EFC0B" w14:textId="23492A8B"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Q4,019,358.88</w:t>
            </w:r>
          </w:p>
        </w:tc>
        <w:tc>
          <w:tcPr>
            <w:tcW w:w="1530" w:type="dxa"/>
            <w:shd w:val="clear" w:color="auto" w:fill="92D050"/>
            <w:tcMar>
              <w:left w:w="108" w:type="dxa"/>
              <w:right w:w="108" w:type="dxa"/>
            </w:tcMar>
            <w:vAlign w:val="center"/>
          </w:tcPr>
          <w:p w14:paraId="7C3A1822" w14:textId="0763C4FE"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100.00%</w:t>
            </w:r>
          </w:p>
        </w:tc>
        <w:tc>
          <w:tcPr>
            <w:tcW w:w="1560" w:type="dxa"/>
            <w:shd w:val="clear" w:color="auto" w:fill="92D050"/>
            <w:tcMar>
              <w:left w:w="108" w:type="dxa"/>
              <w:right w:w="108" w:type="dxa"/>
            </w:tcMar>
            <w:vAlign w:val="center"/>
          </w:tcPr>
          <w:p w14:paraId="53F64EB3" w14:textId="1C64C6EC"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94.84%</w:t>
            </w:r>
          </w:p>
        </w:tc>
      </w:tr>
      <w:tr w:rsidR="75375A8C" w14:paraId="40A7DEA8" w14:textId="77777777" w:rsidTr="75375A8C">
        <w:trPr>
          <w:trHeight w:val="46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6AB11F76" w14:textId="5C54AF8F" w:rsidR="75375A8C" w:rsidRPr="00D33E9B" w:rsidRDefault="75375A8C">
            <w:pPr>
              <w:rPr>
                <w:b w:val="0"/>
              </w:rPr>
            </w:pPr>
            <w:r w:rsidRPr="00D33E9B">
              <w:rPr>
                <w:rFonts w:cs="Calibri"/>
                <w:b w:val="0"/>
                <w:sz w:val="22"/>
                <w:szCs w:val="22"/>
                <w:lang w:val="es"/>
              </w:rPr>
              <w:t>Federación Nacional de Patinaje Sobre Ruedas</w:t>
            </w:r>
          </w:p>
        </w:tc>
        <w:tc>
          <w:tcPr>
            <w:tcW w:w="1950" w:type="dxa"/>
            <w:tcMar>
              <w:left w:w="108" w:type="dxa"/>
              <w:right w:w="108" w:type="dxa"/>
            </w:tcMar>
            <w:vAlign w:val="center"/>
          </w:tcPr>
          <w:p w14:paraId="3E14BDE7" w14:textId="48C70427"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Q5,284,088.00</w:t>
            </w:r>
          </w:p>
        </w:tc>
        <w:tc>
          <w:tcPr>
            <w:tcW w:w="2040" w:type="dxa"/>
            <w:tcMar>
              <w:left w:w="108" w:type="dxa"/>
              <w:right w:w="108" w:type="dxa"/>
            </w:tcMar>
            <w:vAlign w:val="center"/>
          </w:tcPr>
          <w:p w14:paraId="0793EB46" w14:textId="70CAD7E5"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Q5,111,540.35</w:t>
            </w:r>
          </w:p>
        </w:tc>
        <w:tc>
          <w:tcPr>
            <w:tcW w:w="1530" w:type="dxa"/>
            <w:shd w:val="clear" w:color="auto" w:fill="92D050"/>
            <w:tcMar>
              <w:left w:w="108" w:type="dxa"/>
              <w:right w:w="108" w:type="dxa"/>
            </w:tcMar>
            <w:vAlign w:val="center"/>
          </w:tcPr>
          <w:p w14:paraId="5C4DDDCD" w14:textId="0890A01C"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100.00%</w:t>
            </w:r>
          </w:p>
        </w:tc>
        <w:tc>
          <w:tcPr>
            <w:tcW w:w="1560" w:type="dxa"/>
            <w:shd w:val="clear" w:color="auto" w:fill="92D050"/>
            <w:tcMar>
              <w:left w:w="108" w:type="dxa"/>
              <w:right w:w="108" w:type="dxa"/>
            </w:tcMar>
            <w:vAlign w:val="center"/>
          </w:tcPr>
          <w:p w14:paraId="21E9146D" w14:textId="3919D3CE"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96.73%</w:t>
            </w:r>
          </w:p>
        </w:tc>
      </w:tr>
      <w:tr w:rsidR="75375A8C" w14:paraId="5A286235" w14:textId="77777777" w:rsidTr="75375A8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3696762F" w14:textId="614D0055" w:rsidR="75375A8C" w:rsidRPr="00D33E9B" w:rsidRDefault="75375A8C">
            <w:pPr>
              <w:rPr>
                <w:b w:val="0"/>
              </w:rPr>
            </w:pPr>
            <w:r w:rsidRPr="00D33E9B">
              <w:rPr>
                <w:rFonts w:cs="Calibri"/>
                <w:b w:val="0"/>
                <w:sz w:val="22"/>
                <w:szCs w:val="22"/>
                <w:lang w:val="es"/>
              </w:rPr>
              <w:t>Federación Nacional de Boliche</w:t>
            </w:r>
          </w:p>
        </w:tc>
        <w:tc>
          <w:tcPr>
            <w:tcW w:w="1950" w:type="dxa"/>
            <w:tcMar>
              <w:left w:w="108" w:type="dxa"/>
              <w:right w:w="108" w:type="dxa"/>
            </w:tcMar>
            <w:vAlign w:val="center"/>
          </w:tcPr>
          <w:p w14:paraId="3161D765" w14:textId="0A07DF38"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Q9,234,763.08</w:t>
            </w:r>
          </w:p>
        </w:tc>
        <w:tc>
          <w:tcPr>
            <w:tcW w:w="2040" w:type="dxa"/>
            <w:tcMar>
              <w:left w:w="108" w:type="dxa"/>
              <w:right w:w="108" w:type="dxa"/>
            </w:tcMar>
            <w:vAlign w:val="center"/>
          </w:tcPr>
          <w:p w14:paraId="56A61B46" w14:textId="74411BE8"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Q6,194,615.14</w:t>
            </w:r>
          </w:p>
        </w:tc>
        <w:tc>
          <w:tcPr>
            <w:tcW w:w="1530" w:type="dxa"/>
            <w:shd w:val="clear" w:color="auto" w:fill="92D050"/>
            <w:tcMar>
              <w:left w:w="108" w:type="dxa"/>
              <w:right w:w="108" w:type="dxa"/>
            </w:tcMar>
            <w:vAlign w:val="center"/>
          </w:tcPr>
          <w:p w14:paraId="26903E64" w14:textId="6B4B61D0"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99.04%</w:t>
            </w:r>
          </w:p>
        </w:tc>
        <w:tc>
          <w:tcPr>
            <w:tcW w:w="1560" w:type="dxa"/>
            <w:shd w:val="clear" w:color="auto" w:fill="FFFF00"/>
            <w:tcMar>
              <w:left w:w="108" w:type="dxa"/>
              <w:right w:w="108" w:type="dxa"/>
            </w:tcMar>
            <w:vAlign w:val="center"/>
          </w:tcPr>
          <w:p w14:paraId="577102C4" w14:textId="2D9620DA"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67.08%</w:t>
            </w:r>
          </w:p>
        </w:tc>
      </w:tr>
      <w:tr w:rsidR="75375A8C" w14:paraId="29E7F267" w14:textId="77777777" w:rsidTr="75375A8C">
        <w:trPr>
          <w:trHeight w:val="46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18ABAE25" w14:textId="7288B249" w:rsidR="75375A8C" w:rsidRPr="00D33E9B" w:rsidRDefault="75375A8C">
            <w:pPr>
              <w:rPr>
                <w:b w:val="0"/>
              </w:rPr>
            </w:pPr>
            <w:r w:rsidRPr="00D33E9B">
              <w:rPr>
                <w:rFonts w:cs="Calibri"/>
                <w:b w:val="0"/>
                <w:sz w:val="22"/>
                <w:szCs w:val="22"/>
                <w:lang w:val="es"/>
              </w:rPr>
              <w:t>Federación Nacional de Luchas</w:t>
            </w:r>
          </w:p>
        </w:tc>
        <w:tc>
          <w:tcPr>
            <w:tcW w:w="1950" w:type="dxa"/>
            <w:tcMar>
              <w:left w:w="108" w:type="dxa"/>
              <w:right w:w="108" w:type="dxa"/>
            </w:tcMar>
            <w:vAlign w:val="center"/>
          </w:tcPr>
          <w:p w14:paraId="28DAF9E7" w14:textId="04F87B91"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Q8,144,442.60</w:t>
            </w:r>
          </w:p>
        </w:tc>
        <w:tc>
          <w:tcPr>
            <w:tcW w:w="2040" w:type="dxa"/>
            <w:tcMar>
              <w:left w:w="108" w:type="dxa"/>
              <w:right w:w="108" w:type="dxa"/>
            </w:tcMar>
            <w:vAlign w:val="center"/>
          </w:tcPr>
          <w:p w14:paraId="08A13B08" w14:textId="14E90D6D"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Q7,463,994.90</w:t>
            </w:r>
          </w:p>
        </w:tc>
        <w:tc>
          <w:tcPr>
            <w:tcW w:w="1530" w:type="dxa"/>
            <w:shd w:val="clear" w:color="auto" w:fill="92D050"/>
            <w:tcMar>
              <w:left w:w="108" w:type="dxa"/>
              <w:right w:w="108" w:type="dxa"/>
            </w:tcMar>
            <w:vAlign w:val="center"/>
          </w:tcPr>
          <w:p w14:paraId="4274E49F" w14:textId="3B5605B8"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95.37%</w:t>
            </w:r>
          </w:p>
        </w:tc>
        <w:tc>
          <w:tcPr>
            <w:tcW w:w="1560" w:type="dxa"/>
            <w:shd w:val="clear" w:color="auto" w:fill="92D050"/>
            <w:tcMar>
              <w:left w:w="108" w:type="dxa"/>
              <w:right w:w="108" w:type="dxa"/>
            </w:tcMar>
            <w:vAlign w:val="center"/>
          </w:tcPr>
          <w:p w14:paraId="08E00F18" w14:textId="01513051"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91.65%</w:t>
            </w:r>
          </w:p>
        </w:tc>
      </w:tr>
      <w:tr w:rsidR="75375A8C" w14:paraId="4E157F7C" w14:textId="77777777" w:rsidTr="75375A8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0BD0E428" w14:textId="39F0BF0D" w:rsidR="75375A8C" w:rsidRPr="00D33E9B" w:rsidRDefault="75375A8C">
            <w:pPr>
              <w:rPr>
                <w:b w:val="0"/>
              </w:rPr>
            </w:pPr>
            <w:r w:rsidRPr="00D33E9B">
              <w:rPr>
                <w:rFonts w:cs="Calibri"/>
                <w:b w:val="0"/>
                <w:sz w:val="22"/>
                <w:szCs w:val="22"/>
                <w:lang w:val="es"/>
              </w:rPr>
              <w:t>Federación Nacional de Futbol</w:t>
            </w:r>
          </w:p>
        </w:tc>
        <w:tc>
          <w:tcPr>
            <w:tcW w:w="1950" w:type="dxa"/>
            <w:tcMar>
              <w:left w:w="108" w:type="dxa"/>
              <w:right w:w="108" w:type="dxa"/>
            </w:tcMar>
            <w:vAlign w:val="center"/>
          </w:tcPr>
          <w:p w14:paraId="03C44B50" w14:textId="495547C9"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Q45,527,005.00</w:t>
            </w:r>
          </w:p>
        </w:tc>
        <w:tc>
          <w:tcPr>
            <w:tcW w:w="2040" w:type="dxa"/>
            <w:tcMar>
              <w:left w:w="108" w:type="dxa"/>
              <w:right w:w="108" w:type="dxa"/>
            </w:tcMar>
            <w:vAlign w:val="center"/>
          </w:tcPr>
          <w:p w14:paraId="73DC5C3D" w14:textId="78C01792"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Q42,965,818.40</w:t>
            </w:r>
          </w:p>
        </w:tc>
        <w:tc>
          <w:tcPr>
            <w:tcW w:w="1530" w:type="dxa"/>
            <w:shd w:val="clear" w:color="auto" w:fill="92D050"/>
            <w:tcMar>
              <w:left w:w="108" w:type="dxa"/>
              <w:right w:w="108" w:type="dxa"/>
            </w:tcMar>
            <w:vAlign w:val="center"/>
          </w:tcPr>
          <w:p w14:paraId="2B51E123" w14:textId="02A221EB"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95.23%</w:t>
            </w:r>
          </w:p>
        </w:tc>
        <w:tc>
          <w:tcPr>
            <w:tcW w:w="1560" w:type="dxa"/>
            <w:shd w:val="clear" w:color="auto" w:fill="92D050"/>
            <w:tcMar>
              <w:left w:w="108" w:type="dxa"/>
              <w:right w:w="108" w:type="dxa"/>
            </w:tcMar>
            <w:vAlign w:val="center"/>
          </w:tcPr>
          <w:p w14:paraId="0DF8D7FA" w14:textId="1A11D8FF"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94.37%</w:t>
            </w:r>
          </w:p>
        </w:tc>
      </w:tr>
      <w:tr w:rsidR="75375A8C" w14:paraId="2C201998" w14:textId="77777777" w:rsidTr="75375A8C">
        <w:trPr>
          <w:trHeight w:val="46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4C762A5D" w14:textId="34E4DD89" w:rsidR="75375A8C" w:rsidRPr="00D33E9B" w:rsidRDefault="75375A8C">
            <w:pPr>
              <w:rPr>
                <w:b w:val="0"/>
              </w:rPr>
            </w:pPr>
            <w:r w:rsidRPr="00D33E9B">
              <w:rPr>
                <w:rFonts w:cs="Calibri"/>
                <w:b w:val="0"/>
                <w:sz w:val="22"/>
                <w:szCs w:val="22"/>
                <w:lang w:val="es"/>
              </w:rPr>
              <w:t>Federación Nacional de Atletismo</w:t>
            </w:r>
          </w:p>
        </w:tc>
        <w:tc>
          <w:tcPr>
            <w:tcW w:w="1950" w:type="dxa"/>
            <w:tcMar>
              <w:left w:w="108" w:type="dxa"/>
              <w:right w:w="108" w:type="dxa"/>
            </w:tcMar>
            <w:vAlign w:val="center"/>
          </w:tcPr>
          <w:p w14:paraId="7957A471" w14:textId="6155363A"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Q10,628,598.00</w:t>
            </w:r>
          </w:p>
        </w:tc>
        <w:tc>
          <w:tcPr>
            <w:tcW w:w="2040" w:type="dxa"/>
            <w:tcMar>
              <w:left w:w="108" w:type="dxa"/>
              <w:right w:w="108" w:type="dxa"/>
            </w:tcMar>
            <w:vAlign w:val="center"/>
          </w:tcPr>
          <w:p w14:paraId="056309FB" w14:textId="6EA0BD71"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Q7,143,374.69</w:t>
            </w:r>
          </w:p>
        </w:tc>
        <w:tc>
          <w:tcPr>
            <w:tcW w:w="1530" w:type="dxa"/>
            <w:shd w:val="clear" w:color="auto" w:fill="92D050"/>
            <w:tcMar>
              <w:left w:w="108" w:type="dxa"/>
              <w:right w:w="108" w:type="dxa"/>
            </w:tcMar>
            <w:vAlign w:val="center"/>
          </w:tcPr>
          <w:p w14:paraId="62B6DDA0" w14:textId="7C2C6DA0"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93.68%</w:t>
            </w:r>
          </w:p>
        </w:tc>
        <w:tc>
          <w:tcPr>
            <w:tcW w:w="1560" w:type="dxa"/>
            <w:shd w:val="clear" w:color="auto" w:fill="FFFF00"/>
            <w:tcMar>
              <w:left w:w="108" w:type="dxa"/>
              <w:right w:w="108" w:type="dxa"/>
            </w:tcMar>
            <w:vAlign w:val="center"/>
          </w:tcPr>
          <w:p w14:paraId="3F0AD22C" w14:textId="39FC600A"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67.21%</w:t>
            </w:r>
          </w:p>
        </w:tc>
      </w:tr>
      <w:tr w:rsidR="75375A8C" w14:paraId="610D9A06" w14:textId="77777777" w:rsidTr="75375A8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11002585" w14:textId="33365ADE" w:rsidR="75375A8C" w:rsidRPr="00D33E9B" w:rsidRDefault="75375A8C">
            <w:pPr>
              <w:rPr>
                <w:b w:val="0"/>
              </w:rPr>
            </w:pPr>
            <w:r w:rsidRPr="00D33E9B">
              <w:rPr>
                <w:rFonts w:cs="Calibri"/>
                <w:b w:val="0"/>
                <w:sz w:val="22"/>
                <w:szCs w:val="22"/>
                <w:lang w:val="es"/>
              </w:rPr>
              <w:t>Federación Nacional de Fisicoculturismo</w:t>
            </w:r>
          </w:p>
        </w:tc>
        <w:tc>
          <w:tcPr>
            <w:tcW w:w="1950" w:type="dxa"/>
            <w:tcMar>
              <w:left w:w="108" w:type="dxa"/>
              <w:right w:w="108" w:type="dxa"/>
            </w:tcMar>
            <w:vAlign w:val="center"/>
          </w:tcPr>
          <w:p w14:paraId="119DBAB7" w14:textId="1BA64CB5"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Q6,920,208.73</w:t>
            </w:r>
          </w:p>
        </w:tc>
        <w:tc>
          <w:tcPr>
            <w:tcW w:w="2040" w:type="dxa"/>
            <w:tcMar>
              <w:left w:w="108" w:type="dxa"/>
              <w:right w:w="108" w:type="dxa"/>
            </w:tcMar>
            <w:vAlign w:val="center"/>
          </w:tcPr>
          <w:p w14:paraId="1BB5A225" w14:textId="45EAEF9C"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Q5,829,521.27</w:t>
            </w:r>
          </w:p>
        </w:tc>
        <w:tc>
          <w:tcPr>
            <w:tcW w:w="1530" w:type="dxa"/>
            <w:shd w:val="clear" w:color="auto" w:fill="92D050"/>
            <w:tcMar>
              <w:left w:w="108" w:type="dxa"/>
              <w:right w:w="108" w:type="dxa"/>
            </w:tcMar>
            <w:vAlign w:val="center"/>
          </w:tcPr>
          <w:p w14:paraId="3C4CD934" w14:textId="3016F5C6"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92.73%</w:t>
            </w:r>
          </w:p>
        </w:tc>
        <w:tc>
          <w:tcPr>
            <w:tcW w:w="1560" w:type="dxa"/>
            <w:shd w:val="clear" w:color="auto" w:fill="FFFF00"/>
            <w:tcMar>
              <w:left w:w="108" w:type="dxa"/>
              <w:right w:w="108" w:type="dxa"/>
            </w:tcMar>
            <w:vAlign w:val="center"/>
          </w:tcPr>
          <w:p w14:paraId="3231843C" w14:textId="4E958C30"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84.24%</w:t>
            </w:r>
          </w:p>
        </w:tc>
      </w:tr>
      <w:tr w:rsidR="75375A8C" w14:paraId="47A3DB15" w14:textId="77777777" w:rsidTr="75375A8C">
        <w:trPr>
          <w:trHeight w:val="465"/>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5DAE9F6E" w14:textId="5BCD2A8A" w:rsidR="75375A8C" w:rsidRPr="00D33E9B" w:rsidRDefault="75375A8C">
            <w:pPr>
              <w:rPr>
                <w:b w:val="0"/>
              </w:rPr>
            </w:pPr>
            <w:r w:rsidRPr="00D33E9B">
              <w:rPr>
                <w:rFonts w:cs="Calibri"/>
                <w:b w:val="0"/>
                <w:sz w:val="22"/>
                <w:szCs w:val="22"/>
                <w:lang w:val="es"/>
              </w:rPr>
              <w:t>Federación Nacional de Remo y Canotaje</w:t>
            </w:r>
          </w:p>
        </w:tc>
        <w:tc>
          <w:tcPr>
            <w:tcW w:w="1950" w:type="dxa"/>
            <w:tcMar>
              <w:left w:w="108" w:type="dxa"/>
              <w:right w:w="108" w:type="dxa"/>
            </w:tcMar>
            <w:vAlign w:val="center"/>
          </w:tcPr>
          <w:p w14:paraId="23EE9E61" w14:textId="2124C459"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Q7,958,928.90</w:t>
            </w:r>
          </w:p>
        </w:tc>
        <w:tc>
          <w:tcPr>
            <w:tcW w:w="2040" w:type="dxa"/>
            <w:tcMar>
              <w:left w:w="108" w:type="dxa"/>
              <w:right w:w="108" w:type="dxa"/>
            </w:tcMar>
            <w:vAlign w:val="center"/>
          </w:tcPr>
          <w:p w14:paraId="1A644013" w14:textId="48B76DCF"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Q7,285,546.68</w:t>
            </w:r>
          </w:p>
        </w:tc>
        <w:tc>
          <w:tcPr>
            <w:tcW w:w="1530" w:type="dxa"/>
            <w:shd w:val="clear" w:color="auto" w:fill="FFFF00"/>
            <w:tcMar>
              <w:left w:w="108" w:type="dxa"/>
              <w:right w:w="108" w:type="dxa"/>
            </w:tcMar>
            <w:vAlign w:val="center"/>
          </w:tcPr>
          <w:p w14:paraId="61BC4B00" w14:textId="3048F259"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87.80%</w:t>
            </w:r>
          </w:p>
        </w:tc>
        <w:tc>
          <w:tcPr>
            <w:tcW w:w="1560" w:type="dxa"/>
            <w:shd w:val="clear" w:color="auto" w:fill="92D050"/>
            <w:tcMar>
              <w:left w:w="108" w:type="dxa"/>
              <w:right w:w="108" w:type="dxa"/>
            </w:tcMar>
            <w:vAlign w:val="center"/>
          </w:tcPr>
          <w:p w14:paraId="726C0E7A" w14:textId="577599C2"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91.54%</w:t>
            </w:r>
          </w:p>
        </w:tc>
      </w:tr>
      <w:tr w:rsidR="75375A8C" w14:paraId="0A5CD44E" w14:textId="77777777" w:rsidTr="75375A8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219BE5B5" w14:textId="099FD704" w:rsidR="75375A8C" w:rsidRPr="00D33E9B" w:rsidRDefault="75375A8C">
            <w:pPr>
              <w:rPr>
                <w:b w:val="0"/>
              </w:rPr>
            </w:pPr>
            <w:r w:rsidRPr="00D33E9B">
              <w:rPr>
                <w:rFonts w:cs="Calibri"/>
                <w:b w:val="0"/>
                <w:sz w:val="22"/>
                <w:szCs w:val="22"/>
                <w:lang w:val="es"/>
              </w:rPr>
              <w:t>Federación Nacional de Tae Kwon Do</w:t>
            </w:r>
          </w:p>
        </w:tc>
        <w:tc>
          <w:tcPr>
            <w:tcW w:w="1950" w:type="dxa"/>
            <w:tcMar>
              <w:left w:w="108" w:type="dxa"/>
              <w:right w:w="108" w:type="dxa"/>
            </w:tcMar>
            <w:vAlign w:val="center"/>
          </w:tcPr>
          <w:p w14:paraId="5F71F653" w14:textId="543CD1D1"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Q10,878,312.40</w:t>
            </w:r>
          </w:p>
        </w:tc>
        <w:tc>
          <w:tcPr>
            <w:tcW w:w="2040" w:type="dxa"/>
            <w:tcMar>
              <w:left w:w="108" w:type="dxa"/>
              <w:right w:w="108" w:type="dxa"/>
            </w:tcMar>
            <w:vAlign w:val="center"/>
          </w:tcPr>
          <w:p w14:paraId="5879E63C" w14:textId="45F6C5E1"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Q9,448,777.23</w:t>
            </w:r>
          </w:p>
        </w:tc>
        <w:tc>
          <w:tcPr>
            <w:tcW w:w="1530" w:type="dxa"/>
            <w:shd w:val="clear" w:color="auto" w:fill="FFFF00"/>
            <w:tcMar>
              <w:left w:w="108" w:type="dxa"/>
              <w:right w:w="108" w:type="dxa"/>
            </w:tcMar>
            <w:vAlign w:val="center"/>
          </w:tcPr>
          <w:p w14:paraId="0022FD3F" w14:textId="20981D3F"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85.41%</w:t>
            </w:r>
          </w:p>
        </w:tc>
        <w:tc>
          <w:tcPr>
            <w:tcW w:w="1560" w:type="dxa"/>
            <w:shd w:val="clear" w:color="auto" w:fill="FFFF00"/>
            <w:tcMar>
              <w:left w:w="108" w:type="dxa"/>
              <w:right w:w="108" w:type="dxa"/>
            </w:tcMar>
            <w:vAlign w:val="center"/>
          </w:tcPr>
          <w:p w14:paraId="7DD28449" w14:textId="78B95671"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86.86%</w:t>
            </w:r>
          </w:p>
        </w:tc>
      </w:tr>
      <w:tr w:rsidR="75375A8C" w14:paraId="057B6B46" w14:textId="77777777" w:rsidTr="75375A8C">
        <w:trPr>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17D4ECD7" w14:textId="46F38189" w:rsidR="75375A8C" w:rsidRPr="00D33E9B" w:rsidRDefault="75375A8C">
            <w:pPr>
              <w:rPr>
                <w:b w:val="0"/>
              </w:rPr>
            </w:pPr>
            <w:r w:rsidRPr="00D33E9B">
              <w:rPr>
                <w:rFonts w:cs="Calibri"/>
                <w:b w:val="0"/>
                <w:sz w:val="22"/>
                <w:szCs w:val="22"/>
                <w:lang w:val="es"/>
              </w:rPr>
              <w:t>Federación Nacional de Ciclismo</w:t>
            </w:r>
          </w:p>
        </w:tc>
        <w:tc>
          <w:tcPr>
            <w:tcW w:w="1950" w:type="dxa"/>
            <w:tcMar>
              <w:left w:w="108" w:type="dxa"/>
              <w:right w:w="108" w:type="dxa"/>
            </w:tcMar>
            <w:vAlign w:val="center"/>
          </w:tcPr>
          <w:p w14:paraId="1CA9C661" w14:textId="175B0B05"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Q14,279,156.56</w:t>
            </w:r>
          </w:p>
        </w:tc>
        <w:tc>
          <w:tcPr>
            <w:tcW w:w="2040" w:type="dxa"/>
            <w:tcMar>
              <w:left w:w="108" w:type="dxa"/>
              <w:right w:w="108" w:type="dxa"/>
            </w:tcMar>
            <w:vAlign w:val="center"/>
          </w:tcPr>
          <w:p w14:paraId="551BF5DA" w14:textId="09B56A5D"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Q7,592,685.30</w:t>
            </w:r>
          </w:p>
        </w:tc>
        <w:tc>
          <w:tcPr>
            <w:tcW w:w="1530" w:type="dxa"/>
            <w:shd w:val="clear" w:color="auto" w:fill="FFFF00"/>
            <w:tcMar>
              <w:left w:w="108" w:type="dxa"/>
              <w:right w:w="108" w:type="dxa"/>
            </w:tcMar>
            <w:vAlign w:val="center"/>
          </w:tcPr>
          <w:p w14:paraId="62201B32" w14:textId="7A7F4555"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83.33%</w:t>
            </w:r>
          </w:p>
        </w:tc>
        <w:tc>
          <w:tcPr>
            <w:tcW w:w="1560" w:type="dxa"/>
            <w:shd w:val="clear" w:color="auto" w:fill="FFFF00"/>
            <w:tcMar>
              <w:left w:w="108" w:type="dxa"/>
              <w:right w:w="108" w:type="dxa"/>
            </w:tcMar>
            <w:vAlign w:val="center"/>
          </w:tcPr>
          <w:p w14:paraId="550F7CB1" w14:textId="093A5DEE"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53.17%</w:t>
            </w:r>
          </w:p>
        </w:tc>
      </w:tr>
      <w:tr w:rsidR="75375A8C" w14:paraId="72CE09FB" w14:textId="77777777" w:rsidTr="75375A8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01C928A9" w14:textId="615A6848" w:rsidR="75375A8C" w:rsidRPr="00D33E9B" w:rsidRDefault="75375A8C">
            <w:pPr>
              <w:rPr>
                <w:b w:val="0"/>
              </w:rPr>
            </w:pPr>
            <w:r w:rsidRPr="00D33E9B">
              <w:rPr>
                <w:rFonts w:cs="Calibri"/>
                <w:b w:val="0"/>
                <w:sz w:val="22"/>
                <w:szCs w:val="22"/>
                <w:lang w:val="es"/>
              </w:rPr>
              <w:t>Federación Nacional de Levantamiento de Pesas</w:t>
            </w:r>
          </w:p>
        </w:tc>
        <w:tc>
          <w:tcPr>
            <w:tcW w:w="1950" w:type="dxa"/>
            <w:tcMar>
              <w:left w:w="108" w:type="dxa"/>
              <w:right w:w="108" w:type="dxa"/>
            </w:tcMar>
            <w:vAlign w:val="center"/>
          </w:tcPr>
          <w:p w14:paraId="71DA1A3D" w14:textId="6F18D34F"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Q6,709,258.77</w:t>
            </w:r>
          </w:p>
        </w:tc>
        <w:tc>
          <w:tcPr>
            <w:tcW w:w="2040" w:type="dxa"/>
            <w:tcMar>
              <w:left w:w="108" w:type="dxa"/>
              <w:right w:w="108" w:type="dxa"/>
            </w:tcMar>
            <w:vAlign w:val="center"/>
          </w:tcPr>
          <w:p w14:paraId="17E87ADE" w14:textId="5D07D97A"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Q6,445,779.70</w:t>
            </w:r>
          </w:p>
        </w:tc>
        <w:tc>
          <w:tcPr>
            <w:tcW w:w="1530" w:type="dxa"/>
            <w:shd w:val="clear" w:color="auto" w:fill="FFFF00"/>
            <w:tcMar>
              <w:left w:w="108" w:type="dxa"/>
              <w:right w:w="108" w:type="dxa"/>
            </w:tcMar>
            <w:vAlign w:val="center"/>
          </w:tcPr>
          <w:p w14:paraId="37F6001B" w14:textId="407A53F1"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80.00%</w:t>
            </w:r>
          </w:p>
        </w:tc>
        <w:tc>
          <w:tcPr>
            <w:tcW w:w="1560" w:type="dxa"/>
            <w:shd w:val="clear" w:color="auto" w:fill="92D050"/>
            <w:tcMar>
              <w:left w:w="108" w:type="dxa"/>
              <w:right w:w="108" w:type="dxa"/>
            </w:tcMar>
            <w:vAlign w:val="center"/>
          </w:tcPr>
          <w:p w14:paraId="32925596" w14:textId="30DA36D8"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96.07%</w:t>
            </w:r>
          </w:p>
        </w:tc>
      </w:tr>
      <w:tr w:rsidR="75375A8C" w14:paraId="4EC1B573" w14:textId="77777777" w:rsidTr="75375A8C">
        <w:trPr>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167640C1" w14:textId="0CC43E24" w:rsidR="75375A8C" w:rsidRPr="00D33E9B" w:rsidRDefault="75375A8C">
            <w:pPr>
              <w:rPr>
                <w:b w:val="0"/>
              </w:rPr>
            </w:pPr>
            <w:r w:rsidRPr="00D33E9B">
              <w:rPr>
                <w:rFonts w:cs="Calibri"/>
                <w:b w:val="0"/>
                <w:sz w:val="22"/>
                <w:szCs w:val="22"/>
                <w:lang w:val="es"/>
              </w:rPr>
              <w:t>Federación Nacional de Triatlón</w:t>
            </w:r>
          </w:p>
        </w:tc>
        <w:tc>
          <w:tcPr>
            <w:tcW w:w="1950" w:type="dxa"/>
            <w:tcMar>
              <w:left w:w="108" w:type="dxa"/>
              <w:right w:w="108" w:type="dxa"/>
            </w:tcMar>
            <w:vAlign w:val="center"/>
          </w:tcPr>
          <w:p w14:paraId="0D6AB097" w14:textId="560016AA"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Q7,512,744.74</w:t>
            </w:r>
          </w:p>
        </w:tc>
        <w:tc>
          <w:tcPr>
            <w:tcW w:w="2040" w:type="dxa"/>
            <w:tcMar>
              <w:left w:w="108" w:type="dxa"/>
              <w:right w:w="108" w:type="dxa"/>
            </w:tcMar>
            <w:vAlign w:val="center"/>
          </w:tcPr>
          <w:p w14:paraId="2BF2F138" w14:textId="0F8A30F6"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Q5,419,712.71</w:t>
            </w:r>
          </w:p>
        </w:tc>
        <w:tc>
          <w:tcPr>
            <w:tcW w:w="1530" w:type="dxa"/>
            <w:shd w:val="clear" w:color="auto" w:fill="FFFF00"/>
            <w:tcMar>
              <w:left w:w="108" w:type="dxa"/>
              <w:right w:w="108" w:type="dxa"/>
            </w:tcMar>
            <w:vAlign w:val="center"/>
          </w:tcPr>
          <w:p w14:paraId="3DDC07DD" w14:textId="7C585AA0"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lang w:val="es"/>
              </w:rPr>
              <w:t>75.00%</w:t>
            </w:r>
          </w:p>
        </w:tc>
        <w:tc>
          <w:tcPr>
            <w:tcW w:w="1560" w:type="dxa"/>
            <w:shd w:val="clear" w:color="auto" w:fill="FFFF00"/>
            <w:tcMar>
              <w:left w:w="108" w:type="dxa"/>
              <w:right w:w="108" w:type="dxa"/>
            </w:tcMar>
            <w:vAlign w:val="center"/>
          </w:tcPr>
          <w:p w14:paraId="2050A122" w14:textId="40AD650A"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72.14%</w:t>
            </w:r>
          </w:p>
        </w:tc>
      </w:tr>
      <w:tr w:rsidR="75375A8C" w14:paraId="3B082E0E" w14:textId="77777777" w:rsidTr="75375A8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4587C000" w14:textId="666F941D" w:rsidR="75375A8C" w:rsidRPr="00D33E9B" w:rsidRDefault="75375A8C">
            <w:pPr>
              <w:rPr>
                <w:b w:val="0"/>
              </w:rPr>
            </w:pPr>
            <w:r w:rsidRPr="00D33E9B">
              <w:rPr>
                <w:rFonts w:cs="Calibri"/>
                <w:b w:val="0"/>
                <w:sz w:val="22"/>
                <w:szCs w:val="22"/>
                <w:lang w:val="es"/>
              </w:rPr>
              <w:t>Federación Nacional de Judo</w:t>
            </w:r>
          </w:p>
        </w:tc>
        <w:tc>
          <w:tcPr>
            <w:tcW w:w="1950" w:type="dxa"/>
            <w:tcMar>
              <w:left w:w="108" w:type="dxa"/>
              <w:right w:w="108" w:type="dxa"/>
            </w:tcMar>
            <w:vAlign w:val="center"/>
          </w:tcPr>
          <w:p w14:paraId="14D28B01" w14:textId="56D7E119"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Q5,353,435.02</w:t>
            </w:r>
          </w:p>
        </w:tc>
        <w:tc>
          <w:tcPr>
            <w:tcW w:w="2040" w:type="dxa"/>
            <w:tcMar>
              <w:left w:w="108" w:type="dxa"/>
              <w:right w:w="108" w:type="dxa"/>
            </w:tcMar>
            <w:vAlign w:val="center"/>
          </w:tcPr>
          <w:p w14:paraId="36373C3B" w14:textId="10A0BC7A"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Q4,433,371.80</w:t>
            </w:r>
          </w:p>
        </w:tc>
        <w:tc>
          <w:tcPr>
            <w:tcW w:w="1530" w:type="dxa"/>
            <w:shd w:val="clear" w:color="auto" w:fill="FFFF00"/>
            <w:tcMar>
              <w:left w:w="108" w:type="dxa"/>
              <w:right w:w="108" w:type="dxa"/>
            </w:tcMar>
            <w:vAlign w:val="center"/>
          </w:tcPr>
          <w:p w14:paraId="7CA79B0C" w14:textId="0C4024C6"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66.01%</w:t>
            </w:r>
          </w:p>
        </w:tc>
        <w:tc>
          <w:tcPr>
            <w:tcW w:w="1560" w:type="dxa"/>
            <w:shd w:val="clear" w:color="auto" w:fill="FFFF00"/>
            <w:tcMar>
              <w:left w:w="108" w:type="dxa"/>
              <w:right w:w="108" w:type="dxa"/>
            </w:tcMar>
            <w:vAlign w:val="center"/>
          </w:tcPr>
          <w:p w14:paraId="77FECB8E" w14:textId="00F80ECF"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82.81%</w:t>
            </w:r>
          </w:p>
        </w:tc>
      </w:tr>
      <w:tr w:rsidR="75375A8C" w14:paraId="4C072174" w14:textId="77777777" w:rsidTr="75375A8C">
        <w:trPr>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4DAF3CDE" w14:textId="6FB54F03" w:rsidR="75375A8C" w:rsidRPr="00D33E9B" w:rsidRDefault="75375A8C">
            <w:pPr>
              <w:rPr>
                <w:b w:val="0"/>
              </w:rPr>
            </w:pPr>
            <w:r w:rsidRPr="00D33E9B">
              <w:rPr>
                <w:rFonts w:cs="Calibri"/>
                <w:b w:val="0"/>
                <w:sz w:val="22"/>
                <w:szCs w:val="22"/>
                <w:lang w:val="es"/>
              </w:rPr>
              <w:t>Federación Nacional de Motociclismo</w:t>
            </w:r>
          </w:p>
        </w:tc>
        <w:tc>
          <w:tcPr>
            <w:tcW w:w="1950" w:type="dxa"/>
            <w:tcMar>
              <w:left w:w="108" w:type="dxa"/>
              <w:right w:w="108" w:type="dxa"/>
            </w:tcMar>
            <w:vAlign w:val="center"/>
          </w:tcPr>
          <w:p w14:paraId="67F8495E" w14:textId="4B8D2561"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Q4,380,035.00</w:t>
            </w:r>
          </w:p>
        </w:tc>
        <w:tc>
          <w:tcPr>
            <w:tcW w:w="2040" w:type="dxa"/>
            <w:tcMar>
              <w:left w:w="108" w:type="dxa"/>
              <w:right w:w="108" w:type="dxa"/>
            </w:tcMar>
            <w:vAlign w:val="center"/>
          </w:tcPr>
          <w:p w14:paraId="395C46F4" w14:textId="23F427D4"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Q2,394,168.04</w:t>
            </w:r>
          </w:p>
        </w:tc>
        <w:tc>
          <w:tcPr>
            <w:tcW w:w="1530" w:type="dxa"/>
            <w:shd w:val="clear" w:color="auto" w:fill="FFFF00"/>
            <w:tcMar>
              <w:left w:w="108" w:type="dxa"/>
              <w:right w:w="108" w:type="dxa"/>
            </w:tcMar>
            <w:vAlign w:val="center"/>
          </w:tcPr>
          <w:p w14:paraId="05BCD0D6" w14:textId="7A19AED5"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63.54%</w:t>
            </w:r>
          </w:p>
        </w:tc>
        <w:tc>
          <w:tcPr>
            <w:tcW w:w="1560" w:type="dxa"/>
            <w:shd w:val="clear" w:color="auto" w:fill="FFFF00"/>
            <w:tcMar>
              <w:left w:w="108" w:type="dxa"/>
              <w:right w:w="108" w:type="dxa"/>
            </w:tcMar>
            <w:vAlign w:val="center"/>
          </w:tcPr>
          <w:p w14:paraId="5F8B0A5A" w14:textId="1461C4E1"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54.66%</w:t>
            </w:r>
          </w:p>
        </w:tc>
      </w:tr>
      <w:tr w:rsidR="75375A8C" w14:paraId="0E9866F4" w14:textId="77777777" w:rsidTr="75375A8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4FB56B04" w14:textId="717F75DA" w:rsidR="75375A8C" w:rsidRPr="00D33E9B" w:rsidRDefault="75375A8C">
            <w:pPr>
              <w:rPr>
                <w:b w:val="0"/>
              </w:rPr>
            </w:pPr>
            <w:r w:rsidRPr="00D33E9B">
              <w:rPr>
                <w:rFonts w:cs="Calibri"/>
                <w:b w:val="0"/>
                <w:sz w:val="22"/>
                <w:szCs w:val="22"/>
                <w:lang w:val="es"/>
              </w:rPr>
              <w:t>Federación Nacional de Tiro Deportivo</w:t>
            </w:r>
          </w:p>
        </w:tc>
        <w:tc>
          <w:tcPr>
            <w:tcW w:w="1950" w:type="dxa"/>
            <w:tcMar>
              <w:left w:w="108" w:type="dxa"/>
              <w:right w:w="108" w:type="dxa"/>
            </w:tcMar>
            <w:vAlign w:val="center"/>
          </w:tcPr>
          <w:p w14:paraId="570DE299" w14:textId="69620636"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Q7,863,212.73</w:t>
            </w:r>
          </w:p>
        </w:tc>
        <w:tc>
          <w:tcPr>
            <w:tcW w:w="2040" w:type="dxa"/>
            <w:tcMar>
              <w:left w:w="108" w:type="dxa"/>
              <w:right w:w="108" w:type="dxa"/>
            </w:tcMar>
            <w:vAlign w:val="center"/>
          </w:tcPr>
          <w:p w14:paraId="2C2CF1C3" w14:textId="39C36AA1"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cs="Calibri"/>
                <w:sz w:val="22"/>
                <w:szCs w:val="22"/>
                <w:lang w:val="es"/>
              </w:rPr>
              <w:t>Q4,738,896.79</w:t>
            </w:r>
          </w:p>
        </w:tc>
        <w:tc>
          <w:tcPr>
            <w:tcW w:w="1530" w:type="dxa"/>
            <w:shd w:val="clear" w:color="auto" w:fill="FFFF00"/>
            <w:tcMar>
              <w:left w:w="108" w:type="dxa"/>
              <w:right w:w="108" w:type="dxa"/>
            </w:tcMar>
            <w:vAlign w:val="center"/>
          </w:tcPr>
          <w:p w14:paraId="10C026E6" w14:textId="41062911"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61.63%</w:t>
            </w:r>
          </w:p>
        </w:tc>
        <w:tc>
          <w:tcPr>
            <w:tcW w:w="1560" w:type="dxa"/>
            <w:shd w:val="clear" w:color="auto" w:fill="FFFF00"/>
            <w:tcMar>
              <w:left w:w="108" w:type="dxa"/>
              <w:right w:w="108" w:type="dxa"/>
            </w:tcMar>
            <w:vAlign w:val="center"/>
          </w:tcPr>
          <w:p w14:paraId="5B78701C" w14:textId="11C1E855" w:rsidR="75375A8C" w:rsidRDefault="75375A8C" w:rsidP="75375A8C">
            <w:pPr>
              <w:jc w:val="center"/>
              <w:cnfStyle w:val="000000100000" w:firstRow="0" w:lastRow="0" w:firstColumn="0" w:lastColumn="0" w:oddVBand="0" w:evenVBand="0" w:oddHBand="1" w:evenHBand="0" w:firstRowFirstColumn="0" w:firstRowLastColumn="0" w:lastRowFirstColumn="0" w:lastRowLastColumn="0"/>
            </w:pPr>
            <w:r w:rsidRPr="75375A8C">
              <w:rPr>
                <w:rFonts w:cs="Calibri"/>
                <w:color w:val="000000" w:themeColor="text1"/>
                <w:sz w:val="22"/>
                <w:szCs w:val="22"/>
                <w:lang w:val="es"/>
              </w:rPr>
              <w:t>60.27%</w:t>
            </w:r>
          </w:p>
        </w:tc>
      </w:tr>
      <w:tr w:rsidR="75375A8C" w14:paraId="2082ABC4" w14:textId="77777777" w:rsidTr="75375A8C">
        <w:trPr>
          <w:trHeight w:val="480"/>
        </w:trPr>
        <w:tc>
          <w:tcPr>
            <w:cnfStyle w:val="001000000000" w:firstRow="0" w:lastRow="0" w:firstColumn="1" w:lastColumn="0" w:oddVBand="0" w:evenVBand="0" w:oddHBand="0" w:evenHBand="0" w:firstRowFirstColumn="0" w:firstRowLastColumn="0" w:lastRowFirstColumn="0" w:lastRowLastColumn="0"/>
            <w:tcW w:w="2310" w:type="dxa"/>
            <w:tcMar>
              <w:left w:w="108" w:type="dxa"/>
              <w:right w:w="108" w:type="dxa"/>
            </w:tcMar>
            <w:vAlign w:val="center"/>
          </w:tcPr>
          <w:p w14:paraId="108246C4" w14:textId="48ED8B5F" w:rsidR="75375A8C" w:rsidRPr="00D33E9B" w:rsidRDefault="75375A8C">
            <w:pPr>
              <w:rPr>
                <w:b w:val="0"/>
              </w:rPr>
            </w:pPr>
            <w:r w:rsidRPr="00D33E9B">
              <w:rPr>
                <w:rFonts w:cs="Calibri"/>
                <w:b w:val="0"/>
                <w:sz w:val="22"/>
                <w:szCs w:val="22"/>
                <w:lang w:val="es"/>
              </w:rPr>
              <w:t>Federación Nacional de Voleibol</w:t>
            </w:r>
          </w:p>
        </w:tc>
        <w:tc>
          <w:tcPr>
            <w:tcW w:w="1950" w:type="dxa"/>
            <w:tcMar>
              <w:left w:w="108" w:type="dxa"/>
              <w:right w:w="108" w:type="dxa"/>
            </w:tcMar>
            <w:vAlign w:val="center"/>
          </w:tcPr>
          <w:p w14:paraId="6F04E2EE" w14:textId="3B75E452"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Q6,900,000.00</w:t>
            </w:r>
          </w:p>
        </w:tc>
        <w:tc>
          <w:tcPr>
            <w:tcW w:w="2040" w:type="dxa"/>
            <w:tcMar>
              <w:left w:w="108" w:type="dxa"/>
              <w:right w:w="108" w:type="dxa"/>
            </w:tcMar>
            <w:vAlign w:val="center"/>
          </w:tcPr>
          <w:p w14:paraId="5526FE1A" w14:textId="040368A3"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cs="Calibri"/>
                <w:sz w:val="22"/>
                <w:szCs w:val="22"/>
                <w:lang w:val="es"/>
              </w:rPr>
              <w:t>Q1,761,032.11</w:t>
            </w:r>
          </w:p>
        </w:tc>
        <w:tc>
          <w:tcPr>
            <w:tcW w:w="1530" w:type="dxa"/>
            <w:shd w:val="clear" w:color="auto" w:fill="FF0000"/>
            <w:tcMar>
              <w:left w:w="108" w:type="dxa"/>
              <w:right w:w="108" w:type="dxa"/>
            </w:tcMar>
            <w:vAlign w:val="center"/>
          </w:tcPr>
          <w:p w14:paraId="3BEB7802" w14:textId="35A74D4C"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0.14%</w:t>
            </w:r>
          </w:p>
        </w:tc>
        <w:tc>
          <w:tcPr>
            <w:tcW w:w="1560" w:type="dxa"/>
            <w:shd w:val="clear" w:color="auto" w:fill="FF0000"/>
            <w:tcMar>
              <w:left w:w="108" w:type="dxa"/>
              <w:right w:w="108" w:type="dxa"/>
            </w:tcMar>
            <w:vAlign w:val="center"/>
          </w:tcPr>
          <w:p w14:paraId="5CE472A0" w14:textId="6BB912E3" w:rsidR="75375A8C" w:rsidRDefault="75375A8C" w:rsidP="75375A8C">
            <w:pPr>
              <w:jc w:val="center"/>
              <w:cnfStyle w:val="000000000000" w:firstRow="0" w:lastRow="0" w:firstColumn="0" w:lastColumn="0" w:oddVBand="0" w:evenVBand="0" w:oddHBand="0" w:evenHBand="0" w:firstRowFirstColumn="0" w:firstRowLastColumn="0" w:lastRowFirstColumn="0" w:lastRowLastColumn="0"/>
            </w:pPr>
            <w:r w:rsidRPr="75375A8C">
              <w:rPr>
                <w:rFonts w:cs="Calibri"/>
                <w:color w:val="000000" w:themeColor="text1"/>
                <w:sz w:val="22"/>
                <w:szCs w:val="22"/>
                <w:lang w:val="es"/>
              </w:rPr>
              <w:t>25.52%</w:t>
            </w:r>
          </w:p>
        </w:tc>
      </w:tr>
    </w:tbl>
    <w:p w14:paraId="17613763" w14:textId="77777777" w:rsidR="00E31540" w:rsidRDefault="75375A8C" w:rsidP="00E31540">
      <w:pPr>
        <w:spacing w:after="0" w:line="240" w:lineRule="auto"/>
        <w:rPr>
          <w:rFonts w:ascii="Calibri" w:eastAsia="Calibri" w:hAnsi="Calibri" w:cs="Calibri"/>
          <w:b/>
          <w:bCs/>
          <w:sz w:val="24"/>
          <w:szCs w:val="24"/>
        </w:rPr>
      </w:pPr>
      <w:r w:rsidRPr="75375A8C">
        <w:rPr>
          <w:rFonts w:ascii="Calibri" w:eastAsia="Calibri" w:hAnsi="Calibri" w:cs="Calibri"/>
          <w:sz w:val="16"/>
          <w:szCs w:val="16"/>
        </w:rPr>
        <w:t>Fuente: Con base a registros de Siplan. Segeplan. Año 2022.</w:t>
      </w:r>
      <w:r w:rsidR="6B4CB047">
        <w:br/>
      </w:r>
    </w:p>
    <w:p w14:paraId="0871661E" w14:textId="5355A329" w:rsidR="6B4CB047" w:rsidRPr="005004EE" w:rsidRDefault="00C8352D" w:rsidP="00E31540">
      <w:pPr>
        <w:spacing w:after="0" w:line="240" w:lineRule="auto"/>
        <w:rPr>
          <w:rFonts w:ascii="Calibri" w:eastAsia="Calibri" w:hAnsi="Calibri" w:cs="Calibri"/>
          <w:b/>
          <w:bCs/>
          <w:sz w:val="24"/>
          <w:szCs w:val="24"/>
        </w:rPr>
      </w:pPr>
      <w:r w:rsidRPr="75375A8C">
        <w:rPr>
          <w:rFonts w:ascii="Calibri" w:eastAsia="Calibri" w:hAnsi="Calibri" w:cs="Calibri"/>
          <w:b/>
          <w:bCs/>
          <w:sz w:val="24"/>
          <w:szCs w:val="24"/>
        </w:rPr>
        <w:t>Ejecución de metas físicas y financieras</w:t>
      </w:r>
    </w:p>
    <w:p w14:paraId="046D5004" w14:textId="6D44F70F" w:rsidR="00A508D7" w:rsidRPr="005719CF" w:rsidRDefault="005719CF" w:rsidP="00E31540">
      <w:pPr>
        <w:spacing w:before="120" w:after="120" w:line="240" w:lineRule="auto"/>
        <w:jc w:val="both"/>
        <w:rPr>
          <w:rFonts w:ascii="Calibri" w:eastAsia="Calibri" w:hAnsi="Calibri" w:cs="Calibri"/>
          <w:sz w:val="24"/>
          <w:szCs w:val="24"/>
        </w:rPr>
      </w:pPr>
      <w:r>
        <w:rPr>
          <w:noProof/>
        </w:rPr>
        <w:drawing>
          <wp:anchor distT="0" distB="0" distL="114300" distR="114300" simplePos="0" relativeHeight="251765248" behindDoc="0" locked="0" layoutInCell="1" allowOverlap="1" wp14:anchorId="6AAB5B76" wp14:editId="5125E32D">
            <wp:simplePos x="0" y="0"/>
            <wp:positionH relativeFrom="column">
              <wp:posOffset>4450715</wp:posOffset>
            </wp:positionH>
            <wp:positionV relativeFrom="paragraph">
              <wp:posOffset>62865</wp:posOffset>
            </wp:positionV>
            <wp:extent cx="1498889" cy="1022400"/>
            <wp:effectExtent l="19050" t="19050" r="25400" b="2540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751" r="22051" b="39844"/>
                    <a:stretch/>
                  </pic:blipFill>
                  <pic:spPr bwMode="auto">
                    <a:xfrm>
                      <a:off x="0" y="0"/>
                      <a:ext cx="1498889" cy="1022400"/>
                    </a:xfrm>
                    <a:prstGeom prst="rect">
                      <a:avLst/>
                    </a:prstGeom>
                    <a:noFill/>
                    <a:ln w="3175">
                      <a:solidFill>
                        <a:schemeClr val="tx1"/>
                      </a:solidFill>
                    </a:ln>
                    <a:extLst>
                      <a:ext uri="{53640926-AAD7-44D8-BBD7-CCE9431645EC}">
                        <a14:shadowObscured xmlns:a14="http://schemas.microsoft.com/office/drawing/2010/main"/>
                      </a:ext>
                    </a:extLst>
                  </pic:spPr>
                </pic:pic>
              </a:graphicData>
            </a:graphic>
          </wp:anchor>
        </w:drawing>
      </w:r>
      <w:r w:rsidR="75375A8C" w:rsidRPr="75375A8C">
        <w:rPr>
          <w:rFonts w:ascii="Calibri" w:eastAsia="Calibri" w:hAnsi="Calibri" w:cs="Calibri"/>
          <w:sz w:val="24"/>
          <w:szCs w:val="24"/>
        </w:rPr>
        <w:t>Al finalizar el año 2022, las federaciones alcanzaron un promedio de ejecución de metas físicas de 84% y un promedio de ejecución financiera de 77%, lo que demuestra un avance medio en el cumplimiento de las metas programadas en el POA.</w:t>
      </w:r>
    </w:p>
    <w:p w14:paraId="350146B6" w14:textId="6624DFF6" w:rsidR="6B4CB047" w:rsidRDefault="3945CD24" w:rsidP="005004EE">
      <w:pPr>
        <w:spacing w:before="120" w:after="120" w:line="240" w:lineRule="auto"/>
        <w:jc w:val="both"/>
      </w:pPr>
      <w:r w:rsidRPr="3945CD24">
        <w:rPr>
          <w:rFonts w:ascii="Calibri" w:eastAsia="Calibri" w:hAnsi="Calibri" w:cs="Calibri"/>
          <w:sz w:val="24"/>
          <w:szCs w:val="24"/>
        </w:rPr>
        <w:t>De las 21 federaciones incluidas en la tabla de resultados, 11 lograron un desempeño alto en la ejecución de metas fiscas, de estas, 6 lograron la mayor efectividad en la consecución de metas físicas y financieras. El resultado del promedio de ejecución financiera, obedece a que 11 de las federaciones mostraron avance medio, de las cuales, 6, se ubicaron entre 52% y 67% de ejecución. Estas últimas, deberán de prestar especial atención en mejorar la efectividad en el cumplimiento de las metas programadas, especialmente las de menor ejecución.</w:t>
      </w:r>
    </w:p>
    <w:p w14:paraId="12088D50" w14:textId="6624DFF6" w:rsidR="6B4CB047" w:rsidRDefault="3945CD24" w:rsidP="00535CA1">
      <w:pPr>
        <w:spacing w:after="120" w:line="240" w:lineRule="auto"/>
        <w:jc w:val="both"/>
      </w:pPr>
      <w:r w:rsidRPr="3945CD24">
        <w:rPr>
          <w:rFonts w:ascii="Calibri" w:eastAsia="Calibri" w:hAnsi="Calibri" w:cs="Calibri"/>
          <w:b/>
          <w:bCs/>
          <w:sz w:val="24"/>
          <w:szCs w:val="24"/>
        </w:rPr>
        <w:t>Ejecución física</w:t>
      </w:r>
    </w:p>
    <w:p w14:paraId="235C4446" w14:textId="6624DFF6" w:rsidR="6B4CB047" w:rsidRDefault="3945CD24" w:rsidP="00535CA1">
      <w:pPr>
        <w:spacing w:after="120" w:line="240" w:lineRule="auto"/>
        <w:jc w:val="both"/>
      </w:pPr>
      <w:r w:rsidRPr="3945CD24">
        <w:rPr>
          <w:rFonts w:ascii="Calibri" w:eastAsia="Calibri" w:hAnsi="Calibri" w:cs="Calibri"/>
          <w:sz w:val="24"/>
          <w:szCs w:val="24"/>
        </w:rPr>
        <w:t>De las 20 federaciones en el presente informe, 11 alcanzaron una ejecución alta de metas físicas, con un promedio de 98%. De estas, es importante resaltar que, las Federaciones de Ajedrez, Baloncesto, Levantamiento de Potencia, Patinaje sobre Ruedas, Luchas y Futbol, lograron una efectividad alta en el desempeño de las metas físicas y financieras al finalizar el año 2022.</w:t>
      </w:r>
    </w:p>
    <w:p w14:paraId="58574745" w14:textId="6624DFF6" w:rsidR="6B4CB047" w:rsidRDefault="3945CD24" w:rsidP="00535CA1">
      <w:pPr>
        <w:spacing w:after="120" w:line="240" w:lineRule="auto"/>
        <w:jc w:val="both"/>
      </w:pPr>
      <w:r w:rsidRPr="3945CD24">
        <w:rPr>
          <w:rFonts w:ascii="Calibri" w:eastAsia="Calibri" w:hAnsi="Calibri" w:cs="Calibri"/>
          <w:sz w:val="24"/>
          <w:szCs w:val="24"/>
        </w:rPr>
        <w:t>Por su parte, 8 federaciones alcanzaron una ejecución media de metas físicas, con un promedio de 75% de ejecución en el año. Mientras que, la federación de Voleibol, presentó una baja ejecución física, principalmente por falta de registros de ejecución en el sistema, lo cual, no permite establecer de manera clara y confiable el avance real de la ejecución al finalizar el año. Lo anterior, evidencia que, el 45% de las federaciones deberá de mejorar el desempeño en el cumplimiento de las metas físicas programadas en el POA.</w:t>
      </w:r>
    </w:p>
    <w:p w14:paraId="787DD554" w14:textId="26529749" w:rsidR="6B4CB047" w:rsidRDefault="3945CD24" w:rsidP="00535CA1">
      <w:pPr>
        <w:spacing w:after="120" w:line="240" w:lineRule="auto"/>
        <w:jc w:val="both"/>
        <w:rPr>
          <w:rFonts w:ascii="Calibri" w:eastAsia="Calibri" w:hAnsi="Calibri" w:cs="Calibri"/>
          <w:sz w:val="24"/>
          <w:szCs w:val="24"/>
        </w:rPr>
      </w:pPr>
      <w:r w:rsidRPr="3945CD24">
        <w:rPr>
          <w:rFonts w:ascii="Calibri" w:eastAsia="Calibri" w:hAnsi="Calibri" w:cs="Calibri"/>
          <w:sz w:val="24"/>
          <w:szCs w:val="24"/>
        </w:rPr>
        <w:t>La federación de Gimnasia, no fue incluida en la tabla de resultados, debido a registros incompletos de modificaciones de metas físicas en Siplan, lo que provocó que el resultado de avance de meta fuera inexacto, superando el 100% de la meta programada, por lo que, no fue posible establecer con claridad el desempeño en la ejecución.</w:t>
      </w:r>
    </w:p>
    <w:p w14:paraId="4982994B" w14:textId="323FC0EB" w:rsidR="005004EE" w:rsidRDefault="005004EE" w:rsidP="00535CA1">
      <w:pPr>
        <w:spacing w:after="120" w:line="240" w:lineRule="auto"/>
        <w:jc w:val="both"/>
      </w:pPr>
    </w:p>
    <w:p w14:paraId="52D8B5B6" w14:textId="77777777" w:rsidR="005004EE" w:rsidRDefault="005004EE" w:rsidP="00535CA1">
      <w:pPr>
        <w:spacing w:after="120" w:line="240" w:lineRule="auto"/>
        <w:jc w:val="both"/>
      </w:pPr>
    </w:p>
    <w:p w14:paraId="5AE03040" w14:textId="6624DFF6" w:rsidR="6B4CB047" w:rsidRDefault="3945CD24" w:rsidP="00535CA1">
      <w:pPr>
        <w:spacing w:after="120" w:line="240" w:lineRule="auto"/>
        <w:jc w:val="both"/>
      </w:pPr>
      <w:r w:rsidRPr="3945CD24">
        <w:rPr>
          <w:rFonts w:ascii="Calibri" w:eastAsia="Calibri" w:hAnsi="Calibri" w:cs="Calibri"/>
          <w:b/>
          <w:bCs/>
          <w:sz w:val="24"/>
          <w:szCs w:val="24"/>
        </w:rPr>
        <w:t>Principales productos con mayor avance de meta física</w:t>
      </w:r>
    </w:p>
    <w:p w14:paraId="58A99123" w14:textId="3ED2C4A3" w:rsidR="6B4CB047" w:rsidRDefault="3945CD24" w:rsidP="00535CA1">
      <w:pPr>
        <w:spacing w:after="120" w:line="240" w:lineRule="auto"/>
        <w:jc w:val="both"/>
      </w:pPr>
      <w:r w:rsidRPr="3945CD24">
        <w:rPr>
          <w:rFonts w:ascii="Calibri" w:eastAsia="Calibri" w:hAnsi="Calibri" w:cs="Calibri"/>
          <w:sz w:val="24"/>
          <w:szCs w:val="24"/>
        </w:rPr>
        <w:t>Algunas de las Federaciones reportaron cuáles fueron los principales productos con mayor avance de meta física al finalizar el año 2022, los cuales se detallan a continuación</w:t>
      </w:r>
      <w:r w:rsidR="00BA16B0" w:rsidRPr="00A340DD">
        <w:rPr>
          <w:rStyle w:val="Refdenotaalpie"/>
          <w:rFonts w:eastAsia="Candara" w:cstheme="minorHAnsi"/>
          <w:sz w:val="24"/>
          <w:szCs w:val="24"/>
          <w:lang w:eastAsia="es-GT"/>
        </w:rPr>
        <w:footnoteReference w:id="11"/>
      </w:r>
      <w:r w:rsidRPr="3945CD24">
        <w:rPr>
          <w:rFonts w:ascii="Calibri" w:eastAsia="Calibri" w:hAnsi="Calibri" w:cs="Calibri"/>
          <w:sz w:val="24"/>
          <w:szCs w:val="24"/>
        </w:rPr>
        <w:t>.</w:t>
      </w:r>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1695"/>
        <w:gridCol w:w="7635"/>
      </w:tblGrid>
      <w:tr w:rsidR="3945CD24" w14:paraId="55DF80AB" w14:textId="77777777" w:rsidTr="00535CA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6AB31B1D" w14:textId="2D095DFA" w:rsidR="3945CD24" w:rsidRDefault="3945CD24" w:rsidP="3945CD24">
            <w:pPr>
              <w:spacing w:line="254" w:lineRule="auto"/>
              <w:jc w:val="center"/>
            </w:pPr>
            <w:r w:rsidRPr="3945CD24">
              <w:rPr>
                <w:rFonts w:cs="Calibri"/>
                <w:color w:val="000000" w:themeColor="text1"/>
                <w:sz w:val="22"/>
                <w:szCs w:val="22"/>
                <w:lang w:val="es"/>
              </w:rPr>
              <w:t>Institución</w:t>
            </w:r>
          </w:p>
        </w:tc>
        <w:tc>
          <w:tcPr>
            <w:tcW w:w="763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0929C09" w14:textId="7B69B27E" w:rsidR="3945CD24" w:rsidRDefault="3945CD24" w:rsidP="3945CD24">
            <w:pPr>
              <w:spacing w:line="254" w:lineRule="auto"/>
              <w:jc w:val="center"/>
              <w:cnfStyle w:val="100000000000" w:firstRow="1" w:lastRow="0" w:firstColumn="0" w:lastColumn="0" w:oddVBand="0" w:evenVBand="0" w:oddHBand="0" w:evenHBand="0" w:firstRowFirstColumn="0" w:firstRowLastColumn="0" w:lastRowFirstColumn="0" w:lastRowLastColumn="0"/>
            </w:pPr>
            <w:r w:rsidRPr="3945CD24">
              <w:rPr>
                <w:rFonts w:cs="Calibri"/>
                <w:color w:val="000000" w:themeColor="text1"/>
                <w:sz w:val="22"/>
                <w:szCs w:val="22"/>
                <w:lang w:val="es"/>
              </w:rPr>
              <w:t>Producción institucional (productos/subproductos)</w:t>
            </w:r>
          </w:p>
        </w:tc>
      </w:tr>
      <w:tr w:rsidR="3945CD24" w14:paraId="7D734AD1" w14:textId="77777777" w:rsidTr="00535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5" w:type="dxa"/>
            <w:tcMar>
              <w:left w:w="108" w:type="dxa"/>
              <w:right w:w="108" w:type="dxa"/>
            </w:tcMar>
            <w:vAlign w:val="center"/>
          </w:tcPr>
          <w:p w14:paraId="32C98842" w14:textId="6C5279E2" w:rsidR="3945CD24" w:rsidRPr="002C6654" w:rsidRDefault="3945CD24" w:rsidP="3945CD24">
            <w:pPr>
              <w:spacing w:line="254" w:lineRule="auto"/>
              <w:rPr>
                <w:b w:val="0"/>
              </w:rPr>
            </w:pPr>
            <w:r w:rsidRPr="002C6654">
              <w:rPr>
                <w:rFonts w:cs="Calibri"/>
                <w:b w:val="0"/>
                <w:sz w:val="22"/>
                <w:szCs w:val="22"/>
                <w:lang w:val="es"/>
              </w:rPr>
              <w:t>Federación Nacional de Ajedrez</w:t>
            </w:r>
          </w:p>
        </w:tc>
        <w:tc>
          <w:tcPr>
            <w:tcW w:w="7635" w:type="dxa"/>
            <w:tcMar>
              <w:left w:w="108" w:type="dxa"/>
              <w:right w:w="108" w:type="dxa"/>
            </w:tcMar>
          </w:tcPr>
          <w:p w14:paraId="6834F071" w14:textId="66DEEF8D" w:rsidR="3945CD24" w:rsidRDefault="3945CD24" w:rsidP="005004EE">
            <w:pPr>
              <w:pStyle w:val="Prrafodelista"/>
              <w:numPr>
                <w:ilvl w:val="0"/>
                <w:numId w:val="2"/>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lang w:val="es"/>
              </w:rPr>
            </w:pPr>
            <w:r w:rsidRPr="3945CD24">
              <w:rPr>
                <w:lang w:val="es"/>
              </w:rPr>
              <w:t>Deportistas en iniciación: 3,220 personas, con 100% de avance físico.</w:t>
            </w:r>
          </w:p>
          <w:p w14:paraId="1A712C20" w14:textId="0209F665" w:rsidR="3945CD24" w:rsidRDefault="3945CD24" w:rsidP="005004EE">
            <w:pPr>
              <w:pStyle w:val="Prrafodelista"/>
              <w:numPr>
                <w:ilvl w:val="0"/>
                <w:numId w:val="2"/>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lang w:val="es"/>
              </w:rPr>
            </w:pPr>
            <w:r w:rsidRPr="3945CD24">
              <w:rPr>
                <w:lang w:val="es"/>
              </w:rPr>
              <w:t>Deportistas en especialización, perfeccionamiento y alto rendimiento: 37 personas, con 100% de avance físico.</w:t>
            </w:r>
          </w:p>
        </w:tc>
      </w:tr>
      <w:tr w:rsidR="3945CD24" w14:paraId="34E28477" w14:textId="77777777" w:rsidTr="00535CA1">
        <w:trPr>
          <w:trHeight w:val="270"/>
        </w:trPr>
        <w:tc>
          <w:tcPr>
            <w:cnfStyle w:val="001000000000" w:firstRow="0" w:lastRow="0" w:firstColumn="1" w:lastColumn="0" w:oddVBand="0" w:evenVBand="0" w:oddHBand="0" w:evenHBand="0" w:firstRowFirstColumn="0" w:firstRowLastColumn="0" w:lastRowFirstColumn="0" w:lastRowLastColumn="0"/>
            <w:tcW w:w="1695" w:type="dxa"/>
            <w:tcMar>
              <w:left w:w="108" w:type="dxa"/>
              <w:right w:w="108" w:type="dxa"/>
            </w:tcMar>
            <w:vAlign w:val="center"/>
          </w:tcPr>
          <w:p w14:paraId="70F5704F" w14:textId="0FAE7848" w:rsidR="3945CD24" w:rsidRPr="002C6654" w:rsidRDefault="3945CD24" w:rsidP="3945CD24">
            <w:pPr>
              <w:spacing w:line="254" w:lineRule="auto"/>
              <w:rPr>
                <w:b w:val="0"/>
              </w:rPr>
            </w:pPr>
            <w:r w:rsidRPr="002C6654">
              <w:rPr>
                <w:rFonts w:cs="Calibri"/>
                <w:b w:val="0"/>
                <w:sz w:val="22"/>
                <w:szCs w:val="22"/>
                <w:lang w:val="es"/>
              </w:rPr>
              <w:t>Federación Nacional de Triatlón</w:t>
            </w:r>
          </w:p>
        </w:tc>
        <w:tc>
          <w:tcPr>
            <w:tcW w:w="7635" w:type="dxa"/>
            <w:tcMar>
              <w:left w:w="108" w:type="dxa"/>
              <w:right w:w="108" w:type="dxa"/>
            </w:tcMar>
          </w:tcPr>
          <w:p w14:paraId="2585A55A" w14:textId="2EB3EDA2" w:rsidR="3945CD24" w:rsidRDefault="3945CD24" w:rsidP="005004EE">
            <w:pPr>
              <w:pStyle w:val="Prrafodelista"/>
              <w:numPr>
                <w:ilvl w:val="0"/>
                <w:numId w:val="2"/>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lang w:val="es"/>
              </w:rPr>
            </w:pPr>
            <w:r w:rsidRPr="3945CD24">
              <w:rPr>
                <w:lang w:val="es"/>
              </w:rPr>
              <w:t>Promoción deportiva: 1,157 atletas de población en general que contribuyen a la promoción, divulgación y masificación del triatlón en sus diferentes modalidades en todo el territorio nacional, a través de diferentes actividades de entrenamiento y competencia, con 100% de avance físico.</w:t>
            </w:r>
          </w:p>
          <w:p w14:paraId="04EF91F7" w14:textId="01B6397A" w:rsidR="3945CD24" w:rsidRDefault="3945CD24" w:rsidP="005004EE">
            <w:pPr>
              <w:pStyle w:val="Prrafodelista"/>
              <w:numPr>
                <w:ilvl w:val="0"/>
                <w:numId w:val="2"/>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lang w:val="es"/>
              </w:rPr>
            </w:pPr>
            <w:r w:rsidRPr="3945CD24">
              <w:rPr>
                <w:lang w:val="es"/>
              </w:rPr>
              <w:t>Atención y desarrollo: 28 atletas con potencial deportivo en diferentes categorías de edad, que fortalece la estabilidad de escalas generacionales para el medallero nacional, con 100% de avance físico.</w:t>
            </w:r>
          </w:p>
        </w:tc>
      </w:tr>
    </w:tbl>
    <w:p w14:paraId="6D01907F" w14:textId="148E050C" w:rsidR="6B4CB047" w:rsidRDefault="3945CD24" w:rsidP="00BA16B0">
      <w:pPr>
        <w:spacing w:before="120" w:after="120" w:line="240" w:lineRule="auto"/>
        <w:jc w:val="both"/>
      </w:pPr>
      <w:r w:rsidRPr="3945CD24">
        <w:rPr>
          <w:rFonts w:ascii="Calibri" w:eastAsia="Calibri" w:hAnsi="Calibri" w:cs="Calibri"/>
          <w:b/>
          <w:bCs/>
          <w:sz w:val="24"/>
          <w:szCs w:val="24"/>
        </w:rPr>
        <w:t>Ejecución financiera</w:t>
      </w:r>
    </w:p>
    <w:p w14:paraId="3D3027DE" w14:textId="5A6ED71D" w:rsidR="6B4CB047" w:rsidRDefault="3945CD24" w:rsidP="002C6654">
      <w:pPr>
        <w:spacing w:after="120" w:line="240" w:lineRule="auto"/>
        <w:jc w:val="both"/>
      </w:pPr>
      <w:r w:rsidRPr="3945CD24">
        <w:rPr>
          <w:rFonts w:ascii="Calibri" w:eastAsia="Calibri" w:hAnsi="Calibri" w:cs="Calibri"/>
          <w:sz w:val="24"/>
          <w:szCs w:val="24"/>
        </w:rPr>
        <w:t>Ocho federaciones alcanzaron una ejecución alta de meta financiera, con un promedio de 95%, de las cuales, las federaciones de Ajedrez, Baloncesto, Levantamiento de Potencia, Patinaje sobre Ruedas, Luchas, Futbol, lograron la mayor efectividad en el cumplimiento de metas físicas y financieras.</w:t>
      </w:r>
    </w:p>
    <w:p w14:paraId="4A27F690" w14:textId="5A6ED71D" w:rsidR="6B4CB047" w:rsidRDefault="3945CD24" w:rsidP="002C6654">
      <w:pPr>
        <w:spacing w:after="120" w:line="240" w:lineRule="auto"/>
        <w:jc w:val="both"/>
      </w:pPr>
      <w:r w:rsidRPr="3945CD24">
        <w:rPr>
          <w:rFonts w:ascii="Calibri" w:eastAsia="Calibri" w:hAnsi="Calibri" w:cs="Calibri"/>
          <w:sz w:val="24"/>
          <w:szCs w:val="24"/>
        </w:rPr>
        <w:t xml:space="preserve">Un total de 11 federaciones alcanzaron una ejecución media de metas financieras, con un promedio de 69.3% de ejecución en el año. Mientras que, la federación de Voleibol, presentó baja ejecución financiera, principalmente por falta de registros en el sistema, lo cual, no permite establecer de manera clara y confiable el avance real de la ejecución al finalizar el año. </w:t>
      </w:r>
    </w:p>
    <w:p w14:paraId="735C1DA3" w14:textId="5A6ED71D" w:rsidR="6B4CB047" w:rsidRDefault="3945CD24" w:rsidP="002C6654">
      <w:pPr>
        <w:spacing w:after="120" w:line="240" w:lineRule="auto"/>
        <w:jc w:val="both"/>
      </w:pPr>
      <w:r w:rsidRPr="3945CD24">
        <w:rPr>
          <w:rFonts w:ascii="Calibri" w:eastAsia="Calibri" w:hAnsi="Calibri" w:cs="Calibri"/>
          <w:sz w:val="24"/>
          <w:szCs w:val="24"/>
        </w:rPr>
        <w:t>La federación de Gimnasia, no fue incluida en la tabla de resultados, debido a registros incompletos de modificaciones de metas financieras en Siplan, lo que provocó que el resultado de avance de meta fuera inexacto, superando el 100% de la meta programada, por lo que, no fue posible establecer con claridad el desempeño en la ejecución.</w:t>
      </w:r>
    </w:p>
    <w:p w14:paraId="34C509CF" w14:textId="09C6F988" w:rsidR="00BA16B0" w:rsidRPr="005719CF" w:rsidRDefault="3945CD24" w:rsidP="002C6654">
      <w:pPr>
        <w:spacing w:after="120" w:line="240" w:lineRule="auto"/>
        <w:jc w:val="both"/>
        <w:rPr>
          <w:rFonts w:ascii="Calibri" w:eastAsia="Calibri" w:hAnsi="Calibri" w:cs="Calibri"/>
          <w:sz w:val="24"/>
          <w:szCs w:val="24"/>
        </w:rPr>
      </w:pPr>
      <w:r w:rsidRPr="3945CD24">
        <w:rPr>
          <w:rFonts w:ascii="Calibri" w:eastAsia="Calibri" w:hAnsi="Calibri" w:cs="Calibri"/>
          <w:sz w:val="24"/>
          <w:szCs w:val="24"/>
        </w:rPr>
        <w:t>En la siguiente gráfica se visualiza el comportamiento en el avance de ejecución de metas físicas y financieras</w:t>
      </w:r>
      <w:r w:rsidRPr="3945CD24">
        <w:rPr>
          <w:rFonts w:ascii="Calibri" w:eastAsia="Calibri" w:hAnsi="Calibri" w:cs="Calibri"/>
          <w:color w:val="FF0000"/>
          <w:sz w:val="24"/>
          <w:szCs w:val="24"/>
        </w:rPr>
        <w:t xml:space="preserve"> </w:t>
      </w:r>
      <w:r w:rsidRPr="3945CD24">
        <w:rPr>
          <w:rFonts w:ascii="Calibri" w:eastAsia="Calibri" w:hAnsi="Calibri" w:cs="Calibri"/>
          <w:sz w:val="24"/>
          <w:szCs w:val="24"/>
        </w:rPr>
        <w:t>de las federaciones deportivas.</w:t>
      </w:r>
    </w:p>
    <w:p w14:paraId="32265F79" w14:textId="0948BA0C" w:rsidR="6B4CB047" w:rsidRPr="00D40E91" w:rsidRDefault="00BA16B0" w:rsidP="00D40E91">
      <w:pPr>
        <w:pStyle w:val="ttulosgrficas"/>
        <w:rPr>
          <w:rFonts w:asciiTheme="minorHAnsi" w:hAnsiTheme="minorHAnsi" w:cstheme="minorHAnsi"/>
        </w:rPr>
      </w:pPr>
      <w:bookmarkStart w:id="54" w:name="_Toc130204474"/>
      <w:r w:rsidRPr="00D40E91">
        <w:rPr>
          <w:rFonts w:asciiTheme="minorHAnsi" w:hAnsiTheme="minorHAnsi" w:cstheme="minorHAnsi"/>
          <w:noProof/>
          <w:color w:val="4472C4" w:themeColor="accent1"/>
        </w:rPr>
        <w:drawing>
          <wp:anchor distT="0" distB="0" distL="114300" distR="114300" simplePos="0" relativeHeight="251739648" behindDoc="0" locked="0" layoutInCell="1" allowOverlap="1" wp14:anchorId="6248C55D" wp14:editId="71106725">
            <wp:simplePos x="0" y="0"/>
            <wp:positionH relativeFrom="margin">
              <wp:posOffset>302150</wp:posOffset>
            </wp:positionH>
            <wp:positionV relativeFrom="paragraph">
              <wp:posOffset>217446</wp:posOffset>
            </wp:positionV>
            <wp:extent cx="5368925" cy="2399030"/>
            <wp:effectExtent l="0" t="0" r="3175" b="1270"/>
            <wp:wrapSquare wrapText="bothSides"/>
            <wp:docPr id="52" name="Gráfico 52">
              <a:extLst xmlns:a="http://schemas.openxmlformats.org/drawingml/2006/main">
                <a:ext uri="{FF2B5EF4-FFF2-40B4-BE49-F238E27FC236}">
                  <a16:creationId xmlns:a16="http://schemas.microsoft.com/office/drawing/2014/main" id="{3084F26D-3DC3-49F3-B771-FD9E42F61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D40E91">
        <w:rPr>
          <w:rFonts w:asciiTheme="minorHAnsi" w:hAnsiTheme="minorHAnsi" w:cstheme="minorHAnsi"/>
          <w:color w:val="4472C4" w:themeColor="accent1"/>
          <w:lang w:val="es"/>
        </w:rPr>
        <w:t xml:space="preserve">Gráfica </w:t>
      </w:r>
      <w:r w:rsidR="002C6654" w:rsidRPr="00D40E91">
        <w:rPr>
          <w:rFonts w:asciiTheme="minorHAnsi" w:hAnsiTheme="minorHAnsi" w:cstheme="minorHAnsi"/>
          <w:color w:val="4472C4" w:themeColor="accent1"/>
          <w:lang w:val="es"/>
        </w:rPr>
        <w:fldChar w:fldCharType="begin"/>
      </w:r>
      <w:r w:rsidR="002C6654" w:rsidRPr="00D40E91">
        <w:rPr>
          <w:rFonts w:asciiTheme="minorHAnsi" w:hAnsiTheme="minorHAnsi" w:cstheme="minorHAnsi"/>
          <w:color w:val="4472C4" w:themeColor="accent1"/>
          <w:lang w:val="es"/>
        </w:rPr>
        <w:instrText xml:space="preserve"> SEQ Gráfica \* ARABIC </w:instrText>
      </w:r>
      <w:r w:rsidR="002C6654" w:rsidRPr="00D40E91">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6</w:t>
      </w:r>
      <w:r w:rsidR="002C6654" w:rsidRPr="00D40E91">
        <w:rPr>
          <w:rFonts w:asciiTheme="minorHAnsi" w:hAnsiTheme="minorHAnsi" w:cstheme="minorHAnsi"/>
          <w:color w:val="4472C4" w:themeColor="accent1"/>
          <w:lang w:val="es"/>
        </w:rPr>
        <w:fldChar w:fldCharType="end"/>
      </w:r>
      <w:r w:rsidRPr="00D40E91">
        <w:rPr>
          <w:rFonts w:asciiTheme="minorHAnsi" w:hAnsiTheme="minorHAnsi" w:cstheme="minorHAnsi"/>
          <w:color w:val="4472C4" w:themeColor="accent1"/>
          <w:lang w:val="es"/>
        </w:rPr>
        <w:t>. Comparativo de ejecución física y financiera. Federaciones Deportivas</w:t>
      </w:r>
      <w:bookmarkEnd w:id="54"/>
    </w:p>
    <w:p w14:paraId="7E5F8996" w14:textId="23F8E13C" w:rsidR="6B4CB047" w:rsidRDefault="206F3FAC" w:rsidP="3945CD24">
      <w:pPr>
        <w:ind w:firstLine="426"/>
        <w:jc w:val="both"/>
      </w:pPr>
      <w:r w:rsidRPr="206F3FAC">
        <w:rPr>
          <w:rFonts w:ascii="Calibri" w:eastAsia="Calibri" w:hAnsi="Calibri" w:cs="Calibri"/>
          <w:sz w:val="16"/>
          <w:szCs w:val="16"/>
        </w:rPr>
        <w:t xml:space="preserve">  Fuente: Con base a registros de Siplan. Segeplan. Año 2022.</w:t>
      </w:r>
    </w:p>
    <w:p w14:paraId="126DC127" w14:textId="088E2189" w:rsidR="6B4CB047" w:rsidRDefault="206F3FAC" w:rsidP="206F3FAC">
      <w:pPr>
        <w:spacing w:line="254" w:lineRule="auto"/>
        <w:jc w:val="both"/>
      </w:pPr>
      <w:r w:rsidRPr="206F3FAC">
        <w:rPr>
          <w:rFonts w:ascii="Calibri" w:eastAsia="Calibri" w:hAnsi="Calibri" w:cs="Calibri"/>
          <w:sz w:val="24"/>
          <w:szCs w:val="24"/>
        </w:rPr>
        <w:t>Se observa que, de las 11 federaciones que presentaron un avance alto de ejecución física, seis alcanzaron el 100% de cumplimiento de las metas físicas programadas.</w:t>
      </w:r>
    </w:p>
    <w:p w14:paraId="6AD02BA3" w14:textId="58C6B031" w:rsidR="6B4CB047" w:rsidRPr="006645F7" w:rsidRDefault="00BA16B0" w:rsidP="006645F7">
      <w:pPr>
        <w:pStyle w:val="ttulosgrficas"/>
        <w:rPr>
          <w:rFonts w:asciiTheme="minorHAnsi" w:hAnsiTheme="minorHAnsi" w:cstheme="minorHAnsi"/>
          <w:color w:val="4472C4" w:themeColor="accent1"/>
        </w:rPr>
      </w:pPr>
      <w:bookmarkStart w:id="55" w:name="_Toc130199603"/>
      <w:r w:rsidRPr="006645F7">
        <w:rPr>
          <w:rFonts w:asciiTheme="minorHAnsi" w:hAnsiTheme="minorHAnsi" w:cstheme="minorHAnsi"/>
          <w:color w:val="4472C4" w:themeColor="accent1"/>
          <w:lang w:val="es"/>
        </w:rPr>
        <w:t xml:space="preserve">Tabla </w:t>
      </w:r>
      <w:r w:rsidR="002C6654" w:rsidRPr="006645F7">
        <w:rPr>
          <w:rFonts w:asciiTheme="minorHAnsi" w:hAnsiTheme="minorHAnsi" w:cstheme="minorHAnsi"/>
          <w:color w:val="4472C4" w:themeColor="accent1"/>
          <w:lang w:val="es"/>
        </w:rPr>
        <w:fldChar w:fldCharType="begin"/>
      </w:r>
      <w:r w:rsidR="002C6654" w:rsidRPr="006645F7">
        <w:rPr>
          <w:rFonts w:asciiTheme="minorHAnsi" w:hAnsiTheme="minorHAnsi" w:cstheme="minorHAnsi"/>
          <w:color w:val="4472C4" w:themeColor="accent1"/>
          <w:lang w:val="es"/>
        </w:rPr>
        <w:instrText xml:space="preserve"> SEQ Tabla \* ARABIC </w:instrText>
      </w:r>
      <w:r w:rsidR="002C6654" w:rsidRPr="006645F7">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15</w:t>
      </w:r>
      <w:r w:rsidR="002C6654" w:rsidRPr="006645F7">
        <w:rPr>
          <w:rFonts w:asciiTheme="minorHAnsi" w:hAnsiTheme="minorHAnsi" w:cstheme="minorHAnsi"/>
          <w:color w:val="4472C4" w:themeColor="accent1"/>
          <w:lang w:val="es"/>
        </w:rPr>
        <w:fldChar w:fldCharType="end"/>
      </w:r>
      <w:r w:rsidRPr="006645F7">
        <w:rPr>
          <w:rFonts w:asciiTheme="minorHAnsi" w:hAnsiTheme="minorHAnsi" w:cstheme="minorHAnsi"/>
          <w:color w:val="4472C4" w:themeColor="accent1"/>
          <w:lang w:val="es"/>
        </w:rPr>
        <w:t>. Ejecución física y financiera. Asociaciones Deportivas</w:t>
      </w:r>
      <w:bookmarkEnd w:id="55"/>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603"/>
        <w:gridCol w:w="1881"/>
        <w:gridCol w:w="1736"/>
        <w:gridCol w:w="1437"/>
        <w:gridCol w:w="1747"/>
      </w:tblGrid>
      <w:tr w:rsidR="206F3FAC" w14:paraId="57EB069D" w14:textId="77777777" w:rsidTr="00535CA1">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603"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5DA74050" w14:textId="6FDF94D9" w:rsidR="206F3FAC" w:rsidRDefault="206F3FAC" w:rsidP="206F3FAC">
            <w:pPr>
              <w:jc w:val="center"/>
              <w:rPr>
                <w:rFonts w:cs="Calibri"/>
                <w:sz w:val="22"/>
                <w:szCs w:val="22"/>
                <w:lang w:val="es"/>
              </w:rPr>
            </w:pPr>
            <w:r w:rsidRPr="206F3FAC">
              <w:rPr>
                <w:rFonts w:cs="Calibri"/>
                <w:color w:val="auto"/>
                <w:sz w:val="22"/>
                <w:szCs w:val="22"/>
                <w:lang w:val="es"/>
              </w:rPr>
              <w:t>Institución</w:t>
            </w:r>
          </w:p>
        </w:tc>
        <w:tc>
          <w:tcPr>
            <w:tcW w:w="1881"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6434AFA" w14:textId="766AF59A" w:rsidR="206F3FAC" w:rsidRDefault="206F3FAC" w:rsidP="206F3FA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206F3FAC">
              <w:rPr>
                <w:rFonts w:cs="Calibri"/>
                <w:color w:val="auto"/>
                <w:sz w:val="22"/>
                <w:szCs w:val="22"/>
                <w:lang w:val="es"/>
              </w:rPr>
              <w:t>Meta financiera anual vigente</w:t>
            </w:r>
          </w:p>
        </w:tc>
        <w:tc>
          <w:tcPr>
            <w:tcW w:w="1736"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389D65C9" w14:textId="39EB88CE" w:rsidR="206F3FAC" w:rsidRDefault="206F3FAC" w:rsidP="206F3FA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206F3FAC">
              <w:rPr>
                <w:rFonts w:cs="Calibri"/>
                <w:color w:val="auto"/>
                <w:sz w:val="22"/>
                <w:szCs w:val="22"/>
                <w:lang w:val="es"/>
              </w:rPr>
              <w:t>Ejecución financiera acumulada</w:t>
            </w:r>
          </w:p>
        </w:tc>
        <w:tc>
          <w:tcPr>
            <w:tcW w:w="1437"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49829AF5" w14:textId="6CCD0951" w:rsidR="206F3FAC" w:rsidRDefault="206F3FAC" w:rsidP="206F3FA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206F3FAC">
              <w:rPr>
                <w:rFonts w:cs="Calibri"/>
                <w:color w:val="auto"/>
                <w:sz w:val="22"/>
                <w:szCs w:val="22"/>
                <w:lang w:val="es"/>
              </w:rPr>
              <w:t xml:space="preserve">% ejecución </w:t>
            </w:r>
            <w:r>
              <w:br/>
            </w:r>
            <w:r w:rsidRPr="206F3FAC">
              <w:rPr>
                <w:rFonts w:cs="Calibri"/>
                <w:color w:val="auto"/>
                <w:sz w:val="22"/>
                <w:szCs w:val="22"/>
                <w:lang w:val="es"/>
              </w:rPr>
              <w:t>meta física</w:t>
            </w:r>
          </w:p>
        </w:tc>
        <w:tc>
          <w:tcPr>
            <w:tcW w:w="1747"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33D3B624" w14:textId="5EE01364" w:rsidR="206F3FAC" w:rsidRDefault="206F3FAC" w:rsidP="206F3FAC">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lang w:val="es"/>
              </w:rPr>
            </w:pPr>
            <w:r w:rsidRPr="206F3FAC">
              <w:rPr>
                <w:rFonts w:cs="Calibri"/>
                <w:color w:val="auto"/>
                <w:sz w:val="22"/>
                <w:szCs w:val="22"/>
                <w:lang w:val="es"/>
              </w:rPr>
              <w:t xml:space="preserve">% ejecución </w:t>
            </w:r>
            <w:r>
              <w:br/>
            </w:r>
            <w:r w:rsidRPr="206F3FAC">
              <w:rPr>
                <w:rFonts w:cs="Calibri"/>
                <w:color w:val="auto"/>
                <w:sz w:val="22"/>
                <w:szCs w:val="22"/>
                <w:lang w:val="es"/>
              </w:rPr>
              <w:t>meta financiera</w:t>
            </w:r>
          </w:p>
        </w:tc>
      </w:tr>
      <w:tr w:rsidR="206F3FAC" w14:paraId="3B008979" w14:textId="77777777" w:rsidTr="00535CA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3" w:type="dxa"/>
            <w:tcMar>
              <w:left w:w="108" w:type="dxa"/>
              <w:right w:w="108" w:type="dxa"/>
            </w:tcMar>
            <w:vAlign w:val="bottom"/>
          </w:tcPr>
          <w:p w14:paraId="4665F786" w14:textId="2E17DA01" w:rsidR="206F3FAC" w:rsidRPr="002C6654" w:rsidRDefault="206F3FAC">
            <w:pPr>
              <w:rPr>
                <w:b w:val="0"/>
              </w:rPr>
            </w:pPr>
            <w:r w:rsidRPr="002C6654">
              <w:rPr>
                <w:rFonts w:cs="Calibri"/>
                <w:b w:val="0"/>
                <w:color w:val="000000" w:themeColor="text1"/>
                <w:sz w:val="22"/>
                <w:szCs w:val="22"/>
                <w:lang w:val="es"/>
              </w:rPr>
              <w:t>Asociación Deportiva Nacional de Tiro con Arco</w:t>
            </w:r>
          </w:p>
        </w:tc>
        <w:tc>
          <w:tcPr>
            <w:tcW w:w="1881" w:type="dxa"/>
            <w:tcMar>
              <w:left w:w="108" w:type="dxa"/>
              <w:right w:w="108" w:type="dxa"/>
            </w:tcMar>
            <w:vAlign w:val="center"/>
          </w:tcPr>
          <w:p w14:paraId="2F91FB08" w14:textId="25B36113"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Q3,318,859.00</w:t>
            </w:r>
          </w:p>
        </w:tc>
        <w:tc>
          <w:tcPr>
            <w:tcW w:w="1736" w:type="dxa"/>
            <w:tcMar>
              <w:left w:w="108" w:type="dxa"/>
              <w:right w:w="108" w:type="dxa"/>
            </w:tcMar>
            <w:vAlign w:val="center"/>
          </w:tcPr>
          <w:p w14:paraId="162447D5" w14:textId="1AB88871"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Q2,325,448.54</w:t>
            </w:r>
          </w:p>
        </w:tc>
        <w:tc>
          <w:tcPr>
            <w:tcW w:w="1437" w:type="dxa"/>
            <w:shd w:val="clear" w:color="auto" w:fill="92D050"/>
            <w:tcMar>
              <w:left w:w="108" w:type="dxa"/>
              <w:right w:w="108" w:type="dxa"/>
            </w:tcMar>
            <w:vAlign w:val="center"/>
          </w:tcPr>
          <w:p w14:paraId="14C223A1" w14:textId="34A1D6F6"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100.00%</w:t>
            </w:r>
          </w:p>
        </w:tc>
        <w:tc>
          <w:tcPr>
            <w:tcW w:w="1747" w:type="dxa"/>
            <w:shd w:val="clear" w:color="auto" w:fill="FFFF00"/>
            <w:tcMar>
              <w:left w:w="108" w:type="dxa"/>
              <w:right w:w="108" w:type="dxa"/>
            </w:tcMar>
            <w:vAlign w:val="center"/>
          </w:tcPr>
          <w:p w14:paraId="3A62A80C" w14:textId="3BB9CBF0"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70.07%</w:t>
            </w:r>
          </w:p>
        </w:tc>
      </w:tr>
      <w:tr w:rsidR="206F3FAC" w14:paraId="36150AB6" w14:textId="77777777" w:rsidTr="00535CA1">
        <w:trPr>
          <w:trHeight w:val="315"/>
        </w:trPr>
        <w:tc>
          <w:tcPr>
            <w:cnfStyle w:val="001000000000" w:firstRow="0" w:lastRow="0" w:firstColumn="1" w:lastColumn="0" w:oddVBand="0" w:evenVBand="0" w:oddHBand="0" w:evenHBand="0" w:firstRowFirstColumn="0" w:firstRowLastColumn="0" w:lastRowFirstColumn="0" w:lastRowLastColumn="0"/>
            <w:tcW w:w="2603" w:type="dxa"/>
            <w:tcMar>
              <w:left w:w="108" w:type="dxa"/>
              <w:right w:w="108" w:type="dxa"/>
            </w:tcMar>
            <w:vAlign w:val="bottom"/>
          </w:tcPr>
          <w:p w14:paraId="1745D277" w14:textId="1E3C2A3C" w:rsidR="206F3FAC" w:rsidRPr="002C6654" w:rsidRDefault="206F3FAC">
            <w:pPr>
              <w:rPr>
                <w:b w:val="0"/>
              </w:rPr>
            </w:pPr>
            <w:r w:rsidRPr="002C6654">
              <w:rPr>
                <w:rFonts w:cs="Calibri"/>
                <w:b w:val="0"/>
                <w:color w:val="000000" w:themeColor="text1"/>
                <w:sz w:val="22"/>
                <w:szCs w:val="22"/>
                <w:lang w:val="es"/>
              </w:rPr>
              <w:t>Asociación Nacional de Ráquetbol</w:t>
            </w:r>
          </w:p>
        </w:tc>
        <w:tc>
          <w:tcPr>
            <w:tcW w:w="1881" w:type="dxa"/>
            <w:tcMar>
              <w:left w:w="108" w:type="dxa"/>
              <w:right w:w="108" w:type="dxa"/>
            </w:tcMar>
            <w:vAlign w:val="center"/>
          </w:tcPr>
          <w:p w14:paraId="2DA43CCA" w14:textId="7478D686"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Q0.00</w:t>
            </w:r>
          </w:p>
        </w:tc>
        <w:tc>
          <w:tcPr>
            <w:tcW w:w="1736" w:type="dxa"/>
            <w:tcMar>
              <w:left w:w="108" w:type="dxa"/>
              <w:right w:w="108" w:type="dxa"/>
            </w:tcMar>
            <w:vAlign w:val="center"/>
          </w:tcPr>
          <w:p w14:paraId="7C372989" w14:textId="06734E77"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Q5,376,901.25</w:t>
            </w:r>
          </w:p>
        </w:tc>
        <w:tc>
          <w:tcPr>
            <w:tcW w:w="1437" w:type="dxa"/>
            <w:shd w:val="clear" w:color="auto" w:fill="92D050"/>
            <w:tcMar>
              <w:left w:w="108" w:type="dxa"/>
              <w:right w:w="108" w:type="dxa"/>
            </w:tcMar>
            <w:vAlign w:val="center"/>
          </w:tcPr>
          <w:p w14:paraId="4E3CD7F0" w14:textId="3EBEC44A" w:rsidR="206F3FAC" w:rsidRDefault="206F3FAC" w:rsidP="206F3FAC">
            <w:pPr>
              <w:jc w:val="center"/>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100.00%</w:t>
            </w:r>
          </w:p>
        </w:tc>
        <w:tc>
          <w:tcPr>
            <w:tcW w:w="1747" w:type="dxa"/>
            <w:shd w:val="clear" w:color="auto" w:fill="FF0000"/>
            <w:tcMar>
              <w:left w:w="108" w:type="dxa"/>
              <w:right w:w="108" w:type="dxa"/>
            </w:tcMar>
            <w:vAlign w:val="center"/>
          </w:tcPr>
          <w:p w14:paraId="2600751E" w14:textId="20545233" w:rsidR="206F3FAC" w:rsidRDefault="206F3FAC" w:rsidP="206F3FAC">
            <w:pPr>
              <w:jc w:val="center"/>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0.00%</w:t>
            </w:r>
          </w:p>
        </w:tc>
      </w:tr>
      <w:tr w:rsidR="206F3FAC" w14:paraId="24743453" w14:textId="77777777" w:rsidTr="00535CA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3" w:type="dxa"/>
            <w:tcMar>
              <w:left w:w="108" w:type="dxa"/>
              <w:right w:w="108" w:type="dxa"/>
            </w:tcMar>
            <w:vAlign w:val="bottom"/>
          </w:tcPr>
          <w:p w14:paraId="308E3EB4" w14:textId="4DEF7B47" w:rsidR="206F3FAC" w:rsidRPr="002C6654" w:rsidRDefault="206F3FAC">
            <w:pPr>
              <w:rPr>
                <w:b w:val="0"/>
              </w:rPr>
            </w:pPr>
            <w:r w:rsidRPr="002C6654">
              <w:rPr>
                <w:rFonts w:cs="Calibri"/>
                <w:b w:val="0"/>
                <w:color w:val="000000" w:themeColor="text1"/>
                <w:sz w:val="22"/>
                <w:szCs w:val="22"/>
                <w:lang w:val="es"/>
              </w:rPr>
              <w:t>Asociación Nacional de Vuelo Libre</w:t>
            </w:r>
          </w:p>
        </w:tc>
        <w:tc>
          <w:tcPr>
            <w:tcW w:w="1881" w:type="dxa"/>
            <w:tcMar>
              <w:left w:w="108" w:type="dxa"/>
              <w:right w:w="108" w:type="dxa"/>
            </w:tcMar>
            <w:vAlign w:val="center"/>
          </w:tcPr>
          <w:p w14:paraId="3CF8417F" w14:textId="32101859"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Q3,180,118.54</w:t>
            </w:r>
          </w:p>
        </w:tc>
        <w:tc>
          <w:tcPr>
            <w:tcW w:w="1736" w:type="dxa"/>
            <w:tcMar>
              <w:left w:w="108" w:type="dxa"/>
              <w:right w:w="108" w:type="dxa"/>
            </w:tcMar>
            <w:vAlign w:val="center"/>
          </w:tcPr>
          <w:p w14:paraId="3A0BF0E7" w14:textId="137D582E"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Q3,059,425.33</w:t>
            </w:r>
          </w:p>
        </w:tc>
        <w:tc>
          <w:tcPr>
            <w:tcW w:w="1437" w:type="dxa"/>
            <w:shd w:val="clear" w:color="auto" w:fill="92D050"/>
            <w:tcMar>
              <w:left w:w="108" w:type="dxa"/>
              <w:right w:w="108" w:type="dxa"/>
            </w:tcMar>
            <w:vAlign w:val="center"/>
          </w:tcPr>
          <w:p w14:paraId="1B416EA7" w14:textId="6A3BE27E"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100.00%</w:t>
            </w:r>
          </w:p>
        </w:tc>
        <w:tc>
          <w:tcPr>
            <w:tcW w:w="1747" w:type="dxa"/>
            <w:shd w:val="clear" w:color="auto" w:fill="92D050"/>
            <w:tcMar>
              <w:left w:w="108" w:type="dxa"/>
              <w:right w:w="108" w:type="dxa"/>
            </w:tcMar>
            <w:vAlign w:val="center"/>
          </w:tcPr>
          <w:p w14:paraId="726D54F8" w14:textId="5E8FB49F"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96.20%</w:t>
            </w:r>
          </w:p>
        </w:tc>
      </w:tr>
      <w:tr w:rsidR="206F3FAC" w14:paraId="768844C9" w14:textId="77777777" w:rsidTr="00535CA1">
        <w:trPr>
          <w:trHeight w:val="510"/>
        </w:trPr>
        <w:tc>
          <w:tcPr>
            <w:cnfStyle w:val="001000000000" w:firstRow="0" w:lastRow="0" w:firstColumn="1" w:lastColumn="0" w:oddVBand="0" w:evenVBand="0" w:oddHBand="0" w:evenHBand="0" w:firstRowFirstColumn="0" w:firstRowLastColumn="0" w:lastRowFirstColumn="0" w:lastRowLastColumn="0"/>
            <w:tcW w:w="2603" w:type="dxa"/>
            <w:tcMar>
              <w:left w:w="108" w:type="dxa"/>
              <w:right w:w="108" w:type="dxa"/>
            </w:tcMar>
            <w:vAlign w:val="bottom"/>
          </w:tcPr>
          <w:p w14:paraId="3CBF3AAA" w14:textId="6B2AC3B2" w:rsidR="206F3FAC" w:rsidRPr="002C6654" w:rsidRDefault="206F3FAC">
            <w:pPr>
              <w:rPr>
                <w:b w:val="0"/>
              </w:rPr>
            </w:pPr>
            <w:r w:rsidRPr="002C6654">
              <w:rPr>
                <w:rFonts w:cs="Calibri"/>
                <w:b w:val="0"/>
                <w:color w:val="000000" w:themeColor="text1"/>
                <w:sz w:val="22"/>
                <w:szCs w:val="22"/>
                <w:lang w:val="es"/>
              </w:rPr>
              <w:t>Asociación Deportiva Nacional Hockey</w:t>
            </w:r>
          </w:p>
        </w:tc>
        <w:tc>
          <w:tcPr>
            <w:tcW w:w="1881" w:type="dxa"/>
            <w:tcMar>
              <w:left w:w="108" w:type="dxa"/>
              <w:right w:w="108" w:type="dxa"/>
            </w:tcMar>
            <w:vAlign w:val="center"/>
          </w:tcPr>
          <w:p w14:paraId="5B71CEBF" w14:textId="105BCB2A"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Q300,000.00</w:t>
            </w:r>
          </w:p>
        </w:tc>
        <w:tc>
          <w:tcPr>
            <w:tcW w:w="1736" w:type="dxa"/>
            <w:tcMar>
              <w:left w:w="108" w:type="dxa"/>
              <w:right w:w="108" w:type="dxa"/>
            </w:tcMar>
            <w:vAlign w:val="center"/>
          </w:tcPr>
          <w:p w14:paraId="6B5850A9" w14:textId="58E197E2"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Q99,999.04</w:t>
            </w:r>
          </w:p>
        </w:tc>
        <w:tc>
          <w:tcPr>
            <w:tcW w:w="1437" w:type="dxa"/>
            <w:shd w:val="clear" w:color="auto" w:fill="92D050"/>
            <w:tcMar>
              <w:left w:w="108" w:type="dxa"/>
              <w:right w:w="108" w:type="dxa"/>
            </w:tcMar>
            <w:vAlign w:val="center"/>
          </w:tcPr>
          <w:p w14:paraId="768D247E" w14:textId="5A436A7D" w:rsidR="206F3FAC" w:rsidRDefault="206F3FAC" w:rsidP="206F3FAC">
            <w:pPr>
              <w:jc w:val="center"/>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100.00%</w:t>
            </w:r>
          </w:p>
        </w:tc>
        <w:tc>
          <w:tcPr>
            <w:tcW w:w="1747" w:type="dxa"/>
            <w:shd w:val="clear" w:color="auto" w:fill="FF0000"/>
            <w:tcMar>
              <w:left w:w="108" w:type="dxa"/>
              <w:right w:w="108" w:type="dxa"/>
            </w:tcMar>
            <w:vAlign w:val="center"/>
          </w:tcPr>
          <w:p w14:paraId="2C6A2864" w14:textId="0ACE07AF" w:rsidR="206F3FAC" w:rsidRDefault="206F3FAC" w:rsidP="206F3FAC">
            <w:pPr>
              <w:jc w:val="center"/>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33.33%</w:t>
            </w:r>
          </w:p>
        </w:tc>
      </w:tr>
      <w:tr w:rsidR="206F3FAC" w14:paraId="7618ED49" w14:textId="77777777" w:rsidTr="00535CA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3" w:type="dxa"/>
            <w:tcMar>
              <w:left w:w="108" w:type="dxa"/>
              <w:right w:w="108" w:type="dxa"/>
            </w:tcMar>
            <w:vAlign w:val="bottom"/>
          </w:tcPr>
          <w:p w14:paraId="637FA70A" w14:textId="62D022BF" w:rsidR="206F3FAC" w:rsidRPr="002C6654" w:rsidRDefault="206F3FAC">
            <w:pPr>
              <w:rPr>
                <w:b w:val="0"/>
              </w:rPr>
            </w:pPr>
            <w:r w:rsidRPr="002C6654">
              <w:rPr>
                <w:rFonts w:cs="Calibri"/>
                <w:b w:val="0"/>
                <w:color w:val="000000" w:themeColor="text1"/>
                <w:sz w:val="22"/>
                <w:szCs w:val="22"/>
                <w:lang w:val="es"/>
              </w:rPr>
              <w:t>Asociación Nacional de Billar</w:t>
            </w:r>
          </w:p>
        </w:tc>
        <w:tc>
          <w:tcPr>
            <w:tcW w:w="1881" w:type="dxa"/>
            <w:tcMar>
              <w:left w:w="108" w:type="dxa"/>
              <w:right w:w="108" w:type="dxa"/>
            </w:tcMar>
            <w:vAlign w:val="center"/>
          </w:tcPr>
          <w:p w14:paraId="7CE59051" w14:textId="5C74FEF9"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Q3,160,125.67</w:t>
            </w:r>
          </w:p>
        </w:tc>
        <w:tc>
          <w:tcPr>
            <w:tcW w:w="1736" w:type="dxa"/>
            <w:tcMar>
              <w:left w:w="108" w:type="dxa"/>
              <w:right w:w="108" w:type="dxa"/>
            </w:tcMar>
            <w:vAlign w:val="center"/>
          </w:tcPr>
          <w:p w14:paraId="2C6173A0" w14:textId="6B4A87F4"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Q2,528,534.12</w:t>
            </w:r>
          </w:p>
        </w:tc>
        <w:tc>
          <w:tcPr>
            <w:tcW w:w="1437" w:type="dxa"/>
            <w:shd w:val="clear" w:color="auto" w:fill="92D050"/>
            <w:tcMar>
              <w:left w:w="108" w:type="dxa"/>
              <w:right w:w="108" w:type="dxa"/>
            </w:tcMar>
            <w:vAlign w:val="center"/>
          </w:tcPr>
          <w:p w14:paraId="6ED5DE22" w14:textId="6352726B"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98.18%</w:t>
            </w:r>
          </w:p>
        </w:tc>
        <w:tc>
          <w:tcPr>
            <w:tcW w:w="1747" w:type="dxa"/>
            <w:shd w:val="clear" w:color="auto" w:fill="FFFF00"/>
            <w:tcMar>
              <w:left w:w="108" w:type="dxa"/>
              <w:right w:w="108" w:type="dxa"/>
            </w:tcMar>
            <w:vAlign w:val="center"/>
          </w:tcPr>
          <w:p w14:paraId="64480071" w14:textId="0152F069"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80.01%</w:t>
            </w:r>
          </w:p>
        </w:tc>
      </w:tr>
      <w:tr w:rsidR="206F3FAC" w14:paraId="54DD46A8" w14:textId="77777777" w:rsidTr="00535CA1">
        <w:trPr>
          <w:trHeight w:val="495"/>
        </w:trPr>
        <w:tc>
          <w:tcPr>
            <w:cnfStyle w:val="001000000000" w:firstRow="0" w:lastRow="0" w:firstColumn="1" w:lastColumn="0" w:oddVBand="0" w:evenVBand="0" w:oddHBand="0" w:evenHBand="0" w:firstRowFirstColumn="0" w:firstRowLastColumn="0" w:lastRowFirstColumn="0" w:lastRowLastColumn="0"/>
            <w:tcW w:w="2603" w:type="dxa"/>
            <w:tcMar>
              <w:left w:w="108" w:type="dxa"/>
              <w:right w:w="108" w:type="dxa"/>
            </w:tcMar>
            <w:vAlign w:val="bottom"/>
          </w:tcPr>
          <w:p w14:paraId="6770C810" w14:textId="6034521C" w:rsidR="206F3FAC" w:rsidRPr="002C6654" w:rsidRDefault="206F3FAC">
            <w:pPr>
              <w:rPr>
                <w:b w:val="0"/>
              </w:rPr>
            </w:pPr>
            <w:r w:rsidRPr="002C6654">
              <w:rPr>
                <w:rFonts w:cs="Calibri"/>
                <w:b w:val="0"/>
                <w:color w:val="000000" w:themeColor="text1"/>
                <w:sz w:val="22"/>
                <w:szCs w:val="22"/>
                <w:lang w:val="es"/>
              </w:rPr>
              <w:t>Asociación Nacional de Ecuestres</w:t>
            </w:r>
          </w:p>
        </w:tc>
        <w:tc>
          <w:tcPr>
            <w:tcW w:w="1881" w:type="dxa"/>
            <w:tcMar>
              <w:left w:w="108" w:type="dxa"/>
              <w:right w:w="108" w:type="dxa"/>
            </w:tcMar>
            <w:vAlign w:val="center"/>
          </w:tcPr>
          <w:p w14:paraId="1BA9FB02" w14:textId="61DE869A"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Q8,058,119.48</w:t>
            </w:r>
          </w:p>
        </w:tc>
        <w:tc>
          <w:tcPr>
            <w:tcW w:w="1736" w:type="dxa"/>
            <w:tcMar>
              <w:left w:w="108" w:type="dxa"/>
              <w:right w:w="108" w:type="dxa"/>
            </w:tcMar>
            <w:vAlign w:val="center"/>
          </w:tcPr>
          <w:p w14:paraId="51E5925D" w14:textId="0D6CD3D7"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Q5,704,895.93</w:t>
            </w:r>
          </w:p>
        </w:tc>
        <w:tc>
          <w:tcPr>
            <w:tcW w:w="1437" w:type="dxa"/>
            <w:shd w:val="clear" w:color="auto" w:fill="FFFF00"/>
            <w:tcMar>
              <w:left w:w="108" w:type="dxa"/>
              <w:right w:w="108" w:type="dxa"/>
            </w:tcMar>
            <w:vAlign w:val="center"/>
          </w:tcPr>
          <w:p w14:paraId="178C72AF" w14:textId="546F84FF" w:rsidR="206F3FAC" w:rsidRDefault="206F3FAC" w:rsidP="206F3FAC">
            <w:pPr>
              <w:jc w:val="center"/>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71.73%</w:t>
            </w:r>
          </w:p>
        </w:tc>
        <w:tc>
          <w:tcPr>
            <w:tcW w:w="1747" w:type="dxa"/>
            <w:shd w:val="clear" w:color="auto" w:fill="FFFF00"/>
            <w:tcMar>
              <w:left w:w="108" w:type="dxa"/>
              <w:right w:w="108" w:type="dxa"/>
            </w:tcMar>
            <w:vAlign w:val="center"/>
          </w:tcPr>
          <w:p w14:paraId="47EB0389" w14:textId="16FE7151" w:rsidR="206F3FAC" w:rsidRDefault="206F3FAC" w:rsidP="206F3FAC">
            <w:pPr>
              <w:jc w:val="center"/>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70.80%</w:t>
            </w:r>
          </w:p>
        </w:tc>
      </w:tr>
      <w:tr w:rsidR="206F3FAC" w14:paraId="3207AC22" w14:textId="77777777" w:rsidTr="00535CA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03" w:type="dxa"/>
            <w:tcMar>
              <w:left w:w="108" w:type="dxa"/>
              <w:right w:w="108" w:type="dxa"/>
            </w:tcMar>
            <w:vAlign w:val="bottom"/>
          </w:tcPr>
          <w:p w14:paraId="64020603" w14:textId="52B8F7F7" w:rsidR="206F3FAC" w:rsidRPr="002C6654" w:rsidRDefault="206F3FAC">
            <w:pPr>
              <w:rPr>
                <w:b w:val="0"/>
              </w:rPr>
            </w:pPr>
            <w:r w:rsidRPr="002C6654">
              <w:rPr>
                <w:rFonts w:cs="Calibri"/>
                <w:b w:val="0"/>
                <w:color w:val="000000" w:themeColor="text1"/>
                <w:sz w:val="22"/>
                <w:szCs w:val="22"/>
                <w:lang w:val="es"/>
              </w:rPr>
              <w:t>Asociación Guatemalteca de Rugby</w:t>
            </w:r>
          </w:p>
        </w:tc>
        <w:tc>
          <w:tcPr>
            <w:tcW w:w="1881" w:type="dxa"/>
            <w:tcMar>
              <w:left w:w="108" w:type="dxa"/>
              <w:right w:w="108" w:type="dxa"/>
            </w:tcMar>
            <w:vAlign w:val="center"/>
          </w:tcPr>
          <w:p w14:paraId="416F7A76" w14:textId="2C874AC0"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Q1,406,200.00</w:t>
            </w:r>
          </w:p>
        </w:tc>
        <w:tc>
          <w:tcPr>
            <w:tcW w:w="1736" w:type="dxa"/>
            <w:tcMar>
              <w:left w:w="108" w:type="dxa"/>
              <w:right w:w="108" w:type="dxa"/>
            </w:tcMar>
            <w:vAlign w:val="center"/>
          </w:tcPr>
          <w:p w14:paraId="5A259299" w14:textId="0B8CBCDF"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Q981,700.00</w:t>
            </w:r>
          </w:p>
        </w:tc>
        <w:tc>
          <w:tcPr>
            <w:tcW w:w="1437" w:type="dxa"/>
            <w:shd w:val="clear" w:color="auto" w:fill="FFFF00"/>
            <w:tcMar>
              <w:left w:w="108" w:type="dxa"/>
              <w:right w:w="108" w:type="dxa"/>
            </w:tcMar>
            <w:vAlign w:val="center"/>
          </w:tcPr>
          <w:p w14:paraId="0F97976B" w14:textId="19739BB1"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65.85%</w:t>
            </w:r>
          </w:p>
        </w:tc>
        <w:tc>
          <w:tcPr>
            <w:tcW w:w="1747" w:type="dxa"/>
            <w:shd w:val="clear" w:color="auto" w:fill="FFFF00"/>
            <w:tcMar>
              <w:left w:w="108" w:type="dxa"/>
              <w:right w:w="108" w:type="dxa"/>
            </w:tcMar>
            <w:vAlign w:val="center"/>
          </w:tcPr>
          <w:p w14:paraId="750DE88C" w14:textId="00EF6893"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69.81%</w:t>
            </w:r>
          </w:p>
        </w:tc>
      </w:tr>
      <w:tr w:rsidR="206F3FAC" w14:paraId="2BD16F9A" w14:textId="77777777" w:rsidTr="00535CA1">
        <w:trPr>
          <w:trHeight w:val="315"/>
        </w:trPr>
        <w:tc>
          <w:tcPr>
            <w:cnfStyle w:val="001000000000" w:firstRow="0" w:lastRow="0" w:firstColumn="1" w:lastColumn="0" w:oddVBand="0" w:evenVBand="0" w:oddHBand="0" w:evenHBand="0" w:firstRowFirstColumn="0" w:firstRowLastColumn="0" w:lastRowFirstColumn="0" w:lastRowLastColumn="0"/>
            <w:tcW w:w="2603" w:type="dxa"/>
            <w:tcMar>
              <w:left w:w="108" w:type="dxa"/>
              <w:right w:w="108" w:type="dxa"/>
            </w:tcMar>
            <w:vAlign w:val="bottom"/>
          </w:tcPr>
          <w:p w14:paraId="3967AACF" w14:textId="68BFFEB1" w:rsidR="206F3FAC" w:rsidRPr="002C6654" w:rsidRDefault="206F3FAC">
            <w:pPr>
              <w:rPr>
                <w:b w:val="0"/>
              </w:rPr>
            </w:pPr>
            <w:r w:rsidRPr="002C6654">
              <w:rPr>
                <w:rFonts w:cs="Calibri"/>
                <w:b w:val="0"/>
                <w:color w:val="000000" w:themeColor="text1"/>
                <w:sz w:val="22"/>
                <w:szCs w:val="22"/>
                <w:lang w:val="es"/>
              </w:rPr>
              <w:t>Asociación de Pentatlón Moderno</w:t>
            </w:r>
          </w:p>
        </w:tc>
        <w:tc>
          <w:tcPr>
            <w:tcW w:w="1881" w:type="dxa"/>
            <w:tcMar>
              <w:left w:w="108" w:type="dxa"/>
              <w:right w:w="108" w:type="dxa"/>
            </w:tcMar>
            <w:vAlign w:val="center"/>
          </w:tcPr>
          <w:p w14:paraId="28E2743C" w14:textId="6CC00CF7"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Q2,046,000.00</w:t>
            </w:r>
          </w:p>
        </w:tc>
        <w:tc>
          <w:tcPr>
            <w:tcW w:w="1736" w:type="dxa"/>
            <w:tcMar>
              <w:left w:w="108" w:type="dxa"/>
              <w:right w:w="108" w:type="dxa"/>
            </w:tcMar>
            <w:vAlign w:val="center"/>
          </w:tcPr>
          <w:p w14:paraId="1F9270EC" w14:textId="74E335D5"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Q576,591.67</w:t>
            </w:r>
          </w:p>
        </w:tc>
        <w:tc>
          <w:tcPr>
            <w:tcW w:w="1437" w:type="dxa"/>
            <w:shd w:val="clear" w:color="auto" w:fill="FFFF00"/>
            <w:tcMar>
              <w:left w:w="108" w:type="dxa"/>
              <w:right w:w="108" w:type="dxa"/>
            </w:tcMar>
            <w:vAlign w:val="center"/>
          </w:tcPr>
          <w:p w14:paraId="35AB8FBD" w14:textId="512C44F5" w:rsidR="206F3FAC" w:rsidRDefault="206F3FAC" w:rsidP="206F3FAC">
            <w:pPr>
              <w:jc w:val="center"/>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63.89%</w:t>
            </w:r>
          </w:p>
        </w:tc>
        <w:tc>
          <w:tcPr>
            <w:tcW w:w="1747" w:type="dxa"/>
            <w:shd w:val="clear" w:color="auto" w:fill="FF0000"/>
            <w:tcMar>
              <w:left w:w="108" w:type="dxa"/>
              <w:right w:w="108" w:type="dxa"/>
            </w:tcMar>
            <w:vAlign w:val="center"/>
          </w:tcPr>
          <w:p w14:paraId="66128323" w14:textId="247A1461" w:rsidR="206F3FAC" w:rsidRDefault="206F3FAC" w:rsidP="206F3FAC">
            <w:pPr>
              <w:jc w:val="center"/>
              <w:cnfStyle w:val="000000000000" w:firstRow="0" w:lastRow="0" w:firstColumn="0" w:lastColumn="0" w:oddVBand="0" w:evenVBand="0" w:oddHBand="0" w:evenHBand="0" w:firstRowFirstColumn="0" w:firstRowLastColumn="0" w:lastRowFirstColumn="0" w:lastRowLastColumn="0"/>
            </w:pPr>
            <w:r w:rsidRPr="206F3FAC">
              <w:rPr>
                <w:rFonts w:cs="Calibri"/>
                <w:color w:val="000000" w:themeColor="text1"/>
                <w:sz w:val="22"/>
                <w:szCs w:val="22"/>
                <w:lang w:val="es"/>
              </w:rPr>
              <w:t>28.18%</w:t>
            </w:r>
          </w:p>
        </w:tc>
      </w:tr>
      <w:tr w:rsidR="206F3FAC" w14:paraId="6F8D94EC" w14:textId="77777777" w:rsidTr="00535CA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03" w:type="dxa"/>
            <w:tcMar>
              <w:left w:w="108" w:type="dxa"/>
              <w:right w:w="108" w:type="dxa"/>
            </w:tcMar>
            <w:vAlign w:val="bottom"/>
          </w:tcPr>
          <w:p w14:paraId="292DF5EB" w14:textId="38EEECF2" w:rsidR="206F3FAC" w:rsidRPr="002C6654" w:rsidRDefault="206F3FAC">
            <w:pPr>
              <w:rPr>
                <w:b w:val="0"/>
              </w:rPr>
            </w:pPr>
            <w:r w:rsidRPr="002C6654">
              <w:rPr>
                <w:rFonts w:cs="Calibri"/>
                <w:b w:val="0"/>
                <w:color w:val="000000" w:themeColor="text1"/>
                <w:sz w:val="22"/>
                <w:szCs w:val="22"/>
                <w:lang w:val="es"/>
              </w:rPr>
              <w:t>Asociación Nacional de Navegación a Vela</w:t>
            </w:r>
          </w:p>
        </w:tc>
        <w:tc>
          <w:tcPr>
            <w:tcW w:w="1881" w:type="dxa"/>
            <w:tcMar>
              <w:left w:w="108" w:type="dxa"/>
              <w:right w:w="108" w:type="dxa"/>
            </w:tcMar>
            <w:vAlign w:val="center"/>
          </w:tcPr>
          <w:p w14:paraId="068767FD" w14:textId="5DFAAC71"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Q9,186,237.33</w:t>
            </w:r>
          </w:p>
        </w:tc>
        <w:tc>
          <w:tcPr>
            <w:tcW w:w="1736" w:type="dxa"/>
            <w:tcMar>
              <w:left w:w="108" w:type="dxa"/>
              <w:right w:w="108" w:type="dxa"/>
            </w:tcMar>
            <w:vAlign w:val="center"/>
          </w:tcPr>
          <w:p w14:paraId="6206579A" w14:textId="4EE88D5A"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Q3,481,127.12</w:t>
            </w:r>
          </w:p>
        </w:tc>
        <w:tc>
          <w:tcPr>
            <w:tcW w:w="1437" w:type="dxa"/>
            <w:shd w:val="clear" w:color="auto" w:fill="FF0000"/>
            <w:tcMar>
              <w:left w:w="108" w:type="dxa"/>
              <w:right w:w="108" w:type="dxa"/>
            </w:tcMar>
            <w:vAlign w:val="center"/>
          </w:tcPr>
          <w:p w14:paraId="314C6C3B" w14:textId="1F8C75D2"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34.45%</w:t>
            </w:r>
          </w:p>
        </w:tc>
        <w:tc>
          <w:tcPr>
            <w:tcW w:w="1747" w:type="dxa"/>
            <w:shd w:val="clear" w:color="auto" w:fill="FF0000"/>
            <w:tcMar>
              <w:left w:w="108" w:type="dxa"/>
              <w:right w:w="108" w:type="dxa"/>
            </w:tcMar>
            <w:vAlign w:val="center"/>
          </w:tcPr>
          <w:p w14:paraId="463F5F8B" w14:textId="0FA650B5" w:rsidR="206F3FAC" w:rsidRDefault="206F3FAC" w:rsidP="206F3FAC">
            <w:pPr>
              <w:jc w:val="center"/>
              <w:cnfStyle w:val="000000100000" w:firstRow="0" w:lastRow="0" w:firstColumn="0" w:lastColumn="0" w:oddVBand="0" w:evenVBand="0" w:oddHBand="1" w:evenHBand="0" w:firstRowFirstColumn="0" w:firstRowLastColumn="0" w:lastRowFirstColumn="0" w:lastRowLastColumn="0"/>
            </w:pPr>
            <w:r w:rsidRPr="206F3FAC">
              <w:rPr>
                <w:rFonts w:cs="Calibri"/>
                <w:color w:val="000000" w:themeColor="text1"/>
                <w:sz w:val="22"/>
                <w:szCs w:val="22"/>
                <w:lang w:val="es"/>
              </w:rPr>
              <w:t>37.90%</w:t>
            </w:r>
          </w:p>
        </w:tc>
      </w:tr>
    </w:tbl>
    <w:p w14:paraId="4515B897" w14:textId="43161980" w:rsidR="6B4CB047" w:rsidRDefault="206F3FAC" w:rsidP="206F3FAC">
      <w:pPr>
        <w:spacing w:line="254" w:lineRule="auto"/>
        <w:jc w:val="both"/>
      </w:pPr>
      <w:r w:rsidRPr="206F3FAC">
        <w:rPr>
          <w:rFonts w:ascii="Calibri" w:eastAsia="Calibri" w:hAnsi="Calibri" w:cs="Calibri"/>
          <w:sz w:val="16"/>
          <w:szCs w:val="16"/>
        </w:rPr>
        <w:t>Fuente: Con base a registros de Siplan. Segeplan. Año 2022.</w:t>
      </w:r>
    </w:p>
    <w:p w14:paraId="6E7D5CF0" w14:textId="77777777" w:rsidR="00A91A70" w:rsidRDefault="00A91A70" w:rsidP="002E2CD6">
      <w:pPr>
        <w:spacing w:after="120" w:line="240" w:lineRule="auto"/>
        <w:jc w:val="both"/>
        <w:rPr>
          <w:rFonts w:ascii="Calibri" w:eastAsia="Calibri" w:hAnsi="Calibri" w:cs="Calibri"/>
          <w:b/>
          <w:bCs/>
          <w:sz w:val="24"/>
          <w:szCs w:val="24"/>
        </w:rPr>
      </w:pPr>
    </w:p>
    <w:p w14:paraId="3075F5D6" w14:textId="77777777" w:rsidR="00A91A70" w:rsidRDefault="00A91A70" w:rsidP="002E2CD6">
      <w:pPr>
        <w:spacing w:after="120" w:line="240" w:lineRule="auto"/>
        <w:jc w:val="both"/>
        <w:rPr>
          <w:rFonts w:ascii="Calibri" w:eastAsia="Calibri" w:hAnsi="Calibri" w:cs="Calibri"/>
          <w:b/>
          <w:bCs/>
          <w:sz w:val="24"/>
          <w:szCs w:val="24"/>
        </w:rPr>
      </w:pPr>
    </w:p>
    <w:p w14:paraId="0E48B62E" w14:textId="77777777" w:rsidR="00A91A70" w:rsidRDefault="00A91A70" w:rsidP="002E2CD6">
      <w:pPr>
        <w:spacing w:after="120" w:line="240" w:lineRule="auto"/>
        <w:jc w:val="both"/>
        <w:rPr>
          <w:rFonts w:ascii="Calibri" w:eastAsia="Calibri" w:hAnsi="Calibri" w:cs="Calibri"/>
          <w:b/>
          <w:bCs/>
          <w:sz w:val="24"/>
          <w:szCs w:val="24"/>
        </w:rPr>
      </w:pPr>
    </w:p>
    <w:p w14:paraId="296BC183" w14:textId="3864CE3C" w:rsidR="6B4CB047" w:rsidRDefault="00C8352D" w:rsidP="002E2CD6">
      <w:pPr>
        <w:spacing w:after="120" w:line="240" w:lineRule="auto"/>
        <w:jc w:val="both"/>
      </w:pPr>
      <w:r w:rsidRPr="206F3FAC">
        <w:rPr>
          <w:rFonts w:ascii="Calibri" w:eastAsia="Calibri" w:hAnsi="Calibri" w:cs="Calibri"/>
          <w:b/>
          <w:bCs/>
          <w:sz w:val="24"/>
          <w:szCs w:val="24"/>
        </w:rPr>
        <w:t>Ejecución de metas físicas y financieras</w:t>
      </w:r>
    </w:p>
    <w:p w14:paraId="03D9876B" w14:textId="7086EC5B" w:rsidR="6B4CB047" w:rsidRDefault="005719CF" w:rsidP="002E2CD6">
      <w:pPr>
        <w:spacing w:after="120" w:line="240" w:lineRule="auto"/>
        <w:jc w:val="both"/>
        <w:rPr>
          <w:rFonts w:ascii="Calibri" w:eastAsia="Calibri" w:hAnsi="Calibri" w:cs="Calibri"/>
          <w:sz w:val="24"/>
          <w:szCs w:val="24"/>
        </w:rPr>
      </w:pPr>
      <w:r>
        <w:rPr>
          <w:noProof/>
        </w:rPr>
        <w:drawing>
          <wp:anchor distT="0" distB="0" distL="114300" distR="114300" simplePos="0" relativeHeight="251766272" behindDoc="0" locked="0" layoutInCell="1" allowOverlap="1" wp14:anchorId="1128BA04" wp14:editId="3AE6169B">
            <wp:simplePos x="0" y="0"/>
            <wp:positionH relativeFrom="column">
              <wp:posOffset>4438015</wp:posOffset>
            </wp:positionH>
            <wp:positionV relativeFrom="paragraph">
              <wp:posOffset>52705</wp:posOffset>
            </wp:positionV>
            <wp:extent cx="1504800" cy="1023138"/>
            <wp:effectExtent l="19050" t="19050" r="19685" b="2476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415" r="22051" b="39871"/>
                    <a:stretch/>
                  </pic:blipFill>
                  <pic:spPr bwMode="auto">
                    <a:xfrm>
                      <a:off x="0" y="0"/>
                      <a:ext cx="1504800" cy="1023138"/>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06F3FAC" w:rsidRPr="206F3FAC">
        <w:rPr>
          <w:rFonts w:ascii="Calibri" w:eastAsia="Calibri" w:hAnsi="Calibri" w:cs="Calibri"/>
          <w:sz w:val="24"/>
          <w:szCs w:val="24"/>
        </w:rPr>
        <w:t xml:space="preserve">Al finalizar el año 2022, las asociaciones alcanzaron un promedio de ejecución de metas físicas de 82% y un promedio de ejecución financiera de 54%, lo que demuestra un avance medio en el cumplimiento de las metas programadas en el POA. </w:t>
      </w:r>
    </w:p>
    <w:p w14:paraId="2D431B9F" w14:textId="5453D92B" w:rsidR="6B4CB047" w:rsidRDefault="206F3FAC" w:rsidP="002E2CD6">
      <w:pPr>
        <w:spacing w:after="120" w:line="240" w:lineRule="auto"/>
        <w:jc w:val="both"/>
      </w:pPr>
      <w:r w:rsidRPr="206F3FAC">
        <w:rPr>
          <w:rFonts w:ascii="Calibri" w:eastAsia="Calibri" w:hAnsi="Calibri" w:cs="Calibri"/>
          <w:sz w:val="24"/>
          <w:szCs w:val="24"/>
        </w:rPr>
        <w:t>El promedio de ejecución financiera estuvo cerca de ubicarse dentro del rango de ejecución baja, debido a que solamente una asociación, logró una ejecución financiera alta y el resto, mostró una ejecución media o baja al finalizar el período.</w:t>
      </w:r>
    </w:p>
    <w:p w14:paraId="7177A309" w14:textId="2CD2A990" w:rsidR="6B4CB047" w:rsidRDefault="206F3FAC" w:rsidP="002E2CD6">
      <w:pPr>
        <w:spacing w:after="120" w:line="240" w:lineRule="auto"/>
        <w:jc w:val="both"/>
      </w:pPr>
      <w:r w:rsidRPr="206F3FAC">
        <w:rPr>
          <w:rFonts w:ascii="Calibri" w:eastAsia="Calibri" w:hAnsi="Calibri" w:cs="Calibri"/>
          <w:b/>
          <w:bCs/>
          <w:sz w:val="24"/>
          <w:szCs w:val="24"/>
        </w:rPr>
        <w:t>Ejecución física</w:t>
      </w:r>
    </w:p>
    <w:p w14:paraId="6CDB3E48" w14:textId="06C4CE1A" w:rsidR="6B4CB047" w:rsidRDefault="206F3FAC" w:rsidP="002E2CD6">
      <w:pPr>
        <w:spacing w:after="120" w:line="240" w:lineRule="auto"/>
        <w:jc w:val="both"/>
      </w:pPr>
      <w:r w:rsidRPr="206F3FAC">
        <w:rPr>
          <w:rFonts w:ascii="Calibri" w:eastAsia="Calibri" w:hAnsi="Calibri" w:cs="Calibri"/>
          <w:sz w:val="24"/>
          <w:szCs w:val="24"/>
        </w:rPr>
        <w:t>De las 9 asociaciones en el presente informe, 5 alcanzaron una ejecución alta de metas físicas. De estas, la Asociación Nacional de Vuelo Libre logró la mayor efectividad en el desempeño de las metas físicas y financieras al finalizar el año 2022.</w:t>
      </w:r>
    </w:p>
    <w:p w14:paraId="1591547C" w14:textId="12365783" w:rsidR="6B4CB047" w:rsidRDefault="206F3FAC" w:rsidP="002E2CD6">
      <w:pPr>
        <w:spacing w:after="120" w:line="240" w:lineRule="auto"/>
        <w:jc w:val="both"/>
      </w:pPr>
      <w:r w:rsidRPr="206F3FAC">
        <w:rPr>
          <w:rFonts w:ascii="Calibri" w:eastAsia="Calibri" w:hAnsi="Calibri" w:cs="Calibri"/>
          <w:sz w:val="24"/>
          <w:szCs w:val="24"/>
        </w:rPr>
        <w:t>Por su parte, 3 asociaciones alcanzaron una ejecución media de metas físicas, con un promedio de 67% de ejecución en el año. Mientras que, la asociación de Navegación a Vela, presentó baja ejecución física.</w:t>
      </w:r>
    </w:p>
    <w:p w14:paraId="652701D5" w14:textId="5282A0C0" w:rsidR="6B4CB047" w:rsidRDefault="206F3FAC" w:rsidP="002E2CD6">
      <w:pPr>
        <w:spacing w:after="120" w:line="240" w:lineRule="auto"/>
        <w:jc w:val="both"/>
        <w:rPr>
          <w:rFonts w:ascii="Calibri" w:eastAsia="Calibri" w:hAnsi="Calibri" w:cs="Calibri"/>
          <w:sz w:val="24"/>
          <w:szCs w:val="24"/>
        </w:rPr>
      </w:pPr>
      <w:r w:rsidRPr="206F3FAC">
        <w:rPr>
          <w:rFonts w:ascii="Calibri" w:eastAsia="Calibri" w:hAnsi="Calibri" w:cs="Calibri"/>
          <w:sz w:val="24"/>
          <w:szCs w:val="24"/>
        </w:rPr>
        <w:t>Las asociaciones de Squash y Paracaidismo Deportivo, no fueron incluidas en la tabla de resultados, debido a registros incompletos de modificaciones de metas físicas en Siplan, lo que provocó que el resultado de avance de meta fuera inexacto, superando el 100% de la meta programada, por lo que, no fue posible establecer con claridad el desempeño en la ejecución física.</w:t>
      </w:r>
    </w:p>
    <w:p w14:paraId="5E0CEAC2" w14:textId="529544DB" w:rsidR="6B4CB047" w:rsidRDefault="206F3FAC" w:rsidP="002E2CD6">
      <w:pPr>
        <w:spacing w:after="120" w:line="240" w:lineRule="auto"/>
        <w:jc w:val="both"/>
      </w:pPr>
      <w:r w:rsidRPr="206F3FAC">
        <w:rPr>
          <w:rFonts w:ascii="Calibri" w:eastAsia="Calibri" w:hAnsi="Calibri" w:cs="Calibri"/>
          <w:b/>
          <w:bCs/>
          <w:sz w:val="24"/>
          <w:szCs w:val="24"/>
        </w:rPr>
        <w:t>Principales productos con mayor avance de meta física</w:t>
      </w:r>
    </w:p>
    <w:p w14:paraId="2450832D" w14:textId="2BA0ED21" w:rsidR="6B4CB047" w:rsidRDefault="206F3FAC" w:rsidP="002E2CD6">
      <w:pPr>
        <w:spacing w:after="120" w:line="240" w:lineRule="auto"/>
        <w:jc w:val="both"/>
      </w:pPr>
      <w:r w:rsidRPr="206F3FAC">
        <w:rPr>
          <w:rFonts w:ascii="Calibri" w:eastAsia="Calibri" w:hAnsi="Calibri" w:cs="Calibri"/>
          <w:sz w:val="24"/>
          <w:szCs w:val="24"/>
        </w:rPr>
        <w:t>Algunas asociaciones reportaron los principales productos institucionales con el mayor avance de meta física al segundo cuatrimestre, los cuales se detallan a continuación</w:t>
      </w:r>
      <w:r w:rsidR="00965CB1" w:rsidRPr="00817DF7">
        <w:rPr>
          <w:rStyle w:val="Refdenotaalpie"/>
          <w:rFonts w:eastAsia="Candara" w:cstheme="minorHAnsi"/>
          <w:sz w:val="24"/>
          <w:szCs w:val="24"/>
          <w:lang w:eastAsia="es-GT"/>
        </w:rPr>
        <w:footnoteReference w:id="12"/>
      </w:r>
      <w:r w:rsidRPr="206F3FAC">
        <w:rPr>
          <w:rFonts w:ascii="Calibri" w:eastAsia="Calibri" w:hAnsi="Calibri" w:cs="Calibri"/>
          <w:sz w:val="24"/>
          <w:szCs w:val="24"/>
        </w:rPr>
        <w:t>.</w:t>
      </w:r>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1695"/>
        <w:gridCol w:w="7635"/>
      </w:tblGrid>
      <w:tr w:rsidR="206F3FAC" w:rsidRPr="00965CB1" w14:paraId="2A5EDAE7" w14:textId="77777777" w:rsidTr="002E2CD6">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9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2F5DACCD" w14:textId="62F3BD35" w:rsidR="206F3FAC" w:rsidRPr="00965CB1" w:rsidRDefault="206F3FAC" w:rsidP="206F3FAC">
            <w:pPr>
              <w:spacing w:line="254" w:lineRule="auto"/>
              <w:jc w:val="center"/>
              <w:rPr>
                <w:rFonts w:asciiTheme="minorHAnsi" w:hAnsiTheme="minorHAnsi" w:cstheme="minorHAnsi"/>
                <w:sz w:val="22"/>
                <w:szCs w:val="22"/>
              </w:rPr>
            </w:pPr>
            <w:r w:rsidRPr="00965CB1">
              <w:rPr>
                <w:rFonts w:asciiTheme="minorHAnsi" w:hAnsiTheme="minorHAnsi" w:cstheme="minorHAnsi"/>
                <w:color w:val="000000" w:themeColor="text1"/>
                <w:sz w:val="22"/>
                <w:szCs w:val="22"/>
                <w:lang w:val="es"/>
              </w:rPr>
              <w:t>Institución</w:t>
            </w:r>
          </w:p>
        </w:tc>
        <w:tc>
          <w:tcPr>
            <w:tcW w:w="763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5944F59" w14:textId="07F0BF7F" w:rsidR="206F3FAC" w:rsidRPr="00965CB1" w:rsidRDefault="206F3FAC" w:rsidP="206F3FAC">
            <w:pPr>
              <w:spacing w:line="25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65CB1">
              <w:rPr>
                <w:rFonts w:asciiTheme="minorHAnsi" w:hAnsiTheme="minorHAnsi" w:cstheme="minorHAnsi"/>
                <w:color w:val="000000" w:themeColor="text1"/>
                <w:sz w:val="22"/>
                <w:szCs w:val="22"/>
                <w:lang w:val="es"/>
              </w:rPr>
              <w:t>Producción institucional (productos/subproductos)</w:t>
            </w:r>
          </w:p>
        </w:tc>
      </w:tr>
      <w:tr w:rsidR="206F3FAC" w:rsidRPr="00965CB1" w14:paraId="474E74F2" w14:textId="77777777" w:rsidTr="002E2CD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95" w:type="dxa"/>
            <w:tcMar>
              <w:left w:w="108" w:type="dxa"/>
              <w:right w:w="108" w:type="dxa"/>
            </w:tcMar>
            <w:vAlign w:val="center"/>
          </w:tcPr>
          <w:p w14:paraId="2CD6E84A" w14:textId="617D22C0" w:rsidR="206F3FAC" w:rsidRPr="00965CB1" w:rsidRDefault="206F3FAC" w:rsidP="206F3FAC">
            <w:pPr>
              <w:spacing w:line="254" w:lineRule="auto"/>
              <w:rPr>
                <w:rFonts w:asciiTheme="minorHAnsi" w:hAnsiTheme="minorHAnsi" w:cstheme="minorHAnsi"/>
                <w:b w:val="0"/>
                <w:sz w:val="22"/>
                <w:szCs w:val="22"/>
              </w:rPr>
            </w:pPr>
            <w:r w:rsidRPr="00965CB1">
              <w:rPr>
                <w:rFonts w:asciiTheme="minorHAnsi" w:hAnsiTheme="minorHAnsi" w:cstheme="minorHAnsi"/>
                <w:b w:val="0"/>
                <w:sz w:val="22"/>
                <w:szCs w:val="22"/>
                <w:lang w:val="es"/>
              </w:rPr>
              <w:t>Asociación Nacional de Tiro con Arco</w:t>
            </w:r>
          </w:p>
        </w:tc>
        <w:tc>
          <w:tcPr>
            <w:tcW w:w="7635" w:type="dxa"/>
            <w:tcMar>
              <w:left w:w="108" w:type="dxa"/>
              <w:right w:w="108" w:type="dxa"/>
            </w:tcMar>
          </w:tcPr>
          <w:p w14:paraId="46D9D320" w14:textId="6B585DDF" w:rsidR="206F3FAC" w:rsidRPr="00965CB1" w:rsidRDefault="206F3FAC" w:rsidP="00965CB1">
            <w:pPr>
              <w:pStyle w:val="Prrafodelista"/>
              <w:numPr>
                <w:ilvl w:val="0"/>
                <w:numId w:val="1"/>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65CB1">
              <w:rPr>
                <w:rFonts w:asciiTheme="minorHAnsi" w:hAnsiTheme="minorHAnsi" w:cstheme="minorHAnsi"/>
                <w:sz w:val="22"/>
                <w:szCs w:val="22"/>
                <w:lang w:val="es"/>
              </w:rPr>
              <w:t>Generar mayor cantidad de atletas para la Asociación de Tiro con Arco con el fin de contar con un semillero potencial al deporte y permitir mayor acceso al deporte: 50 atletas, con 100% de avance físico.</w:t>
            </w:r>
          </w:p>
          <w:p w14:paraId="53E2F482" w14:textId="2153B611" w:rsidR="206F3FAC" w:rsidRPr="00965CB1" w:rsidRDefault="206F3FAC" w:rsidP="00965CB1">
            <w:pPr>
              <w:pStyle w:val="Prrafodelista"/>
              <w:numPr>
                <w:ilvl w:val="0"/>
                <w:numId w:val="1"/>
              </w:numPr>
              <w:spacing w:before="120" w:after="120"/>
              <w:ind w:left="714" w:hanging="357"/>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
              </w:rPr>
            </w:pPr>
            <w:r w:rsidRPr="00965CB1">
              <w:rPr>
                <w:rFonts w:asciiTheme="minorHAnsi" w:hAnsiTheme="minorHAnsi" w:cstheme="minorHAnsi"/>
                <w:sz w:val="22"/>
                <w:szCs w:val="22"/>
                <w:lang w:val="es"/>
              </w:rPr>
              <w:t>Especializar a los atletas en cuanto a la práctica del tiro con arco para que en el 2026 se tengan a dos atletas ubicados entre los mejores 60 tiradores de arco a nivel mundial, 35 atletas, con 100% de avance físico.</w:t>
            </w:r>
          </w:p>
        </w:tc>
      </w:tr>
      <w:tr w:rsidR="206F3FAC" w:rsidRPr="00965CB1" w14:paraId="07D058D6" w14:textId="77777777" w:rsidTr="002E2CD6">
        <w:trPr>
          <w:trHeight w:val="270"/>
        </w:trPr>
        <w:tc>
          <w:tcPr>
            <w:cnfStyle w:val="001000000000" w:firstRow="0" w:lastRow="0" w:firstColumn="1" w:lastColumn="0" w:oddVBand="0" w:evenVBand="0" w:oddHBand="0" w:evenHBand="0" w:firstRowFirstColumn="0" w:firstRowLastColumn="0" w:lastRowFirstColumn="0" w:lastRowLastColumn="0"/>
            <w:tcW w:w="1695" w:type="dxa"/>
            <w:tcMar>
              <w:left w:w="108" w:type="dxa"/>
              <w:right w:w="108" w:type="dxa"/>
            </w:tcMar>
            <w:vAlign w:val="center"/>
          </w:tcPr>
          <w:p w14:paraId="46BC70BF" w14:textId="776A383F" w:rsidR="206F3FAC" w:rsidRPr="00965CB1" w:rsidRDefault="206F3FAC" w:rsidP="206F3FAC">
            <w:pPr>
              <w:spacing w:line="254" w:lineRule="auto"/>
              <w:rPr>
                <w:rFonts w:asciiTheme="minorHAnsi" w:hAnsiTheme="minorHAnsi" w:cstheme="minorHAnsi"/>
                <w:b w:val="0"/>
                <w:sz w:val="22"/>
                <w:szCs w:val="22"/>
              </w:rPr>
            </w:pPr>
            <w:r w:rsidRPr="00965CB1">
              <w:rPr>
                <w:rFonts w:asciiTheme="minorHAnsi" w:hAnsiTheme="minorHAnsi" w:cstheme="minorHAnsi"/>
                <w:b w:val="0"/>
                <w:sz w:val="22"/>
                <w:szCs w:val="22"/>
                <w:lang w:val="es"/>
              </w:rPr>
              <w:t>Asociación Nacional de Rugby</w:t>
            </w:r>
          </w:p>
        </w:tc>
        <w:tc>
          <w:tcPr>
            <w:tcW w:w="7635" w:type="dxa"/>
            <w:tcMar>
              <w:left w:w="108" w:type="dxa"/>
              <w:right w:w="108" w:type="dxa"/>
            </w:tcMar>
          </w:tcPr>
          <w:p w14:paraId="06947FEB" w14:textId="4712C1B8" w:rsidR="206F3FAC" w:rsidRPr="00965CB1" w:rsidRDefault="206F3FAC" w:rsidP="00965CB1">
            <w:pPr>
              <w:pStyle w:val="Prrafodelista"/>
              <w:numPr>
                <w:ilvl w:val="0"/>
                <w:numId w:val="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65CB1">
              <w:rPr>
                <w:rFonts w:asciiTheme="minorHAnsi" w:hAnsiTheme="minorHAnsi" w:cstheme="minorHAnsi"/>
                <w:sz w:val="22"/>
                <w:szCs w:val="22"/>
                <w:lang w:val="es"/>
              </w:rPr>
              <w:t>Deportistas beneficiados con los programas de apoyo: 12 atletas, con 67% de avance físico.</w:t>
            </w:r>
          </w:p>
          <w:p w14:paraId="54606DA2" w14:textId="210896AA" w:rsidR="206F3FAC" w:rsidRPr="00965CB1" w:rsidRDefault="206F3FAC" w:rsidP="00965CB1">
            <w:pPr>
              <w:pStyle w:val="Prrafodelista"/>
              <w:numPr>
                <w:ilvl w:val="0"/>
                <w:numId w:val="1"/>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
              </w:rPr>
            </w:pPr>
            <w:r w:rsidRPr="00965CB1">
              <w:rPr>
                <w:rFonts w:asciiTheme="minorHAnsi" w:hAnsiTheme="minorHAnsi" w:cstheme="minorHAnsi"/>
                <w:sz w:val="22"/>
                <w:szCs w:val="22"/>
                <w:lang w:val="es"/>
              </w:rPr>
              <w:t>Cantidad de deportistas beneficiados con participación competitiva internacional: 25 atletas, con 63% de avance físico.</w:t>
            </w:r>
          </w:p>
        </w:tc>
      </w:tr>
    </w:tbl>
    <w:p w14:paraId="1917B18B" w14:textId="4E7DEFEA" w:rsidR="6B4CB047" w:rsidRDefault="1041AE5A" w:rsidP="002E2CD6">
      <w:pPr>
        <w:spacing w:after="120" w:line="240" w:lineRule="auto"/>
        <w:jc w:val="both"/>
      </w:pPr>
      <w:r w:rsidRPr="1041AE5A">
        <w:rPr>
          <w:rFonts w:ascii="Calibri" w:eastAsia="Calibri" w:hAnsi="Calibri" w:cs="Calibri"/>
          <w:b/>
          <w:bCs/>
          <w:sz w:val="24"/>
          <w:szCs w:val="24"/>
        </w:rPr>
        <w:t>Ejecución financiera</w:t>
      </w:r>
    </w:p>
    <w:p w14:paraId="73C4C0DC" w14:textId="4E7DEFEA" w:rsidR="6B4CB047" w:rsidRDefault="1041AE5A" w:rsidP="002E2CD6">
      <w:pPr>
        <w:spacing w:after="120" w:line="240" w:lineRule="auto"/>
        <w:jc w:val="both"/>
      </w:pPr>
      <w:r w:rsidRPr="1041AE5A">
        <w:rPr>
          <w:rFonts w:ascii="Calibri" w:eastAsia="Calibri" w:hAnsi="Calibri" w:cs="Calibri"/>
          <w:sz w:val="24"/>
          <w:szCs w:val="24"/>
        </w:rPr>
        <w:t>Únicamente la Asociación de Vuelo Libre alcanzó una ejecución alta de meta financiera, logrando la mayor efectividad en el cumplimiento de metas físicas y financieras.</w:t>
      </w:r>
    </w:p>
    <w:p w14:paraId="21F12D8E" w14:textId="4E7DEFEA" w:rsidR="6B4CB047" w:rsidRDefault="1041AE5A" w:rsidP="002E2CD6">
      <w:pPr>
        <w:spacing w:after="120" w:line="240" w:lineRule="auto"/>
        <w:jc w:val="both"/>
      </w:pPr>
      <w:r w:rsidRPr="1041AE5A">
        <w:rPr>
          <w:rFonts w:ascii="Calibri" w:eastAsia="Calibri" w:hAnsi="Calibri" w:cs="Calibri"/>
          <w:sz w:val="24"/>
          <w:szCs w:val="24"/>
        </w:rPr>
        <w:t>De las 9 asociaciones, cuatro presentaron una ejecución baja de meta financiera, de las cuales, la Asociación de Ráquetbol, por no contar con registros de meta anual financiera, no fue posible establecer el porcentaje de avance.</w:t>
      </w:r>
    </w:p>
    <w:p w14:paraId="4E3AE8D5" w14:textId="4E7DEFEA" w:rsidR="6B4CB047" w:rsidRDefault="1041AE5A" w:rsidP="00E31540">
      <w:pPr>
        <w:spacing w:before="120" w:after="120" w:line="240" w:lineRule="auto"/>
        <w:jc w:val="both"/>
      </w:pPr>
      <w:r w:rsidRPr="1041AE5A">
        <w:rPr>
          <w:rFonts w:ascii="Calibri" w:eastAsia="Calibri" w:hAnsi="Calibri" w:cs="Calibri"/>
          <w:sz w:val="24"/>
          <w:szCs w:val="24"/>
        </w:rPr>
        <w:t>La asociación de Squash, no fue incluida en la tabla de resultados, debido a registros incompletos de modificaciones de metas financieras en Siplan, lo que provocó que el resultado de avance de meta fuera inexacto, superando el 100% de la meta programada, por lo que, no fue posible establecer con claridad el desempeño en la ejecución financiera.</w:t>
      </w:r>
    </w:p>
    <w:p w14:paraId="380EB258" w14:textId="60FD1F57" w:rsidR="6B4CB047" w:rsidRPr="00D40E91" w:rsidRDefault="6B4CB047" w:rsidP="00D40E91">
      <w:pPr>
        <w:pStyle w:val="ttulosgrficas"/>
        <w:rPr>
          <w:rFonts w:asciiTheme="minorHAnsi" w:hAnsiTheme="minorHAnsi" w:cstheme="minorHAnsi"/>
        </w:rPr>
      </w:pPr>
      <w:r>
        <w:br/>
      </w:r>
      <w:bookmarkStart w:id="56" w:name="_Toc130204475"/>
      <w:r w:rsidR="00965CB1" w:rsidRPr="00D40E91">
        <w:rPr>
          <w:rFonts w:asciiTheme="minorHAnsi" w:hAnsiTheme="minorHAnsi" w:cstheme="minorHAnsi"/>
          <w:color w:val="4472C4" w:themeColor="accent1"/>
          <w:lang w:val="es"/>
        </w:rPr>
        <w:t xml:space="preserve">Gráfica </w:t>
      </w:r>
      <w:r w:rsidR="002C6654" w:rsidRPr="00D40E91">
        <w:rPr>
          <w:rFonts w:asciiTheme="minorHAnsi" w:hAnsiTheme="minorHAnsi" w:cstheme="minorHAnsi"/>
          <w:color w:val="4472C4" w:themeColor="accent1"/>
          <w:lang w:val="es"/>
        </w:rPr>
        <w:fldChar w:fldCharType="begin"/>
      </w:r>
      <w:r w:rsidR="002C6654" w:rsidRPr="00D40E91">
        <w:rPr>
          <w:rFonts w:asciiTheme="minorHAnsi" w:hAnsiTheme="minorHAnsi" w:cstheme="minorHAnsi"/>
          <w:color w:val="4472C4" w:themeColor="accent1"/>
          <w:lang w:val="es"/>
        </w:rPr>
        <w:instrText xml:space="preserve"> SEQ Gráfica \* ARABIC </w:instrText>
      </w:r>
      <w:r w:rsidR="002C6654" w:rsidRPr="00D40E91">
        <w:rPr>
          <w:rFonts w:asciiTheme="minorHAnsi" w:hAnsiTheme="minorHAnsi" w:cstheme="minorHAnsi"/>
          <w:color w:val="4472C4" w:themeColor="accent1"/>
          <w:lang w:val="es"/>
        </w:rPr>
        <w:fldChar w:fldCharType="separate"/>
      </w:r>
      <w:r w:rsidR="00777974">
        <w:rPr>
          <w:rFonts w:asciiTheme="minorHAnsi" w:hAnsiTheme="minorHAnsi" w:cstheme="minorHAnsi"/>
          <w:noProof/>
          <w:color w:val="4472C4" w:themeColor="accent1"/>
          <w:lang w:val="es"/>
        </w:rPr>
        <w:t>7</w:t>
      </w:r>
      <w:r w:rsidR="002C6654" w:rsidRPr="00D40E91">
        <w:rPr>
          <w:rFonts w:asciiTheme="minorHAnsi" w:hAnsiTheme="minorHAnsi" w:cstheme="minorHAnsi"/>
          <w:color w:val="4472C4" w:themeColor="accent1"/>
          <w:lang w:val="es"/>
        </w:rPr>
        <w:fldChar w:fldCharType="end"/>
      </w:r>
      <w:r w:rsidR="00965CB1" w:rsidRPr="00D40E91">
        <w:rPr>
          <w:rFonts w:asciiTheme="minorHAnsi" w:hAnsiTheme="minorHAnsi" w:cstheme="minorHAnsi"/>
          <w:color w:val="4472C4" w:themeColor="accent1"/>
          <w:lang w:val="es"/>
        </w:rPr>
        <w:t>. Comparativo de ejecución física y financiera. Asociaciones Deportivas</w:t>
      </w:r>
      <w:bookmarkEnd w:id="56"/>
    </w:p>
    <w:p w14:paraId="1EA7C3A6" w14:textId="439F0BCB" w:rsidR="00965CB1" w:rsidRDefault="00A1449F" w:rsidP="1041AE5A">
      <w:pPr>
        <w:spacing w:line="257" w:lineRule="auto"/>
        <w:rPr>
          <w:rFonts w:ascii="Calibri" w:eastAsia="Calibri" w:hAnsi="Calibri" w:cs="Calibri"/>
          <w:sz w:val="16"/>
          <w:szCs w:val="16"/>
        </w:rPr>
      </w:pPr>
      <w:r>
        <w:rPr>
          <w:noProof/>
        </w:rPr>
        <w:drawing>
          <wp:anchor distT="0" distB="0" distL="114300" distR="114300" simplePos="0" relativeHeight="251741696" behindDoc="0" locked="0" layoutInCell="1" allowOverlap="1" wp14:anchorId="47944615" wp14:editId="6E9EE5E9">
            <wp:simplePos x="0" y="0"/>
            <wp:positionH relativeFrom="margin">
              <wp:posOffset>374650</wp:posOffset>
            </wp:positionH>
            <wp:positionV relativeFrom="paragraph">
              <wp:posOffset>70485</wp:posOffset>
            </wp:positionV>
            <wp:extent cx="5287010" cy="2178050"/>
            <wp:effectExtent l="0" t="0" r="8890" b="12700"/>
            <wp:wrapSquare wrapText="bothSides"/>
            <wp:docPr id="53" name="Gráfico 53">
              <a:extLst xmlns:a="http://schemas.openxmlformats.org/drawingml/2006/main">
                <a:ext uri="{FF2B5EF4-FFF2-40B4-BE49-F238E27FC236}">
                  <a16:creationId xmlns:a16="http://schemas.microsoft.com/office/drawing/2014/main" id="{7B702DBB-CD2C-4A10-AD3B-71BC15B51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0C430BD0" w14:textId="60E70238" w:rsidR="6B4CB047" w:rsidRDefault="00A1449F" w:rsidP="1041AE5A">
      <w:pPr>
        <w:spacing w:line="257" w:lineRule="auto"/>
        <w:rPr>
          <w:rFonts w:ascii="Calibri" w:eastAsia="Calibri" w:hAnsi="Calibri" w:cs="Calibri"/>
          <w:b/>
          <w:bCs/>
          <w:color w:val="1F3864" w:themeColor="accent1" w:themeShade="80"/>
          <w:sz w:val="28"/>
          <w:szCs w:val="28"/>
        </w:rPr>
      </w:pPr>
      <w:r>
        <w:rPr>
          <w:rFonts w:ascii="Calibri" w:eastAsia="Calibri" w:hAnsi="Calibri" w:cs="Calibri"/>
          <w:sz w:val="16"/>
          <w:szCs w:val="16"/>
        </w:rPr>
        <w:tab/>
      </w:r>
      <w:r w:rsidR="1041AE5A" w:rsidRPr="1041AE5A">
        <w:rPr>
          <w:rFonts w:ascii="Calibri" w:eastAsia="Calibri" w:hAnsi="Calibri" w:cs="Calibri"/>
          <w:sz w:val="16"/>
          <w:szCs w:val="16"/>
        </w:rPr>
        <w:t>Fuente: Con base a registros de Siplan. Segeplan. Año 2022.</w:t>
      </w:r>
    </w:p>
    <w:p w14:paraId="11929903" w14:textId="1F77BE48" w:rsidR="6B4CB047" w:rsidRDefault="1041AE5A" w:rsidP="002E2CD6">
      <w:pPr>
        <w:spacing w:after="120" w:line="240" w:lineRule="auto"/>
        <w:jc w:val="both"/>
      </w:pPr>
      <w:r w:rsidRPr="1041AE5A">
        <w:rPr>
          <w:rFonts w:ascii="Calibri" w:eastAsia="Calibri" w:hAnsi="Calibri" w:cs="Calibri"/>
          <w:sz w:val="24"/>
          <w:szCs w:val="24"/>
        </w:rPr>
        <w:t>Excepto la Asociación Nacional de Vuelo Libre, que muestra la mayor efectividad en el desempeño de las metas físicas y financieras, el resto de las asociaciones incluidas en el informe, evidencia una media y baja ejecución financiera.</w:t>
      </w:r>
    </w:p>
    <w:p w14:paraId="3EECF621" w14:textId="194D11D0" w:rsidR="34D87270" w:rsidRDefault="34D87270" w:rsidP="34D87270"/>
    <w:p w14:paraId="3CB10884" w14:textId="483DFC93" w:rsidR="00A1449F" w:rsidRDefault="00A1449F" w:rsidP="34D87270"/>
    <w:p w14:paraId="0D0F5CB0" w14:textId="216371C7" w:rsidR="005143E4" w:rsidRDefault="005143E4" w:rsidP="34D87270"/>
    <w:p w14:paraId="7F10AEB7" w14:textId="3E0B9100" w:rsidR="005143E4" w:rsidRDefault="005143E4" w:rsidP="34D87270"/>
    <w:p w14:paraId="5CC683D7" w14:textId="46BCBCF3" w:rsidR="005143E4" w:rsidRDefault="005143E4" w:rsidP="34D87270"/>
    <w:p w14:paraId="51A99B0E" w14:textId="72AE4DB0" w:rsidR="005143E4" w:rsidRDefault="005143E4" w:rsidP="34D87270"/>
    <w:p w14:paraId="23E73E78" w14:textId="795439DD" w:rsidR="005143E4" w:rsidRDefault="005143E4" w:rsidP="34D87270"/>
    <w:p w14:paraId="2F3CBCEF" w14:textId="77777777" w:rsidR="005143E4" w:rsidRDefault="005143E4" w:rsidP="34D87270"/>
    <w:p w14:paraId="689DF12C" w14:textId="7D4CA9CE" w:rsidR="00A1449F" w:rsidRDefault="00A1449F" w:rsidP="34D87270"/>
    <w:p w14:paraId="79E063A8" w14:textId="7DF1CEEC" w:rsidR="00BA17A3" w:rsidRPr="002C6654" w:rsidRDefault="72A5A7BC" w:rsidP="00644EA2">
      <w:pPr>
        <w:pStyle w:val="Ttulo1"/>
        <w:numPr>
          <w:ilvl w:val="0"/>
          <w:numId w:val="105"/>
        </w:numPr>
        <w:spacing w:after="120"/>
        <w:jc w:val="both"/>
        <w:rPr>
          <w:rFonts w:asciiTheme="minorHAnsi" w:hAnsiTheme="minorHAnsi" w:cstheme="minorHAnsi"/>
        </w:rPr>
      </w:pPr>
      <w:bookmarkStart w:id="57" w:name="_Toc130301108"/>
      <w:bookmarkEnd w:id="43"/>
      <w:bookmarkEnd w:id="44"/>
      <w:bookmarkEnd w:id="45"/>
      <w:bookmarkEnd w:id="46"/>
      <w:r w:rsidRPr="002C6654">
        <w:rPr>
          <w:rFonts w:asciiTheme="minorHAnsi" w:hAnsiTheme="minorHAnsi" w:cstheme="minorHAnsi"/>
        </w:rPr>
        <w:t xml:space="preserve">Avance de metas y cumplimiento de la calidad del gasto de </w:t>
      </w:r>
      <w:r w:rsidR="002C6654">
        <w:rPr>
          <w:rFonts w:asciiTheme="minorHAnsi" w:hAnsiTheme="minorHAnsi" w:cstheme="minorHAnsi"/>
        </w:rPr>
        <w:t>las Municipalidades</w:t>
      </w:r>
      <w:bookmarkEnd w:id="57"/>
    </w:p>
    <w:p w14:paraId="46AB11F1" w14:textId="2421EE7F" w:rsidR="01D9CEE3" w:rsidRDefault="01D9CEE3" w:rsidP="002C6654">
      <w:pPr>
        <w:spacing w:after="120" w:line="240" w:lineRule="auto"/>
        <w:jc w:val="both"/>
      </w:pPr>
      <w:r w:rsidRPr="01D9CEE3">
        <w:rPr>
          <w:rFonts w:ascii="Calibri" w:eastAsia="Calibri" w:hAnsi="Calibri" w:cs="Calibri"/>
          <w:sz w:val="24"/>
          <w:szCs w:val="24"/>
          <w:lang w:val="es-ES"/>
        </w:rPr>
        <w:t>Como parte importante del análisis de la gestión pública, se presenta el uso de los recursos por parte de las municipalidades; en lo relativo a la entrega de bienes y servicios, avance de y/o cumplimiento de las intervenciones.</w:t>
      </w:r>
    </w:p>
    <w:p w14:paraId="4616522F" w14:textId="69420A26" w:rsidR="01D9CEE3" w:rsidRDefault="01D9CEE3" w:rsidP="002E2CD6">
      <w:pPr>
        <w:spacing w:after="120" w:line="240" w:lineRule="auto"/>
        <w:jc w:val="both"/>
      </w:pPr>
      <w:r w:rsidRPr="01D9CEE3">
        <w:rPr>
          <w:rFonts w:ascii="Calibri" w:eastAsia="Calibri" w:hAnsi="Calibri" w:cs="Calibri"/>
          <w:sz w:val="24"/>
          <w:szCs w:val="24"/>
          <w:lang w:val="es-ES"/>
        </w:rPr>
        <w:t>Desde su mandato SEGEPLAN ha generado capacidades en las municipalidades, otorgando asistencia técnica y acompañamiento en lo referente a la Planificación Estratégica, Operativa Multianual y Anual. Ese esfuerzo, ha facilitado el ingreso de la planificación y avance de la ejecución en el Sistemas de Planes para Gobiernos Locales -Siplangl-, herramienta de la cual se toman los datos que se presentan a continuación.</w:t>
      </w:r>
    </w:p>
    <w:p w14:paraId="225AEBC1" w14:textId="1214A6B7" w:rsidR="01D9CEE3" w:rsidRDefault="01D9CEE3" w:rsidP="002E2CD6">
      <w:pPr>
        <w:spacing w:after="120" w:line="240" w:lineRule="auto"/>
        <w:jc w:val="both"/>
      </w:pPr>
      <w:r w:rsidRPr="01D9CEE3">
        <w:rPr>
          <w:rFonts w:ascii="Calibri" w:eastAsia="Calibri" w:hAnsi="Calibri" w:cs="Calibri"/>
          <w:sz w:val="24"/>
          <w:szCs w:val="24"/>
          <w:lang w:val="es-ES"/>
        </w:rPr>
        <w:t>De los 340 municipios del país, 335 (98%) cargaron información a Siplangl, de los cuales 305 entregaron el oficio a las diferentes delegaciones como constancia de haber actualizado el registro de avance del III informe cuatrimestral correspondiente al año 2022.</w:t>
      </w:r>
    </w:p>
    <w:p w14:paraId="42171398" w14:textId="7652AE26" w:rsidR="01D9CEE3" w:rsidRDefault="01D9CEE3" w:rsidP="002E2CD6">
      <w:pPr>
        <w:spacing w:after="120" w:line="240" w:lineRule="auto"/>
        <w:jc w:val="both"/>
      </w:pPr>
      <w:r w:rsidRPr="01D9CEE3">
        <w:rPr>
          <w:rFonts w:ascii="Calibri" w:eastAsia="Calibri" w:hAnsi="Calibri" w:cs="Calibri"/>
          <w:sz w:val="24"/>
          <w:szCs w:val="24"/>
          <w:lang w:val="es-ES"/>
        </w:rPr>
        <w:t xml:space="preserve">De la información cargada, se observa a nivel nacional que las municipalidades presentaron 14,564 intervenciones; de </w:t>
      </w:r>
      <w:r w:rsidR="00C8352D">
        <w:rPr>
          <w:rFonts w:ascii="Calibri" w:eastAsia="Calibri" w:hAnsi="Calibri" w:cs="Calibri"/>
          <w:sz w:val="24"/>
          <w:szCs w:val="24"/>
          <w:lang w:val="es-ES"/>
        </w:rPr>
        <w:t>esas</w:t>
      </w:r>
      <w:r w:rsidRPr="01D9CEE3">
        <w:rPr>
          <w:rFonts w:ascii="Calibri" w:eastAsia="Calibri" w:hAnsi="Calibri" w:cs="Calibri"/>
          <w:sz w:val="24"/>
          <w:szCs w:val="24"/>
          <w:lang w:val="es-ES"/>
        </w:rPr>
        <w:t xml:space="preserve"> 13,559 cuentan con código SNIP. Así mismo 6,207 (43%) </w:t>
      </w:r>
      <w:r w:rsidR="00C8352D">
        <w:rPr>
          <w:rFonts w:ascii="Calibri" w:eastAsia="Calibri" w:hAnsi="Calibri" w:cs="Calibri"/>
          <w:sz w:val="24"/>
          <w:szCs w:val="24"/>
          <w:lang w:val="es-ES"/>
        </w:rPr>
        <w:t>correspondieron a</w:t>
      </w:r>
      <w:r w:rsidR="00C8352D" w:rsidRPr="01D9CEE3">
        <w:rPr>
          <w:rFonts w:ascii="Calibri" w:eastAsia="Calibri" w:hAnsi="Calibri" w:cs="Calibri"/>
          <w:sz w:val="24"/>
          <w:szCs w:val="24"/>
          <w:lang w:val="es-ES"/>
        </w:rPr>
        <w:t xml:space="preserve"> </w:t>
      </w:r>
      <w:r w:rsidR="00C8352D">
        <w:rPr>
          <w:rFonts w:ascii="Calibri" w:eastAsia="Calibri" w:hAnsi="Calibri" w:cs="Calibri"/>
          <w:sz w:val="24"/>
          <w:szCs w:val="24"/>
          <w:lang w:val="es-ES"/>
        </w:rPr>
        <w:t xml:space="preserve">las </w:t>
      </w:r>
      <w:r w:rsidRPr="01D9CEE3">
        <w:rPr>
          <w:rFonts w:ascii="Calibri" w:eastAsia="Calibri" w:hAnsi="Calibri" w:cs="Calibri"/>
          <w:sz w:val="24"/>
          <w:szCs w:val="24"/>
          <w:lang w:val="es-ES"/>
        </w:rPr>
        <w:t>competencia</w:t>
      </w:r>
      <w:r w:rsidR="00C8352D">
        <w:rPr>
          <w:rFonts w:ascii="Calibri" w:eastAsia="Calibri" w:hAnsi="Calibri" w:cs="Calibri"/>
          <w:sz w:val="24"/>
          <w:szCs w:val="24"/>
          <w:lang w:val="es-ES"/>
        </w:rPr>
        <w:t>s</w:t>
      </w:r>
      <w:r w:rsidRPr="01D9CEE3">
        <w:rPr>
          <w:rFonts w:ascii="Calibri" w:eastAsia="Calibri" w:hAnsi="Calibri" w:cs="Calibri"/>
          <w:sz w:val="24"/>
          <w:szCs w:val="24"/>
          <w:lang w:val="es-ES"/>
        </w:rPr>
        <w:t xml:space="preserve"> propia</w:t>
      </w:r>
      <w:r w:rsidR="00C8352D">
        <w:rPr>
          <w:rFonts w:ascii="Calibri" w:eastAsia="Calibri" w:hAnsi="Calibri" w:cs="Calibri"/>
          <w:sz w:val="24"/>
          <w:szCs w:val="24"/>
          <w:lang w:val="es-ES"/>
        </w:rPr>
        <w:t>s</w:t>
      </w:r>
      <w:r w:rsidRPr="01D9CEE3">
        <w:rPr>
          <w:rFonts w:ascii="Calibri" w:eastAsia="Calibri" w:hAnsi="Calibri" w:cs="Calibri"/>
          <w:sz w:val="24"/>
          <w:szCs w:val="24"/>
          <w:lang w:val="es-ES"/>
        </w:rPr>
        <w:t xml:space="preserve"> y 8,357 (57%) </w:t>
      </w:r>
      <w:r w:rsidR="00C8352D">
        <w:rPr>
          <w:rFonts w:ascii="Calibri" w:eastAsia="Calibri" w:hAnsi="Calibri" w:cs="Calibri"/>
          <w:sz w:val="24"/>
          <w:szCs w:val="24"/>
          <w:lang w:val="es-ES"/>
        </w:rPr>
        <w:t>correspondieron a</w:t>
      </w:r>
      <w:r w:rsidRPr="01D9CEE3">
        <w:rPr>
          <w:rFonts w:ascii="Calibri" w:eastAsia="Calibri" w:hAnsi="Calibri" w:cs="Calibri"/>
          <w:sz w:val="24"/>
          <w:szCs w:val="24"/>
          <w:lang w:val="es-ES"/>
        </w:rPr>
        <w:t xml:space="preserve"> competencia delegada.</w:t>
      </w:r>
    </w:p>
    <w:p w14:paraId="75257B31" w14:textId="0E4C478C" w:rsidR="01D9CEE3" w:rsidRDefault="01D9CEE3" w:rsidP="002E2CD6">
      <w:pPr>
        <w:spacing w:after="120" w:line="240" w:lineRule="auto"/>
        <w:jc w:val="both"/>
      </w:pPr>
      <w:r w:rsidRPr="01D9CEE3">
        <w:rPr>
          <w:rFonts w:ascii="Calibri" w:eastAsia="Calibri" w:hAnsi="Calibri" w:cs="Calibri"/>
          <w:sz w:val="24"/>
          <w:szCs w:val="24"/>
          <w:lang w:val="es-ES"/>
        </w:rPr>
        <w:t>Siempre con las intervenciones, 12,315 corresponden a las demandas ciudadanas provenientes de los Planes de Desarrollo Municipal.</w:t>
      </w:r>
    </w:p>
    <w:p w14:paraId="45B7D83A" w14:textId="48D884EB" w:rsidR="01D9CEE3" w:rsidRDefault="01D9CEE3" w:rsidP="002E2CD6">
      <w:pPr>
        <w:spacing w:after="120" w:line="240" w:lineRule="auto"/>
        <w:jc w:val="both"/>
      </w:pPr>
      <w:r w:rsidRPr="01D9CEE3">
        <w:rPr>
          <w:rFonts w:ascii="Calibri" w:eastAsia="Calibri" w:hAnsi="Calibri" w:cs="Calibri"/>
          <w:sz w:val="24"/>
          <w:szCs w:val="24"/>
          <w:lang w:val="es-ES"/>
        </w:rPr>
        <w:t>Es importante mencionar que las municipalidades han alineado sus intervenciones al Plan Nacional de Desarrollo, K’atun Nuestra Guatemala 2032, de la siguiente manera: Guatemala Urbana y Rural 2,553 intervenciones (19%), Bienestar para la Gente 7,102 intervenciones (52%), Riqueza para Todos y Todas 254 intervenciones (2%), Recursos Naturales para hoy y para el Futuro 3,402 intervenciones (25%) y Estado Garante de los Derechos Humanos y Conductor del Desarrollo 1,253 intervenciones (9%).</w:t>
      </w:r>
    </w:p>
    <w:p w14:paraId="2AD76286" w14:textId="21D4C389" w:rsidR="6F0158C6" w:rsidRDefault="00937739" w:rsidP="00C8352D">
      <w:pPr>
        <w:spacing w:line="254" w:lineRule="auto"/>
        <w:jc w:val="both"/>
        <w:rPr>
          <w:rFonts w:ascii="Calibri" w:eastAsia="Calibri" w:hAnsi="Calibri" w:cs="Calibri"/>
          <w:sz w:val="24"/>
          <w:szCs w:val="24"/>
          <w:lang w:val="es-ES"/>
        </w:rPr>
      </w:pPr>
      <w:r>
        <w:rPr>
          <w:noProof/>
          <w:sz w:val="24"/>
        </w:rPr>
        <mc:AlternateContent>
          <mc:Choice Requires="wpg">
            <w:drawing>
              <wp:anchor distT="0" distB="0" distL="114300" distR="114300" simplePos="0" relativeHeight="251674112" behindDoc="1" locked="0" layoutInCell="1" allowOverlap="1" wp14:anchorId="35B40445" wp14:editId="447AB3B1">
                <wp:simplePos x="0" y="0"/>
                <wp:positionH relativeFrom="column">
                  <wp:posOffset>2488565</wp:posOffset>
                </wp:positionH>
                <wp:positionV relativeFrom="paragraph">
                  <wp:posOffset>125095</wp:posOffset>
                </wp:positionV>
                <wp:extent cx="3495040" cy="3327400"/>
                <wp:effectExtent l="19050" t="19050" r="10160" b="25400"/>
                <wp:wrapTight wrapText="bothSides">
                  <wp:wrapPolygon edited="0">
                    <wp:start x="-118" y="-124"/>
                    <wp:lineTo x="-118" y="21641"/>
                    <wp:lineTo x="21545" y="21641"/>
                    <wp:lineTo x="21545" y="-124"/>
                    <wp:lineTo x="-118" y="-124"/>
                  </wp:wrapPolygon>
                </wp:wrapTight>
                <wp:docPr id="2" name="Grupo 2"/>
                <wp:cNvGraphicFramePr/>
                <a:graphic xmlns:a="http://schemas.openxmlformats.org/drawingml/2006/main">
                  <a:graphicData uri="http://schemas.microsoft.com/office/word/2010/wordprocessingGroup">
                    <wpg:wgp>
                      <wpg:cNvGrpSpPr/>
                      <wpg:grpSpPr>
                        <a:xfrm>
                          <a:off x="0" y="0"/>
                          <a:ext cx="3495040" cy="3327400"/>
                          <a:chOff x="0" y="0"/>
                          <a:chExt cx="3495040" cy="3752215"/>
                        </a:xfrm>
                      </wpg:grpSpPr>
                      <pic:pic xmlns:pic="http://schemas.openxmlformats.org/drawingml/2006/picture">
                        <pic:nvPicPr>
                          <pic:cNvPr id="4" name="Imagen 3"/>
                          <pic:cNvPicPr>
                            <a:picLocks noChangeAspect="1"/>
                          </pic:cNvPicPr>
                        </pic:nvPicPr>
                        <pic:blipFill rotWithShape="1">
                          <a:blip r:embed="rId31">
                            <a:extLst>
                              <a:ext uri="{28A0092B-C50C-407E-A947-70E740481C1C}">
                                <a14:useLocalDpi xmlns:a14="http://schemas.microsoft.com/office/drawing/2010/main" val="0"/>
                              </a:ext>
                            </a:extLst>
                          </a:blip>
                          <a:srcRect b="6992"/>
                          <a:stretch/>
                        </pic:blipFill>
                        <pic:spPr bwMode="auto">
                          <a:xfrm>
                            <a:off x="0" y="0"/>
                            <a:ext cx="3495040" cy="3752215"/>
                          </a:xfrm>
                          <a:prstGeom prst="rect">
                            <a:avLst/>
                          </a:prstGeom>
                          <a:ln>
                            <a:solidFill>
                              <a:schemeClr val="tx1"/>
                            </a:solidFill>
                          </a:ln>
                          <a:extLst>
                            <a:ext uri="{53640926-AAD7-44D8-BBD7-CCE9431645EC}">
                              <a14:shadowObscured xmlns:a14="http://schemas.microsoft.com/office/drawing/2010/main"/>
                            </a:ext>
                          </a:extLst>
                        </pic:spPr>
                      </pic:pic>
                      <wps:wsp>
                        <wps:cNvPr id="6" name="Rectángulo: esquinas redondeadas 4"/>
                        <wps:cNvSpPr/>
                        <wps:spPr>
                          <a:xfrm>
                            <a:off x="980237" y="197510"/>
                            <a:ext cx="1163371" cy="278268"/>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695DACC7" w14:textId="77777777" w:rsidR="00E31540" w:rsidRPr="0066782E" w:rsidRDefault="00E31540" w:rsidP="00937739">
                              <w:pPr>
                                <w:jc w:val="center"/>
                                <w:rPr>
                                  <w:b/>
                                  <w:sz w:val="18"/>
                                  <w:lang w:val="es-MX"/>
                                </w:rPr>
                              </w:pPr>
                              <w:r w:rsidRPr="0066782E">
                                <w:rPr>
                                  <w:b/>
                                  <w:sz w:val="18"/>
                                  <w:lang w:val="es-MX"/>
                                </w:rPr>
                                <w:t>Avance físico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B40445" id="Grupo 2" o:spid="_x0000_s1032" style="position:absolute;left:0;text-align:left;margin-left:195.95pt;margin-top:9.85pt;width:275.2pt;height:262pt;z-index:-251642368;mso-height-relative:margin" coordsize="34950,37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3" type="#_x0000_t75" style="position:absolute;width:34950;height:37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" stroked="t" strokecolor="black [3213]">
                  <v:imagedata r:id="rId32" o:title="" cropbottom="4582f"/>
                  <v:path arrowok="t"/>
                </v:shape>
                <v:roundrect id="Rectángulo: esquinas redondeadas 4" o:spid="_x0000_s1034" style="position:absolute;left:9802;top:1975;width:11634;height:27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" fillcolor="#2a4a85 [2148]" strokecolor="black [3213]">
                  <v:fill color2="#8eaadb [1940]" rotate="t" angle="180" colors="0 #2a4b86;31457f #4a76c6;1 #8faadc" focus="100%" type="gradient"/>
                  <v:textbox>
                    <w:txbxContent>
                      <w:p w14:paraId="695DACC7" w14:textId="77777777" w:rsidR="00E31540" w:rsidRPr="0066782E" w:rsidRDefault="00E31540" w:rsidP="00937739">
                        <w:pPr>
                          <w:jc w:val="center"/>
                          <w:rPr>
                            <w:b/>
                            <w:sz w:val="18"/>
                            <w:lang w:val="es-MX"/>
                          </w:rPr>
                        </w:pPr>
                        <w:r w:rsidRPr="0066782E">
                          <w:rPr>
                            <w:b/>
                            <w:sz w:val="18"/>
                            <w:lang w:val="es-MX"/>
                          </w:rPr>
                          <w:t>Avance físico</w:t>
                        </w:r>
                      </w:p>
                    </w:txbxContent>
                  </v:textbox>
                </v:roundrect>
                <w10:wrap type="tight"/>
              </v:group>
            </w:pict>
          </mc:Fallback>
        </mc:AlternateContent>
      </w:r>
      <w:r w:rsidR="44B431B7" w:rsidRPr="44B431B7">
        <w:rPr>
          <w:rFonts w:ascii="Calibri" w:eastAsia="Calibri" w:hAnsi="Calibri" w:cs="Calibri"/>
          <w:sz w:val="24"/>
          <w:szCs w:val="24"/>
          <w:lang w:val="es-ES"/>
        </w:rPr>
        <w:t>Los datos registrados en Siplangl, mostraron un avance promedio a nivel nacional de ejecución física del 64.71%. Solo el departamento de Retalhuleu mostró más del 80% de ejecución física, en contraste de 14 departamentos que registraron menos del 70% de ejecución.</w:t>
      </w:r>
    </w:p>
    <w:p w14:paraId="25917674" w14:textId="6866BE83" w:rsidR="6F0158C6" w:rsidRDefault="44B431B7" w:rsidP="002E2CD6">
      <w:pPr>
        <w:spacing w:after="120" w:line="240" w:lineRule="auto"/>
        <w:ind w:right="5579"/>
        <w:jc w:val="both"/>
      </w:pPr>
      <w:r w:rsidRPr="44B431B7">
        <w:rPr>
          <w:rFonts w:ascii="Calibri" w:eastAsia="Calibri" w:hAnsi="Calibri" w:cs="Calibri"/>
          <w:sz w:val="24"/>
          <w:szCs w:val="24"/>
          <w:lang w:val="es-ES"/>
        </w:rPr>
        <w:t>El mapa del lado derecho muestra el comportamiento de cada departamento. El color claro, representa el menor avance físico y el color oscuro, representa el mayor avance.</w:t>
      </w:r>
    </w:p>
    <w:p w14:paraId="260E40EE" w14:textId="6D26ABA5" w:rsidR="01D9CEE3" w:rsidRDefault="44B431B7" w:rsidP="00937739">
      <w:pPr>
        <w:spacing w:after="0" w:line="240" w:lineRule="auto"/>
        <w:ind w:firstLine="3969"/>
        <w:jc w:val="both"/>
      </w:pPr>
      <w:r w:rsidRPr="44B431B7">
        <w:rPr>
          <w:rFonts w:ascii="Calibri" w:eastAsia="Calibri" w:hAnsi="Calibri" w:cs="Calibri"/>
          <w:sz w:val="16"/>
          <w:szCs w:val="16"/>
          <w:lang w:val="es"/>
        </w:rPr>
        <w:t>Fuente: Siplangl. III informe cuatrimestral. Año 2022.</w:t>
      </w:r>
    </w:p>
    <w:p w14:paraId="485C9705" w14:textId="30269707" w:rsidR="01D9CEE3" w:rsidRDefault="44B431B7" w:rsidP="00937739">
      <w:pPr>
        <w:spacing w:after="0" w:line="240" w:lineRule="auto"/>
        <w:ind w:firstLine="3969"/>
        <w:jc w:val="both"/>
      </w:pPr>
      <w:r w:rsidRPr="44B431B7">
        <w:rPr>
          <w:rFonts w:ascii="Calibri" w:eastAsia="Calibri" w:hAnsi="Calibri" w:cs="Calibri"/>
          <w:sz w:val="16"/>
          <w:szCs w:val="16"/>
          <w:lang w:val="es"/>
        </w:rPr>
        <w:t>Mapa elaborado con tecnología de Bing © GeoNames, Microsoft TomTom</w:t>
      </w:r>
    </w:p>
    <w:p w14:paraId="6025F12A" w14:textId="3BE3FFF3" w:rsidR="44B431B7" w:rsidRDefault="44B431B7" w:rsidP="44B431B7">
      <w:pPr>
        <w:spacing w:after="0" w:line="240" w:lineRule="auto"/>
        <w:jc w:val="both"/>
        <w:rPr>
          <w:rFonts w:ascii="Helvetica" w:eastAsia="Times New Roman" w:hAnsi="Helvetica" w:cs="Helvetica"/>
          <w:sz w:val="24"/>
          <w:szCs w:val="24"/>
          <w:lang w:val="es-ES"/>
        </w:rPr>
      </w:pPr>
    </w:p>
    <w:p w14:paraId="51626797" w14:textId="79BBE56F" w:rsidR="44B431B7" w:rsidRDefault="00937739" w:rsidP="002E2CD6">
      <w:pPr>
        <w:spacing w:after="120" w:line="240" w:lineRule="auto"/>
        <w:jc w:val="both"/>
      </w:pPr>
      <w:r>
        <w:rPr>
          <w:rFonts w:eastAsia="Times New Roman" w:cstheme="minorHAnsi"/>
          <w:noProof/>
          <w:sz w:val="16"/>
          <w:szCs w:val="16"/>
          <w:lang w:val="es-ES"/>
        </w:rPr>
        <mc:AlternateContent>
          <mc:Choice Requires="wpg">
            <w:drawing>
              <wp:anchor distT="0" distB="0" distL="114300" distR="114300" simplePos="0" relativeHeight="251676160" behindDoc="1" locked="0" layoutInCell="1" allowOverlap="1" wp14:anchorId="385DD4F3" wp14:editId="1D360AE2">
                <wp:simplePos x="0" y="0"/>
                <wp:positionH relativeFrom="column">
                  <wp:posOffset>-89535</wp:posOffset>
                </wp:positionH>
                <wp:positionV relativeFrom="paragraph">
                  <wp:posOffset>19050</wp:posOffset>
                </wp:positionV>
                <wp:extent cx="3332480" cy="3603625"/>
                <wp:effectExtent l="19050" t="19050" r="20320" b="15875"/>
                <wp:wrapTight wrapText="bothSides">
                  <wp:wrapPolygon edited="0">
                    <wp:start x="-123" y="-114"/>
                    <wp:lineTo x="-123" y="21581"/>
                    <wp:lineTo x="21608" y="21581"/>
                    <wp:lineTo x="21608" y="-114"/>
                    <wp:lineTo x="-123" y="-114"/>
                  </wp:wrapPolygon>
                </wp:wrapTight>
                <wp:docPr id="9" name="Grupo 9"/>
                <wp:cNvGraphicFramePr/>
                <a:graphic xmlns:a="http://schemas.openxmlformats.org/drawingml/2006/main">
                  <a:graphicData uri="http://schemas.microsoft.com/office/word/2010/wordprocessingGroup">
                    <wpg:wgp>
                      <wpg:cNvGrpSpPr/>
                      <wpg:grpSpPr>
                        <a:xfrm>
                          <a:off x="0" y="0"/>
                          <a:ext cx="3332480" cy="3603625"/>
                          <a:chOff x="0" y="0"/>
                          <a:chExt cx="3332480" cy="3603625"/>
                        </a:xfrm>
                      </wpg:grpSpPr>
                      <pic:pic xmlns:pic="http://schemas.openxmlformats.org/drawingml/2006/picture">
                        <pic:nvPicPr>
                          <pic:cNvPr id="11" name="Imagen 1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332480" cy="3603625"/>
                          </a:xfrm>
                          <a:prstGeom prst="rect">
                            <a:avLst/>
                          </a:prstGeom>
                          <a:ln>
                            <a:solidFill>
                              <a:schemeClr val="tx1"/>
                            </a:solidFill>
                          </a:ln>
                        </pic:spPr>
                      </pic:pic>
                      <wps:wsp>
                        <wps:cNvPr id="12" name="Rectángulo: esquinas redondeadas 12"/>
                        <wps:cNvSpPr/>
                        <wps:spPr>
                          <a:xfrm>
                            <a:off x="943661" y="138989"/>
                            <a:ext cx="1163371" cy="278268"/>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1BFAA5EB" w14:textId="77777777" w:rsidR="00E31540" w:rsidRPr="0066782E" w:rsidRDefault="00E31540" w:rsidP="00937739">
                              <w:pPr>
                                <w:jc w:val="center"/>
                                <w:rPr>
                                  <w:b/>
                                  <w:sz w:val="18"/>
                                  <w:lang w:val="es-MX"/>
                                </w:rPr>
                              </w:pPr>
                              <w:r w:rsidRPr="0066782E">
                                <w:rPr>
                                  <w:b/>
                                  <w:sz w:val="18"/>
                                  <w:lang w:val="es-MX"/>
                                </w:rPr>
                                <w:t>Avance f</w:t>
                              </w:r>
                              <w:r>
                                <w:rPr>
                                  <w:b/>
                                  <w:sz w:val="18"/>
                                  <w:lang w:val="es-MX"/>
                                </w:rPr>
                                <w:t>inanciero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5DD4F3" id="Grupo 9" o:spid="_x0000_s1035" style="position:absolute;left:0;text-align:left;margin-left:-7.05pt;margin-top:1.5pt;width:262.4pt;height:283.75pt;z-index:-251640320" coordsize="33324,36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">
                <v:shape id="Imagen 11" o:spid="_x0000_s1036" type="#_x0000_t75" style="position:absolute;width:33324;height:36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" stroked="t" strokecolor="black [3213]">
                  <v:imagedata r:id="rId34" o:title=""/>
                  <v:path arrowok="t"/>
                </v:shape>
                <v:roundrect id="Rectángulo: esquinas redondeadas 12" o:spid="_x0000_s1037" style="position:absolute;left:9436;top:1389;width:11634;height:27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" fillcolor="#2a4a85 [2148]" strokecolor="black [3213]">
                  <v:fill color2="#8eaadb [1940]" rotate="t" angle="180" colors="0 #2a4b86;31457f #4a76c6;1 #8faadc" focus="100%" type="gradient"/>
                  <v:textbox>
                    <w:txbxContent>
                      <w:p w14:paraId="1BFAA5EB" w14:textId="77777777" w:rsidR="00E31540" w:rsidRPr="0066782E" w:rsidRDefault="00E31540" w:rsidP="00937739">
                        <w:pPr>
                          <w:jc w:val="center"/>
                          <w:rPr>
                            <w:b/>
                            <w:sz w:val="18"/>
                            <w:lang w:val="es-MX"/>
                          </w:rPr>
                        </w:pPr>
                        <w:r w:rsidRPr="0066782E">
                          <w:rPr>
                            <w:b/>
                            <w:sz w:val="18"/>
                            <w:lang w:val="es-MX"/>
                          </w:rPr>
                          <w:t>Avance f</w:t>
                        </w:r>
                        <w:r>
                          <w:rPr>
                            <w:b/>
                            <w:sz w:val="18"/>
                            <w:lang w:val="es-MX"/>
                          </w:rPr>
                          <w:t>inanciero</w:t>
                        </w:r>
                      </w:p>
                    </w:txbxContent>
                  </v:textbox>
                </v:roundrect>
                <w10:wrap type="tight"/>
              </v:group>
            </w:pict>
          </mc:Fallback>
        </mc:AlternateContent>
      </w:r>
      <w:r w:rsidR="44B431B7" w:rsidRPr="44B431B7">
        <w:rPr>
          <w:rFonts w:ascii="Calibri" w:eastAsia="Calibri" w:hAnsi="Calibri" w:cs="Calibri"/>
          <w:sz w:val="24"/>
          <w:szCs w:val="24"/>
          <w:lang w:val="es-ES"/>
        </w:rPr>
        <w:t>En relación al avance financiero, durante el año 2022, en Siplangl se reportó un avance promedio del 65.88% a nivel nacional. Igual que en el avance físico, Retalhuleu mostró más del 80% de ejecución, seguido de Baja Verapaz. 11 municipios registran menos del 70 % de ejecución.</w:t>
      </w:r>
    </w:p>
    <w:p w14:paraId="745E81F4" w14:textId="123E1810" w:rsidR="44B431B7" w:rsidRDefault="44B431B7" w:rsidP="002E2CD6">
      <w:pPr>
        <w:spacing w:after="120" w:line="240" w:lineRule="auto"/>
        <w:jc w:val="both"/>
      </w:pPr>
      <w:r w:rsidRPr="44B431B7">
        <w:rPr>
          <w:rFonts w:ascii="Calibri" w:eastAsia="Calibri" w:hAnsi="Calibri" w:cs="Calibri"/>
          <w:sz w:val="24"/>
          <w:szCs w:val="24"/>
          <w:lang w:val="es-ES"/>
        </w:rPr>
        <w:t xml:space="preserve">El mapa del lado izquierdo muestra el comportamiento de cada departamento, en donde el color claro muestra el menor avance y el color oscuro el mayor avance. </w:t>
      </w:r>
    </w:p>
    <w:p w14:paraId="4996C5F0" w14:textId="523A8CE8" w:rsidR="44B431B7" w:rsidRDefault="44B431B7" w:rsidP="44B431B7">
      <w:pPr>
        <w:jc w:val="both"/>
      </w:pPr>
      <w:r w:rsidRPr="44B431B7">
        <w:rPr>
          <w:rFonts w:ascii="Calibri" w:eastAsia="Calibri" w:hAnsi="Calibri" w:cs="Calibri"/>
          <w:sz w:val="24"/>
          <w:szCs w:val="24"/>
          <w:lang w:val="es-ES"/>
        </w:rPr>
        <w:t xml:space="preserve"> </w:t>
      </w:r>
    </w:p>
    <w:p w14:paraId="2752A0D4" w14:textId="392D9672" w:rsidR="44B431B7" w:rsidRDefault="44B431B7" w:rsidP="44B431B7">
      <w:pPr>
        <w:jc w:val="both"/>
      </w:pPr>
    </w:p>
    <w:p w14:paraId="3D91BAF5" w14:textId="2C45F1ED" w:rsidR="506FC93B" w:rsidRDefault="506FC93B" w:rsidP="506FC93B">
      <w:pPr>
        <w:jc w:val="both"/>
      </w:pPr>
    </w:p>
    <w:p w14:paraId="597F4F91" w14:textId="77777777" w:rsidR="00937739" w:rsidRDefault="00937739" w:rsidP="44B431B7">
      <w:pPr>
        <w:jc w:val="both"/>
        <w:rPr>
          <w:rFonts w:ascii="Calibri" w:eastAsia="Calibri" w:hAnsi="Calibri" w:cs="Calibri"/>
          <w:sz w:val="16"/>
          <w:szCs w:val="16"/>
          <w:lang w:val="es"/>
        </w:rPr>
      </w:pPr>
    </w:p>
    <w:p w14:paraId="5912AD5B" w14:textId="77777777" w:rsidR="002E2CD6" w:rsidRDefault="002E2CD6" w:rsidP="00937739">
      <w:pPr>
        <w:spacing w:after="0" w:line="240" w:lineRule="auto"/>
        <w:jc w:val="both"/>
        <w:rPr>
          <w:rFonts w:ascii="Calibri" w:eastAsia="Calibri" w:hAnsi="Calibri" w:cs="Calibri"/>
          <w:sz w:val="16"/>
          <w:szCs w:val="16"/>
          <w:lang w:val="es"/>
        </w:rPr>
      </w:pPr>
    </w:p>
    <w:p w14:paraId="3122CD00" w14:textId="77777777" w:rsidR="002E2CD6" w:rsidRDefault="002E2CD6" w:rsidP="00937739">
      <w:pPr>
        <w:spacing w:after="0" w:line="240" w:lineRule="auto"/>
        <w:jc w:val="both"/>
        <w:rPr>
          <w:rFonts w:ascii="Calibri" w:eastAsia="Calibri" w:hAnsi="Calibri" w:cs="Calibri"/>
          <w:sz w:val="16"/>
          <w:szCs w:val="16"/>
          <w:lang w:val="es"/>
        </w:rPr>
      </w:pPr>
    </w:p>
    <w:p w14:paraId="1954B132" w14:textId="3C9166D5" w:rsidR="44B431B7" w:rsidRDefault="44B431B7" w:rsidP="00937739">
      <w:pPr>
        <w:spacing w:after="0" w:line="240" w:lineRule="auto"/>
        <w:jc w:val="both"/>
      </w:pPr>
      <w:r w:rsidRPr="44B431B7">
        <w:rPr>
          <w:rFonts w:ascii="Calibri" w:eastAsia="Calibri" w:hAnsi="Calibri" w:cs="Calibri"/>
          <w:sz w:val="16"/>
          <w:szCs w:val="16"/>
          <w:lang w:val="es"/>
        </w:rPr>
        <w:t>Fuente: Siplangl. III informe cuatrimestral. Año 2022.</w:t>
      </w:r>
    </w:p>
    <w:p w14:paraId="7DD1F4C2" w14:textId="2DAE6EF4" w:rsidR="44B431B7" w:rsidRDefault="44B431B7" w:rsidP="00937739">
      <w:pPr>
        <w:spacing w:after="0" w:line="240" w:lineRule="auto"/>
        <w:jc w:val="both"/>
      </w:pPr>
      <w:r w:rsidRPr="44B431B7">
        <w:rPr>
          <w:rFonts w:ascii="Calibri" w:eastAsia="Calibri" w:hAnsi="Calibri" w:cs="Calibri"/>
          <w:sz w:val="16"/>
          <w:szCs w:val="16"/>
          <w:lang w:val="es"/>
        </w:rPr>
        <w:t>Mapa elaborado con tecnología de Bing © GeoNames, Microsoft TomTom</w:t>
      </w:r>
    </w:p>
    <w:p w14:paraId="290B688B" w14:textId="54F4F2F2" w:rsidR="01D9CEE3" w:rsidRDefault="506FC93B" w:rsidP="506FC93B">
      <w:pPr>
        <w:spacing w:after="0" w:line="240" w:lineRule="auto"/>
        <w:jc w:val="both"/>
        <w:rPr>
          <w:rFonts w:eastAsiaTheme="minorEastAsia"/>
          <w:sz w:val="24"/>
          <w:szCs w:val="24"/>
          <w:lang w:val="es"/>
        </w:rPr>
      </w:pPr>
      <w:r w:rsidRPr="506FC93B">
        <w:rPr>
          <w:rFonts w:eastAsiaTheme="minorEastAsia"/>
          <w:sz w:val="24"/>
          <w:szCs w:val="24"/>
          <w:lang w:val="es"/>
        </w:rPr>
        <w:t>En la siguiente sección, se presenta la ejecución física y financiera por departamento y municipio, en donde las tablas presentan la siguiente información.</w:t>
      </w:r>
    </w:p>
    <w:p w14:paraId="696DD2EC" w14:textId="7B01DF1C" w:rsidR="01D9CEE3" w:rsidRDefault="506FC93B" w:rsidP="009144FD">
      <w:pPr>
        <w:pStyle w:val="Prrafodelista"/>
        <w:numPr>
          <w:ilvl w:val="0"/>
          <w:numId w:val="12"/>
        </w:numPr>
        <w:spacing w:before="120" w:after="120" w:line="240" w:lineRule="auto"/>
        <w:ind w:left="714" w:hanging="357"/>
        <w:contextualSpacing w:val="0"/>
        <w:jc w:val="both"/>
        <w:rPr>
          <w:rFonts w:eastAsiaTheme="minorEastAsia"/>
          <w:b/>
          <w:bCs/>
          <w:sz w:val="24"/>
          <w:szCs w:val="24"/>
          <w:lang w:val="es"/>
        </w:rPr>
      </w:pPr>
      <w:r w:rsidRPr="506FC93B">
        <w:rPr>
          <w:rFonts w:eastAsiaTheme="minorEastAsia"/>
          <w:b/>
          <w:bCs/>
          <w:sz w:val="24"/>
          <w:szCs w:val="24"/>
          <w:lang w:val="es"/>
        </w:rPr>
        <w:t>Nombre del municipio.</w:t>
      </w:r>
    </w:p>
    <w:p w14:paraId="18DAEB66" w14:textId="25407BCA" w:rsidR="01D9CEE3" w:rsidRDefault="506FC93B" w:rsidP="009144FD">
      <w:pPr>
        <w:pStyle w:val="Prrafodelista"/>
        <w:numPr>
          <w:ilvl w:val="0"/>
          <w:numId w:val="12"/>
        </w:numPr>
        <w:spacing w:before="120" w:after="120" w:line="240" w:lineRule="auto"/>
        <w:ind w:left="714" w:hanging="357"/>
        <w:contextualSpacing w:val="0"/>
        <w:jc w:val="both"/>
        <w:rPr>
          <w:rFonts w:eastAsiaTheme="minorEastAsia"/>
          <w:sz w:val="24"/>
          <w:szCs w:val="24"/>
          <w:lang w:val="es"/>
        </w:rPr>
      </w:pPr>
      <w:r w:rsidRPr="506FC93B">
        <w:rPr>
          <w:rFonts w:eastAsiaTheme="minorEastAsia"/>
          <w:b/>
          <w:bCs/>
          <w:sz w:val="24"/>
          <w:szCs w:val="24"/>
          <w:lang w:val="es"/>
        </w:rPr>
        <w:t>Meta Financiera anual vigente:</w:t>
      </w:r>
      <w:r w:rsidRPr="506FC93B">
        <w:rPr>
          <w:rFonts w:eastAsiaTheme="minorEastAsia"/>
          <w:sz w:val="24"/>
          <w:szCs w:val="24"/>
          <w:lang w:val="es"/>
        </w:rPr>
        <w:t xml:space="preserve"> se refiere al presupuesto inicial programado, +/- reprogramaciones de metas financieras o modificaciones presupuestarias. </w:t>
      </w:r>
    </w:p>
    <w:p w14:paraId="6740D4D5" w14:textId="5B93DEDE" w:rsidR="01D9CEE3" w:rsidRDefault="506FC93B" w:rsidP="009144FD">
      <w:pPr>
        <w:pStyle w:val="Prrafodelista"/>
        <w:numPr>
          <w:ilvl w:val="0"/>
          <w:numId w:val="12"/>
        </w:numPr>
        <w:spacing w:before="120" w:after="120" w:line="240" w:lineRule="auto"/>
        <w:ind w:left="714" w:hanging="357"/>
        <w:contextualSpacing w:val="0"/>
        <w:jc w:val="both"/>
        <w:rPr>
          <w:rFonts w:eastAsiaTheme="minorEastAsia"/>
          <w:sz w:val="24"/>
          <w:szCs w:val="24"/>
          <w:lang w:val="es"/>
        </w:rPr>
      </w:pPr>
      <w:r w:rsidRPr="506FC93B">
        <w:rPr>
          <w:rFonts w:eastAsiaTheme="minorEastAsia"/>
          <w:b/>
          <w:bCs/>
          <w:sz w:val="24"/>
          <w:szCs w:val="24"/>
          <w:lang w:val="es"/>
        </w:rPr>
        <w:t>Ejecución Financiera acumulada</w:t>
      </w:r>
      <w:r w:rsidRPr="506FC93B">
        <w:rPr>
          <w:rFonts w:eastAsiaTheme="minorEastAsia"/>
          <w:sz w:val="24"/>
          <w:szCs w:val="24"/>
          <w:lang w:val="es"/>
        </w:rPr>
        <w:t>: se refiere a la meta financiera ejecutada o presupuesto ejecutado, incluye la ejecución acumulada de enero a diciembre 2022.</w:t>
      </w:r>
    </w:p>
    <w:p w14:paraId="57B8EF8F" w14:textId="4BD5C393" w:rsidR="01D9CEE3" w:rsidRDefault="506FC93B" w:rsidP="009144FD">
      <w:pPr>
        <w:pStyle w:val="Prrafodelista"/>
        <w:numPr>
          <w:ilvl w:val="0"/>
          <w:numId w:val="12"/>
        </w:numPr>
        <w:spacing w:before="120" w:after="120" w:line="240" w:lineRule="auto"/>
        <w:ind w:left="714" w:hanging="357"/>
        <w:contextualSpacing w:val="0"/>
        <w:jc w:val="both"/>
        <w:rPr>
          <w:rFonts w:eastAsiaTheme="minorEastAsia"/>
          <w:sz w:val="24"/>
          <w:szCs w:val="24"/>
          <w:lang w:val="es"/>
        </w:rPr>
      </w:pPr>
      <w:r w:rsidRPr="506FC93B">
        <w:rPr>
          <w:rFonts w:eastAsiaTheme="minorEastAsia"/>
          <w:b/>
          <w:bCs/>
          <w:sz w:val="24"/>
          <w:szCs w:val="24"/>
          <w:lang w:val="es"/>
        </w:rPr>
        <w:t>Porcentaje (%) de ejecución física y financiera</w:t>
      </w:r>
      <w:r w:rsidRPr="506FC93B">
        <w:rPr>
          <w:rFonts w:eastAsiaTheme="minorEastAsia"/>
          <w:sz w:val="24"/>
          <w:szCs w:val="24"/>
          <w:lang w:val="es"/>
        </w:rPr>
        <w:t>: el porcentaje muestra cuánto se ejecutó respecto de la meta vigente, lo que permite inferir que a mayor porcentaje de ejecución habrá mayor eficiencia en la calidad del gasto público como un indicador del desempeño municipal.</w:t>
      </w:r>
    </w:p>
    <w:p w14:paraId="39041929" w14:textId="7277F66A" w:rsidR="01D9CEE3" w:rsidRDefault="506FC93B" w:rsidP="009144FD">
      <w:pPr>
        <w:pStyle w:val="Prrafodelista"/>
        <w:numPr>
          <w:ilvl w:val="0"/>
          <w:numId w:val="12"/>
        </w:numPr>
        <w:spacing w:before="120" w:after="120" w:line="240" w:lineRule="auto"/>
        <w:ind w:left="714" w:hanging="357"/>
        <w:contextualSpacing w:val="0"/>
        <w:jc w:val="both"/>
        <w:rPr>
          <w:rFonts w:eastAsiaTheme="minorEastAsia"/>
          <w:sz w:val="24"/>
          <w:szCs w:val="24"/>
          <w:lang w:val="es"/>
        </w:rPr>
      </w:pPr>
      <w:r w:rsidRPr="506FC93B">
        <w:rPr>
          <w:rFonts w:eastAsiaTheme="minorEastAsia"/>
          <w:b/>
          <w:bCs/>
          <w:sz w:val="24"/>
          <w:szCs w:val="24"/>
          <w:lang w:val="es"/>
        </w:rPr>
        <w:t>El avance en la ejecución se presenta según los siguientes colores</w:t>
      </w:r>
      <w:r w:rsidRPr="506FC93B">
        <w:rPr>
          <w:rFonts w:eastAsiaTheme="minorEastAsia"/>
          <w:sz w:val="24"/>
          <w:szCs w:val="24"/>
          <w:lang w:val="es"/>
        </w:rPr>
        <w:t>:</w:t>
      </w:r>
    </w:p>
    <w:p w14:paraId="7F354055" w14:textId="77777777" w:rsidR="007A6B50" w:rsidRPr="007A6B50" w:rsidRDefault="007A6B50" w:rsidP="007A6B50">
      <w:pPr>
        <w:spacing w:after="0" w:line="240" w:lineRule="auto"/>
        <w:ind w:left="360"/>
        <w:jc w:val="both"/>
        <w:rPr>
          <w:rFonts w:eastAsiaTheme="minorEastAsia"/>
          <w:sz w:val="24"/>
          <w:szCs w:val="24"/>
          <w:lang w:val="es"/>
        </w:rPr>
      </w:pPr>
    </w:p>
    <w:tbl>
      <w:tblPr>
        <w:tblW w:w="0" w:type="auto"/>
        <w:tblInd w:w="2584" w:type="dxa"/>
        <w:tblLayout w:type="fixed"/>
        <w:tblLook w:val="04A0" w:firstRow="1" w:lastRow="0" w:firstColumn="1" w:lastColumn="0" w:noHBand="0" w:noVBand="1"/>
      </w:tblPr>
      <w:tblGrid>
        <w:gridCol w:w="1500"/>
        <w:gridCol w:w="2145"/>
      </w:tblGrid>
      <w:tr w:rsidR="506FC93B" w14:paraId="77BD713F" w14:textId="77777777" w:rsidTr="007A6B50">
        <w:trPr>
          <w:trHeight w:val="280"/>
        </w:trPr>
        <w:tc>
          <w:tcPr>
            <w:tcW w:w="1500" w:type="dxa"/>
            <w:tcBorders>
              <w:top w:val="single" w:sz="8" w:space="0" w:color="auto"/>
              <w:left w:val="single" w:sz="8" w:space="0" w:color="auto"/>
              <w:bottom w:val="single" w:sz="8" w:space="0" w:color="auto"/>
              <w:right w:val="single" w:sz="8" w:space="0" w:color="auto"/>
            </w:tcBorders>
            <w:shd w:val="clear" w:color="auto" w:fill="92D050"/>
            <w:tcMar>
              <w:left w:w="108" w:type="dxa"/>
              <w:right w:w="108" w:type="dxa"/>
            </w:tcMar>
            <w:vAlign w:val="center"/>
          </w:tcPr>
          <w:p w14:paraId="5190496D" w14:textId="69B7F9AF" w:rsidR="506FC93B" w:rsidRDefault="506FC93B" w:rsidP="007A6B50">
            <w:pPr>
              <w:spacing w:after="0" w:line="240" w:lineRule="auto"/>
              <w:jc w:val="center"/>
              <w:rPr>
                <w:rFonts w:eastAsiaTheme="minorEastAsia"/>
                <w:b/>
                <w:bCs/>
                <w:sz w:val="24"/>
                <w:szCs w:val="24"/>
                <w:lang w:val="es"/>
              </w:rPr>
            </w:pPr>
            <w:r w:rsidRPr="506FC93B">
              <w:rPr>
                <w:rFonts w:eastAsiaTheme="minorEastAsia"/>
                <w:b/>
                <w:bCs/>
                <w:sz w:val="24"/>
                <w:szCs w:val="24"/>
                <w:lang w:val="es"/>
              </w:rPr>
              <w:t>90% - 100%</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DAE5DE" w14:textId="3C62101B" w:rsidR="506FC93B" w:rsidRDefault="506FC93B" w:rsidP="007A6B50">
            <w:pPr>
              <w:spacing w:after="0" w:line="240" w:lineRule="auto"/>
              <w:jc w:val="both"/>
              <w:rPr>
                <w:rFonts w:eastAsiaTheme="minorEastAsia"/>
                <w:b/>
                <w:bCs/>
                <w:sz w:val="24"/>
                <w:szCs w:val="24"/>
                <w:lang w:val="es"/>
              </w:rPr>
            </w:pPr>
            <w:r w:rsidRPr="506FC93B">
              <w:rPr>
                <w:rFonts w:eastAsiaTheme="minorEastAsia"/>
                <w:b/>
                <w:bCs/>
                <w:sz w:val="24"/>
                <w:szCs w:val="24"/>
                <w:lang w:val="es"/>
              </w:rPr>
              <w:t>Ejecución alta</w:t>
            </w:r>
          </w:p>
        </w:tc>
      </w:tr>
      <w:tr w:rsidR="506FC93B" w14:paraId="1843F7D9" w14:textId="77777777" w:rsidTr="007A6B50">
        <w:trPr>
          <w:trHeight w:val="240"/>
        </w:trPr>
        <w:tc>
          <w:tcPr>
            <w:tcW w:w="1500" w:type="dxa"/>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vAlign w:val="center"/>
          </w:tcPr>
          <w:p w14:paraId="0376079E" w14:textId="2A9943C8" w:rsidR="506FC93B" w:rsidRDefault="506FC93B" w:rsidP="007A6B50">
            <w:pPr>
              <w:spacing w:after="0" w:line="240" w:lineRule="auto"/>
              <w:jc w:val="center"/>
              <w:rPr>
                <w:rFonts w:eastAsiaTheme="minorEastAsia"/>
                <w:b/>
                <w:bCs/>
                <w:sz w:val="24"/>
                <w:szCs w:val="24"/>
                <w:lang w:val="es"/>
              </w:rPr>
            </w:pPr>
            <w:r w:rsidRPr="506FC93B">
              <w:rPr>
                <w:rFonts w:eastAsiaTheme="minorEastAsia"/>
                <w:b/>
                <w:bCs/>
                <w:sz w:val="24"/>
                <w:szCs w:val="24"/>
                <w:lang w:val="es"/>
              </w:rPr>
              <w:t>50% - 89%</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FAF58" w14:textId="4D427F41" w:rsidR="506FC93B" w:rsidRDefault="506FC93B" w:rsidP="007A6B50">
            <w:pPr>
              <w:spacing w:after="0" w:line="240" w:lineRule="auto"/>
              <w:jc w:val="both"/>
              <w:rPr>
                <w:rFonts w:eastAsiaTheme="minorEastAsia"/>
                <w:b/>
                <w:bCs/>
                <w:sz w:val="24"/>
                <w:szCs w:val="24"/>
                <w:lang w:val="es"/>
              </w:rPr>
            </w:pPr>
            <w:r w:rsidRPr="506FC93B">
              <w:rPr>
                <w:rFonts w:eastAsiaTheme="minorEastAsia"/>
                <w:b/>
                <w:bCs/>
                <w:sz w:val="24"/>
                <w:szCs w:val="24"/>
                <w:lang w:val="es"/>
              </w:rPr>
              <w:t>Ejecución media</w:t>
            </w:r>
          </w:p>
        </w:tc>
      </w:tr>
      <w:tr w:rsidR="506FC93B" w14:paraId="64602117" w14:textId="77777777" w:rsidTr="007A6B50">
        <w:trPr>
          <w:trHeight w:val="210"/>
        </w:trPr>
        <w:tc>
          <w:tcPr>
            <w:tcW w:w="150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vAlign w:val="center"/>
          </w:tcPr>
          <w:p w14:paraId="44BD7902" w14:textId="3CD30E3D" w:rsidR="506FC93B" w:rsidRDefault="506FC93B" w:rsidP="007A6B50">
            <w:pPr>
              <w:spacing w:after="0" w:line="240" w:lineRule="auto"/>
              <w:jc w:val="center"/>
              <w:rPr>
                <w:rFonts w:eastAsiaTheme="minorEastAsia"/>
                <w:b/>
                <w:bCs/>
                <w:color w:val="000000" w:themeColor="text1"/>
                <w:sz w:val="24"/>
                <w:szCs w:val="24"/>
                <w:lang w:val="es"/>
              </w:rPr>
            </w:pPr>
            <w:r w:rsidRPr="506FC93B">
              <w:rPr>
                <w:rFonts w:eastAsiaTheme="minorEastAsia"/>
                <w:b/>
                <w:bCs/>
                <w:color w:val="000000" w:themeColor="text1"/>
                <w:sz w:val="24"/>
                <w:szCs w:val="24"/>
                <w:lang w:val="es"/>
              </w:rPr>
              <w:t>0% - 49%</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2F8F39" w14:textId="2BAEE0B2" w:rsidR="506FC93B" w:rsidRDefault="506FC93B" w:rsidP="007A6B50">
            <w:pPr>
              <w:spacing w:after="0" w:line="240" w:lineRule="auto"/>
              <w:jc w:val="both"/>
              <w:rPr>
                <w:rFonts w:eastAsiaTheme="minorEastAsia"/>
                <w:b/>
                <w:bCs/>
                <w:sz w:val="24"/>
                <w:szCs w:val="24"/>
                <w:lang w:val="es"/>
              </w:rPr>
            </w:pPr>
            <w:r w:rsidRPr="506FC93B">
              <w:rPr>
                <w:rFonts w:eastAsiaTheme="minorEastAsia"/>
                <w:b/>
                <w:bCs/>
                <w:sz w:val="24"/>
                <w:szCs w:val="24"/>
                <w:lang w:val="es"/>
              </w:rPr>
              <w:t>Ejecución baja</w:t>
            </w:r>
          </w:p>
        </w:tc>
      </w:tr>
    </w:tbl>
    <w:p w14:paraId="5F0892BA" w14:textId="332DD66E" w:rsidR="01D9CEE3" w:rsidRDefault="506FC93B" w:rsidP="01D9CEE3">
      <w:pPr>
        <w:spacing w:after="0" w:line="240" w:lineRule="auto"/>
        <w:jc w:val="both"/>
        <w:rPr>
          <w:rFonts w:ascii="Calibri" w:eastAsia="Calibri" w:hAnsi="Calibri" w:cs="Calibri"/>
          <w:sz w:val="24"/>
          <w:szCs w:val="24"/>
          <w:lang w:val="es"/>
        </w:rPr>
      </w:pPr>
      <w:r w:rsidRPr="506FC93B">
        <w:rPr>
          <w:rFonts w:ascii="Calibri" w:eastAsia="Calibri" w:hAnsi="Calibri" w:cs="Calibri"/>
          <w:sz w:val="24"/>
          <w:szCs w:val="24"/>
          <w:lang w:val="es"/>
        </w:rPr>
        <w:t xml:space="preserve"> </w:t>
      </w:r>
    </w:p>
    <w:p w14:paraId="7F01F1A9" w14:textId="4A30F5FE" w:rsidR="00693BD9" w:rsidRPr="002E2CD6" w:rsidRDefault="506FC93B" w:rsidP="002E2CD6">
      <w:pPr>
        <w:spacing w:after="0" w:line="240" w:lineRule="auto"/>
        <w:jc w:val="both"/>
        <w:rPr>
          <w:rFonts w:eastAsia="Times New Roman" w:cstheme="minorHAnsi"/>
          <w:b/>
          <w:color w:val="002060"/>
          <w:sz w:val="28"/>
          <w:szCs w:val="28"/>
          <w:lang w:val="es-ES"/>
        </w:rPr>
      </w:pPr>
      <w:bookmarkStart w:id="58" w:name="_Hlk98329998"/>
      <w:bookmarkEnd w:id="58"/>
      <w:r w:rsidRPr="002E2CD6">
        <w:rPr>
          <w:rFonts w:eastAsia="Times New Roman" w:cstheme="minorHAnsi"/>
          <w:b/>
          <w:bCs/>
          <w:color w:val="002060"/>
          <w:sz w:val="28"/>
          <w:szCs w:val="28"/>
          <w:lang w:val="es-ES"/>
        </w:rPr>
        <w:t>Alta Verapaz</w:t>
      </w:r>
    </w:p>
    <w:p w14:paraId="47EA1538" w14:textId="33532838" w:rsidR="00693BD9" w:rsidRPr="003051CD" w:rsidRDefault="002E2CD6" w:rsidP="002E2CD6">
      <w:pPr>
        <w:autoSpaceDE w:val="0"/>
        <w:autoSpaceDN w:val="0"/>
        <w:adjustRightInd w:val="0"/>
        <w:spacing w:after="120" w:line="240" w:lineRule="auto"/>
        <w:jc w:val="both"/>
      </w:pPr>
      <w:r>
        <w:rPr>
          <w:noProof/>
        </w:rPr>
        <w:drawing>
          <wp:anchor distT="0" distB="0" distL="114300" distR="114300" simplePos="0" relativeHeight="251678208" behindDoc="1" locked="0" layoutInCell="1" allowOverlap="1" wp14:anchorId="5AD3C1A4" wp14:editId="3B9B744A">
            <wp:simplePos x="0" y="0"/>
            <wp:positionH relativeFrom="column">
              <wp:posOffset>4440987</wp:posOffset>
            </wp:positionH>
            <wp:positionV relativeFrom="paragraph">
              <wp:posOffset>39624</wp:posOffset>
            </wp:positionV>
            <wp:extent cx="1504315" cy="1021080"/>
            <wp:effectExtent l="19050" t="19050" r="19685" b="26670"/>
            <wp:wrapTight wrapText="bothSides">
              <wp:wrapPolygon edited="0">
                <wp:start x="-274" y="-403"/>
                <wp:lineTo x="-274" y="21761"/>
                <wp:lineTo x="21609" y="21761"/>
                <wp:lineTo x="21609" y="-403"/>
                <wp:lineTo x="-274" y="-403"/>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04315" cy="1021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506FC93B" w:rsidRPr="506FC93B">
        <w:rPr>
          <w:rFonts w:ascii="Calibri" w:eastAsia="Calibri" w:hAnsi="Calibri" w:cs="Calibri"/>
          <w:sz w:val="24"/>
          <w:szCs w:val="24"/>
          <w:lang w:val="es-ES"/>
        </w:rPr>
        <w:t>Al finalizar el año 2022, el departamento solo registró un promedio de avance físico acumulado del 41.80%. Los municipios que registraron mayor avance físico son: Raxruhá 72.91%, Lanquín 70.11% y San Juan Chamelco 69.25%.</w:t>
      </w:r>
    </w:p>
    <w:p w14:paraId="4F27F828" w14:textId="5A98C862" w:rsidR="00693BD9" w:rsidRPr="003051CD" w:rsidRDefault="506FC93B" w:rsidP="002E2CD6">
      <w:pPr>
        <w:autoSpaceDE w:val="0"/>
        <w:autoSpaceDN w:val="0"/>
        <w:adjustRightInd w:val="0"/>
        <w:spacing w:after="120" w:line="240" w:lineRule="auto"/>
        <w:jc w:val="both"/>
      </w:pPr>
      <w:r w:rsidRPr="506FC93B">
        <w:rPr>
          <w:rFonts w:ascii="Calibri" w:eastAsia="Calibri" w:hAnsi="Calibri" w:cs="Calibri"/>
          <w:sz w:val="24"/>
          <w:szCs w:val="24"/>
          <w:lang w:val="es-ES"/>
        </w:rPr>
        <w:t>En relación al avance financiero, el departamento en el año 2022 presentó un acumulado del 56.57% siendo los municipios de Raxruhá 77.20%, Panzós 74.16% y Santa Catalina la Tinta 72.74%, quienes presentaron los mayores avances financieros.</w:t>
      </w:r>
      <w:r w:rsidR="002E2CD6" w:rsidRPr="002E2CD6">
        <w:rPr>
          <w:noProof/>
        </w:rPr>
        <w:t xml:space="preserve"> </w:t>
      </w:r>
    </w:p>
    <w:p w14:paraId="2D572ED8" w14:textId="23DEC12D" w:rsidR="0087248C" w:rsidRPr="00572E0C" w:rsidRDefault="506FC93B" w:rsidP="00055CFA">
      <w:pPr>
        <w:autoSpaceDE w:val="0"/>
        <w:autoSpaceDN w:val="0"/>
        <w:adjustRightInd w:val="0"/>
        <w:spacing w:after="120" w:line="240" w:lineRule="auto"/>
        <w:jc w:val="both"/>
        <w:rPr>
          <w:rFonts w:ascii="Helvetica" w:eastAsia="Calibri" w:hAnsi="Helvetica" w:cs="Arial"/>
          <w:sz w:val="24"/>
        </w:rPr>
      </w:pPr>
      <w:r w:rsidRPr="506FC93B">
        <w:rPr>
          <w:rFonts w:ascii="Calibri" w:eastAsia="Calibri" w:hAnsi="Calibri" w:cs="Calibri"/>
          <w:sz w:val="24"/>
          <w:szCs w:val="24"/>
          <w:lang w:val="es-ES"/>
        </w:rPr>
        <w:t>Será preciso fortalecer el registro de avance en el sistema correspondiente para reflejar mejor los esfuerzos que se hacen dentro del departamento, sabiendo que el departamento muestra valores altos de severidad de pobreza, según los resultados de la Encuesta Nacional de Condiciones de Vida-ENCOVI- 2014. Ver tabla siguiente.</w:t>
      </w:r>
    </w:p>
    <w:p w14:paraId="4BFC4FAE" w14:textId="1A05AFA1" w:rsidR="4C92DD92" w:rsidRPr="002E2CD6" w:rsidRDefault="4C92DD92" w:rsidP="4C92DD92">
      <w:pPr>
        <w:pStyle w:val="ttulosgrficas"/>
        <w:rPr>
          <w:rFonts w:asciiTheme="minorHAnsi" w:eastAsia="Times New Roman" w:hAnsiTheme="minorHAnsi" w:cstheme="minorHAnsi"/>
          <w:color w:val="4472C4" w:themeColor="accent1"/>
          <w:lang w:val="es-ES"/>
        </w:rPr>
      </w:pPr>
      <w:bookmarkStart w:id="59" w:name="_Toc130199604"/>
      <w:r w:rsidRPr="002E2CD6">
        <w:rPr>
          <w:rFonts w:asciiTheme="minorHAnsi" w:eastAsia="Times New Roman" w:hAnsiTheme="minorHAnsi" w:cstheme="minorHAnsi"/>
          <w:color w:val="4471C4"/>
          <w:lang w:val="es-ES"/>
        </w:rPr>
        <w:t xml:space="preserve">Tabla </w:t>
      </w:r>
      <w:r w:rsidR="006E5E0A">
        <w:rPr>
          <w:rFonts w:asciiTheme="minorHAnsi" w:eastAsia="Times New Roman" w:hAnsiTheme="minorHAnsi" w:cstheme="minorHAnsi"/>
          <w:color w:val="4471C4"/>
          <w:lang w:val="es-ES"/>
        </w:rPr>
        <w:fldChar w:fldCharType="begin"/>
      </w:r>
      <w:r w:rsidR="006E5E0A">
        <w:rPr>
          <w:rFonts w:asciiTheme="minorHAnsi" w:eastAsia="Times New Roman" w:hAnsiTheme="minorHAnsi" w:cstheme="minorHAnsi"/>
          <w:color w:val="4471C4"/>
          <w:lang w:val="es-ES"/>
        </w:rPr>
        <w:instrText xml:space="preserve"> SEQ Tabla \* ARABIC </w:instrText>
      </w:r>
      <w:r w:rsidR="006E5E0A">
        <w:rPr>
          <w:rFonts w:asciiTheme="minorHAnsi" w:eastAsia="Times New Roman" w:hAnsiTheme="minorHAnsi" w:cstheme="minorHAnsi"/>
          <w:color w:val="4471C4"/>
          <w:lang w:val="es-ES"/>
        </w:rPr>
        <w:fldChar w:fldCharType="separate"/>
      </w:r>
      <w:r w:rsidR="00777974">
        <w:rPr>
          <w:rFonts w:asciiTheme="minorHAnsi" w:eastAsia="Times New Roman" w:hAnsiTheme="minorHAnsi" w:cstheme="minorHAnsi"/>
          <w:noProof/>
          <w:color w:val="4471C4"/>
          <w:lang w:val="es-ES"/>
        </w:rPr>
        <w:t>16</w:t>
      </w:r>
      <w:r w:rsidR="006E5E0A">
        <w:rPr>
          <w:rFonts w:asciiTheme="minorHAnsi" w:eastAsia="Times New Roman" w:hAnsiTheme="minorHAnsi" w:cstheme="minorHAnsi"/>
          <w:color w:val="4471C4"/>
          <w:lang w:val="es-ES"/>
        </w:rPr>
        <w:fldChar w:fldCharType="end"/>
      </w:r>
      <w:r w:rsidR="007A6B50">
        <w:rPr>
          <w:rFonts w:asciiTheme="minorHAnsi" w:eastAsia="Times New Roman" w:hAnsiTheme="minorHAnsi" w:cstheme="minorHAnsi"/>
          <w:color w:val="4471C4"/>
          <w:lang w:val="es-ES"/>
        </w:rPr>
        <w:t>.</w:t>
      </w:r>
      <w:r w:rsidRPr="002E2CD6">
        <w:rPr>
          <w:rFonts w:asciiTheme="minorHAnsi" w:eastAsia="Times New Roman" w:hAnsiTheme="minorHAnsi" w:cstheme="minorHAnsi"/>
          <w:color w:val="4471C4"/>
          <w:lang w:val="es-ES"/>
        </w:rPr>
        <w:t xml:space="preserve"> Ejecución física y financiera, departamento de Alta Verapaz</w:t>
      </w:r>
      <w:bookmarkEnd w:id="59"/>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865"/>
        <w:gridCol w:w="2025"/>
        <w:gridCol w:w="1785"/>
        <w:gridCol w:w="1125"/>
        <w:gridCol w:w="1260"/>
      </w:tblGrid>
      <w:tr w:rsidR="4C92DD92" w14:paraId="6483381B" w14:textId="77777777" w:rsidTr="002E2CD6">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6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03037AA" w14:textId="13A883C3" w:rsidR="4C92DD92" w:rsidRDefault="4C92DD92" w:rsidP="4C92DD92">
            <w:pPr>
              <w:jc w:val="center"/>
            </w:pPr>
            <w:r w:rsidRPr="4C92DD92">
              <w:rPr>
                <w:rFonts w:cs="Calibri"/>
                <w:color w:val="000000" w:themeColor="text1"/>
                <w:sz w:val="22"/>
                <w:szCs w:val="22"/>
              </w:rPr>
              <w:t>Municipalidad</w:t>
            </w:r>
          </w:p>
        </w:tc>
        <w:tc>
          <w:tcPr>
            <w:tcW w:w="202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6C35B502" w14:textId="5EE9E4C2" w:rsidR="4C92DD92" w:rsidRDefault="46B27687" w:rsidP="4C92DD92">
            <w:pPr>
              <w:jc w:val="center"/>
              <w:cnfStyle w:val="100000000000" w:firstRow="1" w:lastRow="0" w:firstColumn="0" w:lastColumn="0" w:oddVBand="0" w:evenVBand="0" w:oddHBand="0" w:evenHBand="0" w:firstRowFirstColumn="0" w:firstRowLastColumn="0" w:lastRowFirstColumn="0" w:lastRowLastColumn="0"/>
            </w:pPr>
            <w:r w:rsidRPr="46B27687">
              <w:rPr>
                <w:rFonts w:cs="Calibri"/>
                <w:color w:val="000000" w:themeColor="text1"/>
                <w:sz w:val="22"/>
                <w:szCs w:val="22"/>
              </w:rPr>
              <w:t>Meta Financiera Anual Vigente</w:t>
            </w:r>
          </w:p>
        </w:tc>
        <w:tc>
          <w:tcPr>
            <w:tcW w:w="178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1AD87F3" w14:textId="3304B151" w:rsidR="4C92DD92" w:rsidRDefault="46B27687" w:rsidP="4C92DD92">
            <w:pPr>
              <w:jc w:val="center"/>
              <w:cnfStyle w:val="100000000000" w:firstRow="1" w:lastRow="0" w:firstColumn="0" w:lastColumn="0" w:oddVBand="0" w:evenVBand="0" w:oddHBand="0" w:evenHBand="0" w:firstRowFirstColumn="0" w:firstRowLastColumn="0" w:lastRowFirstColumn="0" w:lastRowLastColumn="0"/>
            </w:pPr>
            <w:r w:rsidRPr="46B27687">
              <w:rPr>
                <w:rFonts w:cs="Calibri"/>
                <w:color w:val="000000" w:themeColor="text1"/>
                <w:sz w:val="22"/>
                <w:szCs w:val="22"/>
              </w:rPr>
              <w:t>Ejecución Financiera Acumulada</w:t>
            </w:r>
          </w:p>
        </w:tc>
        <w:tc>
          <w:tcPr>
            <w:tcW w:w="112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1B960EA5" w14:textId="6189CA54" w:rsidR="4C92DD92" w:rsidRDefault="4C92DD92" w:rsidP="4C92DD92">
            <w:pPr>
              <w:jc w:val="center"/>
              <w:cnfStyle w:val="100000000000" w:firstRow="1"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 de Ejecución Física</w:t>
            </w:r>
          </w:p>
        </w:tc>
        <w:tc>
          <w:tcPr>
            <w:tcW w:w="126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4A39B2E" w14:textId="301BD262" w:rsidR="4C92DD92" w:rsidRDefault="4C92DD92" w:rsidP="4C92DD92">
            <w:pPr>
              <w:jc w:val="center"/>
              <w:cnfStyle w:val="100000000000" w:firstRow="1"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 de Ejecución Financiera</w:t>
            </w:r>
          </w:p>
        </w:tc>
      </w:tr>
      <w:tr w:rsidR="4C92DD92" w14:paraId="360CBA7C"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5333FC1D" w14:textId="0A78DE7D" w:rsidR="4C92DD92" w:rsidRDefault="4C92DD92" w:rsidP="4C92DD92">
            <w:r w:rsidRPr="4C92DD92">
              <w:rPr>
                <w:rFonts w:cs="Calibri"/>
                <w:color w:val="000000" w:themeColor="text1"/>
                <w:sz w:val="22"/>
                <w:szCs w:val="22"/>
              </w:rPr>
              <w:t>Todo el Departamento</w:t>
            </w:r>
          </w:p>
        </w:tc>
        <w:tc>
          <w:tcPr>
            <w:tcW w:w="2025" w:type="dxa"/>
            <w:tcMar>
              <w:left w:w="108" w:type="dxa"/>
              <w:right w:w="108" w:type="dxa"/>
            </w:tcMar>
          </w:tcPr>
          <w:p w14:paraId="14A12653" w14:textId="5ED8FBA5"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b/>
                <w:bCs/>
                <w:color w:val="000000" w:themeColor="text1"/>
                <w:sz w:val="22"/>
                <w:szCs w:val="22"/>
              </w:rPr>
              <w:t>Q1,138,150,924.78</w:t>
            </w:r>
          </w:p>
        </w:tc>
        <w:tc>
          <w:tcPr>
            <w:tcW w:w="1785" w:type="dxa"/>
            <w:tcMar>
              <w:left w:w="108" w:type="dxa"/>
              <w:right w:w="108" w:type="dxa"/>
            </w:tcMar>
          </w:tcPr>
          <w:p w14:paraId="7CF46168" w14:textId="55AEA9FD"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b/>
                <w:bCs/>
                <w:color w:val="000000" w:themeColor="text1"/>
                <w:sz w:val="22"/>
                <w:szCs w:val="22"/>
              </w:rPr>
              <w:t>Q643,870,454.82</w:t>
            </w:r>
          </w:p>
        </w:tc>
        <w:tc>
          <w:tcPr>
            <w:tcW w:w="1125" w:type="dxa"/>
            <w:shd w:val="clear" w:color="auto" w:fill="C00000"/>
            <w:tcMar>
              <w:left w:w="108" w:type="dxa"/>
              <w:right w:w="108" w:type="dxa"/>
            </w:tcMar>
            <w:vAlign w:val="bottom"/>
          </w:tcPr>
          <w:p w14:paraId="177FC445" w14:textId="1A6C5C43"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b/>
                <w:bCs/>
                <w:color w:val="000000" w:themeColor="text1"/>
                <w:sz w:val="22"/>
                <w:szCs w:val="22"/>
              </w:rPr>
              <w:t>41.48%</w:t>
            </w:r>
          </w:p>
        </w:tc>
        <w:tc>
          <w:tcPr>
            <w:tcW w:w="1260" w:type="dxa"/>
            <w:shd w:val="clear" w:color="auto" w:fill="FFFF00"/>
            <w:tcMar>
              <w:left w:w="108" w:type="dxa"/>
              <w:right w:w="108" w:type="dxa"/>
            </w:tcMar>
            <w:vAlign w:val="bottom"/>
          </w:tcPr>
          <w:p w14:paraId="7BD5D2C0" w14:textId="748626D1"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b/>
                <w:bCs/>
                <w:color w:val="000000" w:themeColor="text1"/>
                <w:sz w:val="22"/>
                <w:szCs w:val="22"/>
              </w:rPr>
              <w:t>56.57%</w:t>
            </w:r>
          </w:p>
        </w:tc>
      </w:tr>
      <w:tr w:rsidR="4C92DD92" w14:paraId="118BCE86"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07253D65" w14:textId="709B6D0A"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Raxruhá</w:t>
            </w:r>
          </w:p>
        </w:tc>
        <w:tc>
          <w:tcPr>
            <w:tcW w:w="2025" w:type="dxa"/>
            <w:tcMar>
              <w:left w:w="108" w:type="dxa"/>
              <w:right w:w="108" w:type="dxa"/>
            </w:tcMar>
          </w:tcPr>
          <w:p w14:paraId="3DCED98B" w14:textId="6D48E594"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Q51,367,119.49</w:t>
            </w:r>
          </w:p>
        </w:tc>
        <w:tc>
          <w:tcPr>
            <w:tcW w:w="1785" w:type="dxa"/>
            <w:tcMar>
              <w:left w:w="108" w:type="dxa"/>
              <w:right w:w="108" w:type="dxa"/>
            </w:tcMar>
          </w:tcPr>
          <w:p w14:paraId="4B12C9C0" w14:textId="59D39A33"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Q39,652,998.75</w:t>
            </w:r>
          </w:p>
        </w:tc>
        <w:tc>
          <w:tcPr>
            <w:tcW w:w="1125" w:type="dxa"/>
            <w:shd w:val="clear" w:color="auto" w:fill="FFFF00"/>
            <w:tcMar>
              <w:left w:w="108" w:type="dxa"/>
              <w:right w:w="108" w:type="dxa"/>
            </w:tcMar>
            <w:vAlign w:val="bottom"/>
          </w:tcPr>
          <w:p w14:paraId="39DA6DBB" w14:textId="6E4078A4"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72.91%</w:t>
            </w:r>
          </w:p>
        </w:tc>
        <w:tc>
          <w:tcPr>
            <w:tcW w:w="1260" w:type="dxa"/>
            <w:shd w:val="clear" w:color="auto" w:fill="FFFF00"/>
            <w:tcMar>
              <w:left w:w="108" w:type="dxa"/>
              <w:right w:w="108" w:type="dxa"/>
            </w:tcMar>
            <w:vAlign w:val="bottom"/>
          </w:tcPr>
          <w:p w14:paraId="275627BD" w14:textId="13C11728"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77.20%</w:t>
            </w:r>
          </w:p>
        </w:tc>
      </w:tr>
      <w:tr w:rsidR="4C92DD92" w14:paraId="1BEE3379"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3388F0BA" w14:textId="74D4E4F2"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Lanquín</w:t>
            </w:r>
          </w:p>
        </w:tc>
        <w:tc>
          <w:tcPr>
            <w:tcW w:w="2025" w:type="dxa"/>
            <w:tcMar>
              <w:left w:w="108" w:type="dxa"/>
              <w:right w:w="108" w:type="dxa"/>
            </w:tcMar>
          </w:tcPr>
          <w:p w14:paraId="2F9D74A5" w14:textId="5D108945"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Q32,481,462.03</w:t>
            </w:r>
          </w:p>
        </w:tc>
        <w:tc>
          <w:tcPr>
            <w:tcW w:w="1785" w:type="dxa"/>
            <w:tcMar>
              <w:left w:w="108" w:type="dxa"/>
              <w:right w:w="108" w:type="dxa"/>
            </w:tcMar>
          </w:tcPr>
          <w:p w14:paraId="664C34CA" w14:textId="6765E8A9"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Q22,772,533.58</w:t>
            </w:r>
          </w:p>
        </w:tc>
        <w:tc>
          <w:tcPr>
            <w:tcW w:w="1125" w:type="dxa"/>
            <w:shd w:val="clear" w:color="auto" w:fill="FFFF00"/>
            <w:tcMar>
              <w:left w:w="108" w:type="dxa"/>
              <w:right w:w="108" w:type="dxa"/>
            </w:tcMar>
            <w:vAlign w:val="bottom"/>
          </w:tcPr>
          <w:p w14:paraId="07D25D12" w14:textId="0C38F2DA"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62.17%</w:t>
            </w:r>
          </w:p>
        </w:tc>
        <w:tc>
          <w:tcPr>
            <w:tcW w:w="1260" w:type="dxa"/>
            <w:shd w:val="clear" w:color="auto" w:fill="FFFF00"/>
            <w:tcMar>
              <w:left w:w="108" w:type="dxa"/>
              <w:right w:w="108" w:type="dxa"/>
            </w:tcMar>
            <w:vAlign w:val="bottom"/>
          </w:tcPr>
          <w:p w14:paraId="6E54DD81" w14:textId="27A6BF81"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70.11%</w:t>
            </w:r>
          </w:p>
        </w:tc>
      </w:tr>
      <w:tr w:rsidR="4C92DD92" w14:paraId="74EF9DFD"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0E26CC03" w14:textId="5EE8EDD8"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San Juan Chamelco</w:t>
            </w:r>
          </w:p>
        </w:tc>
        <w:tc>
          <w:tcPr>
            <w:tcW w:w="2025" w:type="dxa"/>
            <w:tcMar>
              <w:left w:w="108" w:type="dxa"/>
              <w:right w:w="108" w:type="dxa"/>
            </w:tcMar>
          </w:tcPr>
          <w:p w14:paraId="10727820" w14:textId="24321D8F"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Q70,859,703.23</w:t>
            </w:r>
          </w:p>
        </w:tc>
        <w:tc>
          <w:tcPr>
            <w:tcW w:w="1785" w:type="dxa"/>
            <w:tcMar>
              <w:left w:w="108" w:type="dxa"/>
              <w:right w:w="108" w:type="dxa"/>
            </w:tcMar>
          </w:tcPr>
          <w:p w14:paraId="7317B8C8" w14:textId="56772FF9"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Q49,066,823.18</w:t>
            </w:r>
          </w:p>
        </w:tc>
        <w:tc>
          <w:tcPr>
            <w:tcW w:w="1125" w:type="dxa"/>
            <w:shd w:val="clear" w:color="auto" w:fill="FFFF00"/>
            <w:tcMar>
              <w:left w:w="108" w:type="dxa"/>
              <w:right w:w="108" w:type="dxa"/>
            </w:tcMar>
            <w:vAlign w:val="bottom"/>
          </w:tcPr>
          <w:p w14:paraId="6D39DDBE" w14:textId="15FB5D1E"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57.69%</w:t>
            </w:r>
          </w:p>
        </w:tc>
        <w:tc>
          <w:tcPr>
            <w:tcW w:w="1260" w:type="dxa"/>
            <w:shd w:val="clear" w:color="auto" w:fill="FFFF00"/>
            <w:tcMar>
              <w:left w:w="108" w:type="dxa"/>
              <w:right w:w="108" w:type="dxa"/>
            </w:tcMar>
            <w:vAlign w:val="bottom"/>
          </w:tcPr>
          <w:p w14:paraId="3D61A377" w14:textId="72E244BA"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69.25%</w:t>
            </w:r>
          </w:p>
        </w:tc>
      </w:tr>
      <w:tr w:rsidR="4C92DD92" w14:paraId="006D1DDF"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6BC7C8AE" w14:textId="71A91FB9"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Chisec</w:t>
            </w:r>
          </w:p>
        </w:tc>
        <w:tc>
          <w:tcPr>
            <w:tcW w:w="2025" w:type="dxa"/>
            <w:tcMar>
              <w:left w:w="108" w:type="dxa"/>
              <w:right w:w="108" w:type="dxa"/>
            </w:tcMar>
          </w:tcPr>
          <w:p w14:paraId="3C8F33D6" w14:textId="7A628B7F"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Q103,521,004.60</w:t>
            </w:r>
          </w:p>
        </w:tc>
        <w:tc>
          <w:tcPr>
            <w:tcW w:w="1785" w:type="dxa"/>
            <w:tcMar>
              <w:left w:w="108" w:type="dxa"/>
              <w:right w:w="108" w:type="dxa"/>
            </w:tcMar>
          </w:tcPr>
          <w:p w14:paraId="40878F90" w14:textId="6364B0F1"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Q53,105,650.01</w:t>
            </w:r>
          </w:p>
        </w:tc>
        <w:tc>
          <w:tcPr>
            <w:tcW w:w="1125" w:type="dxa"/>
            <w:shd w:val="clear" w:color="auto" w:fill="FFFF00"/>
            <w:tcMar>
              <w:left w:w="108" w:type="dxa"/>
              <w:right w:w="108" w:type="dxa"/>
            </w:tcMar>
            <w:vAlign w:val="bottom"/>
          </w:tcPr>
          <w:p w14:paraId="3D751E40" w14:textId="0CC3B1F4"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52.56%</w:t>
            </w:r>
          </w:p>
        </w:tc>
        <w:tc>
          <w:tcPr>
            <w:tcW w:w="1260" w:type="dxa"/>
            <w:shd w:val="clear" w:color="auto" w:fill="FFFF00"/>
            <w:tcMar>
              <w:left w:w="108" w:type="dxa"/>
              <w:right w:w="108" w:type="dxa"/>
            </w:tcMar>
            <w:vAlign w:val="bottom"/>
          </w:tcPr>
          <w:p w14:paraId="31951FED" w14:textId="67D45DBA"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51.30%</w:t>
            </w:r>
          </w:p>
        </w:tc>
      </w:tr>
      <w:tr w:rsidR="4C92DD92" w14:paraId="31CCE08B"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3B9F262A" w14:textId="60B6B63A"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Cahabón</w:t>
            </w:r>
          </w:p>
        </w:tc>
        <w:tc>
          <w:tcPr>
            <w:tcW w:w="2025" w:type="dxa"/>
            <w:tcMar>
              <w:left w:w="108" w:type="dxa"/>
              <w:right w:w="108" w:type="dxa"/>
            </w:tcMar>
          </w:tcPr>
          <w:p w14:paraId="7631CB59" w14:textId="5DCF832B"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Q40,374,714.80</w:t>
            </w:r>
          </w:p>
        </w:tc>
        <w:tc>
          <w:tcPr>
            <w:tcW w:w="1785" w:type="dxa"/>
            <w:tcMar>
              <w:left w:w="108" w:type="dxa"/>
              <w:right w:w="108" w:type="dxa"/>
            </w:tcMar>
          </w:tcPr>
          <w:p w14:paraId="34E09B8F" w14:textId="628EEBE6"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Q22,414,569.16</w:t>
            </w:r>
          </w:p>
        </w:tc>
        <w:tc>
          <w:tcPr>
            <w:tcW w:w="1125" w:type="dxa"/>
            <w:shd w:val="clear" w:color="auto" w:fill="FFFF00"/>
            <w:tcMar>
              <w:left w:w="108" w:type="dxa"/>
              <w:right w:w="108" w:type="dxa"/>
            </w:tcMar>
            <w:vAlign w:val="bottom"/>
          </w:tcPr>
          <w:p w14:paraId="6DA01AEF" w14:textId="75417D01"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51.33%</w:t>
            </w:r>
          </w:p>
        </w:tc>
        <w:tc>
          <w:tcPr>
            <w:tcW w:w="1260" w:type="dxa"/>
            <w:shd w:val="clear" w:color="auto" w:fill="FFFF00"/>
            <w:tcMar>
              <w:left w:w="108" w:type="dxa"/>
              <w:right w:w="108" w:type="dxa"/>
            </w:tcMar>
            <w:vAlign w:val="bottom"/>
          </w:tcPr>
          <w:p w14:paraId="1A8EED89" w14:textId="62348F9F"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55.52%</w:t>
            </w:r>
          </w:p>
        </w:tc>
      </w:tr>
      <w:tr w:rsidR="4C92DD92" w14:paraId="729D8586"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4CEE5987" w14:textId="6F325C7F"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Santa Catalina La Tinta</w:t>
            </w:r>
          </w:p>
        </w:tc>
        <w:tc>
          <w:tcPr>
            <w:tcW w:w="2025" w:type="dxa"/>
            <w:tcMar>
              <w:left w:w="108" w:type="dxa"/>
              <w:right w:w="108" w:type="dxa"/>
            </w:tcMar>
          </w:tcPr>
          <w:p w14:paraId="1AC6F762" w14:textId="629F1AD5"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Q43,274,089.86</w:t>
            </w:r>
          </w:p>
        </w:tc>
        <w:tc>
          <w:tcPr>
            <w:tcW w:w="1785" w:type="dxa"/>
            <w:tcMar>
              <w:left w:w="108" w:type="dxa"/>
              <w:right w:w="108" w:type="dxa"/>
            </w:tcMar>
          </w:tcPr>
          <w:p w14:paraId="6ED9E434" w14:textId="61E07887"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Q31,477,614.32</w:t>
            </w:r>
          </w:p>
        </w:tc>
        <w:tc>
          <w:tcPr>
            <w:tcW w:w="1125" w:type="dxa"/>
            <w:shd w:val="clear" w:color="auto" w:fill="FFFF00"/>
            <w:tcMar>
              <w:left w:w="108" w:type="dxa"/>
              <w:right w:w="108" w:type="dxa"/>
            </w:tcMar>
            <w:vAlign w:val="bottom"/>
          </w:tcPr>
          <w:p w14:paraId="536E5189" w14:textId="671095A7"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50.65%</w:t>
            </w:r>
          </w:p>
        </w:tc>
        <w:tc>
          <w:tcPr>
            <w:tcW w:w="1260" w:type="dxa"/>
            <w:shd w:val="clear" w:color="auto" w:fill="FFFF00"/>
            <w:tcMar>
              <w:left w:w="108" w:type="dxa"/>
              <w:right w:w="108" w:type="dxa"/>
            </w:tcMar>
            <w:vAlign w:val="bottom"/>
          </w:tcPr>
          <w:p w14:paraId="0BF8D534" w14:textId="1C90610E"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72.74%</w:t>
            </w:r>
          </w:p>
        </w:tc>
      </w:tr>
      <w:tr w:rsidR="4C92DD92" w14:paraId="283AA0D7"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747B976C" w14:textId="090E0DFF"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Fray Bartolomé De Las Casas</w:t>
            </w:r>
          </w:p>
        </w:tc>
        <w:tc>
          <w:tcPr>
            <w:tcW w:w="2025" w:type="dxa"/>
            <w:tcMar>
              <w:left w:w="108" w:type="dxa"/>
              <w:right w:w="108" w:type="dxa"/>
            </w:tcMar>
          </w:tcPr>
          <w:p w14:paraId="1E4CE992" w14:textId="636C5326"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Q53,629,266.56</w:t>
            </w:r>
          </w:p>
        </w:tc>
        <w:tc>
          <w:tcPr>
            <w:tcW w:w="1785" w:type="dxa"/>
            <w:tcMar>
              <w:left w:w="108" w:type="dxa"/>
              <w:right w:w="108" w:type="dxa"/>
            </w:tcMar>
          </w:tcPr>
          <w:p w14:paraId="38E8499C" w14:textId="19A4B41F"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Q32,509,581.50</w:t>
            </w:r>
          </w:p>
        </w:tc>
        <w:tc>
          <w:tcPr>
            <w:tcW w:w="1125" w:type="dxa"/>
            <w:shd w:val="clear" w:color="auto" w:fill="C00000"/>
            <w:tcMar>
              <w:left w:w="108" w:type="dxa"/>
              <w:right w:w="108" w:type="dxa"/>
            </w:tcMar>
            <w:vAlign w:val="bottom"/>
          </w:tcPr>
          <w:p w14:paraId="41112FC0" w14:textId="524920CA"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48.69%</w:t>
            </w:r>
          </w:p>
        </w:tc>
        <w:tc>
          <w:tcPr>
            <w:tcW w:w="1260" w:type="dxa"/>
            <w:shd w:val="clear" w:color="auto" w:fill="FFFF00"/>
            <w:tcMar>
              <w:left w:w="108" w:type="dxa"/>
              <w:right w:w="108" w:type="dxa"/>
            </w:tcMar>
            <w:vAlign w:val="bottom"/>
          </w:tcPr>
          <w:p w14:paraId="7F4D4534" w14:textId="43E6A128"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60.62%</w:t>
            </w:r>
          </w:p>
        </w:tc>
      </w:tr>
      <w:tr w:rsidR="4C92DD92" w14:paraId="47A93A3A"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2FDAEAAD" w14:textId="66C3A6FC"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Cobán</w:t>
            </w:r>
          </w:p>
        </w:tc>
        <w:tc>
          <w:tcPr>
            <w:tcW w:w="2025" w:type="dxa"/>
            <w:tcMar>
              <w:left w:w="108" w:type="dxa"/>
              <w:right w:w="108" w:type="dxa"/>
            </w:tcMar>
          </w:tcPr>
          <w:p w14:paraId="764CAFDB" w14:textId="175449DB"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Q174,236,967.34</w:t>
            </w:r>
          </w:p>
        </w:tc>
        <w:tc>
          <w:tcPr>
            <w:tcW w:w="1785" w:type="dxa"/>
            <w:tcMar>
              <w:left w:w="108" w:type="dxa"/>
              <w:right w:w="108" w:type="dxa"/>
            </w:tcMar>
          </w:tcPr>
          <w:p w14:paraId="4E5EA4ED" w14:textId="5AF43A19"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Q76,236,491.07</w:t>
            </w:r>
          </w:p>
        </w:tc>
        <w:tc>
          <w:tcPr>
            <w:tcW w:w="1125" w:type="dxa"/>
            <w:shd w:val="clear" w:color="auto" w:fill="C00000"/>
            <w:tcMar>
              <w:left w:w="108" w:type="dxa"/>
              <w:right w:w="108" w:type="dxa"/>
            </w:tcMar>
            <w:vAlign w:val="bottom"/>
          </w:tcPr>
          <w:p w14:paraId="24A55F8F" w14:textId="76BA4474"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48.03%</w:t>
            </w:r>
          </w:p>
        </w:tc>
        <w:tc>
          <w:tcPr>
            <w:tcW w:w="1260" w:type="dxa"/>
            <w:shd w:val="clear" w:color="auto" w:fill="C00000"/>
            <w:tcMar>
              <w:left w:w="108" w:type="dxa"/>
              <w:right w:w="108" w:type="dxa"/>
            </w:tcMar>
            <w:vAlign w:val="bottom"/>
          </w:tcPr>
          <w:p w14:paraId="39F19E10" w14:textId="5F808C1E"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43.75%</w:t>
            </w:r>
          </w:p>
        </w:tc>
      </w:tr>
      <w:tr w:rsidR="4C92DD92" w14:paraId="66217113"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567A888C" w14:textId="33E59F1E"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Senahú</w:t>
            </w:r>
          </w:p>
        </w:tc>
        <w:tc>
          <w:tcPr>
            <w:tcW w:w="2025" w:type="dxa"/>
            <w:tcMar>
              <w:left w:w="108" w:type="dxa"/>
              <w:right w:w="108" w:type="dxa"/>
            </w:tcMar>
          </w:tcPr>
          <w:p w14:paraId="2A5082C4" w14:textId="67F933E2"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Q52,467,481.63</w:t>
            </w:r>
          </w:p>
        </w:tc>
        <w:tc>
          <w:tcPr>
            <w:tcW w:w="1785" w:type="dxa"/>
            <w:tcMar>
              <w:left w:w="108" w:type="dxa"/>
              <w:right w:w="108" w:type="dxa"/>
            </w:tcMar>
          </w:tcPr>
          <w:p w14:paraId="5DC8F1AA" w14:textId="4DBAFE19"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Q33,609,140.30</w:t>
            </w:r>
          </w:p>
        </w:tc>
        <w:tc>
          <w:tcPr>
            <w:tcW w:w="1125" w:type="dxa"/>
            <w:shd w:val="clear" w:color="auto" w:fill="C00000"/>
            <w:tcMar>
              <w:left w:w="108" w:type="dxa"/>
              <w:right w:w="108" w:type="dxa"/>
            </w:tcMar>
            <w:vAlign w:val="bottom"/>
          </w:tcPr>
          <w:p w14:paraId="126B63B0" w14:textId="73CCC178"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43.56%</w:t>
            </w:r>
          </w:p>
        </w:tc>
        <w:tc>
          <w:tcPr>
            <w:tcW w:w="1260" w:type="dxa"/>
            <w:shd w:val="clear" w:color="auto" w:fill="FFFF00"/>
            <w:tcMar>
              <w:left w:w="108" w:type="dxa"/>
              <w:right w:w="108" w:type="dxa"/>
            </w:tcMar>
            <w:vAlign w:val="bottom"/>
          </w:tcPr>
          <w:p w14:paraId="14754460" w14:textId="2CB52EDD"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64.06%</w:t>
            </w:r>
          </w:p>
        </w:tc>
      </w:tr>
      <w:tr w:rsidR="4C92DD92" w14:paraId="5B0AE6F5"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024D8012" w14:textId="4CE57F1C"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Panzós</w:t>
            </w:r>
          </w:p>
        </w:tc>
        <w:tc>
          <w:tcPr>
            <w:tcW w:w="2025" w:type="dxa"/>
            <w:tcMar>
              <w:left w:w="108" w:type="dxa"/>
              <w:right w:w="108" w:type="dxa"/>
            </w:tcMar>
          </w:tcPr>
          <w:p w14:paraId="4B3FF93E" w14:textId="219A48A3"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Q70,740,458.24</w:t>
            </w:r>
          </w:p>
        </w:tc>
        <w:tc>
          <w:tcPr>
            <w:tcW w:w="1785" w:type="dxa"/>
            <w:tcMar>
              <w:left w:w="108" w:type="dxa"/>
              <w:right w:w="108" w:type="dxa"/>
            </w:tcMar>
          </w:tcPr>
          <w:p w14:paraId="4B422E0D" w14:textId="59B38DE1"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Q52,458,570.47</w:t>
            </w:r>
          </w:p>
        </w:tc>
        <w:tc>
          <w:tcPr>
            <w:tcW w:w="1125" w:type="dxa"/>
            <w:shd w:val="clear" w:color="auto" w:fill="C00000"/>
            <w:tcMar>
              <w:left w:w="108" w:type="dxa"/>
              <w:right w:w="108" w:type="dxa"/>
            </w:tcMar>
            <w:vAlign w:val="bottom"/>
          </w:tcPr>
          <w:p w14:paraId="3C4BC0A7" w14:textId="370E883D"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42.40%</w:t>
            </w:r>
          </w:p>
        </w:tc>
        <w:tc>
          <w:tcPr>
            <w:tcW w:w="1260" w:type="dxa"/>
            <w:shd w:val="clear" w:color="auto" w:fill="FFFF00"/>
            <w:tcMar>
              <w:left w:w="108" w:type="dxa"/>
              <w:right w:w="108" w:type="dxa"/>
            </w:tcMar>
            <w:vAlign w:val="bottom"/>
          </w:tcPr>
          <w:p w14:paraId="77087ED8" w14:textId="6A3D4F07"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74.16%</w:t>
            </w:r>
          </w:p>
        </w:tc>
      </w:tr>
      <w:tr w:rsidR="4C92DD92" w14:paraId="5F346DC4"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74BDACF9" w14:textId="5D496875"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San Cristóbal Verapaz</w:t>
            </w:r>
          </w:p>
        </w:tc>
        <w:tc>
          <w:tcPr>
            <w:tcW w:w="2025" w:type="dxa"/>
            <w:tcMar>
              <w:left w:w="108" w:type="dxa"/>
              <w:right w:w="108" w:type="dxa"/>
            </w:tcMar>
          </w:tcPr>
          <w:p w14:paraId="423E64A0" w14:textId="3838A609"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Q85,699,748.55</w:t>
            </w:r>
          </w:p>
        </w:tc>
        <w:tc>
          <w:tcPr>
            <w:tcW w:w="1785" w:type="dxa"/>
            <w:tcMar>
              <w:left w:w="108" w:type="dxa"/>
              <w:right w:w="108" w:type="dxa"/>
            </w:tcMar>
          </w:tcPr>
          <w:p w14:paraId="75925F74" w14:textId="4CBD4DA2"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Q46,780,206.34</w:t>
            </w:r>
          </w:p>
        </w:tc>
        <w:tc>
          <w:tcPr>
            <w:tcW w:w="1125" w:type="dxa"/>
            <w:shd w:val="clear" w:color="auto" w:fill="C00000"/>
            <w:tcMar>
              <w:left w:w="108" w:type="dxa"/>
              <w:right w:w="108" w:type="dxa"/>
            </w:tcMar>
            <w:vAlign w:val="bottom"/>
          </w:tcPr>
          <w:p w14:paraId="6FA1FFA6" w14:textId="20E3ED90"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40.17%</w:t>
            </w:r>
          </w:p>
        </w:tc>
        <w:tc>
          <w:tcPr>
            <w:tcW w:w="1260" w:type="dxa"/>
            <w:shd w:val="clear" w:color="auto" w:fill="FFFF00"/>
            <w:tcMar>
              <w:left w:w="108" w:type="dxa"/>
              <w:right w:w="108" w:type="dxa"/>
            </w:tcMar>
            <w:vAlign w:val="bottom"/>
          </w:tcPr>
          <w:p w14:paraId="4652C02B" w14:textId="2B7694E6"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54.59%</w:t>
            </w:r>
          </w:p>
        </w:tc>
      </w:tr>
      <w:tr w:rsidR="4C92DD92" w14:paraId="2282734E"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4A14ED1A" w14:textId="6173FB07"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Tamahú</w:t>
            </w:r>
          </w:p>
        </w:tc>
        <w:tc>
          <w:tcPr>
            <w:tcW w:w="2025" w:type="dxa"/>
            <w:tcMar>
              <w:left w:w="108" w:type="dxa"/>
              <w:right w:w="108" w:type="dxa"/>
            </w:tcMar>
          </w:tcPr>
          <w:p w14:paraId="47074642" w14:textId="0BDC60E1"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Q34,023,319.19</w:t>
            </w:r>
          </w:p>
        </w:tc>
        <w:tc>
          <w:tcPr>
            <w:tcW w:w="1785" w:type="dxa"/>
            <w:tcMar>
              <w:left w:w="108" w:type="dxa"/>
              <w:right w:w="108" w:type="dxa"/>
            </w:tcMar>
          </w:tcPr>
          <w:p w14:paraId="3C61C4FD" w14:textId="47BA04A0"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Q18,443,442.21</w:t>
            </w:r>
          </w:p>
        </w:tc>
        <w:tc>
          <w:tcPr>
            <w:tcW w:w="1125" w:type="dxa"/>
            <w:shd w:val="clear" w:color="auto" w:fill="C00000"/>
            <w:tcMar>
              <w:left w:w="108" w:type="dxa"/>
              <w:right w:w="108" w:type="dxa"/>
            </w:tcMar>
            <w:vAlign w:val="bottom"/>
          </w:tcPr>
          <w:p w14:paraId="454F9E7D" w14:textId="03098979"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38.53%</w:t>
            </w:r>
          </w:p>
        </w:tc>
        <w:tc>
          <w:tcPr>
            <w:tcW w:w="1260" w:type="dxa"/>
            <w:shd w:val="clear" w:color="auto" w:fill="FFFF00"/>
            <w:tcMar>
              <w:left w:w="108" w:type="dxa"/>
              <w:right w:w="108" w:type="dxa"/>
            </w:tcMar>
            <w:vAlign w:val="bottom"/>
          </w:tcPr>
          <w:p w14:paraId="4AE3B157" w14:textId="740E92B1"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54.21%</w:t>
            </w:r>
          </w:p>
        </w:tc>
      </w:tr>
      <w:tr w:rsidR="4C92DD92" w14:paraId="5002865B"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5B2D059F" w14:textId="09B4DA3A"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Tactic</w:t>
            </w:r>
          </w:p>
        </w:tc>
        <w:tc>
          <w:tcPr>
            <w:tcW w:w="2025" w:type="dxa"/>
            <w:tcMar>
              <w:left w:w="108" w:type="dxa"/>
              <w:right w:w="108" w:type="dxa"/>
            </w:tcMar>
          </w:tcPr>
          <w:p w14:paraId="4A20852B" w14:textId="33E8111F"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Q37,111,052.52</w:t>
            </w:r>
          </w:p>
        </w:tc>
        <w:tc>
          <w:tcPr>
            <w:tcW w:w="1785" w:type="dxa"/>
            <w:tcMar>
              <w:left w:w="108" w:type="dxa"/>
              <w:right w:w="108" w:type="dxa"/>
            </w:tcMar>
          </w:tcPr>
          <w:p w14:paraId="7239DF11" w14:textId="3F9AA591"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Q17,037,489.64</w:t>
            </w:r>
          </w:p>
        </w:tc>
        <w:tc>
          <w:tcPr>
            <w:tcW w:w="1125" w:type="dxa"/>
            <w:shd w:val="clear" w:color="auto" w:fill="C00000"/>
            <w:tcMar>
              <w:left w:w="108" w:type="dxa"/>
              <w:right w:w="108" w:type="dxa"/>
            </w:tcMar>
            <w:vAlign w:val="bottom"/>
          </w:tcPr>
          <w:p w14:paraId="19FA51AE" w14:textId="04E537F3"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35.30%</w:t>
            </w:r>
          </w:p>
        </w:tc>
        <w:tc>
          <w:tcPr>
            <w:tcW w:w="1260" w:type="dxa"/>
            <w:shd w:val="clear" w:color="auto" w:fill="C00000"/>
            <w:tcMar>
              <w:left w:w="108" w:type="dxa"/>
              <w:right w:w="108" w:type="dxa"/>
            </w:tcMar>
            <w:vAlign w:val="bottom"/>
          </w:tcPr>
          <w:p w14:paraId="44983789" w14:textId="132CC265"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45.91%</w:t>
            </w:r>
          </w:p>
        </w:tc>
      </w:tr>
      <w:tr w:rsidR="4C92DD92" w14:paraId="4260D062"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738E4142" w14:textId="6668506A"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Tucurú</w:t>
            </w:r>
          </w:p>
        </w:tc>
        <w:tc>
          <w:tcPr>
            <w:tcW w:w="2025" w:type="dxa"/>
            <w:tcMar>
              <w:left w:w="108" w:type="dxa"/>
              <w:right w:w="108" w:type="dxa"/>
            </w:tcMar>
          </w:tcPr>
          <w:p w14:paraId="0F22B5DF" w14:textId="2004B170"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Q30,216,717.69</w:t>
            </w:r>
          </w:p>
        </w:tc>
        <w:tc>
          <w:tcPr>
            <w:tcW w:w="1785" w:type="dxa"/>
            <w:tcMar>
              <w:left w:w="108" w:type="dxa"/>
              <w:right w:w="108" w:type="dxa"/>
            </w:tcMar>
          </w:tcPr>
          <w:p w14:paraId="6BC0AD45" w14:textId="21618EA6"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Q12,111,748.16</w:t>
            </w:r>
          </w:p>
        </w:tc>
        <w:tc>
          <w:tcPr>
            <w:tcW w:w="1125" w:type="dxa"/>
            <w:shd w:val="clear" w:color="auto" w:fill="C00000"/>
            <w:tcMar>
              <w:left w:w="108" w:type="dxa"/>
              <w:right w:w="108" w:type="dxa"/>
            </w:tcMar>
            <w:vAlign w:val="bottom"/>
          </w:tcPr>
          <w:p w14:paraId="7379A237" w14:textId="533C3360"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28.64%</w:t>
            </w:r>
          </w:p>
        </w:tc>
        <w:tc>
          <w:tcPr>
            <w:tcW w:w="1260" w:type="dxa"/>
            <w:shd w:val="clear" w:color="auto" w:fill="C00000"/>
            <w:tcMar>
              <w:left w:w="108" w:type="dxa"/>
              <w:right w:w="108" w:type="dxa"/>
            </w:tcMar>
            <w:vAlign w:val="bottom"/>
          </w:tcPr>
          <w:p w14:paraId="103153D5" w14:textId="44B386FE"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40.08%</w:t>
            </w:r>
          </w:p>
        </w:tc>
      </w:tr>
      <w:tr w:rsidR="4C92DD92" w14:paraId="6B3C79F2"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35965889" w14:textId="045D7498"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San Pedro Carchá</w:t>
            </w:r>
          </w:p>
        </w:tc>
        <w:tc>
          <w:tcPr>
            <w:tcW w:w="2025" w:type="dxa"/>
            <w:tcMar>
              <w:left w:w="108" w:type="dxa"/>
              <w:right w:w="108" w:type="dxa"/>
            </w:tcMar>
          </w:tcPr>
          <w:p w14:paraId="7BB74803" w14:textId="3E4779CE"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Q159,646,141.70</w:t>
            </w:r>
          </w:p>
        </w:tc>
        <w:tc>
          <w:tcPr>
            <w:tcW w:w="1785" w:type="dxa"/>
            <w:tcMar>
              <w:left w:w="108" w:type="dxa"/>
              <w:right w:w="108" w:type="dxa"/>
            </w:tcMar>
          </w:tcPr>
          <w:p w14:paraId="69BA590C" w14:textId="70C1C919"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Q95,901,336.31</w:t>
            </w:r>
          </w:p>
        </w:tc>
        <w:tc>
          <w:tcPr>
            <w:tcW w:w="1125" w:type="dxa"/>
            <w:shd w:val="clear" w:color="auto" w:fill="C00000"/>
            <w:tcMar>
              <w:left w:w="108" w:type="dxa"/>
              <w:right w:w="108" w:type="dxa"/>
            </w:tcMar>
            <w:vAlign w:val="bottom"/>
          </w:tcPr>
          <w:p w14:paraId="2CBA94D6" w14:textId="170E854F"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27.82%</w:t>
            </w:r>
          </w:p>
        </w:tc>
        <w:tc>
          <w:tcPr>
            <w:tcW w:w="1260" w:type="dxa"/>
            <w:shd w:val="clear" w:color="auto" w:fill="FFFF00"/>
            <w:tcMar>
              <w:left w:w="108" w:type="dxa"/>
              <w:right w:w="108" w:type="dxa"/>
            </w:tcMar>
            <w:vAlign w:val="bottom"/>
          </w:tcPr>
          <w:p w14:paraId="4E16F66C" w14:textId="01F6FFAB"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60.07%</w:t>
            </w:r>
          </w:p>
        </w:tc>
      </w:tr>
      <w:tr w:rsidR="4C92DD92" w14:paraId="3D34C129"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2B93762D" w14:textId="52F0B6A2"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Santa Cruz Verapaz</w:t>
            </w:r>
          </w:p>
        </w:tc>
        <w:tc>
          <w:tcPr>
            <w:tcW w:w="2025" w:type="dxa"/>
            <w:tcMar>
              <w:left w:w="108" w:type="dxa"/>
              <w:right w:w="108" w:type="dxa"/>
            </w:tcMar>
          </w:tcPr>
          <w:p w14:paraId="336CED93" w14:textId="6ACF7EFA"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Q70,613,230.69</w:t>
            </w:r>
          </w:p>
        </w:tc>
        <w:tc>
          <w:tcPr>
            <w:tcW w:w="1785" w:type="dxa"/>
            <w:tcMar>
              <w:left w:w="108" w:type="dxa"/>
              <w:right w:w="108" w:type="dxa"/>
            </w:tcMar>
          </w:tcPr>
          <w:p w14:paraId="04ED0789" w14:textId="33909262"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Q29,039,186.91</w:t>
            </w:r>
          </w:p>
        </w:tc>
        <w:tc>
          <w:tcPr>
            <w:tcW w:w="1125" w:type="dxa"/>
            <w:shd w:val="clear" w:color="auto" w:fill="C00000"/>
            <w:tcMar>
              <w:left w:w="108" w:type="dxa"/>
              <w:right w:w="108" w:type="dxa"/>
            </w:tcMar>
            <w:vAlign w:val="bottom"/>
          </w:tcPr>
          <w:p w14:paraId="09BFED0B" w14:textId="3094917F"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20.20%</w:t>
            </w:r>
          </w:p>
        </w:tc>
        <w:tc>
          <w:tcPr>
            <w:tcW w:w="1260" w:type="dxa"/>
            <w:shd w:val="clear" w:color="auto" w:fill="C00000"/>
            <w:tcMar>
              <w:left w:w="108" w:type="dxa"/>
              <w:right w:w="108" w:type="dxa"/>
            </w:tcMar>
            <w:vAlign w:val="bottom"/>
          </w:tcPr>
          <w:p w14:paraId="778762F8" w14:textId="2A0F22C3" w:rsidR="4C92DD92" w:rsidRDefault="4C92DD92" w:rsidP="4C92DD92">
            <w:pPr>
              <w:jc w:val="right"/>
              <w:cnfStyle w:val="000000100000" w:firstRow="0" w:lastRow="0" w:firstColumn="0" w:lastColumn="0" w:oddVBand="0" w:evenVBand="0" w:oddHBand="1" w:evenHBand="0" w:firstRowFirstColumn="0" w:firstRowLastColumn="0" w:lastRowFirstColumn="0" w:lastRowLastColumn="0"/>
            </w:pPr>
            <w:r w:rsidRPr="4C92DD92">
              <w:rPr>
                <w:rFonts w:cs="Calibri"/>
                <w:color w:val="000000" w:themeColor="text1"/>
                <w:sz w:val="22"/>
                <w:szCs w:val="22"/>
              </w:rPr>
              <w:t>41.12%</w:t>
            </w:r>
          </w:p>
        </w:tc>
      </w:tr>
      <w:tr w:rsidR="4C92DD92" w14:paraId="7273C549"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865" w:type="dxa"/>
            <w:tcMar>
              <w:left w:w="108" w:type="dxa"/>
              <w:right w:w="108" w:type="dxa"/>
            </w:tcMar>
          </w:tcPr>
          <w:p w14:paraId="43FD24E6" w14:textId="32344AA7" w:rsidR="4C92DD92" w:rsidRDefault="4C92DD92" w:rsidP="4C92DD92">
            <w:pPr>
              <w:rPr>
                <w:rFonts w:cs="Calibri"/>
                <w:b w:val="0"/>
                <w:bCs w:val="0"/>
                <w:color w:val="000000" w:themeColor="text1"/>
                <w:sz w:val="22"/>
                <w:szCs w:val="22"/>
              </w:rPr>
            </w:pPr>
            <w:r w:rsidRPr="4C92DD92">
              <w:rPr>
                <w:rFonts w:cs="Calibri"/>
                <w:b w:val="0"/>
                <w:bCs w:val="0"/>
                <w:color w:val="000000" w:themeColor="text1"/>
                <w:sz w:val="22"/>
                <w:szCs w:val="22"/>
              </w:rPr>
              <w:t>Chahal</w:t>
            </w:r>
          </w:p>
        </w:tc>
        <w:tc>
          <w:tcPr>
            <w:tcW w:w="2025" w:type="dxa"/>
            <w:tcMar>
              <w:left w:w="108" w:type="dxa"/>
              <w:right w:w="108" w:type="dxa"/>
            </w:tcMar>
          </w:tcPr>
          <w:p w14:paraId="3DC2EF1B" w14:textId="2B4078AB"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Q27,888,446.66</w:t>
            </w:r>
          </w:p>
        </w:tc>
        <w:tc>
          <w:tcPr>
            <w:tcW w:w="1785" w:type="dxa"/>
            <w:tcMar>
              <w:left w:w="108" w:type="dxa"/>
              <w:right w:w="108" w:type="dxa"/>
            </w:tcMar>
          </w:tcPr>
          <w:p w14:paraId="4CA66377" w14:textId="332AC40E"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Q11,253,072.91</w:t>
            </w:r>
          </w:p>
        </w:tc>
        <w:tc>
          <w:tcPr>
            <w:tcW w:w="1125" w:type="dxa"/>
            <w:shd w:val="clear" w:color="auto" w:fill="C00000"/>
            <w:tcMar>
              <w:left w:w="108" w:type="dxa"/>
              <w:right w:w="108" w:type="dxa"/>
            </w:tcMar>
            <w:vAlign w:val="bottom"/>
          </w:tcPr>
          <w:p w14:paraId="0C4334AC" w14:textId="53FF91B2"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11.88%</w:t>
            </w:r>
          </w:p>
        </w:tc>
        <w:tc>
          <w:tcPr>
            <w:tcW w:w="1260" w:type="dxa"/>
            <w:shd w:val="clear" w:color="auto" w:fill="C00000"/>
            <w:tcMar>
              <w:left w:w="108" w:type="dxa"/>
              <w:right w:w="108" w:type="dxa"/>
            </w:tcMar>
            <w:vAlign w:val="bottom"/>
          </w:tcPr>
          <w:p w14:paraId="472202CE" w14:textId="4C704BD4" w:rsidR="4C92DD92" w:rsidRDefault="4C92DD92" w:rsidP="4C92DD92">
            <w:pPr>
              <w:jc w:val="right"/>
              <w:cnfStyle w:val="000000000000" w:firstRow="0" w:lastRow="0" w:firstColumn="0" w:lastColumn="0" w:oddVBand="0" w:evenVBand="0" w:oddHBand="0" w:evenHBand="0" w:firstRowFirstColumn="0" w:firstRowLastColumn="0" w:lastRowFirstColumn="0" w:lastRowLastColumn="0"/>
            </w:pPr>
            <w:r w:rsidRPr="4C92DD92">
              <w:rPr>
                <w:rFonts w:cs="Calibri"/>
                <w:color w:val="000000" w:themeColor="text1"/>
                <w:sz w:val="22"/>
                <w:szCs w:val="22"/>
              </w:rPr>
              <w:t>40.35%</w:t>
            </w:r>
          </w:p>
        </w:tc>
      </w:tr>
    </w:tbl>
    <w:p w14:paraId="4213A687" w14:textId="1EB0741A" w:rsidR="00693BD9" w:rsidRPr="003051CD" w:rsidRDefault="3A42294A" w:rsidP="00693BD9">
      <w:pPr>
        <w:autoSpaceDE w:val="0"/>
        <w:autoSpaceDN w:val="0"/>
        <w:adjustRightInd w:val="0"/>
        <w:spacing w:after="0" w:line="240" w:lineRule="auto"/>
        <w:jc w:val="both"/>
      </w:pPr>
      <w:r w:rsidRPr="3A42294A">
        <w:rPr>
          <w:rFonts w:ascii="Calibri" w:eastAsia="Calibri" w:hAnsi="Calibri" w:cs="Calibri"/>
          <w:sz w:val="18"/>
          <w:szCs w:val="18"/>
          <w:lang w:val="es"/>
        </w:rPr>
        <w:t>Fuente: Siplangl. III informe cuatrimestral y acumulado. Año 2022.</w:t>
      </w:r>
    </w:p>
    <w:p w14:paraId="6BC17E2B" w14:textId="3AD16F92" w:rsidR="00693BD9" w:rsidRPr="002E2CD6" w:rsidRDefault="00693BD9" w:rsidP="44B431B7">
      <w:pPr>
        <w:autoSpaceDE w:val="0"/>
        <w:autoSpaceDN w:val="0"/>
        <w:adjustRightInd w:val="0"/>
        <w:spacing w:after="0" w:line="240" w:lineRule="auto"/>
        <w:jc w:val="both"/>
        <w:rPr>
          <w:rFonts w:eastAsia="Times New Roman" w:cstheme="minorHAnsi"/>
          <w:sz w:val="18"/>
          <w:szCs w:val="18"/>
          <w:lang w:val="es-ES"/>
        </w:rPr>
      </w:pPr>
    </w:p>
    <w:p w14:paraId="45F26514" w14:textId="0B6D8E04" w:rsidR="00693BD9" w:rsidRPr="002E2CD6" w:rsidRDefault="4C92DD92" w:rsidP="00E47805">
      <w:pPr>
        <w:autoSpaceDE w:val="0"/>
        <w:autoSpaceDN w:val="0"/>
        <w:adjustRightInd w:val="0"/>
        <w:spacing w:after="0" w:line="240" w:lineRule="auto"/>
        <w:contextualSpacing/>
        <w:jc w:val="both"/>
        <w:rPr>
          <w:rFonts w:eastAsia="Times New Roman" w:cstheme="minorHAnsi"/>
          <w:b/>
          <w:color w:val="002060"/>
          <w:sz w:val="28"/>
          <w:szCs w:val="28"/>
          <w:lang w:val="es-ES"/>
        </w:rPr>
      </w:pPr>
      <w:r w:rsidRPr="002E2CD6">
        <w:rPr>
          <w:rFonts w:eastAsia="Times New Roman" w:cstheme="minorHAnsi"/>
          <w:b/>
          <w:bCs/>
          <w:color w:val="002060"/>
          <w:sz w:val="28"/>
          <w:szCs w:val="28"/>
          <w:lang w:val="es-ES"/>
        </w:rPr>
        <w:t>Baja Verapaz</w:t>
      </w:r>
    </w:p>
    <w:p w14:paraId="235FC58B" w14:textId="0CE02727" w:rsidR="00693BD9" w:rsidRPr="003051CD" w:rsidRDefault="002E2CD6" w:rsidP="002E2CD6">
      <w:pPr>
        <w:autoSpaceDE w:val="0"/>
        <w:autoSpaceDN w:val="0"/>
        <w:adjustRightInd w:val="0"/>
        <w:spacing w:after="120" w:line="240" w:lineRule="auto"/>
        <w:jc w:val="both"/>
      </w:pPr>
      <w:r>
        <w:rPr>
          <w:noProof/>
        </w:rPr>
        <w:drawing>
          <wp:anchor distT="0" distB="0" distL="114300" distR="114300" simplePos="0" relativeHeight="251680256" behindDoc="1" locked="0" layoutInCell="1" allowOverlap="1" wp14:anchorId="532A13C4" wp14:editId="397CBA8E">
            <wp:simplePos x="0" y="0"/>
            <wp:positionH relativeFrom="column">
              <wp:posOffset>4163975</wp:posOffset>
            </wp:positionH>
            <wp:positionV relativeFrom="paragraph">
              <wp:posOffset>43739</wp:posOffset>
            </wp:positionV>
            <wp:extent cx="1504800" cy="1009866"/>
            <wp:effectExtent l="19050" t="19050" r="19685" b="19050"/>
            <wp:wrapTight wrapText="bothSides">
              <wp:wrapPolygon edited="0">
                <wp:start x="-274" y="-408"/>
                <wp:lineTo x="-274" y="21600"/>
                <wp:lineTo x="21609" y="21600"/>
                <wp:lineTo x="21609" y="-408"/>
                <wp:lineTo x="-274" y="-408"/>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04800" cy="100986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4C92DD92" w:rsidRPr="4C92DD92">
        <w:rPr>
          <w:rFonts w:ascii="Calibri" w:eastAsia="Calibri" w:hAnsi="Calibri" w:cs="Calibri"/>
          <w:sz w:val="24"/>
          <w:szCs w:val="24"/>
          <w:lang w:val="es-ES"/>
        </w:rPr>
        <w:t>Al finalizar el año 2022, el departamento reportó un avance promedio físico acumulado del 74.66%. Los municipios que mayor ejecución reportaron son: Salamá con 96.32%, Purulhá con 95.12% y Rabinal con 83.88%.</w:t>
      </w:r>
    </w:p>
    <w:p w14:paraId="7484B22B" w14:textId="3394C5A6" w:rsidR="00693BD9" w:rsidRPr="00055CFA" w:rsidRDefault="4C92DD92" w:rsidP="002E2CD6">
      <w:pPr>
        <w:autoSpaceDE w:val="0"/>
        <w:autoSpaceDN w:val="0"/>
        <w:adjustRightInd w:val="0"/>
        <w:spacing w:after="120" w:line="240" w:lineRule="auto"/>
        <w:jc w:val="both"/>
        <w:rPr>
          <w:rFonts w:ascii="Calibri" w:eastAsia="Calibri" w:hAnsi="Calibri" w:cs="Calibri"/>
          <w:sz w:val="24"/>
          <w:szCs w:val="24"/>
          <w:lang w:val="es-ES"/>
        </w:rPr>
      </w:pPr>
      <w:r w:rsidRPr="4C92DD92">
        <w:rPr>
          <w:rFonts w:ascii="Calibri" w:eastAsia="Calibri" w:hAnsi="Calibri" w:cs="Calibri"/>
          <w:sz w:val="24"/>
          <w:szCs w:val="24"/>
          <w:lang w:val="es-ES"/>
        </w:rPr>
        <w:t>En cuanto al avance financiero, el departamento reportó un acumulado del 81.22%, siendo los municipios que mayor ejecución presentaron: Salamá con 97.28%, Purulhá con 95.59% y Rabinal con 90.56%. Ver tabla siguiente</w:t>
      </w:r>
      <w:r w:rsidR="00055CFA">
        <w:rPr>
          <w:rFonts w:ascii="Calibri" w:eastAsia="Calibri" w:hAnsi="Calibri" w:cs="Calibri"/>
          <w:sz w:val="24"/>
          <w:szCs w:val="24"/>
          <w:lang w:val="es-ES"/>
        </w:rPr>
        <w:t>:</w:t>
      </w:r>
    </w:p>
    <w:p w14:paraId="40672EA5" w14:textId="58ACF671" w:rsidR="00693BD9" w:rsidRPr="002E2CD6" w:rsidRDefault="149C5B63" w:rsidP="00016865">
      <w:pPr>
        <w:pStyle w:val="ttulosgrficas"/>
        <w:rPr>
          <w:rFonts w:asciiTheme="minorHAnsi" w:eastAsia="Times New Roman" w:hAnsiTheme="minorHAnsi" w:cstheme="minorHAnsi"/>
          <w:color w:val="4472C4" w:themeColor="accent1"/>
          <w:lang w:val="es-ES"/>
        </w:rPr>
      </w:pPr>
      <w:bookmarkStart w:id="60" w:name="_Toc130199605"/>
      <w:r w:rsidRPr="002E2CD6">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17</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2E2CD6">
        <w:rPr>
          <w:rFonts w:asciiTheme="minorHAnsi" w:eastAsia="Times New Roman" w:hAnsiTheme="minorHAnsi" w:cstheme="minorHAnsi"/>
          <w:color w:val="4472C4" w:themeColor="accent1"/>
          <w:lang w:val="es-ES"/>
        </w:rPr>
        <w:t xml:space="preserve"> Ejecución Física y Financiera, departamento de Baja Verapaz</w:t>
      </w:r>
      <w:bookmarkEnd w:id="60"/>
    </w:p>
    <w:tbl>
      <w:tblPr>
        <w:tblStyle w:val="Tablaconcuadrcul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550"/>
        <w:gridCol w:w="2115"/>
        <w:gridCol w:w="1920"/>
        <w:gridCol w:w="1185"/>
        <w:gridCol w:w="1200"/>
      </w:tblGrid>
      <w:tr w:rsidR="149C5B63" w14:paraId="1D4D76B4" w14:textId="77777777" w:rsidTr="002E2CD6">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55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20149AF" w14:textId="11F596DC" w:rsidR="149C5B63" w:rsidRDefault="149C5B63" w:rsidP="149C5B63">
            <w:pPr>
              <w:jc w:val="center"/>
            </w:pPr>
            <w:r w:rsidRPr="149C5B63">
              <w:rPr>
                <w:rFonts w:cs="Calibri"/>
                <w:color w:val="000000" w:themeColor="text1"/>
                <w:sz w:val="22"/>
                <w:szCs w:val="22"/>
              </w:rPr>
              <w:t>Municipalidad</w:t>
            </w:r>
          </w:p>
        </w:tc>
        <w:tc>
          <w:tcPr>
            <w:tcW w:w="211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21C3E299" w14:textId="7DF4C861" w:rsidR="149C5B63" w:rsidRDefault="149C5B63" w:rsidP="149C5B63">
            <w:pPr>
              <w:jc w:val="center"/>
              <w:cnfStyle w:val="100000000000" w:firstRow="1"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Meta financiera anual Vigente</w:t>
            </w:r>
          </w:p>
        </w:tc>
        <w:tc>
          <w:tcPr>
            <w:tcW w:w="192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0533E67A" w14:textId="15F844BB" w:rsidR="149C5B63" w:rsidRDefault="149C5B63" w:rsidP="149C5B63">
            <w:pPr>
              <w:jc w:val="center"/>
              <w:cnfStyle w:val="100000000000" w:firstRow="1"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Ejecución financiera Acumulada</w:t>
            </w:r>
          </w:p>
        </w:tc>
        <w:tc>
          <w:tcPr>
            <w:tcW w:w="1185"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42931C1" w14:textId="72F48455" w:rsidR="149C5B63" w:rsidRDefault="149C5B63" w:rsidP="149C5B63">
            <w:pPr>
              <w:jc w:val="center"/>
              <w:cnfStyle w:val="100000000000" w:firstRow="1"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 de Ejecución Física</w:t>
            </w:r>
          </w:p>
        </w:tc>
        <w:tc>
          <w:tcPr>
            <w:tcW w:w="1200" w:type="dxa"/>
            <w:tcBorders>
              <w:top w:val="none" w:sz="0" w:space="0" w:color="auto"/>
              <w:left w:val="none" w:sz="0" w:space="0" w:color="auto"/>
              <w:bottom w:val="none" w:sz="0" w:space="0" w:color="auto"/>
              <w:right w:val="none" w:sz="0" w:space="0" w:color="auto"/>
            </w:tcBorders>
            <w:tcMar>
              <w:left w:w="108" w:type="dxa"/>
              <w:right w:w="108" w:type="dxa"/>
            </w:tcMar>
            <w:vAlign w:val="center"/>
          </w:tcPr>
          <w:p w14:paraId="7D93A2E4" w14:textId="1F7E0303" w:rsidR="149C5B63" w:rsidRDefault="149C5B63" w:rsidP="149C5B63">
            <w:pPr>
              <w:jc w:val="center"/>
              <w:cnfStyle w:val="100000000000" w:firstRow="1"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 de Ejecución Financiera</w:t>
            </w:r>
          </w:p>
        </w:tc>
      </w:tr>
      <w:tr w:rsidR="149C5B63" w14:paraId="08519AF6"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0" w:type="dxa"/>
            <w:tcMar>
              <w:left w:w="108" w:type="dxa"/>
              <w:right w:w="108" w:type="dxa"/>
            </w:tcMar>
          </w:tcPr>
          <w:p w14:paraId="7214F994" w14:textId="40EC60C8" w:rsidR="149C5B63" w:rsidRDefault="149C5B63" w:rsidP="149C5B63">
            <w:r w:rsidRPr="149C5B63">
              <w:rPr>
                <w:rFonts w:cs="Calibri"/>
                <w:color w:val="000000" w:themeColor="text1"/>
                <w:sz w:val="22"/>
                <w:szCs w:val="22"/>
              </w:rPr>
              <w:t>Todo el Departamento</w:t>
            </w:r>
          </w:p>
        </w:tc>
        <w:tc>
          <w:tcPr>
            <w:tcW w:w="2115" w:type="dxa"/>
            <w:tcMar>
              <w:left w:w="108" w:type="dxa"/>
              <w:right w:w="108" w:type="dxa"/>
            </w:tcMar>
          </w:tcPr>
          <w:p w14:paraId="3931295A" w14:textId="48D6C661"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b/>
                <w:bCs/>
                <w:color w:val="000000" w:themeColor="text1"/>
                <w:sz w:val="22"/>
                <w:szCs w:val="22"/>
              </w:rPr>
              <w:t>Q263,837,838.27</w:t>
            </w:r>
          </w:p>
        </w:tc>
        <w:tc>
          <w:tcPr>
            <w:tcW w:w="1920" w:type="dxa"/>
            <w:tcMar>
              <w:left w:w="108" w:type="dxa"/>
              <w:right w:w="108" w:type="dxa"/>
            </w:tcMar>
          </w:tcPr>
          <w:p w14:paraId="0044C37F" w14:textId="4D482ED7"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b/>
                <w:bCs/>
                <w:color w:val="000000" w:themeColor="text1"/>
                <w:sz w:val="22"/>
                <w:szCs w:val="22"/>
              </w:rPr>
              <w:t>Q214,287,471.11</w:t>
            </w:r>
          </w:p>
        </w:tc>
        <w:tc>
          <w:tcPr>
            <w:tcW w:w="1185" w:type="dxa"/>
            <w:shd w:val="clear" w:color="auto" w:fill="FFFF00"/>
            <w:tcMar>
              <w:left w:w="108" w:type="dxa"/>
              <w:right w:w="108" w:type="dxa"/>
            </w:tcMar>
            <w:vAlign w:val="bottom"/>
          </w:tcPr>
          <w:p w14:paraId="1EA073D8" w14:textId="72CD45ED"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b/>
                <w:bCs/>
                <w:color w:val="000000" w:themeColor="text1"/>
                <w:sz w:val="22"/>
                <w:szCs w:val="22"/>
              </w:rPr>
              <w:t>74.66%</w:t>
            </w:r>
          </w:p>
        </w:tc>
        <w:tc>
          <w:tcPr>
            <w:tcW w:w="1200" w:type="dxa"/>
            <w:shd w:val="clear" w:color="auto" w:fill="FFFF00"/>
            <w:tcMar>
              <w:left w:w="108" w:type="dxa"/>
              <w:right w:w="108" w:type="dxa"/>
            </w:tcMar>
            <w:vAlign w:val="bottom"/>
          </w:tcPr>
          <w:p w14:paraId="5A6BB601" w14:textId="68032E50"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b/>
                <w:bCs/>
                <w:color w:val="000000" w:themeColor="text1"/>
                <w:sz w:val="22"/>
                <w:szCs w:val="22"/>
              </w:rPr>
              <w:t>81.22%</w:t>
            </w:r>
          </w:p>
        </w:tc>
      </w:tr>
      <w:tr w:rsidR="149C5B63" w14:paraId="3502E340"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550" w:type="dxa"/>
            <w:tcMar>
              <w:left w:w="108" w:type="dxa"/>
              <w:right w:w="108" w:type="dxa"/>
            </w:tcMar>
          </w:tcPr>
          <w:p w14:paraId="3E4D28D5" w14:textId="29E44234" w:rsidR="149C5B63" w:rsidRDefault="149C5B63" w:rsidP="149C5B63">
            <w:pPr>
              <w:rPr>
                <w:rFonts w:cs="Calibri"/>
                <w:b w:val="0"/>
                <w:bCs w:val="0"/>
                <w:color w:val="000000" w:themeColor="text1"/>
                <w:sz w:val="22"/>
                <w:szCs w:val="22"/>
              </w:rPr>
            </w:pPr>
            <w:r w:rsidRPr="149C5B63">
              <w:rPr>
                <w:rFonts w:cs="Calibri"/>
                <w:b w:val="0"/>
                <w:bCs w:val="0"/>
                <w:color w:val="000000" w:themeColor="text1"/>
                <w:sz w:val="22"/>
                <w:szCs w:val="22"/>
              </w:rPr>
              <w:t>Salamá</w:t>
            </w:r>
          </w:p>
        </w:tc>
        <w:tc>
          <w:tcPr>
            <w:tcW w:w="2115" w:type="dxa"/>
            <w:tcMar>
              <w:left w:w="108" w:type="dxa"/>
              <w:right w:w="108" w:type="dxa"/>
            </w:tcMar>
          </w:tcPr>
          <w:p w14:paraId="7FF800B9" w14:textId="00761DD8"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Q42,238,589.06</w:t>
            </w:r>
          </w:p>
        </w:tc>
        <w:tc>
          <w:tcPr>
            <w:tcW w:w="1920" w:type="dxa"/>
            <w:tcMar>
              <w:left w:w="108" w:type="dxa"/>
              <w:right w:w="108" w:type="dxa"/>
            </w:tcMar>
          </w:tcPr>
          <w:p w14:paraId="3DD9A998" w14:textId="2A3C408D"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Q41,089,437.01</w:t>
            </w:r>
          </w:p>
        </w:tc>
        <w:tc>
          <w:tcPr>
            <w:tcW w:w="1185" w:type="dxa"/>
            <w:shd w:val="clear" w:color="auto" w:fill="92D050"/>
            <w:tcMar>
              <w:left w:w="108" w:type="dxa"/>
              <w:right w:w="108" w:type="dxa"/>
            </w:tcMar>
            <w:vAlign w:val="bottom"/>
          </w:tcPr>
          <w:p w14:paraId="5882D100" w14:textId="51B9A435"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96.32%</w:t>
            </w:r>
          </w:p>
        </w:tc>
        <w:tc>
          <w:tcPr>
            <w:tcW w:w="1200" w:type="dxa"/>
            <w:shd w:val="clear" w:color="auto" w:fill="92D050"/>
            <w:tcMar>
              <w:left w:w="108" w:type="dxa"/>
              <w:right w:w="108" w:type="dxa"/>
            </w:tcMar>
            <w:vAlign w:val="bottom"/>
          </w:tcPr>
          <w:p w14:paraId="409C66E8" w14:textId="40F86418"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97.28%</w:t>
            </w:r>
          </w:p>
        </w:tc>
      </w:tr>
      <w:tr w:rsidR="149C5B63" w14:paraId="1975AB49"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0" w:type="dxa"/>
            <w:tcMar>
              <w:left w:w="108" w:type="dxa"/>
              <w:right w:w="108" w:type="dxa"/>
            </w:tcMar>
          </w:tcPr>
          <w:p w14:paraId="2662BC8A" w14:textId="4C749F29" w:rsidR="149C5B63" w:rsidRDefault="149C5B63" w:rsidP="149C5B63">
            <w:pPr>
              <w:rPr>
                <w:rFonts w:cs="Calibri"/>
                <w:b w:val="0"/>
                <w:bCs w:val="0"/>
                <w:color w:val="000000" w:themeColor="text1"/>
                <w:sz w:val="22"/>
                <w:szCs w:val="22"/>
              </w:rPr>
            </w:pPr>
            <w:r w:rsidRPr="149C5B63">
              <w:rPr>
                <w:rFonts w:cs="Calibri"/>
                <w:b w:val="0"/>
                <w:bCs w:val="0"/>
                <w:color w:val="000000" w:themeColor="text1"/>
                <w:sz w:val="22"/>
                <w:szCs w:val="22"/>
              </w:rPr>
              <w:t>Purulhá</w:t>
            </w:r>
          </w:p>
        </w:tc>
        <w:tc>
          <w:tcPr>
            <w:tcW w:w="2115" w:type="dxa"/>
            <w:tcMar>
              <w:left w:w="108" w:type="dxa"/>
              <w:right w:w="108" w:type="dxa"/>
            </w:tcMar>
          </w:tcPr>
          <w:p w14:paraId="62F2707E" w14:textId="494B12F9"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Q34,018,807.81</w:t>
            </w:r>
          </w:p>
        </w:tc>
        <w:tc>
          <w:tcPr>
            <w:tcW w:w="1920" w:type="dxa"/>
            <w:tcMar>
              <w:left w:w="108" w:type="dxa"/>
              <w:right w:w="108" w:type="dxa"/>
            </w:tcMar>
          </w:tcPr>
          <w:p w14:paraId="2664F56E" w14:textId="6C11A895"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Q32,518,682.96</w:t>
            </w:r>
          </w:p>
        </w:tc>
        <w:tc>
          <w:tcPr>
            <w:tcW w:w="1185" w:type="dxa"/>
            <w:shd w:val="clear" w:color="auto" w:fill="92D050"/>
            <w:tcMar>
              <w:left w:w="108" w:type="dxa"/>
              <w:right w:w="108" w:type="dxa"/>
            </w:tcMar>
            <w:vAlign w:val="bottom"/>
          </w:tcPr>
          <w:p w14:paraId="1635F425" w14:textId="5340A210"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95.12%</w:t>
            </w:r>
          </w:p>
        </w:tc>
        <w:tc>
          <w:tcPr>
            <w:tcW w:w="1200" w:type="dxa"/>
            <w:shd w:val="clear" w:color="auto" w:fill="92D050"/>
            <w:tcMar>
              <w:left w:w="108" w:type="dxa"/>
              <w:right w:w="108" w:type="dxa"/>
            </w:tcMar>
            <w:vAlign w:val="bottom"/>
          </w:tcPr>
          <w:p w14:paraId="652DA997" w14:textId="71EF943C"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95.59%</w:t>
            </w:r>
          </w:p>
        </w:tc>
      </w:tr>
      <w:tr w:rsidR="149C5B63" w14:paraId="5BFACFEF"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550" w:type="dxa"/>
            <w:tcMar>
              <w:left w:w="108" w:type="dxa"/>
              <w:right w:w="108" w:type="dxa"/>
            </w:tcMar>
          </w:tcPr>
          <w:p w14:paraId="43BB49CE" w14:textId="0F828A7F" w:rsidR="149C5B63" w:rsidRDefault="149C5B63" w:rsidP="149C5B63">
            <w:pPr>
              <w:rPr>
                <w:rFonts w:cs="Calibri"/>
                <w:b w:val="0"/>
                <w:bCs w:val="0"/>
                <w:color w:val="000000" w:themeColor="text1"/>
                <w:sz w:val="22"/>
                <w:szCs w:val="22"/>
              </w:rPr>
            </w:pPr>
            <w:r w:rsidRPr="149C5B63">
              <w:rPr>
                <w:rFonts w:cs="Calibri"/>
                <w:b w:val="0"/>
                <w:bCs w:val="0"/>
                <w:color w:val="000000" w:themeColor="text1"/>
                <w:sz w:val="22"/>
                <w:szCs w:val="22"/>
              </w:rPr>
              <w:t>Rabinal</w:t>
            </w:r>
          </w:p>
        </w:tc>
        <w:tc>
          <w:tcPr>
            <w:tcW w:w="2115" w:type="dxa"/>
            <w:tcMar>
              <w:left w:w="108" w:type="dxa"/>
              <w:right w:w="108" w:type="dxa"/>
            </w:tcMar>
          </w:tcPr>
          <w:p w14:paraId="463D1CE0" w14:textId="2940C60D"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Q26,469,964.43</w:t>
            </w:r>
          </w:p>
        </w:tc>
        <w:tc>
          <w:tcPr>
            <w:tcW w:w="1920" w:type="dxa"/>
            <w:tcMar>
              <w:left w:w="108" w:type="dxa"/>
              <w:right w:w="108" w:type="dxa"/>
            </w:tcMar>
          </w:tcPr>
          <w:p w14:paraId="3948AFD0" w14:textId="7B59690D"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Q23,970,400.55</w:t>
            </w:r>
          </w:p>
        </w:tc>
        <w:tc>
          <w:tcPr>
            <w:tcW w:w="1185" w:type="dxa"/>
            <w:shd w:val="clear" w:color="auto" w:fill="FFFF00"/>
            <w:tcMar>
              <w:left w:w="108" w:type="dxa"/>
              <w:right w:w="108" w:type="dxa"/>
            </w:tcMar>
            <w:vAlign w:val="bottom"/>
          </w:tcPr>
          <w:p w14:paraId="277D9436" w14:textId="41DEB4E5"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83.88%</w:t>
            </w:r>
          </w:p>
        </w:tc>
        <w:tc>
          <w:tcPr>
            <w:tcW w:w="1200" w:type="dxa"/>
            <w:shd w:val="clear" w:color="auto" w:fill="92D050"/>
            <w:tcMar>
              <w:left w:w="108" w:type="dxa"/>
              <w:right w:w="108" w:type="dxa"/>
            </w:tcMar>
            <w:vAlign w:val="bottom"/>
          </w:tcPr>
          <w:p w14:paraId="7D71C290" w14:textId="4E3C4701"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90.56%</w:t>
            </w:r>
          </w:p>
        </w:tc>
      </w:tr>
      <w:tr w:rsidR="149C5B63" w14:paraId="47A35C0A"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0" w:type="dxa"/>
            <w:tcMar>
              <w:left w:w="108" w:type="dxa"/>
              <w:right w:w="108" w:type="dxa"/>
            </w:tcMar>
          </w:tcPr>
          <w:p w14:paraId="50624071" w14:textId="0CE3141F" w:rsidR="149C5B63" w:rsidRDefault="149C5B63" w:rsidP="149C5B63">
            <w:pPr>
              <w:rPr>
                <w:rFonts w:cs="Calibri"/>
                <w:b w:val="0"/>
                <w:bCs w:val="0"/>
                <w:color w:val="000000" w:themeColor="text1"/>
                <w:sz w:val="22"/>
                <w:szCs w:val="22"/>
              </w:rPr>
            </w:pPr>
            <w:r w:rsidRPr="149C5B63">
              <w:rPr>
                <w:rFonts w:cs="Calibri"/>
                <w:b w:val="0"/>
                <w:bCs w:val="0"/>
                <w:color w:val="000000" w:themeColor="text1"/>
                <w:sz w:val="22"/>
                <w:szCs w:val="22"/>
              </w:rPr>
              <w:t>Cubulco</w:t>
            </w:r>
          </w:p>
        </w:tc>
        <w:tc>
          <w:tcPr>
            <w:tcW w:w="2115" w:type="dxa"/>
            <w:tcMar>
              <w:left w:w="108" w:type="dxa"/>
              <w:right w:w="108" w:type="dxa"/>
            </w:tcMar>
          </w:tcPr>
          <w:p w14:paraId="1046916D" w14:textId="567DD354"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Q41,222,530.94</w:t>
            </w:r>
          </w:p>
        </w:tc>
        <w:tc>
          <w:tcPr>
            <w:tcW w:w="1920" w:type="dxa"/>
            <w:tcMar>
              <w:left w:w="108" w:type="dxa"/>
              <w:right w:w="108" w:type="dxa"/>
            </w:tcMar>
          </w:tcPr>
          <w:p w14:paraId="66093745" w14:textId="26B971B0"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Q31,598,263.36</w:t>
            </w:r>
          </w:p>
        </w:tc>
        <w:tc>
          <w:tcPr>
            <w:tcW w:w="1185" w:type="dxa"/>
            <w:shd w:val="clear" w:color="auto" w:fill="FFFF00"/>
            <w:tcMar>
              <w:left w:w="108" w:type="dxa"/>
              <w:right w:w="108" w:type="dxa"/>
            </w:tcMar>
            <w:vAlign w:val="bottom"/>
          </w:tcPr>
          <w:p w14:paraId="1E20D75C" w14:textId="261CE52A"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75.28%</w:t>
            </w:r>
          </w:p>
        </w:tc>
        <w:tc>
          <w:tcPr>
            <w:tcW w:w="1200" w:type="dxa"/>
            <w:shd w:val="clear" w:color="auto" w:fill="FFFF00"/>
            <w:tcMar>
              <w:left w:w="108" w:type="dxa"/>
              <w:right w:w="108" w:type="dxa"/>
            </w:tcMar>
            <w:vAlign w:val="bottom"/>
          </w:tcPr>
          <w:p w14:paraId="1D493B58" w14:textId="46F3D063"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76.65%</w:t>
            </w:r>
          </w:p>
        </w:tc>
      </w:tr>
      <w:tr w:rsidR="149C5B63" w14:paraId="2F0EE867"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550" w:type="dxa"/>
            <w:tcMar>
              <w:left w:w="108" w:type="dxa"/>
              <w:right w:w="108" w:type="dxa"/>
            </w:tcMar>
          </w:tcPr>
          <w:p w14:paraId="625CCDC1" w14:textId="5BDCED1C" w:rsidR="149C5B63" w:rsidRDefault="149C5B63" w:rsidP="149C5B63">
            <w:pPr>
              <w:rPr>
                <w:rFonts w:cs="Calibri"/>
                <w:b w:val="0"/>
                <w:bCs w:val="0"/>
                <w:color w:val="000000" w:themeColor="text1"/>
                <w:sz w:val="22"/>
                <w:szCs w:val="22"/>
              </w:rPr>
            </w:pPr>
            <w:r w:rsidRPr="149C5B63">
              <w:rPr>
                <w:rFonts w:cs="Calibri"/>
                <w:b w:val="0"/>
                <w:bCs w:val="0"/>
                <w:color w:val="000000" w:themeColor="text1"/>
                <w:sz w:val="22"/>
                <w:szCs w:val="22"/>
              </w:rPr>
              <w:t>San Miguel Chicaj</w:t>
            </w:r>
          </w:p>
        </w:tc>
        <w:tc>
          <w:tcPr>
            <w:tcW w:w="2115" w:type="dxa"/>
            <w:tcMar>
              <w:left w:w="108" w:type="dxa"/>
              <w:right w:w="108" w:type="dxa"/>
            </w:tcMar>
          </w:tcPr>
          <w:p w14:paraId="537BA0E4" w14:textId="35E1CA6C"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Q43,453,970.69</w:t>
            </w:r>
          </w:p>
        </w:tc>
        <w:tc>
          <w:tcPr>
            <w:tcW w:w="1920" w:type="dxa"/>
            <w:tcMar>
              <w:left w:w="108" w:type="dxa"/>
              <w:right w:w="108" w:type="dxa"/>
            </w:tcMar>
          </w:tcPr>
          <w:p w14:paraId="4A862A3D" w14:textId="4316BAA2"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Q34,551,688.39</w:t>
            </w:r>
          </w:p>
        </w:tc>
        <w:tc>
          <w:tcPr>
            <w:tcW w:w="1185" w:type="dxa"/>
            <w:shd w:val="clear" w:color="auto" w:fill="FFFF00"/>
            <w:tcMar>
              <w:left w:w="108" w:type="dxa"/>
              <w:right w:w="108" w:type="dxa"/>
            </w:tcMar>
            <w:vAlign w:val="bottom"/>
          </w:tcPr>
          <w:p w14:paraId="07EAA5FB" w14:textId="576684C4"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75.22%</w:t>
            </w:r>
          </w:p>
        </w:tc>
        <w:tc>
          <w:tcPr>
            <w:tcW w:w="1200" w:type="dxa"/>
            <w:shd w:val="clear" w:color="auto" w:fill="FFFF00"/>
            <w:tcMar>
              <w:left w:w="108" w:type="dxa"/>
              <w:right w:w="108" w:type="dxa"/>
            </w:tcMar>
            <w:vAlign w:val="bottom"/>
          </w:tcPr>
          <w:p w14:paraId="5D63EEA5" w14:textId="6DC1CE7D"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79.51%</w:t>
            </w:r>
          </w:p>
        </w:tc>
      </w:tr>
      <w:tr w:rsidR="149C5B63" w14:paraId="69DE1D03"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0" w:type="dxa"/>
            <w:tcMar>
              <w:left w:w="108" w:type="dxa"/>
              <w:right w:w="108" w:type="dxa"/>
            </w:tcMar>
          </w:tcPr>
          <w:p w14:paraId="6A785492" w14:textId="506C057F" w:rsidR="149C5B63" w:rsidRDefault="149C5B63" w:rsidP="149C5B63">
            <w:pPr>
              <w:rPr>
                <w:rFonts w:cs="Calibri"/>
                <w:b w:val="0"/>
                <w:bCs w:val="0"/>
                <w:color w:val="000000" w:themeColor="text1"/>
                <w:sz w:val="22"/>
                <w:szCs w:val="22"/>
              </w:rPr>
            </w:pPr>
            <w:r w:rsidRPr="149C5B63">
              <w:rPr>
                <w:rFonts w:cs="Calibri"/>
                <w:b w:val="0"/>
                <w:bCs w:val="0"/>
                <w:color w:val="000000" w:themeColor="text1"/>
                <w:sz w:val="22"/>
                <w:szCs w:val="22"/>
              </w:rPr>
              <w:t>San Jerónimo</w:t>
            </w:r>
          </w:p>
        </w:tc>
        <w:tc>
          <w:tcPr>
            <w:tcW w:w="2115" w:type="dxa"/>
            <w:tcMar>
              <w:left w:w="108" w:type="dxa"/>
              <w:right w:w="108" w:type="dxa"/>
            </w:tcMar>
          </w:tcPr>
          <w:p w14:paraId="7B8FCED3" w14:textId="59766F6E"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Q23,552,450.12</w:t>
            </w:r>
          </w:p>
        </w:tc>
        <w:tc>
          <w:tcPr>
            <w:tcW w:w="1920" w:type="dxa"/>
            <w:tcMar>
              <w:left w:w="108" w:type="dxa"/>
              <w:right w:w="108" w:type="dxa"/>
            </w:tcMar>
          </w:tcPr>
          <w:p w14:paraId="6AC778A8" w14:textId="52FF923C"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Q12,444,859.19</w:t>
            </w:r>
          </w:p>
        </w:tc>
        <w:tc>
          <w:tcPr>
            <w:tcW w:w="1185" w:type="dxa"/>
            <w:shd w:val="clear" w:color="auto" w:fill="FFFF00"/>
            <w:tcMar>
              <w:left w:w="108" w:type="dxa"/>
              <w:right w:w="108" w:type="dxa"/>
            </w:tcMar>
            <w:vAlign w:val="bottom"/>
          </w:tcPr>
          <w:p w14:paraId="41AA3E79" w14:textId="190B5607"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67.45%</w:t>
            </w:r>
          </w:p>
        </w:tc>
        <w:tc>
          <w:tcPr>
            <w:tcW w:w="1200" w:type="dxa"/>
            <w:shd w:val="clear" w:color="auto" w:fill="FFFF00"/>
            <w:tcMar>
              <w:left w:w="108" w:type="dxa"/>
              <w:right w:w="108" w:type="dxa"/>
            </w:tcMar>
            <w:vAlign w:val="bottom"/>
          </w:tcPr>
          <w:p w14:paraId="148438FC" w14:textId="0795AD58"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52.84%</w:t>
            </w:r>
          </w:p>
        </w:tc>
      </w:tr>
      <w:tr w:rsidR="149C5B63" w14:paraId="119378AF" w14:textId="77777777" w:rsidTr="002E2CD6">
        <w:trPr>
          <w:trHeight w:val="300"/>
        </w:trPr>
        <w:tc>
          <w:tcPr>
            <w:cnfStyle w:val="001000000000" w:firstRow="0" w:lastRow="0" w:firstColumn="1" w:lastColumn="0" w:oddVBand="0" w:evenVBand="0" w:oddHBand="0" w:evenHBand="0" w:firstRowFirstColumn="0" w:firstRowLastColumn="0" w:lastRowFirstColumn="0" w:lastRowLastColumn="0"/>
            <w:tcW w:w="2550" w:type="dxa"/>
            <w:tcMar>
              <w:left w:w="108" w:type="dxa"/>
              <w:right w:w="108" w:type="dxa"/>
            </w:tcMar>
          </w:tcPr>
          <w:p w14:paraId="11E7DA3F" w14:textId="3FE6B954" w:rsidR="149C5B63" w:rsidRDefault="149C5B63" w:rsidP="149C5B63">
            <w:pPr>
              <w:rPr>
                <w:rFonts w:cs="Calibri"/>
                <w:b w:val="0"/>
                <w:bCs w:val="0"/>
                <w:color w:val="000000" w:themeColor="text1"/>
                <w:sz w:val="22"/>
                <w:szCs w:val="22"/>
              </w:rPr>
            </w:pPr>
            <w:r w:rsidRPr="149C5B63">
              <w:rPr>
                <w:rFonts w:cs="Calibri"/>
                <w:b w:val="0"/>
                <w:bCs w:val="0"/>
                <w:color w:val="000000" w:themeColor="text1"/>
                <w:sz w:val="22"/>
                <w:szCs w:val="22"/>
              </w:rPr>
              <w:t>El Chol</w:t>
            </w:r>
          </w:p>
        </w:tc>
        <w:tc>
          <w:tcPr>
            <w:tcW w:w="2115" w:type="dxa"/>
            <w:tcMar>
              <w:left w:w="108" w:type="dxa"/>
              <w:right w:w="108" w:type="dxa"/>
            </w:tcMar>
          </w:tcPr>
          <w:p w14:paraId="6289ACAA" w14:textId="68D068C8"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Q24,900,360.07</w:t>
            </w:r>
          </w:p>
        </w:tc>
        <w:tc>
          <w:tcPr>
            <w:tcW w:w="1920" w:type="dxa"/>
            <w:tcMar>
              <w:left w:w="108" w:type="dxa"/>
              <w:right w:w="108" w:type="dxa"/>
            </w:tcMar>
          </w:tcPr>
          <w:p w14:paraId="00BFA471" w14:textId="4A761364"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Q21,310,728.65</w:t>
            </w:r>
          </w:p>
        </w:tc>
        <w:tc>
          <w:tcPr>
            <w:tcW w:w="1185" w:type="dxa"/>
            <w:shd w:val="clear" w:color="auto" w:fill="FFFF00"/>
            <w:tcMar>
              <w:left w:w="108" w:type="dxa"/>
              <w:right w:w="108" w:type="dxa"/>
            </w:tcMar>
            <w:vAlign w:val="bottom"/>
          </w:tcPr>
          <w:p w14:paraId="2BF87C5C" w14:textId="2B9E1860"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59.02%</w:t>
            </w:r>
          </w:p>
        </w:tc>
        <w:tc>
          <w:tcPr>
            <w:tcW w:w="1200" w:type="dxa"/>
            <w:shd w:val="clear" w:color="auto" w:fill="FFFF00"/>
            <w:tcMar>
              <w:left w:w="108" w:type="dxa"/>
              <w:right w:w="108" w:type="dxa"/>
            </w:tcMar>
            <w:vAlign w:val="bottom"/>
          </w:tcPr>
          <w:p w14:paraId="60797173" w14:textId="1C1D80AD" w:rsidR="149C5B63" w:rsidRDefault="149C5B63" w:rsidP="149C5B63">
            <w:pPr>
              <w:jc w:val="right"/>
              <w:cnfStyle w:val="000000000000" w:firstRow="0" w:lastRow="0" w:firstColumn="0" w:lastColumn="0" w:oddVBand="0" w:evenVBand="0" w:oddHBand="0" w:evenHBand="0" w:firstRowFirstColumn="0" w:firstRowLastColumn="0" w:lastRowFirstColumn="0" w:lastRowLastColumn="0"/>
            </w:pPr>
            <w:r w:rsidRPr="149C5B63">
              <w:rPr>
                <w:rFonts w:cs="Calibri"/>
                <w:color w:val="000000" w:themeColor="text1"/>
                <w:sz w:val="22"/>
                <w:szCs w:val="22"/>
              </w:rPr>
              <w:t>85.58%</w:t>
            </w:r>
          </w:p>
        </w:tc>
      </w:tr>
      <w:tr w:rsidR="149C5B63" w14:paraId="251EE6BB" w14:textId="77777777" w:rsidTr="002E2C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0" w:type="dxa"/>
            <w:tcMar>
              <w:left w:w="108" w:type="dxa"/>
              <w:right w:w="108" w:type="dxa"/>
            </w:tcMar>
          </w:tcPr>
          <w:p w14:paraId="05A5518F" w14:textId="64C1D561" w:rsidR="149C5B63" w:rsidRDefault="149C5B63" w:rsidP="149C5B63">
            <w:pPr>
              <w:rPr>
                <w:rFonts w:cs="Calibri"/>
                <w:b w:val="0"/>
                <w:bCs w:val="0"/>
                <w:color w:val="000000" w:themeColor="text1"/>
                <w:sz w:val="22"/>
                <w:szCs w:val="22"/>
              </w:rPr>
            </w:pPr>
            <w:r w:rsidRPr="149C5B63">
              <w:rPr>
                <w:rFonts w:cs="Calibri"/>
                <w:b w:val="0"/>
                <w:bCs w:val="0"/>
                <w:color w:val="000000" w:themeColor="text1"/>
                <w:sz w:val="22"/>
                <w:szCs w:val="22"/>
              </w:rPr>
              <w:t>Granados</w:t>
            </w:r>
          </w:p>
        </w:tc>
        <w:tc>
          <w:tcPr>
            <w:tcW w:w="2115" w:type="dxa"/>
            <w:tcMar>
              <w:left w:w="108" w:type="dxa"/>
              <w:right w:w="108" w:type="dxa"/>
            </w:tcMar>
          </w:tcPr>
          <w:p w14:paraId="2AACAA74" w14:textId="1ADED3FD"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Q27,981,165.15</w:t>
            </w:r>
          </w:p>
        </w:tc>
        <w:tc>
          <w:tcPr>
            <w:tcW w:w="1920" w:type="dxa"/>
            <w:tcMar>
              <w:left w:w="108" w:type="dxa"/>
              <w:right w:w="108" w:type="dxa"/>
            </w:tcMar>
          </w:tcPr>
          <w:p w14:paraId="5D4EAB88" w14:textId="4C250BB9"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Q16,803,411.00</w:t>
            </w:r>
          </w:p>
        </w:tc>
        <w:tc>
          <w:tcPr>
            <w:tcW w:w="1185" w:type="dxa"/>
            <w:shd w:val="clear" w:color="auto" w:fill="C00000"/>
            <w:tcMar>
              <w:left w:w="108" w:type="dxa"/>
              <w:right w:w="108" w:type="dxa"/>
            </w:tcMar>
            <w:vAlign w:val="bottom"/>
          </w:tcPr>
          <w:p w14:paraId="183AAE18" w14:textId="6C7BE988"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43.67%</w:t>
            </w:r>
          </w:p>
        </w:tc>
        <w:tc>
          <w:tcPr>
            <w:tcW w:w="1200" w:type="dxa"/>
            <w:shd w:val="clear" w:color="auto" w:fill="FFFF00"/>
            <w:tcMar>
              <w:left w:w="108" w:type="dxa"/>
              <w:right w:w="108" w:type="dxa"/>
            </w:tcMar>
            <w:vAlign w:val="bottom"/>
          </w:tcPr>
          <w:p w14:paraId="70090FDA" w14:textId="4467D5DE" w:rsidR="149C5B63" w:rsidRDefault="149C5B63" w:rsidP="149C5B63">
            <w:pPr>
              <w:jc w:val="right"/>
              <w:cnfStyle w:val="000000100000" w:firstRow="0" w:lastRow="0" w:firstColumn="0" w:lastColumn="0" w:oddVBand="0" w:evenVBand="0" w:oddHBand="1" w:evenHBand="0" w:firstRowFirstColumn="0" w:firstRowLastColumn="0" w:lastRowFirstColumn="0" w:lastRowLastColumn="0"/>
            </w:pPr>
            <w:r w:rsidRPr="149C5B63">
              <w:rPr>
                <w:rFonts w:cs="Calibri"/>
                <w:color w:val="000000" w:themeColor="text1"/>
                <w:sz w:val="22"/>
                <w:szCs w:val="22"/>
              </w:rPr>
              <w:t>60.05%</w:t>
            </w:r>
          </w:p>
        </w:tc>
      </w:tr>
    </w:tbl>
    <w:p w14:paraId="39866440" w14:textId="08A0B29A" w:rsidR="149C5B63" w:rsidRDefault="3A42294A" w:rsidP="007A6B50">
      <w:pPr>
        <w:spacing w:after="120" w:line="240" w:lineRule="auto"/>
        <w:jc w:val="both"/>
        <w:rPr>
          <w:rFonts w:ascii="Helvetica" w:eastAsia="Helvetica" w:hAnsi="Helvetica" w:cs="Helvetica"/>
          <w:sz w:val="18"/>
          <w:szCs w:val="18"/>
          <w:lang w:val="es-ES"/>
        </w:rPr>
      </w:pPr>
      <w:r w:rsidRPr="3A42294A">
        <w:rPr>
          <w:rFonts w:ascii="Calibri" w:eastAsia="Calibri" w:hAnsi="Calibri" w:cs="Calibri"/>
          <w:sz w:val="18"/>
          <w:szCs w:val="18"/>
          <w:lang w:val="es"/>
        </w:rPr>
        <w:t>Fuente: Siplangl. III informe cuatrimestral y acumulado. Año 2022.</w:t>
      </w:r>
    </w:p>
    <w:p w14:paraId="39F10E79" w14:textId="77777777" w:rsidR="0093034A" w:rsidRDefault="0093034A" w:rsidP="007A6B50">
      <w:pPr>
        <w:autoSpaceDE w:val="0"/>
        <w:autoSpaceDN w:val="0"/>
        <w:adjustRightInd w:val="0"/>
        <w:spacing w:after="120" w:line="240" w:lineRule="auto"/>
        <w:jc w:val="both"/>
        <w:rPr>
          <w:rFonts w:eastAsia="Times New Roman" w:cstheme="minorHAnsi"/>
          <w:b/>
          <w:bCs/>
          <w:color w:val="002060"/>
          <w:sz w:val="28"/>
          <w:szCs w:val="28"/>
          <w:lang w:val="es-ES"/>
        </w:rPr>
      </w:pPr>
    </w:p>
    <w:p w14:paraId="7337D416" w14:textId="77777777" w:rsidR="0093034A" w:rsidRDefault="0093034A" w:rsidP="007A6B50">
      <w:pPr>
        <w:autoSpaceDE w:val="0"/>
        <w:autoSpaceDN w:val="0"/>
        <w:adjustRightInd w:val="0"/>
        <w:spacing w:after="120" w:line="240" w:lineRule="auto"/>
        <w:jc w:val="both"/>
        <w:rPr>
          <w:rFonts w:eastAsia="Times New Roman" w:cstheme="minorHAnsi"/>
          <w:b/>
          <w:bCs/>
          <w:color w:val="002060"/>
          <w:sz w:val="28"/>
          <w:szCs w:val="28"/>
          <w:lang w:val="es-ES"/>
        </w:rPr>
      </w:pPr>
    </w:p>
    <w:p w14:paraId="013A891D" w14:textId="3FD035F8" w:rsidR="00693BD9" w:rsidRPr="00E47805" w:rsidRDefault="149C5B63" w:rsidP="007A6B50">
      <w:pPr>
        <w:autoSpaceDE w:val="0"/>
        <w:autoSpaceDN w:val="0"/>
        <w:adjustRightInd w:val="0"/>
        <w:spacing w:after="120" w:line="240" w:lineRule="auto"/>
        <w:jc w:val="both"/>
        <w:rPr>
          <w:rFonts w:ascii="Helvetica" w:eastAsia="Times New Roman" w:hAnsi="Helvetica" w:cs="Helvetica"/>
          <w:b/>
          <w:color w:val="002060"/>
          <w:sz w:val="28"/>
          <w:szCs w:val="28"/>
          <w:lang w:val="es-ES"/>
        </w:rPr>
      </w:pPr>
      <w:r w:rsidRPr="002E2CD6">
        <w:rPr>
          <w:rFonts w:eastAsia="Times New Roman" w:cstheme="minorHAnsi"/>
          <w:b/>
          <w:bCs/>
          <w:color w:val="002060"/>
          <w:sz w:val="28"/>
          <w:szCs w:val="28"/>
          <w:lang w:val="es-ES"/>
        </w:rPr>
        <w:t>Chimaltenango</w:t>
      </w:r>
    </w:p>
    <w:p w14:paraId="6AB44631" w14:textId="23E00344" w:rsidR="00693BD9" w:rsidRPr="003051CD" w:rsidRDefault="002E2CD6" w:rsidP="007A6B50">
      <w:pPr>
        <w:autoSpaceDE w:val="0"/>
        <w:autoSpaceDN w:val="0"/>
        <w:adjustRightInd w:val="0"/>
        <w:spacing w:after="120" w:line="240" w:lineRule="auto"/>
        <w:jc w:val="both"/>
      </w:pPr>
      <w:r>
        <w:rPr>
          <w:noProof/>
        </w:rPr>
        <w:drawing>
          <wp:anchor distT="0" distB="0" distL="114300" distR="114300" simplePos="0" relativeHeight="251682304" behindDoc="1" locked="0" layoutInCell="1" allowOverlap="1" wp14:anchorId="3B628848" wp14:editId="5C7249A4">
            <wp:simplePos x="0" y="0"/>
            <wp:positionH relativeFrom="column">
              <wp:posOffset>4324350</wp:posOffset>
            </wp:positionH>
            <wp:positionV relativeFrom="paragraph">
              <wp:posOffset>55880</wp:posOffset>
            </wp:positionV>
            <wp:extent cx="1504315" cy="1056005"/>
            <wp:effectExtent l="19050" t="19050" r="19685" b="10795"/>
            <wp:wrapTight wrapText="bothSides">
              <wp:wrapPolygon edited="0">
                <wp:start x="-274" y="-390"/>
                <wp:lineTo x="-274" y="21431"/>
                <wp:lineTo x="21609" y="21431"/>
                <wp:lineTo x="21609" y="-390"/>
                <wp:lineTo x="-274" y="-39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04315" cy="1056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149C5B63" w:rsidRPr="149C5B63">
        <w:rPr>
          <w:rFonts w:ascii="Calibri" w:eastAsia="Calibri" w:hAnsi="Calibri" w:cs="Calibri"/>
          <w:sz w:val="24"/>
          <w:szCs w:val="24"/>
          <w:lang w:val="es-ES"/>
        </w:rPr>
        <w:t xml:space="preserve">Al finalizar el año 2022, el departamento reportó un promedio acumulado de avance físico del 74.38%, siendo los municipios de San Andrés Itzapa, San José Poaquil y Comalapa, quienes reportaron el mayor avance con 97.55%, 89.24% y 87.87% respectivamente. </w:t>
      </w:r>
    </w:p>
    <w:p w14:paraId="3DAACED7" w14:textId="20113BBE" w:rsidR="00693BD9" w:rsidRPr="003051CD" w:rsidRDefault="149C5B63" w:rsidP="007A6B50">
      <w:pPr>
        <w:autoSpaceDE w:val="0"/>
        <w:autoSpaceDN w:val="0"/>
        <w:adjustRightInd w:val="0"/>
        <w:spacing w:after="120" w:line="240" w:lineRule="auto"/>
        <w:jc w:val="both"/>
        <w:rPr>
          <w:rFonts w:ascii="Helvetica" w:eastAsia="Helvetica" w:hAnsi="Helvetica" w:cs="Helvetica"/>
          <w:sz w:val="24"/>
          <w:szCs w:val="24"/>
          <w:lang w:val="es-ES"/>
        </w:rPr>
      </w:pPr>
      <w:r w:rsidRPr="149C5B63">
        <w:rPr>
          <w:rFonts w:ascii="Calibri" w:eastAsia="Calibri" w:hAnsi="Calibri" w:cs="Calibri"/>
          <w:sz w:val="24"/>
          <w:szCs w:val="24"/>
          <w:lang w:val="es-ES"/>
        </w:rPr>
        <w:t>Relacionado al avance financiero, durante el año 2022, el departamento reportó un avance del 79.45%. Los municipios que mayor avance reportaron son: Zaragoza con 99.30%, Santa Cruz Balanyá con 92.07% y San José Poaquil con91.98%.</w:t>
      </w:r>
    </w:p>
    <w:p w14:paraId="7285EBAA" w14:textId="25F31577" w:rsidR="00693BD9" w:rsidRPr="002E2CD6" w:rsidRDefault="149C5B63" w:rsidP="002E2CD6">
      <w:pPr>
        <w:pStyle w:val="ttulosgrficas"/>
        <w:rPr>
          <w:rFonts w:asciiTheme="minorHAnsi" w:eastAsia="Times New Roman" w:hAnsiTheme="minorHAnsi" w:cstheme="minorHAnsi"/>
          <w:b w:val="0"/>
          <w:lang w:val="es-ES"/>
        </w:rPr>
      </w:pPr>
      <w:bookmarkStart w:id="61" w:name="_Toc130199606"/>
      <w:r w:rsidRPr="002E2CD6">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18</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2E2CD6">
        <w:rPr>
          <w:rFonts w:asciiTheme="minorHAnsi" w:eastAsia="Times New Roman" w:hAnsiTheme="minorHAnsi" w:cstheme="minorHAnsi"/>
          <w:color w:val="4472C4" w:themeColor="accent1"/>
          <w:lang w:val="es-ES"/>
        </w:rPr>
        <w:t xml:space="preserve"> Ejecución Física y Financiera, departamento de Chimaltenango</w:t>
      </w:r>
      <w:bookmarkEnd w:id="61"/>
    </w:p>
    <w:tbl>
      <w:tblPr>
        <w:tblStyle w:val="Tabladelista4-nfasis5"/>
        <w:tblW w:w="9390"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300"/>
        <w:gridCol w:w="1875"/>
        <w:gridCol w:w="1860"/>
        <w:gridCol w:w="1110"/>
        <w:gridCol w:w="1245"/>
      </w:tblGrid>
      <w:tr w:rsidR="565F02A5" w14:paraId="47983A4D" w14:textId="77777777" w:rsidTr="00B1622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00" w:type="dxa"/>
            <w:tcBorders>
              <w:top w:val="none" w:sz="0" w:space="0" w:color="auto"/>
              <w:left w:val="none" w:sz="0" w:space="0" w:color="auto"/>
              <w:bottom w:val="none" w:sz="0" w:space="0" w:color="auto"/>
            </w:tcBorders>
            <w:tcMar>
              <w:left w:w="108" w:type="dxa"/>
              <w:right w:w="108" w:type="dxa"/>
            </w:tcMar>
            <w:vAlign w:val="center"/>
          </w:tcPr>
          <w:p w14:paraId="611FF6AA" w14:textId="4E426F65" w:rsidR="565F02A5" w:rsidRDefault="565F02A5" w:rsidP="565F02A5">
            <w:pPr>
              <w:jc w:val="center"/>
            </w:pPr>
            <w:r w:rsidRPr="565F02A5">
              <w:rPr>
                <w:rFonts w:ascii="Calibri" w:eastAsia="Calibri" w:hAnsi="Calibri" w:cs="Calibri"/>
                <w:color w:val="000000" w:themeColor="text1"/>
              </w:rPr>
              <w:t>Municipalidad</w:t>
            </w:r>
          </w:p>
        </w:tc>
        <w:tc>
          <w:tcPr>
            <w:tcW w:w="1875" w:type="dxa"/>
            <w:tcBorders>
              <w:top w:val="none" w:sz="0" w:space="0" w:color="auto"/>
              <w:bottom w:val="none" w:sz="0" w:space="0" w:color="auto"/>
            </w:tcBorders>
            <w:tcMar>
              <w:left w:w="108" w:type="dxa"/>
              <w:right w:w="108" w:type="dxa"/>
            </w:tcMar>
            <w:vAlign w:val="center"/>
          </w:tcPr>
          <w:p w14:paraId="7BC9874C" w14:textId="5C14296E" w:rsidR="565F02A5" w:rsidRDefault="46B27687" w:rsidP="565F02A5">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Meta Financiera Anual Vigente</w:t>
            </w:r>
          </w:p>
        </w:tc>
        <w:tc>
          <w:tcPr>
            <w:tcW w:w="1860" w:type="dxa"/>
            <w:tcBorders>
              <w:top w:val="none" w:sz="0" w:space="0" w:color="auto"/>
              <w:bottom w:val="none" w:sz="0" w:space="0" w:color="auto"/>
            </w:tcBorders>
            <w:tcMar>
              <w:left w:w="108" w:type="dxa"/>
              <w:right w:w="108" w:type="dxa"/>
            </w:tcMar>
            <w:vAlign w:val="center"/>
          </w:tcPr>
          <w:p w14:paraId="5877203C" w14:textId="512FE571" w:rsidR="565F02A5" w:rsidRDefault="46B27687" w:rsidP="565F02A5">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Ejecución Financiera Acumulada</w:t>
            </w:r>
          </w:p>
        </w:tc>
        <w:tc>
          <w:tcPr>
            <w:tcW w:w="1110" w:type="dxa"/>
            <w:tcBorders>
              <w:top w:val="none" w:sz="0" w:space="0" w:color="auto"/>
              <w:bottom w:val="none" w:sz="0" w:space="0" w:color="auto"/>
            </w:tcBorders>
            <w:tcMar>
              <w:left w:w="108" w:type="dxa"/>
              <w:right w:w="108" w:type="dxa"/>
            </w:tcMar>
            <w:vAlign w:val="center"/>
          </w:tcPr>
          <w:p w14:paraId="5D37E1C4" w14:textId="2C88A9E6" w:rsidR="565F02A5" w:rsidRDefault="565F02A5" w:rsidP="565F02A5">
            <w:pPr>
              <w:jc w:val="center"/>
              <w:cnfStyle w:val="100000000000" w:firstRow="1"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 De Ejecución Física</w:t>
            </w:r>
          </w:p>
        </w:tc>
        <w:tc>
          <w:tcPr>
            <w:tcW w:w="1245" w:type="dxa"/>
            <w:tcBorders>
              <w:top w:val="none" w:sz="0" w:space="0" w:color="auto"/>
              <w:bottom w:val="none" w:sz="0" w:space="0" w:color="auto"/>
              <w:right w:val="none" w:sz="0" w:space="0" w:color="auto"/>
            </w:tcBorders>
            <w:tcMar>
              <w:left w:w="108" w:type="dxa"/>
              <w:right w:w="108" w:type="dxa"/>
            </w:tcMar>
            <w:vAlign w:val="center"/>
          </w:tcPr>
          <w:p w14:paraId="24B4E437" w14:textId="30ADC2B3" w:rsidR="565F02A5" w:rsidRDefault="565F02A5" w:rsidP="565F02A5">
            <w:pPr>
              <w:jc w:val="center"/>
              <w:cnfStyle w:val="100000000000" w:firstRow="1"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 de Ejecución Financiera</w:t>
            </w:r>
          </w:p>
        </w:tc>
      </w:tr>
      <w:tr w:rsidR="565F02A5" w14:paraId="331C561A" w14:textId="77777777" w:rsidTr="00B16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377C48E8" w14:textId="3968FC81" w:rsidR="565F02A5" w:rsidRDefault="565F02A5" w:rsidP="565F02A5">
            <w:r w:rsidRPr="565F02A5">
              <w:rPr>
                <w:rFonts w:ascii="Calibri" w:eastAsia="Calibri" w:hAnsi="Calibri" w:cs="Calibri"/>
                <w:color w:val="000000" w:themeColor="text1"/>
              </w:rPr>
              <w:t>Todo el Departamento</w:t>
            </w:r>
          </w:p>
        </w:tc>
        <w:tc>
          <w:tcPr>
            <w:tcW w:w="1875" w:type="dxa"/>
            <w:tcMar>
              <w:left w:w="108" w:type="dxa"/>
              <w:right w:w="108" w:type="dxa"/>
            </w:tcMar>
          </w:tcPr>
          <w:p w14:paraId="0B933C49" w14:textId="28BEBA32"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b/>
                <w:bCs/>
                <w:color w:val="000000" w:themeColor="text1"/>
              </w:rPr>
              <w:t>Q612,545,950.06</w:t>
            </w:r>
          </w:p>
        </w:tc>
        <w:tc>
          <w:tcPr>
            <w:tcW w:w="1860" w:type="dxa"/>
            <w:tcMar>
              <w:left w:w="108" w:type="dxa"/>
              <w:right w:w="108" w:type="dxa"/>
            </w:tcMar>
          </w:tcPr>
          <w:p w14:paraId="120FDE63" w14:textId="16905386"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b/>
                <w:bCs/>
                <w:color w:val="000000" w:themeColor="text1"/>
              </w:rPr>
              <w:t>Q486,670,652.28</w:t>
            </w:r>
          </w:p>
        </w:tc>
        <w:tc>
          <w:tcPr>
            <w:tcW w:w="1110" w:type="dxa"/>
            <w:shd w:val="clear" w:color="auto" w:fill="FFFF00"/>
            <w:tcMar>
              <w:left w:w="108" w:type="dxa"/>
              <w:right w:w="108" w:type="dxa"/>
            </w:tcMar>
            <w:vAlign w:val="bottom"/>
          </w:tcPr>
          <w:p w14:paraId="59CF3AAC" w14:textId="0E423ACA"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b/>
                <w:bCs/>
                <w:color w:val="000000" w:themeColor="text1"/>
              </w:rPr>
              <w:t>74.38%</w:t>
            </w:r>
          </w:p>
        </w:tc>
        <w:tc>
          <w:tcPr>
            <w:tcW w:w="1245" w:type="dxa"/>
            <w:shd w:val="clear" w:color="auto" w:fill="FFFF00"/>
            <w:tcMar>
              <w:left w:w="108" w:type="dxa"/>
              <w:right w:w="108" w:type="dxa"/>
            </w:tcMar>
            <w:vAlign w:val="bottom"/>
          </w:tcPr>
          <w:p w14:paraId="5E6D1FB4" w14:textId="0C67150F"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b/>
                <w:bCs/>
                <w:color w:val="000000" w:themeColor="text1"/>
              </w:rPr>
              <w:t>79.45%</w:t>
            </w:r>
          </w:p>
        </w:tc>
      </w:tr>
      <w:tr w:rsidR="565F02A5" w14:paraId="59396C5B" w14:textId="77777777" w:rsidTr="00B16229">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0C6131C8" w14:textId="7EA9903F"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San Andrés Itzapa</w:t>
            </w:r>
          </w:p>
        </w:tc>
        <w:tc>
          <w:tcPr>
            <w:tcW w:w="1875" w:type="dxa"/>
            <w:tcMar>
              <w:left w:w="108" w:type="dxa"/>
              <w:right w:w="108" w:type="dxa"/>
            </w:tcMar>
          </w:tcPr>
          <w:p w14:paraId="363A2D0F" w14:textId="69BE2A5B"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Q35,198,894.05</w:t>
            </w:r>
          </w:p>
        </w:tc>
        <w:tc>
          <w:tcPr>
            <w:tcW w:w="1860" w:type="dxa"/>
            <w:tcMar>
              <w:left w:w="108" w:type="dxa"/>
              <w:right w:w="108" w:type="dxa"/>
            </w:tcMar>
          </w:tcPr>
          <w:p w14:paraId="23298760" w14:textId="34FC5564"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Q32,259,537.51</w:t>
            </w:r>
          </w:p>
        </w:tc>
        <w:tc>
          <w:tcPr>
            <w:tcW w:w="1110" w:type="dxa"/>
            <w:shd w:val="clear" w:color="auto" w:fill="92D050"/>
            <w:tcMar>
              <w:left w:w="108" w:type="dxa"/>
              <w:right w:w="108" w:type="dxa"/>
            </w:tcMar>
            <w:vAlign w:val="bottom"/>
          </w:tcPr>
          <w:p w14:paraId="3664EBDB" w14:textId="573DD860"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97.55%</w:t>
            </w:r>
          </w:p>
        </w:tc>
        <w:tc>
          <w:tcPr>
            <w:tcW w:w="1245" w:type="dxa"/>
            <w:shd w:val="clear" w:color="auto" w:fill="92D050"/>
            <w:tcMar>
              <w:left w:w="108" w:type="dxa"/>
              <w:right w:w="108" w:type="dxa"/>
            </w:tcMar>
            <w:vAlign w:val="bottom"/>
          </w:tcPr>
          <w:p w14:paraId="4FC9AD04" w14:textId="3D34F6B7"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91.65%</w:t>
            </w:r>
          </w:p>
        </w:tc>
      </w:tr>
      <w:tr w:rsidR="565F02A5" w14:paraId="2646F899" w14:textId="77777777" w:rsidTr="00B16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22ED928F" w14:textId="62B55B24"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San José Poaquil</w:t>
            </w:r>
          </w:p>
        </w:tc>
        <w:tc>
          <w:tcPr>
            <w:tcW w:w="1875" w:type="dxa"/>
            <w:tcMar>
              <w:left w:w="108" w:type="dxa"/>
              <w:right w:w="108" w:type="dxa"/>
            </w:tcMar>
          </w:tcPr>
          <w:p w14:paraId="225B35E7" w14:textId="13CD9F69"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Q16,381,658.47</w:t>
            </w:r>
          </w:p>
        </w:tc>
        <w:tc>
          <w:tcPr>
            <w:tcW w:w="1860" w:type="dxa"/>
            <w:tcMar>
              <w:left w:w="108" w:type="dxa"/>
              <w:right w:w="108" w:type="dxa"/>
            </w:tcMar>
          </w:tcPr>
          <w:p w14:paraId="6A28BBEC" w14:textId="2679D5C1"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Q15,067,799.98</w:t>
            </w:r>
          </w:p>
        </w:tc>
        <w:tc>
          <w:tcPr>
            <w:tcW w:w="1110" w:type="dxa"/>
            <w:shd w:val="clear" w:color="auto" w:fill="FFFF00"/>
            <w:tcMar>
              <w:left w:w="108" w:type="dxa"/>
              <w:right w:w="108" w:type="dxa"/>
            </w:tcMar>
            <w:vAlign w:val="bottom"/>
          </w:tcPr>
          <w:p w14:paraId="583C265A" w14:textId="4B9993AA"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89.24%</w:t>
            </w:r>
          </w:p>
        </w:tc>
        <w:tc>
          <w:tcPr>
            <w:tcW w:w="1245" w:type="dxa"/>
            <w:shd w:val="clear" w:color="auto" w:fill="92D050"/>
            <w:tcMar>
              <w:left w:w="108" w:type="dxa"/>
              <w:right w:w="108" w:type="dxa"/>
            </w:tcMar>
            <w:vAlign w:val="bottom"/>
          </w:tcPr>
          <w:p w14:paraId="2E41D7EB" w14:textId="5229C9E3"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91.98%</w:t>
            </w:r>
          </w:p>
        </w:tc>
      </w:tr>
      <w:tr w:rsidR="565F02A5" w14:paraId="3C11A487" w14:textId="77777777" w:rsidTr="00B16229">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3F5E8618" w14:textId="4A109C54"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Comalapa</w:t>
            </w:r>
          </w:p>
        </w:tc>
        <w:tc>
          <w:tcPr>
            <w:tcW w:w="1875" w:type="dxa"/>
            <w:tcMar>
              <w:left w:w="108" w:type="dxa"/>
              <w:right w:w="108" w:type="dxa"/>
            </w:tcMar>
          </w:tcPr>
          <w:p w14:paraId="3DF22A8B" w14:textId="37F69B37"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Q32,296,970.97</w:t>
            </w:r>
          </w:p>
        </w:tc>
        <w:tc>
          <w:tcPr>
            <w:tcW w:w="1860" w:type="dxa"/>
            <w:tcMar>
              <w:left w:w="108" w:type="dxa"/>
              <w:right w:w="108" w:type="dxa"/>
            </w:tcMar>
          </w:tcPr>
          <w:p w14:paraId="55AEF697" w14:textId="5E4C1017"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Q27,483,961.60</w:t>
            </w:r>
          </w:p>
        </w:tc>
        <w:tc>
          <w:tcPr>
            <w:tcW w:w="1110" w:type="dxa"/>
            <w:shd w:val="clear" w:color="auto" w:fill="FFFF00"/>
            <w:tcMar>
              <w:left w:w="108" w:type="dxa"/>
              <w:right w:w="108" w:type="dxa"/>
            </w:tcMar>
            <w:vAlign w:val="bottom"/>
          </w:tcPr>
          <w:p w14:paraId="6DA8584A" w14:textId="0033CB8D"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87.87%</w:t>
            </w:r>
          </w:p>
        </w:tc>
        <w:tc>
          <w:tcPr>
            <w:tcW w:w="1245" w:type="dxa"/>
            <w:shd w:val="clear" w:color="auto" w:fill="FFFF00"/>
            <w:tcMar>
              <w:left w:w="108" w:type="dxa"/>
              <w:right w:w="108" w:type="dxa"/>
            </w:tcMar>
            <w:vAlign w:val="bottom"/>
          </w:tcPr>
          <w:p w14:paraId="7297B60B" w14:textId="5EE6FB80"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85.10%</w:t>
            </w:r>
          </w:p>
        </w:tc>
      </w:tr>
      <w:tr w:rsidR="565F02A5" w14:paraId="0F63732B" w14:textId="77777777" w:rsidTr="00B16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0817849E" w14:textId="375A81E8"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Santa Cruz Balanyá</w:t>
            </w:r>
          </w:p>
        </w:tc>
        <w:tc>
          <w:tcPr>
            <w:tcW w:w="1875" w:type="dxa"/>
            <w:tcMar>
              <w:left w:w="108" w:type="dxa"/>
              <w:right w:w="108" w:type="dxa"/>
            </w:tcMar>
          </w:tcPr>
          <w:p w14:paraId="0AA51A14" w14:textId="2F55D2CD"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Q22,484,282.43</w:t>
            </w:r>
          </w:p>
        </w:tc>
        <w:tc>
          <w:tcPr>
            <w:tcW w:w="1860" w:type="dxa"/>
            <w:tcMar>
              <w:left w:w="108" w:type="dxa"/>
              <w:right w:w="108" w:type="dxa"/>
            </w:tcMar>
          </w:tcPr>
          <w:p w14:paraId="4D26189C" w14:textId="70CAB2B7"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Q20,701,251.53</w:t>
            </w:r>
          </w:p>
        </w:tc>
        <w:tc>
          <w:tcPr>
            <w:tcW w:w="1110" w:type="dxa"/>
            <w:shd w:val="clear" w:color="auto" w:fill="FFFF00"/>
            <w:tcMar>
              <w:left w:w="108" w:type="dxa"/>
              <w:right w:w="108" w:type="dxa"/>
            </w:tcMar>
            <w:vAlign w:val="bottom"/>
          </w:tcPr>
          <w:p w14:paraId="734B4345" w14:textId="6BB74DEF"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87.31%</w:t>
            </w:r>
          </w:p>
        </w:tc>
        <w:tc>
          <w:tcPr>
            <w:tcW w:w="1245" w:type="dxa"/>
            <w:shd w:val="clear" w:color="auto" w:fill="92D050"/>
            <w:tcMar>
              <w:left w:w="108" w:type="dxa"/>
              <w:right w:w="108" w:type="dxa"/>
            </w:tcMar>
            <w:vAlign w:val="bottom"/>
          </w:tcPr>
          <w:p w14:paraId="57B2CC21" w14:textId="37325B60"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92.07%</w:t>
            </w:r>
          </w:p>
        </w:tc>
      </w:tr>
      <w:tr w:rsidR="565F02A5" w14:paraId="3A5D6812" w14:textId="77777777" w:rsidTr="00B16229">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34CDC177" w14:textId="412B85BE"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Zaragoza</w:t>
            </w:r>
          </w:p>
        </w:tc>
        <w:tc>
          <w:tcPr>
            <w:tcW w:w="1875" w:type="dxa"/>
            <w:tcMar>
              <w:left w:w="108" w:type="dxa"/>
              <w:right w:w="108" w:type="dxa"/>
            </w:tcMar>
          </w:tcPr>
          <w:p w14:paraId="62FEA888" w14:textId="52548422"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Q33,872,332.49</w:t>
            </w:r>
          </w:p>
        </w:tc>
        <w:tc>
          <w:tcPr>
            <w:tcW w:w="1860" w:type="dxa"/>
            <w:tcMar>
              <w:left w:w="108" w:type="dxa"/>
              <w:right w:w="108" w:type="dxa"/>
            </w:tcMar>
          </w:tcPr>
          <w:p w14:paraId="5D9A8713" w14:textId="33BC805C"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Q33,635,042.25</w:t>
            </w:r>
          </w:p>
        </w:tc>
        <w:tc>
          <w:tcPr>
            <w:tcW w:w="1110" w:type="dxa"/>
            <w:shd w:val="clear" w:color="auto" w:fill="FFFF00"/>
            <w:tcMar>
              <w:left w:w="108" w:type="dxa"/>
              <w:right w:w="108" w:type="dxa"/>
            </w:tcMar>
            <w:vAlign w:val="bottom"/>
          </w:tcPr>
          <w:p w14:paraId="7CA616AC" w14:textId="7FF502F0"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85.65%</w:t>
            </w:r>
          </w:p>
        </w:tc>
        <w:tc>
          <w:tcPr>
            <w:tcW w:w="1245" w:type="dxa"/>
            <w:shd w:val="clear" w:color="auto" w:fill="92D050"/>
            <w:tcMar>
              <w:left w:w="108" w:type="dxa"/>
              <w:right w:w="108" w:type="dxa"/>
            </w:tcMar>
            <w:vAlign w:val="bottom"/>
          </w:tcPr>
          <w:p w14:paraId="11127C5B" w14:textId="6455624F"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99.30%</w:t>
            </w:r>
          </w:p>
        </w:tc>
      </w:tr>
      <w:tr w:rsidR="565F02A5" w14:paraId="5E9EA2D7" w14:textId="77777777" w:rsidTr="00B16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14193C26" w14:textId="0D1A2429"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Parramos</w:t>
            </w:r>
          </w:p>
        </w:tc>
        <w:tc>
          <w:tcPr>
            <w:tcW w:w="1875" w:type="dxa"/>
            <w:tcMar>
              <w:left w:w="108" w:type="dxa"/>
              <w:right w:w="108" w:type="dxa"/>
            </w:tcMar>
          </w:tcPr>
          <w:p w14:paraId="56910CF8" w14:textId="404A500F"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Q24,694,792.85</w:t>
            </w:r>
          </w:p>
        </w:tc>
        <w:tc>
          <w:tcPr>
            <w:tcW w:w="1860" w:type="dxa"/>
            <w:tcMar>
              <w:left w:w="108" w:type="dxa"/>
              <w:right w:w="108" w:type="dxa"/>
            </w:tcMar>
          </w:tcPr>
          <w:p w14:paraId="4B473712" w14:textId="023A0265"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Q18,430,193.91</w:t>
            </w:r>
          </w:p>
        </w:tc>
        <w:tc>
          <w:tcPr>
            <w:tcW w:w="1110" w:type="dxa"/>
            <w:shd w:val="clear" w:color="auto" w:fill="FFFF00"/>
            <w:tcMar>
              <w:left w:w="108" w:type="dxa"/>
              <w:right w:w="108" w:type="dxa"/>
            </w:tcMar>
            <w:vAlign w:val="bottom"/>
          </w:tcPr>
          <w:p w14:paraId="4EE81824" w14:textId="4DA17B20"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83.33%</w:t>
            </w:r>
          </w:p>
        </w:tc>
        <w:tc>
          <w:tcPr>
            <w:tcW w:w="1245" w:type="dxa"/>
            <w:shd w:val="clear" w:color="auto" w:fill="FFFF00"/>
            <w:tcMar>
              <w:left w:w="108" w:type="dxa"/>
              <w:right w:w="108" w:type="dxa"/>
            </w:tcMar>
            <w:vAlign w:val="bottom"/>
          </w:tcPr>
          <w:p w14:paraId="0D04CD9B" w14:textId="303235DB"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74.63%</w:t>
            </w:r>
          </w:p>
        </w:tc>
      </w:tr>
      <w:tr w:rsidR="565F02A5" w14:paraId="45F0E542" w14:textId="77777777" w:rsidTr="00B16229">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7658B26C" w14:textId="3D1CA3EF"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Acatenango</w:t>
            </w:r>
          </w:p>
        </w:tc>
        <w:tc>
          <w:tcPr>
            <w:tcW w:w="1875" w:type="dxa"/>
            <w:tcMar>
              <w:left w:w="108" w:type="dxa"/>
              <w:right w:w="108" w:type="dxa"/>
            </w:tcMar>
          </w:tcPr>
          <w:p w14:paraId="736348F4" w14:textId="4E13298A"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Q34,406,210.88</w:t>
            </w:r>
          </w:p>
        </w:tc>
        <w:tc>
          <w:tcPr>
            <w:tcW w:w="1860" w:type="dxa"/>
            <w:tcMar>
              <w:left w:w="108" w:type="dxa"/>
              <w:right w:w="108" w:type="dxa"/>
            </w:tcMar>
          </w:tcPr>
          <w:p w14:paraId="3A02F934" w14:textId="1A3D4AAE"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Q22,423,326.10</w:t>
            </w:r>
          </w:p>
        </w:tc>
        <w:tc>
          <w:tcPr>
            <w:tcW w:w="1110" w:type="dxa"/>
            <w:shd w:val="clear" w:color="auto" w:fill="FFFF00"/>
            <w:tcMar>
              <w:left w:w="108" w:type="dxa"/>
              <w:right w:w="108" w:type="dxa"/>
            </w:tcMar>
            <w:vAlign w:val="bottom"/>
          </w:tcPr>
          <w:p w14:paraId="2611706F" w14:textId="14C280AB"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80.51%</w:t>
            </w:r>
          </w:p>
        </w:tc>
        <w:tc>
          <w:tcPr>
            <w:tcW w:w="1245" w:type="dxa"/>
            <w:shd w:val="clear" w:color="auto" w:fill="FFFF00"/>
            <w:tcMar>
              <w:left w:w="108" w:type="dxa"/>
              <w:right w:w="108" w:type="dxa"/>
            </w:tcMar>
            <w:vAlign w:val="bottom"/>
          </w:tcPr>
          <w:p w14:paraId="3862DC8D" w14:textId="483D9287"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65.17%</w:t>
            </w:r>
          </w:p>
        </w:tc>
      </w:tr>
      <w:tr w:rsidR="565F02A5" w14:paraId="7EDDA4CB" w14:textId="77777777" w:rsidTr="00B16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34936B41" w14:textId="1F4CEBA4"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Tecpán Guatemala</w:t>
            </w:r>
          </w:p>
        </w:tc>
        <w:tc>
          <w:tcPr>
            <w:tcW w:w="1875" w:type="dxa"/>
            <w:tcMar>
              <w:left w:w="108" w:type="dxa"/>
              <w:right w:w="108" w:type="dxa"/>
            </w:tcMar>
          </w:tcPr>
          <w:p w14:paraId="18279841" w14:textId="74C0BE98"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Q40,250,267.42</w:t>
            </w:r>
          </w:p>
        </w:tc>
        <w:tc>
          <w:tcPr>
            <w:tcW w:w="1860" w:type="dxa"/>
            <w:tcMar>
              <w:left w:w="108" w:type="dxa"/>
              <w:right w:w="108" w:type="dxa"/>
            </w:tcMar>
          </w:tcPr>
          <w:p w14:paraId="0C1546EC" w14:textId="523B6217"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Q33,484,120.41</w:t>
            </w:r>
          </w:p>
        </w:tc>
        <w:tc>
          <w:tcPr>
            <w:tcW w:w="1110" w:type="dxa"/>
            <w:shd w:val="clear" w:color="auto" w:fill="FFFF00"/>
            <w:tcMar>
              <w:left w:w="108" w:type="dxa"/>
              <w:right w:w="108" w:type="dxa"/>
            </w:tcMar>
            <w:vAlign w:val="bottom"/>
          </w:tcPr>
          <w:p w14:paraId="38332AD2" w14:textId="33A5C08B"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78.68%</w:t>
            </w:r>
          </w:p>
        </w:tc>
        <w:tc>
          <w:tcPr>
            <w:tcW w:w="1245" w:type="dxa"/>
            <w:shd w:val="clear" w:color="auto" w:fill="FFFF00"/>
            <w:tcMar>
              <w:left w:w="108" w:type="dxa"/>
              <w:right w:w="108" w:type="dxa"/>
            </w:tcMar>
            <w:vAlign w:val="bottom"/>
          </w:tcPr>
          <w:p w14:paraId="0125A8C4" w14:textId="5E34D0D6"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83.19%</w:t>
            </w:r>
          </w:p>
        </w:tc>
      </w:tr>
      <w:tr w:rsidR="565F02A5" w14:paraId="701BBB96" w14:textId="77777777" w:rsidTr="00B16229">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04AB3EB4" w14:textId="3851D3B0"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Patzicía</w:t>
            </w:r>
          </w:p>
        </w:tc>
        <w:tc>
          <w:tcPr>
            <w:tcW w:w="1875" w:type="dxa"/>
            <w:tcMar>
              <w:left w:w="108" w:type="dxa"/>
              <w:right w:w="108" w:type="dxa"/>
            </w:tcMar>
          </w:tcPr>
          <w:p w14:paraId="04327AC0" w14:textId="66807147"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Q33,981,025.22</w:t>
            </w:r>
          </w:p>
        </w:tc>
        <w:tc>
          <w:tcPr>
            <w:tcW w:w="1860" w:type="dxa"/>
            <w:tcMar>
              <w:left w:w="108" w:type="dxa"/>
              <w:right w:w="108" w:type="dxa"/>
            </w:tcMar>
          </w:tcPr>
          <w:p w14:paraId="5D00E9F2" w14:textId="4B91D4DC"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Q24,720,177.49</w:t>
            </w:r>
          </w:p>
        </w:tc>
        <w:tc>
          <w:tcPr>
            <w:tcW w:w="1110" w:type="dxa"/>
            <w:shd w:val="clear" w:color="auto" w:fill="FFFF00"/>
            <w:tcMar>
              <w:left w:w="108" w:type="dxa"/>
              <w:right w:w="108" w:type="dxa"/>
            </w:tcMar>
            <w:vAlign w:val="bottom"/>
          </w:tcPr>
          <w:p w14:paraId="5A63C6D0" w14:textId="6931FECF"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77.95%</w:t>
            </w:r>
          </w:p>
        </w:tc>
        <w:tc>
          <w:tcPr>
            <w:tcW w:w="1245" w:type="dxa"/>
            <w:shd w:val="clear" w:color="auto" w:fill="FFFF00"/>
            <w:tcMar>
              <w:left w:w="108" w:type="dxa"/>
              <w:right w:w="108" w:type="dxa"/>
            </w:tcMar>
            <w:vAlign w:val="bottom"/>
          </w:tcPr>
          <w:p w14:paraId="2B613694" w14:textId="70BCABBF"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72.75%</w:t>
            </w:r>
          </w:p>
        </w:tc>
      </w:tr>
      <w:tr w:rsidR="565F02A5" w14:paraId="518B6EBE" w14:textId="77777777" w:rsidTr="00B16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71A33154" w14:textId="4236DC57"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San Pedro Yepocapa</w:t>
            </w:r>
          </w:p>
        </w:tc>
        <w:tc>
          <w:tcPr>
            <w:tcW w:w="1875" w:type="dxa"/>
            <w:tcMar>
              <w:left w:w="108" w:type="dxa"/>
              <w:right w:w="108" w:type="dxa"/>
            </w:tcMar>
          </w:tcPr>
          <w:p w14:paraId="0F3626B1" w14:textId="5C657E16"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Q29,034,919.32</w:t>
            </w:r>
          </w:p>
        </w:tc>
        <w:tc>
          <w:tcPr>
            <w:tcW w:w="1860" w:type="dxa"/>
            <w:tcMar>
              <w:left w:w="108" w:type="dxa"/>
              <w:right w:w="108" w:type="dxa"/>
            </w:tcMar>
          </w:tcPr>
          <w:p w14:paraId="4EFA1796" w14:textId="1DDDE5DF"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Q25,772,715.65</w:t>
            </w:r>
          </w:p>
        </w:tc>
        <w:tc>
          <w:tcPr>
            <w:tcW w:w="1110" w:type="dxa"/>
            <w:shd w:val="clear" w:color="auto" w:fill="FFFF00"/>
            <w:tcMar>
              <w:left w:w="108" w:type="dxa"/>
              <w:right w:w="108" w:type="dxa"/>
            </w:tcMar>
            <w:vAlign w:val="bottom"/>
          </w:tcPr>
          <w:p w14:paraId="16968AA5" w14:textId="36681CBE"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76.63%</w:t>
            </w:r>
          </w:p>
        </w:tc>
        <w:tc>
          <w:tcPr>
            <w:tcW w:w="1245" w:type="dxa"/>
            <w:shd w:val="clear" w:color="auto" w:fill="FFFF00"/>
            <w:tcMar>
              <w:left w:w="108" w:type="dxa"/>
              <w:right w:w="108" w:type="dxa"/>
            </w:tcMar>
            <w:vAlign w:val="bottom"/>
          </w:tcPr>
          <w:p w14:paraId="463AB3D0" w14:textId="497E3DD0"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88.76%</w:t>
            </w:r>
          </w:p>
        </w:tc>
      </w:tr>
      <w:tr w:rsidR="565F02A5" w14:paraId="2B952414" w14:textId="77777777" w:rsidTr="00B16229">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29082967" w14:textId="7ABB5B58"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Chimaltenango</w:t>
            </w:r>
          </w:p>
        </w:tc>
        <w:tc>
          <w:tcPr>
            <w:tcW w:w="1875" w:type="dxa"/>
            <w:tcMar>
              <w:left w:w="108" w:type="dxa"/>
              <w:right w:w="108" w:type="dxa"/>
            </w:tcMar>
          </w:tcPr>
          <w:p w14:paraId="5F8EA4A9" w14:textId="19422CF0"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Q95,849,931.14</w:t>
            </w:r>
          </w:p>
        </w:tc>
        <w:tc>
          <w:tcPr>
            <w:tcW w:w="1860" w:type="dxa"/>
            <w:tcMar>
              <w:left w:w="108" w:type="dxa"/>
              <w:right w:w="108" w:type="dxa"/>
            </w:tcMar>
          </w:tcPr>
          <w:p w14:paraId="17D70D57" w14:textId="605AEE8B"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Q83,894,932.28</w:t>
            </w:r>
          </w:p>
        </w:tc>
        <w:tc>
          <w:tcPr>
            <w:tcW w:w="1110" w:type="dxa"/>
            <w:shd w:val="clear" w:color="auto" w:fill="FFFF00"/>
            <w:tcMar>
              <w:left w:w="108" w:type="dxa"/>
              <w:right w:w="108" w:type="dxa"/>
            </w:tcMar>
            <w:vAlign w:val="bottom"/>
          </w:tcPr>
          <w:p w14:paraId="69FB850F" w14:textId="28B48718"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74.77%</w:t>
            </w:r>
          </w:p>
        </w:tc>
        <w:tc>
          <w:tcPr>
            <w:tcW w:w="1245" w:type="dxa"/>
            <w:shd w:val="clear" w:color="auto" w:fill="FFFF00"/>
            <w:tcMar>
              <w:left w:w="108" w:type="dxa"/>
              <w:right w:w="108" w:type="dxa"/>
            </w:tcMar>
            <w:vAlign w:val="bottom"/>
          </w:tcPr>
          <w:p w14:paraId="2244E194" w14:textId="519F14F3"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87.53%</w:t>
            </w:r>
          </w:p>
        </w:tc>
      </w:tr>
      <w:tr w:rsidR="565F02A5" w14:paraId="3B3C6F82" w14:textId="77777777" w:rsidTr="00B16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0AA9BE40" w14:textId="5F943029"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Patzún</w:t>
            </w:r>
          </w:p>
        </w:tc>
        <w:tc>
          <w:tcPr>
            <w:tcW w:w="1875" w:type="dxa"/>
            <w:tcMar>
              <w:left w:w="108" w:type="dxa"/>
              <w:right w:w="108" w:type="dxa"/>
            </w:tcMar>
          </w:tcPr>
          <w:p w14:paraId="36027576" w14:textId="1F7141CA"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Q55,371,492.96</w:t>
            </w:r>
          </w:p>
        </w:tc>
        <w:tc>
          <w:tcPr>
            <w:tcW w:w="1860" w:type="dxa"/>
            <w:tcMar>
              <w:left w:w="108" w:type="dxa"/>
              <w:right w:w="108" w:type="dxa"/>
            </w:tcMar>
          </w:tcPr>
          <w:p w14:paraId="19B0D78C" w14:textId="5BFB7F18"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Q43,898,606.53</w:t>
            </w:r>
          </w:p>
        </w:tc>
        <w:tc>
          <w:tcPr>
            <w:tcW w:w="1110" w:type="dxa"/>
            <w:shd w:val="clear" w:color="auto" w:fill="FFFF00"/>
            <w:tcMar>
              <w:left w:w="108" w:type="dxa"/>
              <w:right w:w="108" w:type="dxa"/>
            </w:tcMar>
            <w:vAlign w:val="bottom"/>
          </w:tcPr>
          <w:p w14:paraId="17871519" w14:textId="36D35B47"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72.33%</w:t>
            </w:r>
          </w:p>
        </w:tc>
        <w:tc>
          <w:tcPr>
            <w:tcW w:w="1245" w:type="dxa"/>
            <w:shd w:val="clear" w:color="auto" w:fill="FFFF00"/>
            <w:tcMar>
              <w:left w:w="108" w:type="dxa"/>
              <w:right w:w="108" w:type="dxa"/>
            </w:tcMar>
            <w:vAlign w:val="bottom"/>
          </w:tcPr>
          <w:p w14:paraId="268867FA" w14:textId="6508EDF0"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79.28%</w:t>
            </w:r>
          </w:p>
        </w:tc>
      </w:tr>
      <w:tr w:rsidR="565F02A5" w14:paraId="6C47E4FA" w14:textId="77777777" w:rsidTr="00B16229">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2B306344" w14:textId="1909E24A"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Pochuta</w:t>
            </w:r>
          </w:p>
        </w:tc>
        <w:tc>
          <w:tcPr>
            <w:tcW w:w="1875" w:type="dxa"/>
            <w:tcMar>
              <w:left w:w="108" w:type="dxa"/>
              <w:right w:w="108" w:type="dxa"/>
            </w:tcMar>
          </w:tcPr>
          <w:p w14:paraId="0C8A703C" w14:textId="5B1A9BA1"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Q35,767,564.86</w:t>
            </w:r>
          </w:p>
        </w:tc>
        <w:tc>
          <w:tcPr>
            <w:tcW w:w="1860" w:type="dxa"/>
            <w:tcMar>
              <w:left w:w="108" w:type="dxa"/>
              <w:right w:w="108" w:type="dxa"/>
            </w:tcMar>
          </w:tcPr>
          <w:p w14:paraId="2E5135D4" w14:textId="60FB7686"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Q10,752,535.23</w:t>
            </w:r>
          </w:p>
        </w:tc>
        <w:tc>
          <w:tcPr>
            <w:tcW w:w="1110" w:type="dxa"/>
            <w:shd w:val="clear" w:color="auto" w:fill="FFFF00"/>
            <w:tcMar>
              <w:left w:w="108" w:type="dxa"/>
              <w:right w:w="108" w:type="dxa"/>
            </w:tcMar>
            <w:vAlign w:val="bottom"/>
          </w:tcPr>
          <w:p w14:paraId="1CF8CCC7" w14:textId="0604A697"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67.23%</w:t>
            </w:r>
          </w:p>
        </w:tc>
        <w:tc>
          <w:tcPr>
            <w:tcW w:w="1245" w:type="dxa"/>
            <w:shd w:val="clear" w:color="auto" w:fill="C00000"/>
            <w:tcMar>
              <w:left w:w="108" w:type="dxa"/>
              <w:right w:w="108" w:type="dxa"/>
            </w:tcMar>
            <w:vAlign w:val="bottom"/>
          </w:tcPr>
          <w:p w14:paraId="2F33B01A" w14:textId="727BFCFD"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30.06%</w:t>
            </w:r>
          </w:p>
        </w:tc>
      </w:tr>
      <w:tr w:rsidR="565F02A5" w14:paraId="512CD40D" w14:textId="77777777" w:rsidTr="00B16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40228080" w14:textId="1FE414F1"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San Martín Jilotepeque</w:t>
            </w:r>
          </w:p>
        </w:tc>
        <w:tc>
          <w:tcPr>
            <w:tcW w:w="1875" w:type="dxa"/>
            <w:tcMar>
              <w:left w:w="108" w:type="dxa"/>
              <w:right w:w="108" w:type="dxa"/>
            </w:tcMar>
          </w:tcPr>
          <w:p w14:paraId="65583023" w14:textId="0DD841BE"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Q63,881,944.26</w:t>
            </w:r>
          </w:p>
        </w:tc>
        <w:tc>
          <w:tcPr>
            <w:tcW w:w="1860" w:type="dxa"/>
            <w:tcMar>
              <w:left w:w="108" w:type="dxa"/>
              <w:right w:w="108" w:type="dxa"/>
            </w:tcMar>
          </w:tcPr>
          <w:p w14:paraId="55A4C58F" w14:textId="7E4B25EB"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Q45,076,794.53</w:t>
            </w:r>
          </w:p>
        </w:tc>
        <w:tc>
          <w:tcPr>
            <w:tcW w:w="1110" w:type="dxa"/>
            <w:shd w:val="clear" w:color="auto" w:fill="FFFF00"/>
            <w:tcMar>
              <w:left w:w="108" w:type="dxa"/>
              <w:right w:w="108" w:type="dxa"/>
            </w:tcMar>
            <w:vAlign w:val="bottom"/>
          </w:tcPr>
          <w:p w14:paraId="626DE3FE" w14:textId="0775E116"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64.81%</w:t>
            </w:r>
          </w:p>
        </w:tc>
        <w:tc>
          <w:tcPr>
            <w:tcW w:w="1245" w:type="dxa"/>
            <w:shd w:val="clear" w:color="auto" w:fill="FFFF00"/>
            <w:tcMar>
              <w:left w:w="108" w:type="dxa"/>
              <w:right w:w="108" w:type="dxa"/>
            </w:tcMar>
            <w:vAlign w:val="bottom"/>
          </w:tcPr>
          <w:p w14:paraId="2CDC5162" w14:textId="3B0B5481"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70.56%</w:t>
            </w:r>
          </w:p>
        </w:tc>
      </w:tr>
      <w:tr w:rsidR="565F02A5" w14:paraId="3004321B" w14:textId="77777777" w:rsidTr="00B16229">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7C4439F5" w14:textId="3DC7DFFC"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Santa Apolonia</w:t>
            </w:r>
          </w:p>
        </w:tc>
        <w:tc>
          <w:tcPr>
            <w:tcW w:w="1875" w:type="dxa"/>
            <w:tcMar>
              <w:left w:w="108" w:type="dxa"/>
              <w:right w:w="108" w:type="dxa"/>
            </w:tcMar>
          </w:tcPr>
          <w:p w14:paraId="134B5105" w14:textId="4F191EE3"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Q17,458,013.66</w:t>
            </w:r>
          </w:p>
        </w:tc>
        <w:tc>
          <w:tcPr>
            <w:tcW w:w="1860" w:type="dxa"/>
            <w:tcMar>
              <w:left w:w="108" w:type="dxa"/>
              <w:right w:w="108" w:type="dxa"/>
            </w:tcMar>
          </w:tcPr>
          <w:p w14:paraId="45529A1F" w14:textId="13A1E765"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Q15,895,909.51</w:t>
            </w:r>
          </w:p>
        </w:tc>
        <w:tc>
          <w:tcPr>
            <w:tcW w:w="1110" w:type="dxa"/>
            <w:shd w:val="clear" w:color="auto" w:fill="FFFF00"/>
            <w:tcMar>
              <w:left w:w="108" w:type="dxa"/>
              <w:right w:w="108" w:type="dxa"/>
            </w:tcMar>
            <w:vAlign w:val="bottom"/>
          </w:tcPr>
          <w:p w14:paraId="13A2F6FA" w14:textId="5FFCD0FB"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52.28%</w:t>
            </w:r>
          </w:p>
        </w:tc>
        <w:tc>
          <w:tcPr>
            <w:tcW w:w="1245" w:type="dxa"/>
            <w:shd w:val="clear" w:color="auto" w:fill="92D050"/>
            <w:tcMar>
              <w:left w:w="108" w:type="dxa"/>
              <w:right w:w="108" w:type="dxa"/>
            </w:tcMar>
            <w:vAlign w:val="bottom"/>
          </w:tcPr>
          <w:p w14:paraId="2A557CFE" w14:textId="19D8E296" w:rsidR="565F02A5" w:rsidRDefault="565F02A5" w:rsidP="565F02A5">
            <w:pPr>
              <w:jc w:val="right"/>
              <w:cnfStyle w:val="000000000000" w:firstRow="0" w:lastRow="0" w:firstColumn="0" w:lastColumn="0" w:oddVBand="0" w:evenVBand="0" w:oddHBand="0" w:evenHBand="0" w:firstRowFirstColumn="0" w:firstRowLastColumn="0" w:lastRowFirstColumn="0" w:lastRowLastColumn="0"/>
            </w:pPr>
            <w:r w:rsidRPr="565F02A5">
              <w:rPr>
                <w:rFonts w:ascii="Calibri" w:eastAsia="Calibri" w:hAnsi="Calibri" w:cs="Calibri"/>
                <w:color w:val="000000" w:themeColor="text1"/>
              </w:rPr>
              <w:t>91.05%</w:t>
            </w:r>
          </w:p>
        </w:tc>
      </w:tr>
      <w:tr w:rsidR="565F02A5" w14:paraId="66F5D7FE" w14:textId="77777777" w:rsidTr="00B16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39A75DB4" w14:textId="6BD11E79" w:rsidR="565F02A5" w:rsidRDefault="565F02A5" w:rsidP="565F02A5">
            <w:pPr>
              <w:rPr>
                <w:rFonts w:ascii="Calibri" w:eastAsia="Calibri" w:hAnsi="Calibri" w:cs="Calibri"/>
                <w:b w:val="0"/>
                <w:bCs w:val="0"/>
                <w:color w:val="000000" w:themeColor="text1"/>
              </w:rPr>
            </w:pPr>
            <w:r w:rsidRPr="565F02A5">
              <w:rPr>
                <w:rFonts w:ascii="Calibri" w:eastAsia="Calibri" w:hAnsi="Calibri" w:cs="Calibri"/>
                <w:b w:val="0"/>
                <w:bCs w:val="0"/>
                <w:color w:val="000000" w:themeColor="text1"/>
              </w:rPr>
              <w:t>El Tejar</w:t>
            </w:r>
          </w:p>
        </w:tc>
        <w:tc>
          <w:tcPr>
            <w:tcW w:w="1875" w:type="dxa"/>
            <w:tcMar>
              <w:left w:w="108" w:type="dxa"/>
              <w:right w:w="108" w:type="dxa"/>
            </w:tcMar>
          </w:tcPr>
          <w:p w14:paraId="63C0C31A" w14:textId="68E43F18"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Q41,615,649.08</w:t>
            </w:r>
          </w:p>
        </w:tc>
        <w:tc>
          <w:tcPr>
            <w:tcW w:w="1860" w:type="dxa"/>
            <w:tcMar>
              <w:left w:w="108" w:type="dxa"/>
              <w:right w:w="108" w:type="dxa"/>
            </w:tcMar>
          </w:tcPr>
          <w:p w14:paraId="07AF74FE" w14:textId="49934815"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Q33,173,747.77</w:t>
            </w:r>
          </w:p>
        </w:tc>
        <w:tc>
          <w:tcPr>
            <w:tcW w:w="1110" w:type="dxa"/>
            <w:shd w:val="clear" w:color="auto" w:fill="C00000"/>
            <w:tcMar>
              <w:left w:w="108" w:type="dxa"/>
              <w:right w:w="108" w:type="dxa"/>
            </w:tcMar>
            <w:vAlign w:val="bottom"/>
          </w:tcPr>
          <w:p w14:paraId="31F28EE0" w14:textId="60AC3E57"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37.75%</w:t>
            </w:r>
          </w:p>
        </w:tc>
        <w:tc>
          <w:tcPr>
            <w:tcW w:w="1245" w:type="dxa"/>
            <w:shd w:val="clear" w:color="auto" w:fill="FFFF00"/>
            <w:tcMar>
              <w:left w:w="108" w:type="dxa"/>
              <w:right w:w="108" w:type="dxa"/>
            </w:tcMar>
            <w:vAlign w:val="bottom"/>
          </w:tcPr>
          <w:p w14:paraId="61EC31E6" w14:textId="591164FA" w:rsidR="565F02A5" w:rsidRDefault="565F02A5" w:rsidP="565F02A5">
            <w:pPr>
              <w:jc w:val="right"/>
              <w:cnfStyle w:val="000000100000" w:firstRow="0" w:lastRow="0" w:firstColumn="0" w:lastColumn="0" w:oddVBand="0" w:evenVBand="0" w:oddHBand="1" w:evenHBand="0" w:firstRowFirstColumn="0" w:firstRowLastColumn="0" w:lastRowFirstColumn="0" w:lastRowLastColumn="0"/>
            </w:pPr>
            <w:r w:rsidRPr="565F02A5">
              <w:rPr>
                <w:rFonts w:ascii="Calibri" w:eastAsia="Calibri" w:hAnsi="Calibri" w:cs="Calibri"/>
                <w:color w:val="000000" w:themeColor="text1"/>
              </w:rPr>
              <w:t>79.71%</w:t>
            </w:r>
          </w:p>
        </w:tc>
      </w:tr>
    </w:tbl>
    <w:p w14:paraId="70DD5AF2" w14:textId="2419B80F" w:rsidR="149C5B63" w:rsidRDefault="3A42294A" w:rsidP="3A42294A">
      <w:pPr>
        <w:spacing w:after="0" w:line="240" w:lineRule="auto"/>
        <w:jc w:val="both"/>
      </w:pPr>
      <w:r w:rsidRPr="3A42294A">
        <w:rPr>
          <w:rFonts w:ascii="Calibri" w:eastAsia="Calibri" w:hAnsi="Calibri" w:cs="Calibri"/>
          <w:sz w:val="18"/>
          <w:szCs w:val="18"/>
          <w:lang w:val="es"/>
        </w:rPr>
        <w:t>Fuente: Siplangl. III informe cuatrimestral y acumulado. Año 2022.</w:t>
      </w:r>
    </w:p>
    <w:p w14:paraId="6570E4BA" w14:textId="542EBD3E" w:rsidR="149C5B63" w:rsidRDefault="149C5B63" w:rsidP="149C5B63">
      <w:pPr>
        <w:spacing w:after="0" w:line="240" w:lineRule="auto"/>
        <w:jc w:val="both"/>
        <w:rPr>
          <w:rFonts w:ascii="Helvetica" w:eastAsia="Times New Roman" w:hAnsi="Helvetica" w:cs="Helvetica"/>
          <w:sz w:val="18"/>
          <w:szCs w:val="18"/>
          <w:lang w:val="es-ES"/>
        </w:rPr>
      </w:pPr>
    </w:p>
    <w:p w14:paraId="27014C01" w14:textId="43169F35" w:rsidR="00B16229" w:rsidRDefault="00B16229" w:rsidP="00B16229">
      <w:pPr>
        <w:autoSpaceDE w:val="0"/>
        <w:autoSpaceDN w:val="0"/>
        <w:adjustRightInd w:val="0"/>
        <w:spacing w:after="0" w:line="240" w:lineRule="auto"/>
        <w:contextualSpacing/>
        <w:jc w:val="both"/>
        <w:rPr>
          <w:rFonts w:eastAsia="Times New Roman" w:cstheme="minorHAnsi"/>
          <w:b/>
          <w:color w:val="002060"/>
          <w:sz w:val="28"/>
          <w:szCs w:val="28"/>
          <w:lang w:val="es-ES"/>
        </w:rPr>
      </w:pPr>
      <w:r>
        <w:rPr>
          <w:noProof/>
        </w:rPr>
        <w:drawing>
          <wp:anchor distT="0" distB="0" distL="114300" distR="114300" simplePos="0" relativeHeight="251684352" behindDoc="1" locked="0" layoutInCell="1" allowOverlap="1" wp14:anchorId="7ECB7A0A" wp14:editId="09D57688">
            <wp:simplePos x="0" y="0"/>
            <wp:positionH relativeFrom="column">
              <wp:posOffset>4375150</wp:posOffset>
            </wp:positionH>
            <wp:positionV relativeFrom="paragraph">
              <wp:posOffset>219075</wp:posOffset>
            </wp:positionV>
            <wp:extent cx="1504315" cy="1035685"/>
            <wp:effectExtent l="19050" t="19050" r="19685" b="12065"/>
            <wp:wrapTight wrapText="bothSides">
              <wp:wrapPolygon edited="0">
                <wp:start x="-274" y="-397"/>
                <wp:lineTo x="-274" y="21454"/>
                <wp:lineTo x="21609" y="21454"/>
                <wp:lineTo x="21609" y="-397"/>
                <wp:lineTo x="-274" y="-397"/>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04315" cy="10356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93BD9" w:rsidRPr="00B16229">
        <w:rPr>
          <w:rFonts w:eastAsia="Times New Roman" w:cstheme="minorHAnsi"/>
          <w:b/>
          <w:color w:val="002060"/>
          <w:sz w:val="28"/>
          <w:szCs w:val="28"/>
          <w:lang w:val="es-ES"/>
        </w:rPr>
        <w:t>Chiquimula</w:t>
      </w:r>
    </w:p>
    <w:p w14:paraId="3135B060" w14:textId="64E1BCD8" w:rsidR="00BC4B3B" w:rsidRDefault="565F02A5" w:rsidP="00B16229">
      <w:pPr>
        <w:autoSpaceDE w:val="0"/>
        <w:autoSpaceDN w:val="0"/>
        <w:adjustRightInd w:val="0"/>
        <w:spacing w:after="0" w:line="240" w:lineRule="auto"/>
        <w:contextualSpacing/>
        <w:jc w:val="both"/>
      </w:pPr>
      <w:r w:rsidRPr="565F02A5">
        <w:rPr>
          <w:rFonts w:ascii="Calibri" w:eastAsia="Calibri" w:hAnsi="Calibri" w:cs="Calibri"/>
          <w:sz w:val="24"/>
          <w:szCs w:val="24"/>
          <w:lang w:val="es-ES"/>
        </w:rPr>
        <w:t>El departamento, al finalizar el año 2022 reportó un avance promedio físico del 68.86%. Los municipios que reportaron mayor ejecución son: Olopa con 92.09%, San Jacinto con 89.70% e Ipala con 88.89%.</w:t>
      </w:r>
    </w:p>
    <w:p w14:paraId="2214BE37" w14:textId="3012598D" w:rsidR="00BC4B3B" w:rsidRDefault="565F02A5" w:rsidP="00B16229">
      <w:pPr>
        <w:spacing w:after="120" w:line="240" w:lineRule="auto"/>
        <w:jc w:val="both"/>
      </w:pPr>
      <w:r w:rsidRPr="565F02A5">
        <w:rPr>
          <w:rFonts w:ascii="Calibri" w:eastAsia="Calibri" w:hAnsi="Calibri" w:cs="Calibri"/>
          <w:sz w:val="24"/>
          <w:szCs w:val="24"/>
          <w:lang w:val="es-ES"/>
        </w:rPr>
        <w:t xml:space="preserve">En relación al avance financiero, el departamento al finalizar el año 2022, reportó un avance del 65.62%. Los municipios que mayor avance registraron son: San José la Arada con 82.64%, San Jacinto con 79.82% e Ipala con 77.49%. </w:t>
      </w:r>
    </w:p>
    <w:p w14:paraId="7B2D62EC" w14:textId="3997A094" w:rsidR="565F02A5" w:rsidRDefault="565F02A5" w:rsidP="00E8422A">
      <w:pPr>
        <w:spacing w:after="120" w:line="240" w:lineRule="auto"/>
        <w:jc w:val="both"/>
        <w:rPr>
          <w:rFonts w:ascii="Helvetica" w:eastAsia="Times New Roman" w:hAnsi="Helvetica" w:cs="Helvetica"/>
          <w:sz w:val="24"/>
          <w:szCs w:val="24"/>
          <w:lang w:val="es-ES"/>
        </w:rPr>
      </w:pPr>
      <w:r w:rsidRPr="565F02A5">
        <w:rPr>
          <w:rFonts w:ascii="Calibri" w:eastAsia="Calibri" w:hAnsi="Calibri" w:cs="Calibri"/>
          <w:sz w:val="24"/>
          <w:szCs w:val="24"/>
          <w:lang w:val="es-ES"/>
        </w:rPr>
        <w:t>Será preciso fortalecer el registro de avance en el sistema correspondiente para reflejar mejor los esfuerzos que se hacen dentro del departamento, sabiendo que el departamento muestra valores altos de severidad de pobreza, según los resultados de la Encuesta Nacional de Condiciones de Vida-ENCOVI- 2014. Ver tabla siguiente.</w:t>
      </w:r>
    </w:p>
    <w:p w14:paraId="4FEEFC94" w14:textId="6A1374D6" w:rsidR="00BC2B6E" w:rsidRPr="00E8422A" w:rsidRDefault="565F02A5" w:rsidP="00CB2668">
      <w:pPr>
        <w:pStyle w:val="ttulosgrficas"/>
        <w:rPr>
          <w:rFonts w:asciiTheme="minorHAnsi" w:eastAsia="Times New Roman" w:hAnsiTheme="minorHAnsi" w:cstheme="minorHAnsi"/>
          <w:color w:val="4472C4" w:themeColor="accent1"/>
          <w:lang w:val="es-ES"/>
        </w:rPr>
      </w:pPr>
      <w:bookmarkStart w:id="62" w:name="_Toc130199607"/>
      <w:r w:rsidRPr="00E8422A">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19</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E8422A">
        <w:rPr>
          <w:rFonts w:asciiTheme="minorHAnsi" w:eastAsia="Times New Roman" w:hAnsiTheme="minorHAnsi" w:cstheme="minorHAnsi"/>
          <w:color w:val="4472C4" w:themeColor="accent1"/>
          <w:lang w:val="es-ES"/>
        </w:rPr>
        <w:t xml:space="preserve"> Ejecución Física y Financiera, departamento de Chiquimula</w:t>
      </w:r>
      <w:bookmarkEnd w:id="62"/>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345"/>
        <w:gridCol w:w="1830"/>
        <w:gridCol w:w="1830"/>
        <w:gridCol w:w="1155"/>
        <w:gridCol w:w="1170"/>
      </w:tblGrid>
      <w:tr w:rsidR="3A42294A" w14:paraId="41C50BC6" w14:textId="77777777" w:rsidTr="00E8422A">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45" w:type="dxa"/>
            <w:tcBorders>
              <w:top w:val="none" w:sz="0" w:space="0" w:color="auto"/>
              <w:left w:val="none" w:sz="0" w:space="0" w:color="auto"/>
              <w:bottom w:val="none" w:sz="0" w:space="0" w:color="auto"/>
            </w:tcBorders>
            <w:tcMar>
              <w:left w:w="108" w:type="dxa"/>
              <w:right w:w="108" w:type="dxa"/>
            </w:tcMar>
            <w:vAlign w:val="center"/>
          </w:tcPr>
          <w:p w14:paraId="6B276D52" w14:textId="4C154336" w:rsidR="3A42294A" w:rsidRDefault="3A42294A" w:rsidP="3A42294A">
            <w:pPr>
              <w:jc w:val="center"/>
            </w:pPr>
            <w:r w:rsidRPr="3A42294A">
              <w:rPr>
                <w:rFonts w:ascii="Calibri" w:eastAsia="Calibri" w:hAnsi="Calibri" w:cs="Calibri"/>
                <w:color w:val="000000" w:themeColor="text1"/>
              </w:rPr>
              <w:t>Municipalidad</w:t>
            </w:r>
          </w:p>
        </w:tc>
        <w:tc>
          <w:tcPr>
            <w:tcW w:w="1830" w:type="dxa"/>
            <w:tcBorders>
              <w:top w:val="none" w:sz="0" w:space="0" w:color="auto"/>
              <w:bottom w:val="none" w:sz="0" w:space="0" w:color="auto"/>
            </w:tcBorders>
            <w:tcMar>
              <w:left w:w="108" w:type="dxa"/>
              <w:right w:w="108" w:type="dxa"/>
            </w:tcMar>
            <w:vAlign w:val="center"/>
          </w:tcPr>
          <w:p w14:paraId="7102E92C" w14:textId="3DC1612A" w:rsidR="3A42294A" w:rsidRDefault="46B27687" w:rsidP="3A42294A">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Meta Financiera Anual Vigente</w:t>
            </w:r>
          </w:p>
        </w:tc>
        <w:tc>
          <w:tcPr>
            <w:tcW w:w="1830" w:type="dxa"/>
            <w:tcBorders>
              <w:top w:val="none" w:sz="0" w:space="0" w:color="auto"/>
              <w:bottom w:val="none" w:sz="0" w:space="0" w:color="auto"/>
            </w:tcBorders>
            <w:tcMar>
              <w:left w:w="108" w:type="dxa"/>
              <w:right w:w="108" w:type="dxa"/>
            </w:tcMar>
            <w:vAlign w:val="center"/>
          </w:tcPr>
          <w:p w14:paraId="78E6A00F" w14:textId="29DD72B0" w:rsidR="3A42294A" w:rsidRDefault="46B27687" w:rsidP="3A42294A">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Ejecución Financiera Acumulada</w:t>
            </w:r>
          </w:p>
        </w:tc>
        <w:tc>
          <w:tcPr>
            <w:tcW w:w="1155" w:type="dxa"/>
            <w:tcBorders>
              <w:top w:val="none" w:sz="0" w:space="0" w:color="auto"/>
              <w:bottom w:val="none" w:sz="0" w:space="0" w:color="auto"/>
            </w:tcBorders>
            <w:tcMar>
              <w:left w:w="108" w:type="dxa"/>
              <w:right w:w="108" w:type="dxa"/>
            </w:tcMar>
            <w:vAlign w:val="center"/>
          </w:tcPr>
          <w:p w14:paraId="4B8BE544" w14:textId="738E1AB5" w:rsidR="3A42294A" w:rsidRDefault="3A42294A" w:rsidP="3A42294A">
            <w:pPr>
              <w:jc w:val="center"/>
              <w:cnfStyle w:val="100000000000" w:firstRow="1"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 de Ejecución Física</w:t>
            </w:r>
          </w:p>
        </w:tc>
        <w:tc>
          <w:tcPr>
            <w:tcW w:w="1170" w:type="dxa"/>
            <w:tcBorders>
              <w:top w:val="none" w:sz="0" w:space="0" w:color="auto"/>
              <w:bottom w:val="none" w:sz="0" w:space="0" w:color="auto"/>
              <w:right w:val="none" w:sz="0" w:space="0" w:color="auto"/>
            </w:tcBorders>
            <w:tcMar>
              <w:left w:w="108" w:type="dxa"/>
              <w:right w:w="108" w:type="dxa"/>
            </w:tcMar>
            <w:vAlign w:val="center"/>
          </w:tcPr>
          <w:p w14:paraId="6A79EC31" w14:textId="01173E06" w:rsidR="3A42294A" w:rsidRDefault="3A42294A" w:rsidP="3A42294A">
            <w:pPr>
              <w:jc w:val="center"/>
              <w:cnfStyle w:val="100000000000" w:firstRow="1"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 de Ejecución Financiera</w:t>
            </w:r>
          </w:p>
        </w:tc>
      </w:tr>
      <w:tr w:rsidR="3A42294A" w14:paraId="115C85FC"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39CCBEBE" w14:textId="65C77972" w:rsidR="3A42294A" w:rsidRDefault="3A42294A" w:rsidP="3A42294A">
            <w:r w:rsidRPr="3A42294A">
              <w:rPr>
                <w:rFonts w:ascii="Calibri" w:eastAsia="Calibri" w:hAnsi="Calibri" w:cs="Calibri"/>
                <w:color w:val="000000" w:themeColor="text1"/>
              </w:rPr>
              <w:t>Todo el departamento</w:t>
            </w:r>
          </w:p>
        </w:tc>
        <w:tc>
          <w:tcPr>
            <w:tcW w:w="1830" w:type="dxa"/>
            <w:tcMar>
              <w:left w:w="108" w:type="dxa"/>
              <w:right w:w="108" w:type="dxa"/>
            </w:tcMar>
          </w:tcPr>
          <w:p w14:paraId="651C2E1B" w14:textId="1088B298"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b/>
                <w:bCs/>
                <w:color w:val="000000" w:themeColor="text1"/>
              </w:rPr>
              <w:t>Q437,952,545.42</w:t>
            </w:r>
          </w:p>
        </w:tc>
        <w:tc>
          <w:tcPr>
            <w:tcW w:w="1830" w:type="dxa"/>
            <w:tcMar>
              <w:left w:w="108" w:type="dxa"/>
              <w:right w:w="108" w:type="dxa"/>
            </w:tcMar>
          </w:tcPr>
          <w:p w14:paraId="18C918FC" w14:textId="0DC10E6C"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b/>
                <w:bCs/>
                <w:color w:val="000000" w:themeColor="text1"/>
              </w:rPr>
              <w:t>Q287,370,352.10</w:t>
            </w:r>
          </w:p>
        </w:tc>
        <w:tc>
          <w:tcPr>
            <w:tcW w:w="1155" w:type="dxa"/>
            <w:shd w:val="clear" w:color="auto" w:fill="FFFF00"/>
            <w:tcMar>
              <w:left w:w="108" w:type="dxa"/>
              <w:right w:w="108" w:type="dxa"/>
            </w:tcMar>
            <w:vAlign w:val="bottom"/>
          </w:tcPr>
          <w:p w14:paraId="6186BACD" w14:textId="599E67C8"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b/>
                <w:bCs/>
                <w:color w:val="000000" w:themeColor="text1"/>
              </w:rPr>
              <w:t>68.86%</w:t>
            </w:r>
          </w:p>
        </w:tc>
        <w:tc>
          <w:tcPr>
            <w:tcW w:w="1170" w:type="dxa"/>
            <w:shd w:val="clear" w:color="auto" w:fill="FFFF00"/>
            <w:tcMar>
              <w:left w:w="108" w:type="dxa"/>
              <w:right w:w="108" w:type="dxa"/>
            </w:tcMar>
            <w:vAlign w:val="bottom"/>
          </w:tcPr>
          <w:p w14:paraId="62EA3290" w14:textId="06A0298C"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b/>
                <w:bCs/>
                <w:color w:val="000000" w:themeColor="text1"/>
              </w:rPr>
              <w:t>65.62%</w:t>
            </w:r>
          </w:p>
        </w:tc>
      </w:tr>
      <w:tr w:rsidR="3A42294A" w14:paraId="79A38452"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17B137F9" w14:textId="02171763"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Olopa</w:t>
            </w:r>
          </w:p>
        </w:tc>
        <w:tc>
          <w:tcPr>
            <w:tcW w:w="1830" w:type="dxa"/>
            <w:tcMar>
              <w:left w:w="108" w:type="dxa"/>
              <w:right w:w="108" w:type="dxa"/>
            </w:tcMar>
          </w:tcPr>
          <w:p w14:paraId="1F69A067" w14:textId="2C64DED8"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Q40,537,428.42</w:t>
            </w:r>
          </w:p>
        </w:tc>
        <w:tc>
          <w:tcPr>
            <w:tcW w:w="1830" w:type="dxa"/>
            <w:tcMar>
              <w:left w:w="108" w:type="dxa"/>
              <w:right w:w="108" w:type="dxa"/>
            </w:tcMar>
          </w:tcPr>
          <w:p w14:paraId="2EF00FE5" w14:textId="2FFDC050"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Q30,911,314.19</w:t>
            </w:r>
          </w:p>
        </w:tc>
        <w:tc>
          <w:tcPr>
            <w:tcW w:w="1155" w:type="dxa"/>
            <w:shd w:val="clear" w:color="auto" w:fill="92D050"/>
            <w:tcMar>
              <w:left w:w="108" w:type="dxa"/>
              <w:right w:w="108" w:type="dxa"/>
            </w:tcMar>
            <w:vAlign w:val="bottom"/>
          </w:tcPr>
          <w:p w14:paraId="623AB098" w14:textId="53C6BDDC"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92.09%</w:t>
            </w:r>
          </w:p>
        </w:tc>
        <w:tc>
          <w:tcPr>
            <w:tcW w:w="1170" w:type="dxa"/>
            <w:shd w:val="clear" w:color="auto" w:fill="FFFF00"/>
            <w:tcMar>
              <w:left w:w="108" w:type="dxa"/>
              <w:right w:w="108" w:type="dxa"/>
            </w:tcMar>
            <w:vAlign w:val="bottom"/>
          </w:tcPr>
          <w:p w14:paraId="42756955" w14:textId="45230F74"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76.25%</w:t>
            </w:r>
          </w:p>
        </w:tc>
      </w:tr>
      <w:tr w:rsidR="3A42294A" w14:paraId="008917D1"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7664998C" w14:textId="1ED35541"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San Jacinto</w:t>
            </w:r>
          </w:p>
        </w:tc>
        <w:tc>
          <w:tcPr>
            <w:tcW w:w="1830" w:type="dxa"/>
            <w:tcMar>
              <w:left w:w="108" w:type="dxa"/>
              <w:right w:w="108" w:type="dxa"/>
            </w:tcMar>
          </w:tcPr>
          <w:p w14:paraId="69113C00" w14:textId="25D3E0F5"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Q16,327,439.02</w:t>
            </w:r>
          </w:p>
        </w:tc>
        <w:tc>
          <w:tcPr>
            <w:tcW w:w="1830" w:type="dxa"/>
            <w:tcMar>
              <w:left w:w="108" w:type="dxa"/>
              <w:right w:w="108" w:type="dxa"/>
            </w:tcMar>
          </w:tcPr>
          <w:p w14:paraId="53532F52" w14:textId="7A9FB660"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Q13,032,337.49</w:t>
            </w:r>
          </w:p>
        </w:tc>
        <w:tc>
          <w:tcPr>
            <w:tcW w:w="1155" w:type="dxa"/>
            <w:shd w:val="clear" w:color="auto" w:fill="FFFF00"/>
            <w:tcMar>
              <w:left w:w="108" w:type="dxa"/>
              <w:right w:w="108" w:type="dxa"/>
            </w:tcMar>
            <w:vAlign w:val="bottom"/>
          </w:tcPr>
          <w:p w14:paraId="311E9F40" w14:textId="26DF27B4"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89.70%</w:t>
            </w:r>
          </w:p>
        </w:tc>
        <w:tc>
          <w:tcPr>
            <w:tcW w:w="1170" w:type="dxa"/>
            <w:shd w:val="clear" w:color="auto" w:fill="FFFF00"/>
            <w:tcMar>
              <w:left w:w="108" w:type="dxa"/>
              <w:right w:w="108" w:type="dxa"/>
            </w:tcMar>
            <w:vAlign w:val="bottom"/>
          </w:tcPr>
          <w:p w14:paraId="0406334D" w14:textId="3582DD1C"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79.82%</w:t>
            </w:r>
          </w:p>
        </w:tc>
      </w:tr>
      <w:tr w:rsidR="3A42294A" w14:paraId="6DA1E829"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7B65477C" w14:textId="2EB5027B"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Ipala</w:t>
            </w:r>
          </w:p>
        </w:tc>
        <w:tc>
          <w:tcPr>
            <w:tcW w:w="1830" w:type="dxa"/>
            <w:tcMar>
              <w:left w:w="108" w:type="dxa"/>
              <w:right w:w="108" w:type="dxa"/>
            </w:tcMar>
          </w:tcPr>
          <w:p w14:paraId="4254440D" w14:textId="78671EBF"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Q39,113,379.86</w:t>
            </w:r>
          </w:p>
        </w:tc>
        <w:tc>
          <w:tcPr>
            <w:tcW w:w="1830" w:type="dxa"/>
            <w:tcMar>
              <w:left w:w="108" w:type="dxa"/>
              <w:right w:w="108" w:type="dxa"/>
            </w:tcMar>
          </w:tcPr>
          <w:p w14:paraId="3189289B" w14:textId="7DD573E6"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Q30,308,417.02</w:t>
            </w:r>
          </w:p>
        </w:tc>
        <w:tc>
          <w:tcPr>
            <w:tcW w:w="1155" w:type="dxa"/>
            <w:shd w:val="clear" w:color="auto" w:fill="FFFF00"/>
            <w:tcMar>
              <w:left w:w="108" w:type="dxa"/>
              <w:right w:w="108" w:type="dxa"/>
            </w:tcMar>
            <w:vAlign w:val="bottom"/>
          </w:tcPr>
          <w:p w14:paraId="4FC38010" w14:textId="4A749DBE"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88.89%</w:t>
            </w:r>
          </w:p>
        </w:tc>
        <w:tc>
          <w:tcPr>
            <w:tcW w:w="1170" w:type="dxa"/>
            <w:shd w:val="clear" w:color="auto" w:fill="FFFF00"/>
            <w:tcMar>
              <w:left w:w="108" w:type="dxa"/>
              <w:right w:w="108" w:type="dxa"/>
            </w:tcMar>
            <w:vAlign w:val="bottom"/>
          </w:tcPr>
          <w:p w14:paraId="278EB7A8" w14:textId="3D9BE33B"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77.49%</w:t>
            </w:r>
          </w:p>
        </w:tc>
      </w:tr>
      <w:tr w:rsidR="3A42294A" w14:paraId="1957ECE9"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2F07E56D" w14:textId="4192F929"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San Juan Ermita</w:t>
            </w:r>
          </w:p>
        </w:tc>
        <w:tc>
          <w:tcPr>
            <w:tcW w:w="1830" w:type="dxa"/>
            <w:tcMar>
              <w:left w:w="108" w:type="dxa"/>
              <w:right w:w="108" w:type="dxa"/>
            </w:tcMar>
          </w:tcPr>
          <w:p w14:paraId="11788542" w14:textId="0E56DF18"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Q33,590,562.01</w:t>
            </w:r>
          </w:p>
        </w:tc>
        <w:tc>
          <w:tcPr>
            <w:tcW w:w="1830" w:type="dxa"/>
            <w:tcMar>
              <w:left w:w="108" w:type="dxa"/>
              <w:right w:w="108" w:type="dxa"/>
            </w:tcMar>
          </w:tcPr>
          <w:p w14:paraId="46AD9480" w14:textId="138C96AE"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Q25,382,976.24</w:t>
            </w:r>
          </w:p>
        </w:tc>
        <w:tc>
          <w:tcPr>
            <w:tcW w:w="1155" w:type="dxa"/>
            <w:shd w:val="clear" w:color="auto" w:fill="FFFF00"/>
            <w:tcMar>
              <w:left w:w="108" w:type="dxa"/>
              <w:right w:w="108" w:type="dxa"/>
            </w:tcMar>
            <w:vAlign w:val="bottom"/>
          </w:tcPr>
          <w:p w14:paraId="7214E2F3" w14:textId="4EA23D64"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82.07%</w:t>
            </w:r>
          </w:p>
        </w:tc>
        <w:tc>
          <w:tcPr>
            <w:tcW w:w="1170" w:type="dxa"/>
            <w:shd w:val="clear" w:color="auto" w:fill="FFFF00"/>
            <w:tcMar>
              <w:left w:w="108" w:type="dxa"/>
              <w:right w:w="108" w:type="dxa"/>
            </w:tcMar>
            <w:vAlign w:val="bottom"/>
          </w:tcPr>
          <w:p w14:paraId="46DF79C2" w14:textId="7B25ABA5"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75.57%</w:t>
            </w:r>
          </w:p>
        </w:tc>
      </w:tr>
      <w:tr w:rsidR="3A42294A" w14:paraId="201D6EAA"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6D579C06" w14:textId="0E976839"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Jocotán</w:t>
            </w:r>
          </w:p>
        </w:tc>
        <w:tc>
          <w:tcPr>
            <w:tcW w:w="1830" w:type="dxa"/>
            <w:tcMar>
              <w:left w:w="108" w:type="dxa"/>
              <w:right w:w="108" w:type="dxa"/>
            </w:tcMar>
          </w:tcPr>
          <w:p w14:paraId="563C5A66" w14:textId="508B8637"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Q56,248,470.70</w:t>
            </w:r>
          </w:p>
        </w:tc>
        <w:tc>
          <w:tcPr>
            <w:tcW w:w="1830" w:type="dxa"/>
            <w:tcMar>
              <w:left w:w="108" w:type="dxa"/>
              <w:right w:w="108" w:type="dxa"/>
            </w:tcMar>
          </w:tcPr>
          <w:p w14:paraId="6B17FBF6" w14:textId="1FF704F3"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Q42,829,548.47</w:t>
            </w:r>
          </w:p>
        </w:tc>
        <w:tc>
          <w:tcPr>
            <w:tcW w:w="1155" w:type="dxa"/>
            <w:shd w:val="clear" w:color="auto" w:fill="FFFF00"/>
            <w:tcMar>
              <w:left w:w="108" w:type="dxa"/>
              <w:right w:w="108" w:type="dxa"/>
            </w:tcMar>
            <w:vAlign w:val="bottom"/>
          </w:tcPr>
          <w:p w14:paraId="685C6B99" w14:textId="5667DF94"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81.76%</w:t>
            </w:r>
          </w:p>
        </w:tc>
        <w:tc>
          <w:tcPr>
            <w:tcW w:w="1170" w:type="dxa"/>
            <w:shd w:val="clear" w:color="auto" w:fill="FFFF00"/>
            <w:tcMar>
              <w:left w:w="108" w:type="dxa"/>
              <w:right w:w="108" w:type="dxa"/>
            </w:tcMar>
            <w:vAlign w:val="bottom"/>
          </w:tcPr>
          <w:p w14:paraId="5B5A477D" w14:textId="13CE9CC1"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76.14%</w:t>
            </w:r>
          </w:p>
        </w:tc>
      </w:tr>
      <w:tr w:rsidR="3A42294A" w14:paraId="6C411DAA"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5D048BA3" w14:textId="30B3C628"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Esquipulas</w:t>
            </w:r>
          </w:p>
        </w:tc>
        <w:tc>
          <w:tcPr>
            <w:tcW w:w="1830" w:type="dxa"/>
            <w:tcMar>
              <w:left w:w="108" w:type="dxa"/>
              <w:right w:w="108" w:type="dxa"/>
            </w:tcMar>
          </w:tcPr>
          <w:p w14:paraId="315C8023" w14:textId="38FD6DBC"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Q92,930,271.55</w:t>
            </w:r>
          </w:p>
        </w:tc>
        <w:tc>
          <w:tcPr>
            <w:tcW w:w="1830" w:type="dxa"/>
            <w:tcMar>
              <w:left w:w="108" w:type="dxa"/>
              <w:right w:w="108" w:type="dxa"/>
            </w:tcMar>
          </w:tcPr>
          <w:p w14:paraId="63EF2C58" w14:textId="270010A5"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Q62,719,333.56</w:t>
            </w:r>
          </w:p>
        </w:tc>
        <w:tc>
          <w:tcPr>
            <w:tcW w:w="1155" w:type="dxa"/>
            <w:shd w:val="clear" w:color="auto" w:fill="FFFF00"/>
            <w:tcMar>
              <w:left w:w="108" w:type="dxa"/>
              <w:right w:w="108" w:type="dxa"/>
            </w:tcMar>
            <w:vAlign w:val="bottom"/>
          </w:tcPr>
          <w:p w14:paraId="20217C3E" w14:textId="4EA465AD"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79.75%</w:t>
            </w:r>
          </w:p>
        </w:tc>
        <w:tc>
          <w:tcPr>
            <w:tcW w:w="1170" w:type="dxa"/>
            <w:shd w:val="clear" w:color="auto" w:fill="FFFF00"/>
            <w:tcMar>
              <w:left w:w="108" w:type="dxa"/>
              <w:right w:w="108" w:type="dxa"/>
            </w:tcMar>
            <w:vAlign w:val="bottom"/>
          </w:tcPr>
          <w:p w14:paraId="25C32B8D" w14:textId="65ABAC65"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67.49%</w:t>
            </w:r>
          </w:p>
        </w:tc>
      </w:tr>
      <w:tr w:rsidR="3A42294A" w14:paraId="7B6E486E"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29FBA7FB" w14:textId="08C22233"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Camotán</w:t>
            </w:r>
          </w:p>
        </w:tc>
        <w:tc>
          <w:tcPr>
            <w:tcW w:w="1830" w:type="dxa"/>
            <w:tcMar>
              <w:left w:w="108" w:type="dxa"/>
              <w:right w:w="108" w:type="dxa"/>
            </w:tcMar>
          </w:tcPr>
          <w:p w14:paraId="148FD32E" w14:textId="49D6F70A"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Q53,339,332.17</w:t>
            </w:r>
          </w:p>
        </w:tc>
        <w:tc>
          <w:tcPr>
            <w:tcW w:w="1830" w:type="dxa"/>
            <w:tcMar>
              <w:left w:w="108" w:type="dxa"/>
              <w:right w:w="108" w:type="dxa"/>
            </w:tcMar>
          </w:tcPr>
          <w:p w14:paraId="75BCD18C" w14:textId="5E39B6A8"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Q38,306,063.98</w:t>
            </w:r>
          </w:p>
        </w:tc>
        <w:tc>
          <w:tcPr>
            <w:tcW w:w="1155" w:type="dxa"/>
            <w:shd w:val="clear" w:color="auto" w:fill="FFFF00"/>
            <w:tcMar>
              <w:left w:w="108" w:type="dxa"/>
              <w:right w:w="108" w:type="dxa"/>
            </w:tcMar>
            <w:vAlign w:val="bottom"/>
          </w:tcPr>
          <w:p w14:paraId="79A7194F" w14:textId="16B69D81"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72.27%</w:t>
            </w:r>
          </w:p>
        </w:tc>
        <w:tc>
          <w:tcPr>
            <w:tcW w:w="1170" w:type="dxa"/>
            <w:shd w:val="clear" w:color="auto" w:fill="FFFF00"/>
            <w:tcMar>
              <w:left w:w="108" w:type="dxa"/>
              <w:right w:w="108" w:type="dxa"/>
            </w:tcMar>
            <w:vAlign w:val="bottom"/>
          </w:tcPr>
          <w:p w14:paraId="567B6FCA" w14:textId="413FA3D9"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71.82%</w:t>
            </w:r>
          </w:p>
        </w:tc>
      </w:tr>
      <w:tr w:rsidR="3A42294A" w14:paraId="18CF9A20"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77460DA2" w14:textId="500E2442"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San José La Arada</w:t>
            </w:r>
          </w:p>
        </w:tc>
        <w:tc>
          <w:tcPr>
            <w:tcW w:w="1830" w:type="dxa"/>
            <w:tcMar>
              <w:left w:w="108" w:type="dxa"/>
              <w:right w:w="108" w:type="dxa"/>
            </w:tcMar>
          </w:tcPr>
          <w:p w14:paraId="6524E4C8" w14:textId="708A1149"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Q14,943,491.49</w:t>
            </w:r>
          </w:p>
        </w:tc>
        <w:tc>
          <w:tcPr>
            <w:tcW w:w="1830" w:type="dxa"/>
            <w:tcMar>
              <w:left w:w="108" w:type="dxa"/>
              <w:right w:w="108" w:type="dxa"/>
            </w:tcMar>
          </w:tcPr>
          <w:p w14:paraId="19240FF7" w14:textId="6320304C"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Q12,349,580.05</w:t>
            </w:r>
          </w:p>
        </w:tc>
        <w:tc>
          <w:tcPr>
            <w:tcW w:w="1155" w:type="dxa"/>
            <w:shd w:val="clear" w:color="auto" w:fill="FFFF00"/>
            <w:tcMar>
              <w:left w:w="108" w:type="dxa"/>
              <w:right w:w="108" w:type="dxa"/>
            </w:tcMar>
            <w:vAlign w:val="bottom"/>
          </w:tcPr>
          <w:p w14:paraId="5DD2DB3D" w14:textId="588AFF2D"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67.40%</w:t>
            </w:r>
          </w:p>
        </w:tc>
        <w:tc>
          <w:tcPr>
            <w:tcW w:w="1170" w:type="dxa"/>
            <w:shd w:val="clear" w:color="auto" w:fill="FFFF00"/>
            <w:tcMar>
              <w:left w:w="108" w:type="dxa"/>
              <w:right w:w="108" w:type="dxa"/>
            </w:tcMar>
            <w:vAlign w:val="bottom"/>
          </w:tcPr>
          <w:p w14:paraId="7472B50F" w14:textId="7D278CFE"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82.64%</w:t>
            </w:r>
          </w:p>
        </w:tc>
      </w:tr>
      <w:tr w:rsidR="3A42294A" w14:paraId="78326037"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331F10B8" w14:textId="153A02E6"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Quezaltepeque</w:t>
            </w:r>
          </w:p>
        </w:tc>
        <w:tc>
          <w:tcPr>
            <w:tcW w:w="1830" w:type="dxa"/>
            <w:tcMar>
              <w:left w:w="108" w:type="dxa"/>
              <w:right w:w="108" w:type="dxa"/>
            </w:tcMar>
          </w:tcPr>
          <w:p w14:paraId="615A5316" w14:textId="04BC3695"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Q33,349,937.48</w:t>
            </w:r>
          </w:p>
        </w:tc>
        <w:tc>
          <w:tcPr>
            <w:tcW w:w="1830" w:type="dxa"/>
            <w:tcMar>
              <w:left w:w="108" w:type="dxa"/>
              <w:right w:w="108" w:type="dxa"/>
            </w:tcMar>
          </w:tcPr>
          <w:p w14:paraId="05926445" w14:textId="195413D4"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Q13,472,954.13</w:t>
            </w:r>
          </w:p>
        </w:tc>
        <w:tc>
          <w:tcPr>
            <w:tcW w:w="1155" w:type="dxa"/>
            <w:shd w:val="clear" w:color="auto" w:fill="C00000"/>
            <w:tcMar>
              <w:left w:w="108" w:type="dxa"/>
              <w:right w:w="108" w:type="dxa"/>
            </w:tcMar>
            <w:vAlign w:val="bottom"/>
          </w:tcPr>
          <w:p w14:paraId="5CDECADC" w14:textId="3A2C31C5"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36.97%</w:t>
            </w:r>
          </w:p>
        </w:tc>
        <w:tc>
          <w:tcPr>
            <w:tcW w:w="1170" w:type="dxa"/>
            <w:shd w:val="clear" w:color="auto" w:fill="C00000"/>
            <w:tcMar>
              <w:left w:w="108" w:type="dxa"/>
              <w:right w:w="108" w:type="dxa"/>
            </w:tcMar>
            <w:vAlign w:val="bottom"/>
          </w:tcPr>
          <w:p w14:paraId="47529374" w14:textId="3E819422"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40.40%</w:t>
            </w:r>
          </w:p>
        </w:tc>
      </w:tr>
      <w:tr w:rsidR="3A42294A" w14:paraId="272D1390"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31B57B0D" w14:textId="78F95892"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Concepción Las Minas</w:t>
            </w:r>
          </w:p>
        </w:tc>
        <w:tc>
          <w:tcPr>
            <w:tcW w:w="1830" w:type="dxa"/>
            <w:tcMar>
              <w:left w:w="108" w:type="dxa"/>
              <w:right w:w="108" w:type="dxa"/>
            </w:tcMar>
          </w:tcPr>
          <w:p w14:paraId="3E334683" w14:textId="64260564"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Q27,530,758.24</w:t>
            </w:r>
          </w:p>
        </w:tc>
        <w:tc>
          <w:tcPr>
            <w:tcW w:w="1830" w:type="dxa"/>
            <w:tcMar>
              <w:left w:w="108" w:type="dxa"/>
              <w:right w:w="108" w:type="dxa"/>
            </w:tcMar>
          </w:tcPr>
          <w:p w14:paraId="28E9E41C" w14:textId="53BECDCD"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Q11,558,892.45</w:t>
            </w:r>
          </w:p>
        </w:tc>
        <w:tc>
          <w:tcPr>
            <w:tcW w:w="1155" w:type="dxa"/>
            <w:shd w:val="clear" w:color="auto" w:fill="C00000"/>
            <w:tcMar>
              <w:left w:w="108" w:type="dxa"/>
              <w:right w:w="108" w:type="dxa"/>
            </w:tcMar>
            <w:vAlign w:val="bottom"/>
          </w:tcPr>
          <w:p w14:paraId="714BFD09" w14:textId="665479E3"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30.55%</w:t>
            </w:r>
          </w:p>
        </w:tc>
        <w:tc>
          <w:tcPr>
            <w:tcW w:w="1170" w:type="dxa"/>
            <w:shd w:val="clear" w:color="auto" w:fill="C00000"/>
            <w:tcMar>
              <w:left w:w="108" w:type="dxa"/>
              <w:right w:w="108" w:type="dxa"/>
            </w:tcMar>
            <w:vAlign w:val="bottom"/>
          </w:tcPr>
          <w:p w14:paraId="2A25CE92" w14:textId="7A24091F" w:rsidR="3A42294A" w:rsidRDefault="3A42294A" w:rsidP="3A42294A">
            <w:pPr>
              <w:jc w:val="right"/>
              <w:cnfStyle w:val="000000100000" w:firstRow="0" w:lastRow="0" w:firstColumn="0" w:lastColumn="0" w:oddVBand="0" w:evenVBand="0" w:oddHBand="1" w:evenHBand="0" w:firstRowFirstColumn="0" w:firstRowLastColumn="0" w:lastRowFirstColumn="0" w:lastRowLastColumn="0"/>
            </w:pPr>
            <w:r w:rsidRPr="3A42294A">
              <w:rPr>
                <w:rFonts w:ascii="Calibri" w:eastAsia="Calibri" w:hAnsi="Calibri" w:cs="Calibri"/>
                <w:color w:val="000000" w:themeColor="text1"/>
              </w:rPr>
              <w:t>41.99%</w:t>
            </w:r>
          </w:p>
        </w:tc>
      </w:tr>
      <w:tr w:rsidR="3A42294A" w14:paraId="0F1E4BA0"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45" w:type="dxa"/>
            <w:tcMar>
              <w:left w:w="108" w:type="dxa"/>
              <w:right w:w="108" w:type="dxa"/>
            </w:tcMar>
          </w:tcPr>
          <w:p w14:paraId="5BF067E0" w14:textId="73167F51" w:rsidR="3A42294A" w:rsidRDefault="3A42294A" w:rsidP="3A42294A">
            <w:pPr>
              <w:rPr>
                <w:rFonts w:ascii="Calibri" w:eastAsia="Calibri" w:hAnsi="Calibri" w:cs="Calibri"/>
                <w:b w:val="0"/>
                <w:bCs w:val="0"/>
                <w:color w:val="000000" w:themeColor="text1"/>
              </w:rPr>
            </w:pPr>
            <w:r w:rsidRPr="3A42294A">
              <w:rPr>
                <w:rFonts w:ascii="Calibri" w:eastAsia="Calibri" w:hAnsi="Calibri" w:cs="Calibri"/>
                <w:b w:val="0"/>
                <w:bCs w:val="0"/>
                <w:color w:val="000000" w:themeColor="text1"/>
              </w:rPr>
              <w:t>Chiquimula</w:t>
            </w:r>
          </w:p>
        </w:tc>
        <w:tc>
          <w:tcPr>
            <w:tcW w:w="1830" w:type="dxa"/>
            <w:tcMar>
              <w:left w:w="108" w:type="dxa"/>
              <w:right w:w="108" w:type="dxa"/>
            </w:tcMar>
          </w:tcPr>
          <w:p w14:paraId="0455CA06" w14:textId="12F8D266"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Q30,041,474.48</w:t>
            </w:r>
          </w:p>
        </w:tc>
        <w:tc>
          <w:tcPr>
            <w:tcW w:w="1830" w:type="dxa"/>
            <w:tcMar>
              <w:left w:w="108" w:type="dxa"/>
              <w:right w:w="108" w:type="dxa"/>
            </w:tcMar>
          </w:tcPr>
          <w:p w14:paraId="28A982E1" w14:textId="1666063F"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Q6,498,934.52</w:t>
            </w:r>
          </w:p>
        </w:tc>
        <w:tc>
          <w:tcPr>
            <w:tcW w:w="1155" w:type="dxa"/>
            <w:shd w:val="clear" w:color="auto" w:fill="C00000"/>
            <w:tcMar>
              <w:left w:w="108" w:type="dxa"/>
              <w:right w:w="108" w:type="dxa"/>
            </w:tcMar>
            <w:vAlign w:val="bottom"/>
          </w:tcPr>
          <w:p w14:paraId="4EF4CD6C" w14:textId="263E24CA"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0.53%</w:t>
            </w:r>
          </w:p>
        </w:tc>
        <w:tc>
          <w:tcPr>
            <w:tcW w:w="1170" w:type="dxa"/>
            <w:shd w:val="clear" w:color="auto" w:fill="C00000"/>
            <w:tcMar>
              <w:left w:w="108" w:type="dxa"/>
              <w:right w:w="108" w:type="dxa"/>
            </w:tcMar>
            <w:vAlign w:val="bottom"/>
          </w:tcPr>
          <w:p w14:paraId="3E268895" w14:textId="5E7F69D1" w:rsidR="3A42294A" w:rsidRDefault="3A42294A" w:rsidP="3A42294A">
            <w:pPr>
              <w:jc w:val="right"/>
              <w:cnfStyle w:val="000000000000" w:firstRow="0" w:lastRow="0" w:firstColumn="0" w:lastColumn="0" w:oddVBand="0" w:evenVBand="0" w:oddHBand="0" w:evenHBand="0" w:firstRowFirstColumn="0" w:firstRowLastColumn="0" w:lastRowFirstColumn="0" w:lastRowLastColumn="0"/>
            </w:pPr>
            <w:r w:rsidRPr="3A42294A">
              <w:rPr>
                <w:rFonts w:ascii="Calibri" w:eastAsia="Calibri" w:hAnsi="Calibri" w:cs="Calibri"/>
                <w:color w:val="000000" w:themeColor="text1"/>
              </w:rPr>
              <w:t>21.63%</w:t>
            </w:r>
          </w:p>
        </w:tc>
      </w:tr>
    </w:tbl>
    <w:p w14:paraId="15013460" w14:textId="32E4BBBE" w:rsidR="565F02A5" w:rsidRDefault="3A42294A" w:rsidP="00E8422A">
      <w:pPr>
        <w:spacing w:after="120" w:line="240" w:lineRule="auto"/>
        <w:jc w:val="both"/>
      </w:pPr>
      <w:r w:rsidRPr="3A42294A">
        <w:rPr>
          <w:rFonts w:ascii="Calibri" w:eastAsia="Calibri" w:hAnsi="Calibri" w:cs="Calibri"/>
          <w:sz w:val="18"/>
          <w:szCs w:val="18"/>
          <w:lang w:val="es"/>
        </w:rPr>
        <w:t>Fuente: Siplangl. III informe cuatrimestral y acumulado. Año 2022.</w:t>
      </w:r>
    </w:p>
    <w:p w14:paraId="54FDCB35" w14:textId="5C9A3913" w:rsidR="00693BD9" w:rsidRPr="00A543DE" w:rsidRDefault="3A42294A" w:rsidP="00E8422A">
      <w:pPr>
        <w:autoSpaceDE w:val="0"/>
        <w:autoSpaceDN w:val="0"/>
        <w:adjustRightInd w:val="0"/>
        <w:spacing w:after="120" w:line="240" w:lineRule="auto"/>
        <w:jc w:val="both"/>
        <w:rPr>
          <w:rFonts w:eastAsia="Times New Roman" w:cstheme="minorHAnsi"/>
          <w:b/>
          <w:color w:val="002060"/>
          <w:sz w:val="28"/>
          <w:szCs w:val="28"/>
          <w:lang w:val="es-ES"/>
        </w:rPr>
      </w:pPr>
      <w:r w:rsidRPr="00A543DE">
        <w:rPr>
          <w:rFonts w:eastAsia="Times New Roman" w:cstheme="minorHAnsi"/>
          <w:b/>
          <w:bCs/>
          <w:color w:val="002060"/>
          <w:sz w:val="28"/>
          <w:szCs w:val="28"/>
          <w:lang w:val="es-ES"/>
        </w:rPr>
        <w:t>El Progreso</w:t>
      </w:r>
    </w:p>
    <w:p w14:paraId="200C5EB5" w14:textId="30A8ACDB" w:rsidR="00693BD9" w:rsidRPr="003051CD" w:rsidRDefault="00E8422A" w:rsidP="00E8422A">
      <w:pPr>
        <w:autoSpaceDE w:val="0"/>
        <w:autoSpaceDN w:val="0"/>
        <w:adjustRightInd w:val="0"/>
        <w:spacing w:after="120" w:line="240" w:lineRule="auto"/>
        <w:jc w:val="both"/>
      </w:pPr>
      <w:r w:rsidRPr="009F6D37">
        <w:rPr>
          <w:noProof/>
          <w:sz w:val="24"/>
        </w:rPr>
        <w:drawing>
          <wp:anchor distT="0" distB="0" distL="114300" distR="114300" simplePos="0" relativeHeight="251686400" behindDoc="1" locked="0" layoutInCell="1" allowOverlap="1" wp14:anchorId="71550FBF" wp14:editId="0375B0EF">
            <wp:simplePos x="0" y="0"/>
            <wp:positionH relativeFrom="column">
              <wp:posOffset>4375150</wp:posOffset>
            </wp:positionH>
            <wp:positionV relativeFrom="paragraph">
              <wp:posOffset>76200</wp:posOffset>
            </wp:positionV>
            <wp:extent cx="1504315" cy="984885"/>
            <wp:effectExtent l="19050" t="19050" r="19685" b="24765"/>
            <wp:wrapTight wrapText="bothSides">
              <wp:wrapPolygon edited="0">
                <wp:start x="-274" y="-418"/>
                <wp:lineTo x="-274" y="21725"/>
                <wp:lineTo x="21609" y="21725"/>
                <wp:lineTo x="21609" y="-418"/>
                <wp:lineTo x="-274" y="-418"/>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04315" cy="9848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3A42294A" w:rsidRPr="3A42294A">
        <w:rPr>
          <w:rFonts w:ascii="Calibri" w:eastAsia="Calibri" w:hAnsi="Calibri" w:cs="Calibri"/>
          <w:sz w:val="24"/>
          <w:szCs w:val="24"/>
          <w:lang w:val="es-ES"/>
        </w:rPr>
        <w:t>Al finalizar el año 2022, el departamento reportó un avance físico promedio del 77.24%. Los municipios que mayor avance presentaron son: Sansare con 100%, San Antonio la Paz con 91.73%, y Sanarate con 90.71%.</w:t>
      </w:r>
    </w:p>
    <w:p w14:paraId="14028313" w14:textId="4DF10EB9" w:rsidR="0030705D" w:rsidRDefault="3A42294A" w:rsidP="00E8422A">
      <w:pPr>
        <w:autoSpaceDE w:val="0"/>
        <w:autoSpaceDN w:val="0"/>
        <w:adjustRightInd w:val="0"/>
        <w:spacing w:after="120" w:line="240" w:lineRule="auto"/>
        <w:jc w:val="both"/>
        <w:rPr>
          <w:rFonts w:ascii="Helvetica" w:eastAsia="Calibri" w:hAnsi="Helvetica" w:cs="Arial"/>
          <w:sz w:val="24"/>
        </w:rPr>
      </w:pPr>
      <w:r w:rsidRPr="3A42294A">
        <w:rPr>
          <w:rFonts w:ascii="Calibri" w:eastAsia="Calibri" w:hAnsi="Calibri" w:cs="Calibri"/>
          <w:sz w:val="24"/>
          <w:szCs w:val="24"/>
          <w:lang w:val="es-ES"/>
        </w:rPr>
        <w:t>Con 70.76% finalizó el año el departamento, en relación al avance financiero. Siendo los municipios de Morazán, Sanarate y San Antonio la Paz quienes reportaron mayor avance con 95.11%, 84.90% y 84.63% respectivamente. Ver siguiente tabla:</w:t>
      </w:r>
    </w:p>
    <w:p w14:paraId="6D784F92" w14:textId="6ED44219" w:rsidR="00BC2B6E" w:rsidRPr="00E8422A" w:rsidRDefault="3A42294A" w:rsidP="00386AC2">
      <w:pPr>
        <w:pStyle w:val="ttulosgrficas"/>
        <w:rPr>
          <w:rFonts w:asciiTheme="minorHAnsi" w:eastAsia="Times New Roman" w:hAnsiTheme="minorHAnsi" w:cstheme="minorHAnsi"/>
          <w:color w:val="4472C4" w:themeColor="accent1"/>
          <w:lang w:val="es-ES"/>
        </w:rPr>
      </w:pPr>
      <w:bookmarkStart w:id="63" w:name="_Toc130199608"/>
      <w:r w:rsidRPr="00E8422A">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20</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E8422A">
        <w:rPr>
          <w:rFonts w:asciiTheme="minorHAnsi" w:eastAsia="Times New Roman" w:hAnsiTheme="minorHAnsi" w:cstheme="minorHAnsi"/>
          <w:color w:val="4472C4" w:themeColor="accent1"/>
          <w:lang w:val="es-ES"/>
        </w:rPr>
        <w:t xml:space="preserve"> Ejecución Física y Financiera, departamento de El Progreso</w:t>
      </w:r>
      <w:bookmarkEnd w:id="63"/>
    </w:p>
    <w:tbl>
      <w:tblPr>
        <w:tblStyle w:val="Tabladelista4-nfasis5"/>
        <w:tblW w:w="9435"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405"/>
        <w:gridCol w:w="1830"/>
        <w:gridCol w:w="1845"/>
        <w:gridCol w:w="1110"/>
        <w:gridCol w:w="1245"/>
      </w:tblGrid>
      <w:tr w:rsidR="72A5A7BC" w14:paraId="1FBB62C0" w14:textId="77777777" w:rsidTr="00E842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5" w:type="dxa"/>
            <w:tcBorders>
              <w:top w:val="none" w:sz="0" w:space="0" w:color="auto"/>
              <w:left w:val="none" w:sz="0" w:space="0" w:color="auto"/>
              <w:bottom w:val="none" w:sz="0" w:space="0" w:color="auto"/>
            </w:tcBorders>
            <w:tcMar>
              <w:left w:w="108" w:type="dxa"/>
              <w:right w:w="108" w:type="dxa"/>
            </w:tcMar>
            <w:vAlign w:val="center"/>
          </w:tcPr>
          <w:p w14:paraId="692994C4" w14:textId="4933644D" w:rsidR="72A5A7BC" w:rsidRDefault="72A5A7BC" w:rsidP="72A5A7BC">
            <w:pPr>
              <w:jc w:val="center"/>
            </w:pPr>
            <w:r w:rsidRPr="72A5A7BC">
              <w:rPr>
                <w:rFonts w:ascii="Calibri" w:eastAsia="Calibri" w:hAnsi="Calibri" w:cs="Calibri"/>
                <w:color w:val="000000" w:themeColor="text1"/>
              </w:rPr>
              <w:t>Municipio</w:t>
            </w:r>
          </w:p>
        </w:tc>
        <w:tc>
          <w:tcPr>
            <w:tcW w:w="1830" w:type="dxa"/>
            <w:tcBorders>
              <w:top w:val="none" w:sz="0" w:space="0" w:color="auto"/>
              <w:bottom w:val="none" w:sz="0" w:space="0" w:color="auto"/>
            </w:tcBorders>
            <w:tcMar>
              <w:left w:w="108" w:type="dxa"/>
              <w:right w:w="108" w:type="dxa"/>
            </w:tcMar>
            <w:vAlign w:val="center"/>
          </w:tcPr>
          <w:p w14:paraId="3BE5EBF2" w14:textId="3C0F12FE" w:rsidR="72A5A7BC" w:rsidRDefault="46B27687" w:rsidP="72A5A7BC">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Meta Financiera Anual Vigente</w:t>
            </w:r>
          </w:p>
        </w:tc>
        <w:tc>
          <w:tcPr>
            <w:tcW w:w="1845" w:type="dxa"/>
            <w:tcBorders>
              <w:top w:val="none" w:sz="0" w:space="0" w:color="auto"/>
              <w:bottom w:val="none" w:sz="0" w:space="0" w:color="auto"/>
            </w:tcBorders>
            <w:tcMar>
              <w:left w:w="108" w:type="dxa"/>
              <w:right w:w="108" w:type="dxa"/>
            </w:tcMar>
            <w:vAlign w:val="center"/>
          </w:tcPr>
          <w:p w14:paraId="1A598AEB" w14:textId="4A0009B1" w:rsidR="72A5A7BC" w:rsidRDefault="46B27687" w:rsidP="72A5A7BC">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Ejecución Financiera Acumulada</w:t>
            </w:r>
          </w:p>
        </w:tc>
        <w:tc>
          <w:tcPr>
            <w:tcW w:w="1110" w:type="dxa"/>
            <w:tcBorders>
              <w:top w:val="none" w:sz="0" w:space="0" w:color="auto"/>
              <w:bottom w:val="none" w:sz="0" w:space="0" w:color="auto"/>
            </w:tcBorders>
            <w:tcMar>
              <w:left w:w="108" w:type="dxa"/>
              <w:right w:w="108" w:type="dxa"/>
            </w:tcMar>
            <w:vAlign w:val="center"/>
          </w:tcPr>
          <w:p w14:paraId="28F5D0A3" w14:textId="50921859" w:rsidR="72A5A7BC" w:rsidRDefault="72A5A7BC" w:rsidP="72A5A7BC">
            <w:pPr>
              <w:jc w:val="center"/>
              <w:cnfStyle w:val="100000000000" w:firstRow="1"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 de Ejecución Física</w:t>
            </w:r>
          </w:p>
        </w:tc>
        <w:tc>
          <w:tcPr>
            <w:tcW w:w="1245" w:type="dxa"/>
            <w:tcBorders>
              <w:top w:val="none" w:sz="0" w:space="0" w:color="auto"/>
              <w:bottom w:val="none" w:sz="0" w:space="0" w:color="auto"/>
              <w:right w:val="none" w:sz="0" w:space="0" w:color="auto"/>
            </w:tcBorders>
            <w:tcMar>
              <w:left w:w="108" w:type="dxa"/>
              <w:right w:w="108" w:type="dxa"/>
            </w:tcMar>
            <w:vAlign w:val="center"/>
          </w:tcPr>
          <w:p w14:paraId="3EBFEE6C" w14:textId="291D3E09" w:rsidR="72A5A7BC" w:rsidRDefault="72A5A7BC" w:rsidP="72A5A7BC">
            <w:pPr>
              <w:jc w:val="center"/>
              <w:cnfStyle w:val="100000000000" w:firstRow="1"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 de Ejecución Financiera</w:t>
            </w:r>
          </w:p>
        </w:tc>
      </w:tr>
      <w:tr w:rsidR="72A5A7BC" w14:paraId="0D7B9932"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5" w:type="dxa"/>
            <w:tcMar>
              <w:left w:w="108" w:type="dxa"/>
              <w:right w:w="108" w:type="dxa"/>
            </w:tcMar>
          </w:tcPr>
          <w:p w14:paraId="0F4F6B8D" w14:textId="46ACA26A" w:rsidR="72A5A7BC" w:rsidRDefault="72A5A7BC" w:rsidP="72A5A7BC">
            <w:r w:rsidRPr="72A5A7BC">
              <w:rPr>
                <w:rFonts w:ascii="Calibri" w:eastAsia="Calibri" w:hAnsi="Calibri" w:cs="Calibri"/>
                <w:color w:val="000000" w:themeColor="text1"/>
              </w:rPr>
              <w:t>Todo el departamento</w:t>
            </w:r>
          </w:p>
        </w:tc>
        <w:tc>
          <w:tcPr>
            <w:tcW w:w="1830" w:type="dxa"/>
            <w:tcMar>
              <w:left w:w="108" w:type="dxa"/>
              <w:right w:w="108" w:type="dxa"/>
            </w:tcMar>
          </w:tcPr>
          <w:p w14:paraId="2733F2FB" w14:textId="1B0EACD9"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b/>
                <w:bCs/>
                <w:color w:val="000000" w:themeColor="text1"/>
              </w:rPr>
              <w:t>Q336,487,802.89</w:t>
            </w:r>
          </w:p>
        </w:tc>
        <w:tc>
          <w:tcPr>
            <w:tcW w:w="1845" w:type="dxa"/>
            <w:tcMar>
              <w:left w:w="108" w:type="dxa"/>
              <w:right w:w="108" w:type="dxa"/>
            </w:tcMar>
          </w:tcPr>
          <w:p w14:paraId="7DA4CEC7" w14:textId="5FD38D9D"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b/>
                <w:bCs/>
                <w:color w:val="000000" w:themeColor="text1"/>
              </w:rPr>
              <w:t>Q238,107,495.42</w:t>
            </w:r>
          </w:p>
        </w:tc>
        <w:tc>
          <w:tcPr>
            <w:tcW w:w="1110" w:type="dxa"/>
            <w:shd w:val="clear" w:color="auto" w:fill="FFFF00"/>
            <w:tcMar>
              <w:left w:w="108" w:type="dxa"/>
              <w:right w:w="108" w:type="dxa"/>
            </w:tcMar>
            <w:vAlign w:val="bottom"/>
          </w:tcPr>
          <w:p w14:paraId="4B438969" w14:textId="02375645"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b/>
                <w:bCs/>
                <w:color w:val="000000" w:themeColor="text1"/>
              </w:rPr>
              <w:t>77.24%</w:t>
            </w:r>
          </w:p>
        </w:tc>
        <w:tc>
          <w:tcPr>
            <w:tcW w:w="1245" w:type="dxa"/>
            <w:shd w:val="clear" w:color="auto" w:fill="FFFF00"/>
            <w:tcMar>
              <w:left w:w="108" w:type="dxa"/>
              <w:right w:w="108" w:type="dxa"/>
            </w:tcMar>
            <w:vAlign w:val="bottom"/>
          </w:tcPr>
          <w:p w14:paraId="0BCEADDE" w14:textId="2ECD06F2"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b/>
                <w:bCs/>
                <w:color w:val="000000" w:themeColor="text1"/>
              </w:rPr>
              <w:t>70.76%</w:t>
            </w:r>
          </w:p>
        </w:tc>
      </w:tr>
      <w:tr w:rsidR="72A5A7BC" w14:paraId="2337B964"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405" w:type="dxa"/>
            <w:tcMar>
              <w:left w:w="108" w:type="dxa"/>
              <w:right w:w="108" w:type="dxa"/>
            </w:tcMar>
          </w:tcPr>
          <w:p w14:paraId="0D715439" w14:textId="3421EB70" w:rsidR="72A5A7BC" w:rsidRDefault="72A5A7BC" w:rsidP="72A5A7BC">
            <w:pPr>
              <w:rPr>
                <w:rFonts w:ascii="Calibri" w:eastAsia="Calibri" w:hAnsi="Calibri" w:cs="Calibri"/>
                <w:b w:val="0"/>
                <w:bCs w:val="0"/>
                <w:color w:val="000000" w:themeColor="text1"/>
              </w:rPr>
            </w:pPr>
            <w:r w:rsidRPr="72A5A7BC">
              <w:rPr>
                <w:rFonts w:ascii="Calibri" w:eastAsia="Calibri" w:hAnsi="Calibri" w:cs="Calibri"/>
                <w:b w:val="0"/>
                <w:bCs w:val="0"/>
                <w:color w:val="000000" w:themeColor="text1"/>
              </w:rPr>
              <w:t>Sansare</w:t>
            </w:r>
          </w:p>
        </w:tc>
        <w:tc>
          <w:tcPr>
            <w:tcW w:w="1830" w:type="dxa"/>
            <w:tcMar>
              <w:left w:w="108" w:type="dxa"/>
              <w:right w:w="108" w:type="dxa"/>
            </w:tcMar>
          </w:tcPr>
          <w:p w14:paraId="0A8CC80E" w14:textId="30A6CCAD"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Q23,016,320.20</w:t>
            </w:r>
          </w:p>
        </w:tc>
        <w:tc>
          <w:tcPr>
            <w:tcW w:w="1845" w:type="dxa"/>
            <w:tcMar>
              <w:left w:w="108" w:type="dxa"/>
              <w:right w:w="108" w:type="dxa"/>
            </w:tcMar>
          </w:tcPr>
          <w:p w14:paraId="25C7A9A4" w14:textId="420E54F7"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Q15,679,055.44</w:t>
            </w:r>
          </w:p>
        </w:tc>
        <w:tc>
          <w:tcPr>
            <w:tcW w:w="1110" w:type="dxa"/>
            <w:shd w:val="clear" w:color="auto" w:fill="92D050"/>
            <w:tcMar>
              <w:left w:w="108" w:type="dxa"/>
              <w:right w:w="108" w:type="dxa"/>
            </w:tcMar>
            <w:vAlign w:val="bottom"/>
          </w:tcPr>
          <w:p w14:paraId="28C8EC4A" w14:textId="04FB7BC4"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100.00%</w:t>
            </w:r>
          </w:p>
        </w:tc>
        <w:tc>
          <w:tcPr>
            <w:tcW w:w="1245" w:type="dxa"/>
            <w:shd w:val="clear" w:color="auto" w:fill="FFFF00"/>
            <w:tcMar>
              <w:left w:w="108" w:type="dxa"/>
              <w:right w:w="108" w:type="dxa"/>
            </w:tcMar>
            <w:vAlign w:val="bottom"/>
          </w:tcPr>
          <w:p w14:paraId="49AF8B6A" w14:textId="4BE17E36"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68.12%</w:t>
            </w:r>
          </w:p>
        </w:tc>
      </w:tr>
      <w:tr w:rsidR="72A5A7BC" w14:paraId="5756A0F2"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5" w:type="dxa"/>
            <w:tcMar>
              <w:left w:w="108" w:type="dxa"/>
              <w:right w:w="108" w:type="dxa"/>
            </w:tcMar>
          </w:tcPr>
          <w:p w14:paraId="6733E12E" w14:textId="170997CE" w:rsidR="72A5A7BC" w:rsidRDefault="72A5A7BC" w:rsidP="72A5A7BC">
            <w:pPr>
              <w:rPr>
                <w:rFonts w:ascii="Calibri" w:eastAsia="Calibri" w:hAnsi="Calibri" w:cs="Calibri"/>
                <w:b w:val="0"/>
                <w:bCs w:val="0"/>
                <w:color w:val="000000" w:themeColor="text1"/>
              </w:rPr>
            </w:pPr>
            <w:r w:rsidRPr="72A5A7BC">
              <w:rPr>
                <w:rFonts w:ascii="Calibri" w:eastAsia="Calibri" w:hAnsi="Calibri" w:cs="Calibri"/>
                <w:b w:val="0"/>
                <w:bCs w:val="0"/>
                <w:color w:val="000000" w:themeColor="text1"/>
              </w:rPr>
              <w:t>San Antonio La Paz</w:t>
            </w:r>
          </w:p>
        </w:tc>
        <w:tc>
          <w:tcPr>
            <w:tcW w:w="1830" w:type="dxa"/>
            <w:tcMar>
              <w:left w:w="108" w:type="dxa"/>
              <w:right w:w="108" w:type="dxa"/>
            </w:tcMar>
          </w:tcPr>
          <w:p w14:paraId="226317AC" w14:textId="191AA5D4"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Q34,493,461.58</w:t>
            </w:r>
          </w:p>
        </w:tc>
        <w:tc>
          <w:tcPr>
            <w:tcW w:w="1845" w:type="dxa"/>
            <w:tcMar>
              <w:left w:w="108" w:type="dxa"/>
              <w:right w:w="108" w:type="dxa"/>
            </w:tcMar>
          </w:tcPr>
          <w:p w14:paraId="01903E9A" w14:textId="34A77CC2"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Q29,191,625.28</w:t>
            </w:r>
          </w:p>
        </w:tc>
        <w:tc>
          <w:tcPr>
            <w:tcW w:w="1110" w:type="dxa"/>
            <w:shd w:val="clear" w:color="auto" w:fill="92D050"/>
            <w:tcMar>
              <w:left w:w="108" w:type="dxa"/>
              <w:right w:w="108" w:type="dxa"/>
            </w:tcMar>
            <w:vAlign w:val="bottom"/>
          </w:tcPr>
          <w:p w14:paraId="5F332A36" w14:textId="5DA78B50"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91.73%</w:t>
            </w:r>
          </w:p>
        </w:tc>
        <w:tc>
          <w:tcPr>
            <w:tcW w:w="1245" w:type="dxa"/>
            <w:shd w:val="clear" w:color="auto" w:fill="FFFF00"/>
            <w:tcMar>
              <w:left w:w="108" w:type="dxa"/>
              <w:right w:w="108" w:type="dxa"/>
            </w:tcMar>
            <w:vAlign w:val="bottom"/>
          </w:tcPr>
          <w:p w14:paraId="44C44088" w14:textId="6553E367"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84.63%</w:t>
            </w:r>
          </w:p>
        </w:tc>
      </w:tr>
      <w:tr w:rsidR="72A5A7BC" w14:paraId="32B1068E"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405" w:type="dxa"/>
            <w:tcMar>
              <w:left w:w="108" w:type="dxa"/>
              <w:right w:w="108" w:type="dxa"/>
            </w:tcMar>
          </w:tcPr>
          <w:p w14:paraId="1B9BB981" w14:textId="7C19535D" w:rsidR="72A5A7BC" w:rsidRDefault="72A5A7BC" w:rsidP="72A5A7BC">
            <w:pPr>
              <w:rPr>
                <w:rFonts w:ascii="Calibri" w:eastAsia="Calibri" w:hAnsi="Calibri" w:cs="Calibri"/>
                <w:b w:val="0"/>
                <w:bCs w:val="0"/>
                <w:color w:val="000000" w:themeColor="text1"/>
              </w:rPr>
            </w:pPr>
            <w:r w:rsidRPr="72A5A7BC">
              <w:rPr>
                <w:rFonts w:ascii="Calibri" w:eastAsia="Calibri" w:hAnsi="Calibri" w:cs="Calibri"/>
                <w:b w:val="0"/>
                <w:bCs w:val="0"/>
                <w:color w:val="000000" w:themeColor="text1"/>
              </w:rPr>
              <w:t>Sanarate</w:t>
            </w:r>
          </w:p>
        </w:tc>
        <w:tc>
          <w:tcPr>
            <w:tcW w:w="1830" w:type="dxa"/>
            <w:tcMar>
              <w:left w:w="108" w:type="dxa"/>
              <w:right w:w="108" w:type="dxa"/>
            </w:tcMar>
          </w:tcPr>
          <w:p w14:paraId="56E18C1C" w14:textId="04AA4BA5"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Q73,134,992.33</w:t>
            </w:r>
          </w:p>
        </w:tc>
        <w:tc>
          <w:tcPr>
            <w:tcW w:w="1845" w:type="dxa"/>
            <w:tcMar>
              <w:left w:w="108" w:type="dxa"/>
              <w:right w:w="108" w:type="dxa"/>
            </w:tcMar>
          </w:tcPr>
          <w:p w14:paraId="62C5D68F" w14:textId="4A139265"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Q62,093,259.27</w:t>
            </w:r>
          </w:p>
        </w:tc>
        <w:tc>
          <w:tcPr>
            <w:tcW w:w="1110" w:type="dxa"/>
            <w:shd w:val="clear" w:color="auto" w:fill="92D050"/>
            <w:tcMar>
              <w:left w:w="108" w:type="dxa"/>
              <w:right w:w="108" w:type="dxa"/>
            </w:tcMar>
            <w:vAlign w:val="bottom"/>
          </w:tcPr>
          <w:p w14:paraId="151A3F86" w14:textId="223C4705"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90.71%</w:t>
            </w:r>
          </w:p>
        </w:tc>
        <w:tc>
          <w:tcPr>
            <w:tcW w:w="1245" w:type="dxa"/>
            <w:shd w:val="clear" w:color="auto" w:fill="FFFF00"/>
            <w:tcMar>
              <w:left w:w="108" w:type="dxa"/>
              <w:right w:w="108" w:type="dxa"/>
            </w:tcMar>
            <w:vAlign w:val="bottom"/>
          </w:tcPr>
          <w:p w14:paraId="05D1E453" w14:textId="103EDAD1"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84.90%</w:t>
            </w:r>
          </w:p>
        </w:tc>
      </w:tr>
      <w:tr w:rsidR="72A5A7BC" w14:paraId="08D066DB"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5" w:type="dxa"/>
            <w:tcMar>
              <w:left w:w="108" w:type="dxa"/>
              <w:right w:w="108" w:type="dxa"/>
            </w:tcMar>
          </w:tcPr>
          <w:p w14:paraId="6131C6D1" w14:textId="11A2176F" w:rsidR="72A5A7BC" w:rsidRDefault="72A5A7BC" w:rsidP="72A5A7BC">
            <w:pPr>
              <w:rPr>
                <w:rFonts w:ascii="Calibri" w:eastAsia="Calibri" w:hAnsi="Calibri" w:cs="Calibri"/>
                <w:b w:val="0"/>
                <w:bCs w:val="0"/>
                <w:color w:val="000000" w:themeColor="text1"/>
              </w:rPr>
            </w:pPr>
            <w:r w:rsidRPr="72A5A7BC">
              <w:rPr>
                <w:rFonts w:ascii="Calibri" w:eastAsia="Calibri" w:hAnsi="Calibri" w:cs="Calibri"/>
                <w:b w:val="0"/>
                <w:bCs w:val="0"/>
                <w:color w:val="000000" w:themeColor="text1"/>
              </w:rPr>
              <w:t>Morazán</w:t>
            </w:r>
          </w:p>
        </w:tc>
        <w:tc>
          <w:tcPr>
            <w:tcW w:w="1830" w:type="dxa"/>
            <w:tcMar>
              <w:left w:w="108" w:type="dxa"/>
              <w:right w:w="108" w:type="dxa"/>
            </w:tcMar>
          </w:tcPr>
          <w:p w14:paraId="61C4DA24" w14:textId="388DF11D"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Q32,298,459.50</w:t>
            </w:r>
          </w:p>
        </w:tc>
        <w:tc>
          <w:tcPr>
            <w:tcW w:w="1845" w:type="dxa"/>
            <w:tcMar>
              <w:left w:w="108" w:type="dxa"/>
              <w:right w:w="108" w:type="dxa"/>
            </w:tcMar>
          </w:tcPr>
          <w:p w14:paraId="0D4EFF5B" w14:textId="4FA8C6DE"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Q30,718,439.56</w:t>
            </w:r>
          </w:p>
        </w:tc>
        <w:tc>
          <w:tcPr>
            <w:tcW w:w="1110" w:type="dxa"/>
            <w:shd w:val="clear" w:color="auto" w:fill="FFFF00"/>
            <w:tcMar>
              <w:left w:w="108" w:type="dxa"/>
              <w:right w:w="108" w:type="dxa"/>
            </w:tcMar>
            <w:vAlign w:val="bottom"/>
          </w:tcPr>
          <w:p w14:paraId="17D23616" w14:textId="187785F0"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88.51%</w:t>
            </w:r>
          </w:p>
        </w:tc>
        <w:tc>
          <w:tcPr>
            <w:tcW w:w="1245" w:type="dxa"/>
            <w:shd w:val="clear" w:color="auto" w:fill="92D050"/>
            <w:tcMar>
              <w:left w:w="108" w:type="dxa"/>
              <w:right w:w="108" w:type="dxa"/>
            </w:tcMar>
            <w:vAlign w:val="bottom"/>
          </w:tcPr>
          <w:p w14:paraId="2CEA8DB1" w14:textId="43E13E06"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95.11%</w:t>
            </w:r>
          </w:p>
        </w:tc>
      </w:tr>
      <w:tr w:rsidR="72A5A7BC" w14:paraId="7C143F8C"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405" w:type="dxa"/>
            <w:tcMar>
              <w:left w:w="108" w:type="dxa"/>
              <w:right w:w="108" w:type="dxa"/>
            </w:tcMar>
          </w:tcPr>
          <w:p w14:paraId="54BE0651" w14:textId="581D5E08" w:rsidR="72A5A7BC" w:rsidRDefault="72A5A7BC" w:rsidP="72A5A7BC">
            <w:pPr>
              <w:rPr>
                <w:rFonts w:ascii="Calibri" w:eastAsia="Calibri" w:hAnsi="Calibri" w:cs="Calibri"/>
                <w:b w:val="0"/>
                <w:bCs w:val="0"/>
                <w:color w:val="000000" w:themeColor="text1"/>
              </w:rPr>
            </w:pPr>
            <w:r w:rsidRPr="72A5A7BC">
              <w:rPr>
                <w:rFonts w:ascii="Calibri" w:eastAsia="Calibri" w:hAnsi="Calibri" w:cs="Calibri"/>
                <w:b w:val="0"/>
                <w:bCs w:val="0"/>
                <w:color w:val="000000" w:themeColor="text1"/>
              </w:rPr>
              <w:t>Guastatoya</w:t>
            </w:r>
          </w:p>
        </w:tc>
        <w:tc>
          <w:tcPr>
            <w:tcW w:w="1830" w:type="dxa"/>
            <w:tcMar>
              <w:left w:w="108" w:type="dxa"/>
              <w:right w:w="108" w:type="dxa"/>
            </w:tcMar>
          </w:tcPr>
          <w:p w14:paraId="62F22B10" w14:textId="1E570237"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Q113,702,147.24</w:t>
            </w:r>
          </w:p>
        </w:tc>
        <w:tc>
          <w:tcPr>
            <w:tcW w:w="1845" w:type="dxa"/>
            <w:tcMar>
              <w:left w:w="108" w:type="dxa"/>
              <w:right w:w="108" w:type="dxa"/>
            </w:tcMar>
          </w:tcPr>
          <w:p w14:paraId="1E6AE527" w14:textId="46F1AD91"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Q59,618,263.32</w:t>
            </w:r>
          </w:p>
        </w:tc>
        <w:tc>
          <w:tcPr>
            <w:tcW w:w="1110" w:type="dxa"/>
            <w:shd w:val="clear" w:color="auto" w:fill="FFFF00"/>
            <w:tcMar>
              <w:left w:w="108" w:type="dxa"/>
              <w:right w:w="108" w:type="dxa"/>
            </w:tcMar>
            <w:vAlign w:val="bottom"/>
          </w:tcPr>
          <w:p w14:paraId="48348F96" w14:textId="6E47814F"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82.07%</w:t>
            </w:r>
          </w:p>
        </w:tc>
        <w:tc>
          <w:tcPr>
            <w:tcW w:w="1245" w:type="dxa"/>
            <w:shd w:val="clear" w:color="auto" w:fill="FFFF00"/>
            <w:tcMar>
              <w:left w:w="108" w:type="dxa"/>
              <w:right w:w="108" w:type="dxa"/>
            </w:tcMar>
            <w:vAlign w:val="bottom"/>
          </w:tcPr>
          <w:p w14:paraId="5BDEFA27" w14:textId="241A35CB"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52.43%</w:t>
            </w:r>
          </w:p>
        </w:tc>
      </w:tr>
      <w:tr w:rsidR="72A5A7BC" w14:paraId="3674DE85"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5" w:type="dxa"/>
            <w:tcMar>
              <w:left w:w="108" w:type="dxa"/>
              <w:right w:w="108" w:type="dxa"/>
            </w:tcMar>
          </w:tcPr>
          <w:p w14:paraId="67F88A32" w14:textId="5C719A92" w:rsidR="72A5A7BC" w:rsidRDefault="72A5A7BC" w:rsidP="72A5A7BC">
            <w:pPr>
              <w:rPr>
                <w:rFonts w:ascii="Calibri" w:eastAsia="Calibri" w:hAnsi="Calibri" w:cs="Calibri"/>
                <w:b w:val="0"/>
                <w:bCs w:val="0"/>
                <w:color w:val="000000" w:themeColor="text1"/>
              </w:rPr>
            </w:pPr>
            <w:r w:rsidRPr="72A5A7BC">
              <w:rPr>
                <w:rFonts w:ascii="Calibri" w:eastAsia="Calibri" w:hAnsi="Calibri" w:cs="Calibri"/>
                <w:b w:val="0"/>
                <w:bCs w:val="0"/>
                <w:color w:val="000000" w:themeColor="text1"/>
              </w:rPr>
              <w:t>San Cristóbal Acasaguastlán</w:t>
            </w:r>
          </w:p>
        </w:tc>
        <w:tc>
          <w:tcPr>
            <w:tcW w:w="1830" w:type="dxa"/>
            <w:tcMar>
              <w:left w:w="108" w:type="dxa"/>
              <w:right w:w="108" w:type="dxa"/>
            </w:tcMar>
          </w:tcPr>
          <w:p w14:paraId="44BC3167" w14:textId="52F40FBC"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Q11,008,819.99</w:t>
            </w:r>
          </w:p>
        </w:tc>
        <w:tc>
          <w:tcPr>
            <w:tcW w:w="1845" w:type="dxa"/>
            <w:tcMar>
              <w:left w:w="108" w:type="dxa"/>
              <w:right w:w="108" w:type="dxa"/>
            </w:tcMar>
          </w:tcPr>
          <w:p w14:paraId="22696E7F" w14:textId="5341EBA2"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Q7,422,258.95</w:t>
            </w:r>
          </w:p>
        </w:tc>
        <w:tc>
          <w:tcPr>
            <w:tcW w:w="1110" w:type="dxa"/>
            <w:shd w:val="clear" w:color="auto" w:fill="FFFF00"/>
            <w:tcMar>
              <w:left w:w="108" w:type="dxa"/>
              <w:right w:w="108" w:type="dxa"/>
            </w:tcMar>
            <w:vAlign w:val="bottom"/>
          </w:tcPr>
          <w:p w14:paraId="5A47EAB2" w14:textId="6673BCAF"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71.97%</w:t>
            </w:r>
          </w:p>
        </w:tc>
        <w:tc>
          <w:tcPr>
            <w:tcW w:w="1245" w:type="dxa"/>
            <w:shd w:val="clear" w:color="auto" w:fill="FFFF00"/>
            <w:tcMar>
              <w:left w:w="108" w:type="dxa"/>
              <w:right w:w="108" w:type="dxa"/>
            </w:tcMar>
            <w:vAlign w:val="bottom"/>
          </w:tcPr>
          <w:p w14:paraId="215B4A3D" w14:textId="20658EA1"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67.42%</w:t>
            </w:r>
          </w:p>
        </w:tc>
      </w:tr>
      <w:tr w:rsidR="72A5A7BC" w14:paraId="15294DBF"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405" w:type="dxa"/>
            <w:tcMar>
              <w:left w:w="108" w:type="dxa"/>
              <w:right w:w="108" w:type="dxa"/>
            </w:tcMar>
          </w:tcPr>
          <w:p w14:paraId="26D06241" w14:textId="5A631CE5" w:rsidR="72A5A7BC" w:rsidRDefault="72A5A7BC" w:rsidP="72A5A7BC">
            <w:pPr>
              <w:rPr>
                <w:rFonts w:ascii="Calibri" w:eastAsia="Calibri" w:hAnsi="Calibri" w:cs="Calibri"/>
                <w:b w:val="0"/>
                <w:bCs w:val="0"/>
                <w:color w:val="000000" w:themeColor="text1"/>
              </w:rPr>
            </w:pPr>
            <w:r w:rsidRPr="72A5A7BC">
              <w:rPr>
                <w:rFonts w:ascii="Calibri" w:eastAsia="Calibri" w:hAnsi="Calibri" w:cs="Calibri"/>
                <w:b w:val="0"/>
                <w:bCs w:val="0"/>
                <w:color w:val="000000" w:themeColor="text1"/>
              </w:rPr>
              <w:t>El Jícaro</w:t>
            </w:r>
          </w:p>
        </w:tc>
        <w:tc>
          <w:tcPr>
            <w:tcW w:w="1830" w:type="dxa"/>
            <w:tcMar>
              <w:left w:w="108" w:type="dxa"/>
              <w:right w:w="108" w:type="dxa"/>
            </w:tcMar>
          </w:tcPr>
          <w:p w14:paraId="070184F6" w14:textId="5B467040"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Q22,795,248.44</w:t>
            </w:r>
          </w:p>
        </w:tc>
        <w:tc>
          <w:tcPr>
            <w:tcW w:w="1845" w:type="dxa"/>
            <w:tcMar>
              <w:left w:w="108" w:type="dxa"/>
              <w:right w:w="108" w:type="dxa"/>
            </w:tcMar>
          </w:tcPr>
          <w:p w14:paraId="4C242632" w14:textId="7FE474F9"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Q14,262,258.39</w:t>
            </w:r>
          </w:p>
        </w:tc>
        <w:tc>
          <w:tcPr>
            <w:tcW w:w="1110" w:type="dxa"/>
            <w:shd w:val="clear" w:color="auto" w:fill="FFFF00"/>
            <w:tcMar>
              <w:left w:w="108" w:type="dxa"/>
              <w:right w:w="108" w:type="dxa"/>
            </w:tcMar>
            <w:vAlign w:val="bottom"/>
          </w:tcPr>
          <w:p w14:paraId="190AADD9" w14:textId="74C5361E"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70.52%</w:t>
            </w:r>
          </w:p>
        </w:tc>
        <w:tc>
          <w:tcPr>
            <w:tcW w:w="1245" w:type="dxa"/>
            <w:shd w:val="clear" w:color="auto" w:fill="FFFF00"/>
            <w:tcMar>
              <w:left w:w="108" w:type="dxa"/>
              <w:right w:w="108" w:type="dxa"/>
            </w:tcMar>
            <w:vAlign w:val="bottom"/>
          </w:tcPr>
          <w:p w14:paraId="4094AA1B" w14:textId="55D676D4"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62.57%</w:t>
            </w:r>
          </w:p>
        </w:tc>
      </w:tr>
      <w:tr w:rsidR="72A5A7BC" w14:paraId="2DBDDB1E"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5" w:type="dxa"/>
            <w:tcMar>
              <w:left w:w="108" w:type="dxa"/>
              <w:right w:w="108" w:type="dxa"/>
            </w:tcMar>
          </w:tcPr>
          <w:p w14:paraId="656B7858" w14:textId="5C2CBCBE" w:rsidR="72A5A7BC" w:rsidRDefault="72A5A7BC" w:rsidP="72A5A7BC">
            <w:pPr>
              <w:rPr>
                <w:rFonts w:ascii="Calibri" w:eastAsia="Calibri" w:hAnsi="Calibri" w:cs="Calibri"/>
                <w:b w:val="0"/>
                <w:bCs w:val="0"/>
                <w:color w:val="000000" w:themeColor="text1"/>
              </w:rPr>
            </w:pPr>
            <w:r w:rsidRPr="72A5A7BC">
              <w:rPr>
                <w:rFonts w:ascii="Calibri" w:eastAsia="Calibri" w:hAnsi="Calibri" w:cs="Calibri"/>
                <w:b w:val="0"/>
                <w:bCs w:val="0"/>
                <w:color w:val="000000" w:themeColor="text1"/>
              </w:rPr>
              <w:t>San Agustín Acasaguastlán</w:t>
            </w:r>
          </w:p>
        </w:tc>
        <w:tc>
          <w:tcPr>
            <w:tcW w:w="1830" w:type="dxa"/>
            <w:tcMar>
              <w:left w:w="108" w:type="dxa"/>
              <w:right w:w="108" w:type="dxa"/>
            </w:tcMar>
          </w:tcPr>
          <w:p w14:paraId="61EBB413" w14:textId="351FDBB3"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Q26,038,353.61</w:t>
            </w:r>
          </w:p>
        </w:tc>
        <w:tc>
          <w:tcPr>
            <w:tcW w:w="1845" w:type="dxa"/>
            <w:tcMar>
              <w:left w:w="108" w:type="dxa"/>
              <w:right w:w="108" w:type="dxa"/>
            </w:tcMar>
          </w:tcPr>
          <w:p w14:paraId="7C7CB0FC" w14:textId="63B4A1EA"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Q19,122,335.21</w:t>
            </w:r>
          </w:p>
        </w:tc>
        <w:tc>
          <w:tcPr>
            <w:tcW w:w="1110" w:type="dxa"/>
            <w:shd w:val="clear" w:color="auto" w:fill="FFFF00"/>
            <w:tcMar>
              <w:left w:w="108" w:type="dxa"/>
              <w:right w:w="108" w:type="dxa"/>
            </w:tcMar>
            <w:vAlign w:val="bottom"/>
          </w:tcPr>
          <w:p w14:paraId="5BB72A1D" w14:textId="06C2E622"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50.88%</w:t>
            </w:r>
          </w:p>
        </w:tc>
        <w:tc>
          <w:tcPr>
            <w:tcW w:w="1245" w:type="dxa"/>
            <w:shd w:val="clear" w:color="auto" w:fill="FFFF00"/>
            <w:tcMar>
              <w:left w:w="108" w:type="dxa"/>
              <w:right w:w="108" w:type="dxa"/>
            </w:tcMar>
            <w:vAlign w:val="bottom"/>
          </w:tcPr>
          <w:p w14:paraId="6F23803E" w14:textId="02009F53"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73.44%</w:t>
            </w:r>
          </w:p>
        </w:tc>
      </w:tr>
    </w:tbl>
    <w:p w14:paraId="46533D1F" w14:textId="7DFE3740" w:rsidR="00693BD9" w:rsidRPr="003051CD" w:rsidRDefault="72A5A7BC" w:rsidP="00E8422A">
      <w:pPr>
        <w:autoSpaceDE w:val="0"/>
        <w:autoSpaceDN w:val="0"/>
        <w:adjustRightInd w:val="0"/>
        <w:spacing w:after="120" w:line="240" w:lineRule="auto"/>
        <w:jc w:val="both"/>
        <w:rPr>
          <w:rFonts w:eastAsiaTheme="minorEastAsia"/>
          <w:sz w:val="18"/>
          <w:szCs w:val="18"/>
          <w:lang w:val="es-ES"/>
        </w:rPr>
      </w:pPr>
      <w:r w:rsidRPr="72A5A7BC">
        <w:rPr>
          <w:rFonts w:eastAsiaTheme="minorEastAsia"/>
          <w:sz w:val="18"/>
          <w:szCs w:val="18"/>
          <w:lang w:val="es-ES"/>
        </w:rPr>
        <w:t>Fuente: Siplangl, III informe cuatrimestral y acumulado. Año 2022.</w:t>
      </w:r>
    </w:p>
    <w:p w14:paraId="6CDFB208" w14:textId="5D976A9F" w:rsidR="00693BD9" w:rsidRPr="00A543DE" w:rsidRDefault="72A5A7BC" w:rsidP="00E8422A">
      <w:pPr>
        <w:autoSpaceDE w:val="0"/>
        <w:autoSpaceDN w:val="0"/>
        <w:adjustRightInd w:val="0"/>
        <w:spacing w:after="120" w:line="240" w:lineRule="auto"/>
        <w:jc w:val="both"/>
        <w:rPr>
          <w:rFonts w:eastAsia="Times New Roman" w:cstheme="minorHAnsi"/>
          <w:b/>
          <w:bCs/>
          <w:color w:val="002060"/>
          <w:sz w:val="28"/>
          <w:szCs w:val="28"/>
          <w:lang w:val="es-ES"/>
        </w:rPr>
      </w:pPr>
      <w:r w:rsidRPr="00A543DE">
        <w:rPr>
          <w:rFonts w:eastAsia="Times New Roman" w:cstheme="minorHAnsi"/>
          <w:b/>
          <w:bCs/>
          <w:color w:val="002060"/>
          <w:sz w:val="28"/>
          <w:szCs w:val="28"/>
          <w:lang w:val="es-ES"/>
        </w:rPr>
        <w:t>Petén</w:t>
      </w:r>
    </w:p>
    <w:p w14:paraId="01BC2D70" w14:textId="3A4E7B07" w:rsidR="00693BD9" w:rsidRPr="003051CD" w:rsidRDefault="00E8422A" w:rsidP="00E8422A">
      <w:pPr>
        <w:autoSpaceDE w:val="0"/>
        <w:autoSpaceDN w:val="0"/>
        <w:adjustRightInd w:val="0"/>
        <w:spacing w:after="120" w:line="240" w:lineRule="auto"/>
        <w:jc w:val="both"/>
      </w:pPr>
      <w:r>
        <w:rPr>
          <w:noProof/>
        </w:rPr>
        <w:drawing>
          <wp:anchor distT="0" distB="0" distL="114300" distR="114300" simplePos="0" relativeHeight="251688448" behindDoc="1" locked="0" layoutInCell="1" allowOverlap="1" wp14:anchorId="5776AB9E" wp14:editId="2D383CB9">
            <wp:simplePos x="0" y="0"/>
            <wp:positionH relativeFrom="column">
              <wp:posOffset>4362450</wp:posOffset>
            </wp:positionH>
            <wp:positionV relativeFrom="paragraph">
              <wp:posOffset>75565</wp:posOffset>
            </wp:positionV>
            <wp:extent cx="1504315" cy="1047750"/>
            <wp:effectExtent l="19050" t="19050" r="19685" b="19050"/>
            <wp:wrapTight wrapText="bothSides">
              <wp:wrapPolygon edited="0">
                <wp:start x="-274" y="-393"/>
                <wp:lineTo x="-274" y="21600"/>
                <wp:lineTo x="21609" y="21600"/>
                <wp:lineTo x="21609" y="-393"/>
                <wp:lineTo x="-274" y="-393"/>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04315" cy="1047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72A5A7BC" w:rsidRPr="72A5A7BC">
        <w:rPr>
          <w:rFonts w:ascii="Calibri" w:eastAsia="Calibri" w:hAnsi="Calibri" w:cs="Calibri"/>
          <w:sz w:val="24"/>
          <w:szCs w:val="24"/>
          <w:lang w:val="es-ES"/>
        </w:rPr>
        <w:t>Al finalizar el año 2022, el departamento reportó un avance físico promedio del 62.53%. Los municipios que reportaron mayor avance fueron: Dolores con 100%, San Francisco con 93.54% y El Chal con 92.66%.</w:t>
      </w:r>
    </w:p>
    <w:p w14:paraId="5FA02CD7" w14:textId="304268E6" w:rsidR="00693BD9" w:rsidRDefault="72A5A7BC" w:rsidP="00E8422A">
      <w:pPr>
        <w:autoSpaceDE w:val="0"/>
        <w:autoSpaceDN w:val="0"/>
        <w:adjustRightInd w:val="0"/>
        <w:spacing w:after="120" w:line="240" w:lineRule="auto"/>
        <w:jc w:val="both"/>
        <w:rPr>
          <w:rFonts w:ascii="Helvetica" w:eastAsia="Times New Roman" w:hAnsi="Helvetica" w:cs="Helvetica"/>
          <w:sz w:val="24"/>
          <w:szCs w:val="24"/>
          <w:lang w:val="es-ES"/>
        </w:rPr>
      </w:pPr>
      <w:r w:rsidRPr="72A5A7BC">
        <w:rPr>
          <w:rFonts w:ascii="Calibri" w:eastAsia="Calibri" w:hAnsi="Calibri" w:cs="Calibri"/>
          <w:sz w:val="24"/>
          <w:szCs w:val="24"/>
          <w:lang w:val="es-ES"/>
        </w:rPr>
        <w:t>En relación al avance financiero, el departamento mostró un avance promedio del 62.52%, siendo los municipios de Dolores con el 100%, Flores con 83.40% y El Chal con 78.39 quienes mostraron mayor avance durante el año 2022. Ver tabla siguiente.</w:t>
      </w:r>
    </w:p>
    <w:p w14:paraId="7688E0A9" w14:textId="42A65F4F" w:rsidR="00BC2B6E" w:rsidRPr="00E8422A" w:rsidRDefault="72A5A7BC" w:rsidP="00386AC2">
      <w:pPr>
        <w:pStyle w:val="ttulosgrficas"/>
        <w:rPr>
          <w:rFonts w:asciiTheme="minorHAnsi" w:eastAsia="Times New Roman" w:hAnsiTheme="minorHAnsi" w:cstheme="minorHAnsi"/>
          <w:color w:val="4472C4" w:themeColor="accent1"/>
          <w:lang w:val="es-ES"/>
        </w:rPr>
      </w:pPr>
      <w:bookmarkStart w:id="64" w:name="_Toc130199609"/>
      <w:r w:rsidRPr="00E8422A">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21</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E8422A">
        <w:rPr>
          <w:rFonts w:asciiTheme="minorHAnsi" w:eastAsia="Times New Roman" w:hAnsiTheme="minorHAnsi" w:cstheme="minorHAnsi"/>
          <w:color w:val="4472C4" w:themeColor="accent1"/>
          <w:lang w:val="es-ES"/>
        </w:rPr>
        <w:t xml:space="preserve"> Ejecución Física y Financiera, departamento de Petén</w:t>
      </w:r>
      <w:bookmarkEnd w:id="64"/>
    </w:p>
    <w:tbl>
      <w:tblPr>
        <w:tblStyle w:val="Tabladelista4-nfasis5"/>
        <w:tblW w:w="9390"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300"/>
        <w:gridCol w:w="1860"/>
        <w:gridCol w:w="1845"/>
        <w:gridCol w:w="1140"/>
        <w:gridCol w:w="1245"/>
      </w:tblGrid>
      <w:tr w:rsidR="72A5A7BC" w14:paraId="2748699D" w14:textId="77777777" w:rsidTr="00E8422A">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300" w:type="dxa"/>
            <w:tcBorders>
              <w:top w:val="none" w:sz="0" w:space="0" w:color="auto"/>
              <w:left w:val="none" w:sz="0" w:space="0" w:color="auto"/>
              <w:bottom w:val="none" w:sz="0" w:space="0" w:color="auto"/>
            </w:tcBorders>
            <w:tcMar>
              <w:left w:w="108" w:type="dxa"/>
              <w:right w:w="108" w:type="dxa"/>
            </w:tcMar>
            <w:vAlign w:val="center"/>
          </w:tcPr>
          <w:p w14:paraId="691C0B67" w14:textId="70EB49E7" w:rsidR="72A5A7BC" w:rsidRDefault="72A5A7BC" w:rsidP="72A5A7BC">
            <w:pPr>
              <w:jc w:val="center"/>
            </w:pPr>
            <w:r w:rsidRPr="72A5A7BC">
              <w:rPr>
                <w:rFonts w:ascii="Calibri" w:eastAsia="Calibri" w:hAnsi="Calibri" w:cs="Calibri"/>
                <w:color w:val="000000" w:themeColor="text1"/>
              </w:rPr>
              <w:t>Municipio</w:t>
            </w:r>
          </w:p>
        </w:tc>
        <w:tc>
          <w:tcPr>
            <w:tcW w:w="1860" w:type="dxa"/>
            <w:tcBorders>
              <w:top w:val="none" w:sz="0" w:space="0" w:color="auto"/>
              <w:bottom w:val="none" w:sz="0" w:space="0" w:color="auto"/>
            </w:tcBorders>
            <w:tcMar>
              <w:left w:w="108" w:type="dxa"/>
              <w:right w:w="108" w:type="dxa"/>
            </w:tcMar>
            <w:vAlign w:val="center"/>
          </w:tcPr>
          <w:p w14:paraId="23951CF1" w14:textId="2969E8E8" w:rsidR="72A5A7BC" w:rsidRDefault="46B27687" w:rsidP="72A5A7BC">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Meta Financiera Anual Vigente</w:t>
            </w:r>
          </w:p>
        </w:tc>
        <w:tc>
          <w:tcPr>
            <w:tcW w:w="1845" w:type="dxa"/>
            <w:tcBorders>
              <w:top w:val="none" w:sz="0" w:space="0" w:color="auto"/>
              <w:bottom w:val="none" w:sz="0" w:space="0" w:color="auto"/>
            </w:tcBorders>
            <w:tcMar>
              <w:left w:w="108" w:type="dxa"/>
              <w:right w:w="108" w:type="dxa"/>
            </w:tcMar>
            <w:vAlign w:val="center"/>
          </w:tcPr>
          <w:p w14:paraId="55497097" w14:textId="14C6D11C" w:rsidR="72A5A7BC" w:rsidRDefault="46B27687" w:rsidP="72A5A7BC">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Ejecución Financiera Acumulada</w:t>
            </w:r>
          </w:p>
        </w:tc>
        <w:tc>
          <w:tcPr>
            <w:tcW w:w="1140" w:type="dxa"/>
            <w:tcBorders>
              <w:top w:val="none" w:sz="0" w:space="0" w:color="auto"/>
              <w:bottom w:val="none" w:sz="0" w:space="0" w:color="auto"/>
            </w:tcBorders>
            <w:tcMar>
              <w:left w:w="108" w:type="dxa"/>
              <w:right w:w="108" w:type="dxa"/>
            </w:tcMar>
            <w:vAlign w:val="center"/>
          </w:tcPr>
          <w:p w14:paraId="7047ADD8" w14:textId="237E8642" w:rsidR="72A5A7BC" w:rsidRDefault="72A5A7BC" w:rsidP="72A5A7BC">
            <w:pPr>
              <w:jc w:val="center"/>
              <w:cnfStyle w:val="100000000000" w:firstRow="1"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 de Ejecución Física</w:t>
            </w:r>
          </w:p>
        </w:tc>
        <w:tc>
          <w:tcPr>
            <w:tcW w:w="1245" w:type="dxa"/>
            <w:tcBorders>
              <w:top w:val="none" w:sz="0" w:space="0" w:color="auto"/>
              <w:bottom w:val="none" w:sz="0" w:space="0" w:color="auto"/>
              <w:right w:val="none" w:sz="0" w:space="0" w:color="auto"/>
            </w:tcBorders>
            <w:tcMar>
              <w:left w:w="108" w:type="dxa"/>
              <w:right w:w="108" w:type="dxa"/>
            </w:tcMar>
            <w:vAlign w:val="center"/>
          </w:tcPr>
          <w:p w14:paraId="378B8DE8" w14:textId="39E4D820" w:rsidR="72A5A7BC" w:rsidRDefault="72A5A7BC" w:rsidP="72A5A7BC">
            <w:pPr>
              <w:jc w:val="center"/>
              <w:cnfStyle w:val="100000000000" w:firstRow="1"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 de Ejecución Financiera</w:t>
            </w:r>
          </w:p>
        </w:tc>
      </w:tr>
      <w:tr w:rsidR="72A5A7BC" w14:paraId="72BAA9C5"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78629CFC" w14:textId="1A799B14" w:rsidR="72A5A7BC" w:rsidRDefault="72A5A7BC" w:rsidP="72A5A7BC">
            <w:r w:rsidRPr="72A5A7BC">
              <w:rPr>
                <w:rFonts w:ascii="Calibri" w:eastAsia="Calibri" w:hAnsi="Calibri" w:cs="Calibri"/>
                <w:color w:val="000000" w:themeColor="text1"/>
              </w:rPr>
              <w:t>Todo el departamento</w:t>
            </w:r>
          </w:p>
        </w:tc>
        <w:tc>
          <w:tcPr>
            <w:tcW w:w="1860" w:type="dxa"/>
            <w:tcMar>
              <w:left w:w="108" w:type="dxa"/>
              <w:right w:w="108" w:type="dxa"/>
            </w:tcMar>
          </w:tcPr>
          <w:p w14:paraId="620ECCBC" w14:textId="0CF89910"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b/>
                <w:bCs/>
                <w:color w:val="000000" w:themeColor="text1"/>
              </w:rPr>
              <w:t>Q670,802,505.99</w:t>
            </w:r>
          </w:p>
        </w:tc>
        <w:tc>
          <w:tcPr>
            <w:tcW w:w="1845" w:type="dxa"/>
            <w:tcMar>
              <w:left w:w="108" w:type="dxa"/>
              <w:right w:w="108" w:type="dxa"/>
            </w:tcMar>
          </w:tcPr>
          <w:p w14:paraId="02ED584C" w14:textId="0488C0DE"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b/>
                <w:bCs/>
                <w:color w:val="000000" w:themeColor="text1"/>
              </w:rPr>
              <w:t>Q419,399,866.31</w:t>
            </w:r>
          </w:p>
        </w:tc>
        <w:tc>
          <w:tcPr>
            <w:tcW w:w="1140" w:type="dxa"/>
            <w:shd w:val="clear" w:color="auto" w:fill="FFFF00"/>
            <w:tcMar>
              <w:left w:w="108" w:type="dxa"/>
              <w:right w:w="108" w:type="dxa"/>
            </w:tcMar>
            <w:vAlign w:val="bottom"/>
          </w:tcPr>
          <w:p w14:paraId="6EB99A34" w14:textId="4A31D373"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b/>
                <w:bCs/>
                <w:color w:val="000000" w:themeColor="text1"/>
              </w:rPr>
              <w:t>62.53%</w:t>
            </w:r>
          </w:p>
        </w:tc>
        <w:tc>
          <w:tcPr>
            <w:tcW w:w="1245" w:type="dxa"/>
            <w:shd w:val="clear" w:color="auto" w:fill="FFFF00"/>
            <w:tcMar>
              <w:left w:w="108" w:type="dxa"/>
              <w:right w:w="108" w:type="dxa"/>
            </w:tcMar>
            <w:vAlign w:val="bottom"/>
          </w:tcPr>
          <w:p w14:paraId="52ABFD71" w14:textId="18819CAD"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b/>
                <w:bCs/>
                <w:color w:val="000000" w:themeColor="text1"/>
              </w:rPr>
              <w:t>62.52%</w:t>
            </w:r>
          </w:p>
        </w:tc>
      </w:tr>
      <w:tr w:rsidR="72A5A7BC" w14:paraId="0DB996B1"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6AD89087" w14:textId="5F0FD003"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Dolores</w:t>
            </w:r>
          </w:p>
        </w:tc>
        <w:tc>
          <w:tcPr>
            <w:tcW w:w="1860" w:type="dxa"/>
            <w:tcMar>
              <w:left w:w="108" w:type="dxa"/>
              <w:right w:w="108" w:type="dxa"/>
            </w:tcMar>
          </w:tcPr>
          <w:p w14:paraId="06E47804" w14:textId="27244206"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Q25,001,096.41</w:t>
            </w:r>
          </w:p>
        </w:tc>
        <w:tc>
          <w:tcPr>
            <w:tcW w:w="1845" w:type="dxa"/>
            <w:tcMar>
              <w:left w:w="108" w:type="dxa"/>
              <w:right w:w="108" w:type="dxa"/>
            </w:tcMar>
          </w:tcPr>
          <w:p w14:paraId="78C90AB3" w14:textId="61BEB645"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Q25,001,095.60</w:t>
            </w:r>
          </w:p>
        </w:tc>
        <w:tc>
          <w:tcPr>
            <w:tcW w:w="1140" w:type="dxa"/>
            <w:shd w:val="clear" w:color="auto" w:fill="92D050"/>
            <w:tcMar>
              <w:left w:w="108" w:type="dxa"/>
              <w:right w:w="108" w:type="dxa"/>
            </w:tcMar>
            <w:vAlign w:val="bottom"/>
          </w:tcPr>
          <w:p w14:paraId="0342916E" w14:textId="220BA5BF"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100.00%</w:t>
            </w:r>
          </w:p>
        </w:tc>
        <w:tc>
          <w:tcPr>
            <w:tcW w:w="1245" w:type="dxa"/>
            <w:shd w:val="clear" w:color="auto" w:fill="92D050"/>
            <w:tcMar>
              <w:left w:w="108" w:type="dxa"/>
              <w:right w:w="108" w:type="dxa"/>
            </w:tcMar>
            <w:vAlign w:val="bottom"/>
          </w:tcPr>
          <w:p w14:paraId="03F9213F" w14:textId="40F1C5D8"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100.00%</w:t>
            </w:r>
          </w:p>
        </w:tc>
      </w:tr>
      <w:tr w:rsidR="72A5A7BC" w14:paraId="4E9FA863"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7C089FD2" w14:textId="572B6E95"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San Francisco</w:t>
            </w:r>
          </w:p>
        </w:tc>
        <w:tc>
          <w:tcPr>
            <w:tcW w:w="1860" w:type="dxa"/>
            <w:tcMar>
              <w:left w:w="108" w:type="dxa"/>
              <w:right w:w="108" w:type="dxa"/>
            </w:tcMar>
          </w:tcPr>
          <w:p w14:paraId="25D642C7" w14:textId="4917A86D"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Q43,161,862.50</w:t>
            </w:r>
          </w:p>
        </w:tc>
        <w:tc>
          <w:tcPr>
            <w:tcW w:w="1845" w:type="dxa"/>
            <w:tcMar>
              <w:left w:w="108" w:type="dxa"/>
              <w:right w:w="108" w:type="dxa"/>
            </w:tcMar>
          </w:tcPr>
          <w:p w14:paraId="220DD888" w14:textId="6AF6C69E"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Q33,656,959.62</w:t>
            </w:r>
          </w:p>
        </w:tc>
        <w:tc>
          <w:tcPr>
            <w:tcW w:w="1140" w:type="dxa"/>
            <w:shd w:val="clear" w:color="auto" w:fill="92D050"/>
            <w:tcMar>
              <w:left w:w="108" w:type="dxa"/>
              <w:right w:w="108" w:type="dxa"/>
            </w:tcMar>
            <w:vAlign w:val="bottom"/>
          </w:tcPr>
          <w:p w14:paraId="2E53685B" w14:textId="55F80F65"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93.54%</w:t>
            </w:r>
          </w:p>
        </w:tc>
        <w:tc>
          <w:tcPr>
            <w:tcW w:w="1245" w:type="dxa"/>
            <w:shd w:val="clear" w:color="auto" w:fill="FFFF00"/>
            <w:tcMar>
              <w:left w:w="108" w:type="dxa"/>
              <w:right w:w="108" w:type="dxa"/>
            </w:tcMar>
            <w:vAlign w:val="bottom"/>
          </w:tcPr>
          <w:p w14:paraId="7DC77193" w14:textId="4416E4AA"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77.98%</w:t>
            </w:r>
          </w:p>
        </w:tc>
      </w:tr>
      <w:tr w:rsidR="72A5A7BC" w14:paraId="4047CA07"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238D1620" w14:textId="11C34609"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El Chal</w:t>
            </w:r>
          </w:p>
        </w:tc>
        <w:tc>
          <w:tcPr>
            <w:tcW w:w="1860" w:type="dxa"/>
            <w:tcMar>
              <w:left w:w="108" w:type="dxa"/>
              <w:right w:w="108" w:type="dxa"/>
            </w:tcMar>
          </w:tcPr>
          <w:p w14:paraId="40084075" w14:textId="41615942"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Q39,471,063.13</w:t>
            </w:r>
          </w:p>
        </w:tc>
        <w:tc>
          <w:tcPr>
            <w:tcW w:w="1845" w:type="dxa"/>
            <w:tcMar>
              <w:left w:w="108" w:type="dxa"/>
              <w:right w:w="108" w:type="dxa"/>
            </w:tcMar>
          </w:tcPr>
          <w:p w14:paraId="44E42A35" w14:textId="5BACFB90"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Q30,940,529.55</w:t>
            </w:r>
          </w:p>
        </w:tc>
        <w:tc>
          <w:tcPr>
            <w:tcW w:w="1140" w:type="dxa"/>
            <w:shd w:val="clear" w:color="auto" w:fill="92D050"/>
            <w:tcMar>
              <w:left w:w="108" w:type="dxa"/>
              <w:right w:w="108" w:type="dxa"/>
            </w:tcMar>
            <w:vAlign w:val="bottom"/>
          </w:tcPr>
          <w:p w14:paraId="4696E3B7" w14:textId="52F2F8EB"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92.66%</w:t>
            </w:r>
          </w:p>
        </w:tc>
        <w:tc>
          <w:tcPr>
            <w:tcW w:w="1245" w:type="dxa"/>
            <w:shd w:val="clear" w:color="auto" w:fill="FFFF00"/>
            <w:tcMar>
              <w:left w:w="108" w:type="dxa"/>
              <w:right w:w="108" w:type="dxa"/>
            </w:tcMar>
            <w:vAlign w:val="bottom"/>
          </w:tcPr>
          <w:p w14:paraId="6E53D277" w14:textId="4DCA8EF7"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78.39%</w:t>
            </w:r>
          </w:p>
        </w:tc>
      </w:tr>
      <w:tr w:rsidR="72A5A7BC" w14:paraId="79C747EE"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70CCB97E" w14:textId="5E41C7B3"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Las Cruces</w:t>
            </w:r>
          </w:p>
        </w:tc>
        <w:tc>
          <w:tcPr>
            <w:tcW w:w="1860" w:type="dxa"/>
            <w:tcMar>
              <w:left w:w="108" w:type="dxa"/>
              <w:right w:w="108" w:type="dxa"/>
            </w:tcMar>
          </w:tcPr>
          <w:p w14:paraId="75656C2F" w14:textId="2B64FA9C"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Q51,103,512.40</w:t>
            </w:r>
          </w:p>
        </w:tc>
        <w:tc>
          <w:tcPr>
            <w:tcW w:w="1845" w:type="dxa"/>
            <w:tcMar>
              <w:left w:w="108" w:type="dxa"/>
              <w:right w:w="108" w:type="dxa"/>
            </w:tcMar>
          </w:tcPr>
          <w:p w14:paraId="6079B7F3" w14:textId="3F74FDE0"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Q39,527,513.79</w:t>
            </w:r>
          </w:p>
        </w:tc>
        <w:tc>
          <w:tcPr>
            <w:tcW w:w="1140" w:type="dxa"/>
            <w:shd w:val="clear" w:color="auto" w:fill="92D050"/>
            <w:tcMar>
              <w:left w:w="108" w:type="dxa"/>
              <w:right w:w="108" w:type="dxa"/>
            </w:tcMar>
            <w:vAlign w:val="bottom"/>
          </w:tcPr>
          <w:p w14:paraId="332BFA40" w14:textId="167D82A4"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92.25%</w:t>
            </w:r>
          </w:p>
        </w:tc>
        <w:tc>
          <w:tcPr>
            <w:tcW w:w="1245" w:type="dxa"/>
            <w:shd w:val="clear" w:color="auto" w:fill="FFFF00"/>
            <w:tcMar>
              <w:left w:w="108" w:type="dxa"/>
              <w:right w:w="108" w:type="dxa"/>
            </w:tcMar>
            <w:vAlign w:val="bottom"/>
          </w:tcPr>
          <w:p w14:paraId="1B12B1D1" w14:textId="63A55544"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77.35%</w:t>
            </w:r>
          </w:p>
        </w:tc>
      </w:tr>
      <w:tr w:rsidR="72A5A7BC" w14:paraId="558443D8"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471B175A" w14:textId="3EE6FFCA"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San José</w:t>
            </w:r>
          </w:p>
        </w:tc>
        <w:tc>
          <w:tcPr>
            <w:tcW w:w="1860" w:type="dxa"/>
            <w:tcMar>
              <w:left w:w="108" w:type="dxa"/>
              <w:right w:w="108" w:type="dxa"/>
            </w:tcMar>
          </w:tcPr>
          <w:p w14:paraId="376E9F79" w14:textId="42E27272"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Q29,911,681.55</w:t>
            </w:r>
          </w:p>
        </w:tc>
        <w:tc>
          <w:tcPr>
            <w:tcW w:w="1845" w:type="dxa"/>
            <w:tcMar>
              <w:left w:w="108" w:type="dxa"/>
              <w:right w:w="108" w:type="dxa"/>
            </w:tcMar>
          </w:tcPr>
          <w:p w14:paraId="35B18DCF" w14:textId="49C6207F"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Q21,414,273.18</w:t>
            </w:r>
          </w:p>
        </w:tc>
        <w:tc>
          <w:tcPr>
            <w:tcW w:w="1140" w:type="dxa"/>
            <w:shd w:val="clear" w:color="auto" w:fill="FFFF00"/>
            <w:tcMar>
              <w:left w:w="108" w:type="dxa"/>
              <w:right w:w="108" w:type="dxa"/>
            </w:tcMar>
            <w:vAlign w:val="bottom"/>
          </w:tcPr>
          <w:p w14:paraId="3178F3C6" w14:textId="62CAC723"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80.77%</w:t>
            </w:r>
          </w:p>
        </w:tc>
        <w:tc>
          <w:tcPr>
            <w:tcW w:w="1245" w:type="dxa"/>
            <w:shd w:val="clear" w:color="auto" w:fill="FFFF00"/>
            <w:tcMar>
              <w:left w:w="108" w:type="dxa"/>
              <w:right w:w="108" w:type="dxa"/>
            </w:tcMar>
            <w:vAlign w:val="bottom"/>
          </w:tcPr>
          <w:p w14:paraId="685727E2" w14:textId="2738D8AC"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71.59%</w:t>
            </w:r>
          </w:p>
        </w:tc>
      </w:tr>
      <w:tr w:rsidR="72A5A7BC" w14:paraId="47C72AD7"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5A0F8E10" w14:textId="6372B814"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San Benito</w:t>
            </w:r>
          </w:p>
        </w:tc>
        <w:tc>
          <w:tcPr>
            <w:tcW w:w="1860" w:type="dxa"/>
            <w:tcMar>
              <w:left w:w="108" w:type="dxa"/>
              <w:right w:w="108" w:type="dxa"/>
            </w:tcMar>
          </w:tcPr>
          <w:p w14:paraId="55EDB585" w14:textId="583CB6E9"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Q71,855,017.64</w:t>
            </w:r>
          </w:p>
        </w:tc>
        <w:tc>
          <w:tcPr>
            <w:tcW w:w="1845" w:type="dxa"/>
            <w:tcMar>
              <w:left w:w="108" w:type="dxa"/>
              <w:right w:w="108" w:type="dxa"/>
            </w:tcMar>
          </w:tcPr>
          <w:p w14:paraId="6D3B3091" w14:textId="1D37A492"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Q46,879,221.88</w:t>
            </w:r>
          </w:p>
        </w:tc>
        <w:tc>
          <w:tcPr>
            <w:tcW w:w="1140" w:type="dxa"/>
            <w:shd w:val="clear" w:color="auto" w:fill="FFFF00"/>
            <w:tcMar>
              <w:left w:w="108" w:type="dxa"/>
              <w:right w:w="108" w:type="dxa"/>
            </w:tcMar>
            <w:vAlign w:val="bottom"/>
          </w:tcPr>
          <w:p w14:paraId="34B51B95" w14:textId="428E24D8"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80.74%</w:t>
            </w:r>
          </w:p>
        </w:tc>
        <w:tc>
          <w:tcPr>
            <w:tcW w:w="1245" w:type="dxa"/>
            <w:shd w:val="clear" w:color="auto" w:fill="FFFF00"/>
            <w:tcMar>
              <w:left w:w="108" w:type="dxa"/>
              <w:right w:w="108" w:type="dxa"/>
            </w:tcMar>
            <w:vAlign w:val="bottom"/>
          </w:tcPr>
          <w:p w14:paraId="660681A1" w14:textId="405662CD"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65.24%</w:t>
            </w:r>
          </w:p>
        </w:tc>
      </w:tr>
      <w:tr w:rsidR="72A5A7BC" w14:paraId="551E808F"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5815575D" w14:textId="5620F207"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La Libertad</w:t>
            </w:r>
          </w:p>
        </w:tc>
        <w:tc>
          <w:tcPr>
            <w:tcW w:w="1860" w:type="dxa"/>
            <w:tcMar>
              <w:left w:w="108" w:type="dxa"/>
              <w:right w:w="108" w:type="dxa"/>
            </w:tcMar>
          </w:tcPr>
          <w:p w14:paraId="6FF1F54A" w14:textId="6433F8EA"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Q21,522,519.90</w:t>
            </w:r>
          </w:p>
        </w:tc>
        <w:tc>
          <w:tcPr>
            <w:tcW w:w="1845" w:type="dxa"/>
            <w:tcMar>
              <w:left w:w="108" w:type="dxa"/>
              <w:right w:w="108" w:type="dxa"/>
            </w:tcMar>
          </w:tcPr>
          <w:p w14:paraId="10C41E63" w14:textId="0DC40380"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Q13,551,323.65</w:t>
            </w:r>
          </w:p>
        </w:tc>
        <w:tc>
          <w:tcPr>
            <w:tcW w:w="1140" w:type="dxa"/>
            <w:shd w:val="clear" w:color="auto" w:fill="FFFF00"/>
            <w:tcMar>
              <w:left w:w="108" w:type="dxa"/>
              <w:right w:w="108" w:type="dxa"/>
            </w:tcMar>
            <w:vAlign w:val="bottom"/>
          </w:tcPr>
          <w:p w14:paraId="135FA5B7" w14:textId="6374A154"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68.65%</w:t>
            </w:r>
          </w:p>
        </w:tc>
        <w:tc>
          <w:tcPr>
            <w:tcW w:w="1245" w:type="dxa"/>
            <w:shd w:val="clear" w:color="auto" w:fill="FFFF00"/>
            <w:tcMar>
              <w:left w:w="108" w:type="dxa"/>
              <w:right w:w="108" w:type="dxa"/>
            </w:tcMar>
            <w:vAlign w:val="bottom"/>
          </w:tcPr>
          <w:p w14:paraId="21ACE0B3" w14:textId="24873F40"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62.96%</w:t>
            </w:r>
          </w:p>
        </w:tc>
      </w:tr>
      <w:tr w:rsidR="72A5A7BC" w14:paraId="3C86E35D"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409DB5E1" w14:textId="69684C3C"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Sayaxché</w:t>
            </w:r>
          </w:p>
        </w:tc>
        <w:tc>
          <w:tcPr>
            <w:tcW w:w="1860" w:type="dxa"/>
            <w:tcMar>
              <w:left w:w="108" w:type="dxa"/>
              <w:right w:w="108" w:type="dxa"/>
            </w:tcMar>
          </w:tcPr>
          <w:p w14:paraId="6DC11334" w14:textId="6B13B2E1"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Q54,545,987.52</w:t>
            </w:r>
          </w:p>
        </w:tc>
        <w:tc>
          <w:tcPr>
            <w:tcW w:w="1845" w:type="dxa"/>
            <w:tcMar>
              <w:left w:w="108" w:type="dxa"/>
              <w:right w:w="108" w:type="dxa"/>
            </w:tcMar>
          </w:tcPr>
          <w:p w14:paraId="53D43200" w14:textId="351FDD07"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Q35,475,097.55</w:t>
            </w:r>
          </w:p>
        </w:tc>
        <w:tc>
          <w:tcPr>
            <w:tcW w:w="1140" w:type="dxa"/>
            <w:shd w:val="clear" w:color="auto" w:fill="FFFF00"/>
            <w:tcMar>
              <w:left w:w="108" w:type="dxa"/>
              <w:right w:w="108" w:type="dxa"/>
            </w:tcMar>
            <w:vAlign w:val="bottom"/>
          </w:tcPr>
          <w:p w14:paraId="196D55FB" w14:textId="1C3F6769"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56.05%</w:t>
            </w:r>
          </w:p>
        </w:tc>
        <w:tc>
          <w:tcPr>
            <w:tcW w:w="1245" w:type="dxa"/>
            <w:shd w:val="clear" w:color="auto" w:fill="FFFF00"/>
            <w:tcMar>
              <w:left w:w="108" w:type="dxa"/>
              <w:right w:w="108" w:type="dxa"/>
            </w:tcMar>
            <w:vAlign w:val="bottom"/>
          </w:tcPr>
          <w:p w14:paraId="7BED821B" w14:textId="4CCF8886"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65.04%</w:t>
            </w:r>
          </w:p>
        </w:tc>
      </w:tr>
      <w:tr w:rsidR="72A5A7BC" w14:paraId="138A4FF4"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24327713" w14:textId="5017DD71"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Flores</w:t>
            </w:r>
          </w:p>
        </w:tc>
        <w:tc>
          <w:tcPr>
            <w:tcW w:w="1860" w:type="dxa"/>
            <w:tcMar>
              <w:left w:w="108" w:type="dxa"/>
              <w:right w:w="108" w:type="dxa"/>
            </w:tcMar>
          </w:tcPr>
          <w:p w14:paraId="25736165" w14:textId="0C763465"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Q46,617,062.37</w:t>
            </w:r>
          </w:p>
        </w:tc>
        <w:tc>
          <w:tcPr>
            <w:tcW w:w="1845" w:type="dxa"/>
            <w:tcMar>
              <w:left w:w="108" w:type="dxa"/>
              <w:right w:w="108" w:type="dxa"/>
            </w:tcMar>
          </w:tcPr>
          <w:p w14:paraId="51B05816" w14:textId="360D939A"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Q38,880,463.29</w:t>
            </w:r>
          </w:p>
        </w:tc>
        <w:tc>
          <w:tcPr>
            <w:tcW w:w="1140" w:type="dxa"/>
            <w:shd w:val="clear" w:color="auto" w:fill="FFFF00"/>
            <w:tcMar>
              <w:left w:w="108" w:type="dxa"/>
              <w:right w:w="108" w:type="dxa"/>
            </w:tcMar>
            <w:vAlign w:val="bottom"/>
          </w:tcPr>
          <w:p w14:paraId="6C7C2546" w14:textId="24D83102"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55.02%</w:t>
            </w:r>
          </w:p>
        </w:tc>
        <w:tc>
          <w:tcPr>
            <w:tcW w:w="1245" w:type="dxa"/>
            <w:shd w:val="clear" w:color="auto" w:fill="FFFF00"/>
            <w:tcMar>
              <w:left w:w="108" w:type="dxa"/>
              <w:right w:w="108" w:type="dxa"/>
            </w:tcMar>
            <w:vAlign w:val="bottom"/>
          </w:tcPr>
          <w:p w14:paraId="48ED7D55" w14:textId="38E2C924"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83.40%</w:t>
            </w:r>
          </w:p>
        </w:tc>
      </w:tr>
      <w:tr w:rsidR="72A5A7BC" w14:paraId="4D32E0C4"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4335A88C" w14:textId="698C09FA"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San Andrés</w:t>
            </w:r>
          </w:p>
        </w:tc>
        <w:tc>
          <w:tcPr>
            <w:tcW w:w="1860" w:type="dxa"/>
            <w:tcMar>
              <w:left w:w="108" w:type="dxa"/>
              <w:right w:w="108" w:type="dxa"/>
            </w:tcMar>
          </w:tcPr>
          <w:p w14:paraId="3A637C74" w14:textId="3F60AAF5"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Q104,214,554.09</w:t>
            </w:r>
          </w:p>
        </w:tc>
        <w:tc>
          <w:tcPr>
            <w:tcW w:w="1845" w:type="dxa"/>
            <w:tcMar>
              <w:left w:w="108" w:type="dxa"/>
              <w:right w:w="108" w:type="dxa"/>
            </w:tcMar>
          </w:tcPr>
          <w:p w14:paraId="57A7C1C2" w14:textId="3A98C310"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Q27,161,272.53</w:t>
            </w:r>
          </w:p>
        </w:tc>
        <w:tc>
          <w:tcPr>
            <w:tcW w:w="1140" w:type="dxa"/>
            <w:shd w:val="clear" w:color="auto" w:fill="C00000"/>
            <w:tcMar>
              <w:left w:w="108" w:type="dxa"/>
              <w:right w:w="108" w:type="dxa"/>
            </w:tcMar>
            <w:vAlign w:val="bottom"/>
          </w:tcPr>
          <w:p w14:paraId="50FDE807" w14:textId="66DA5250"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49.24%</w:t>
            </w:r>
          </w:p>
        </w:tc>
        <w:tc>
          <w:tcPr>
            <w:tcW w:w="1245" w:type="dxa"/>
            <w:shd w:val="clear" w:color="auto" w:fill="C00000"/>
            <w:tcMar>
              <w:left w:w="108" w:type="dxa"/>
              <w:right w:w="108" w:type="dxa"/>
            </w:tcMar>
            <w:vAlign w:val="bottom"/>
          </w:tcPr>
          <w:p w14:paraId="7D46E7A5" w14:textId="42C7C665"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26.06%</w:t>
            </w:r>
          </w:p>
        </w:tc>
      </w:tr>
      <w:tr w:rsidR="72A5A7BC" w14:paraId="026C40BA"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7D786281" w14:textId="07EB1F40"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Melchor De Mencos</w:t>
            </w:r>
          </w:p>
        </w:tc>
        <w:tc>
          <w:tcPr>
            <w:tcW w:w="1860" w:type="dxa"/>
            <w:tcMar>
              <w:left w:w="108" w:type="dxa"/>
              <w:right w:w="108" w:type="dxa"/>
            </w:tcMar>
          </w:tcPr>
          <w:p w14:paraId="0B4D757B" w14:textId="5EE890D7"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Q33,397,994.04</w:t>
            </w:r>
          </w:p>
        </w:tc>
        <w:tc>
          <w:tcPr>
            <w:tcW w:w="1845" w:type="dxa"/>
            <w:tcMar>
              <w:left w:w="108" w:type="dxa"/>
              <w:right w:w="108" w:type="dxa"/>
            </w:tcMar>
          </w:tcPr>
          <w:p w14:paraId="5727CBAB" w14:textId="733D4EEE"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Q24,867,024.20</w:t>
            </w:r>
          </w:p>
        </w:tc>
        <w:tc>
          <w:tcPr>
            <w:tcW w:w="1140" w:type="dxa"/>
            <w:shd w:val="clear" w:color="auto" w:fill="C00000"/>
            <w:tcMar>
              <w:left w:w="108" w:type="dxa"/>
              <w:right w:w="108" w:type="dxa"/>
            </w:tcMar>
            <w:vAlign w:val="bottom"/>
          </w:tcPr>
          <w:p w14:paraId="7FF810E6" w14:textId="614C3D16"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48.89%</w:t>
            </w:r>
          </w:p>
        </w:tc>
        <w:tc>
          <w:tcPr>
            <w:tcW w:w="1245" w:type="dxa"/>
            <w:shd w:val="clear" w:color="auto" w:fill="FFFF00"/>
            <w:tcMar>
              <w:left w:w="108" w:type="dxa"/>
              <w:right w:w="108" w:type="dxa"/>
            </w:tcMar>
            <w:vAlign w:val="bottom"/>
          </w:tcPr>
          <w:p w14:paraId="32C1EE34" w14:textId="3D3C3177"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74.46%</w:t>
            </w:r>
          </w:p>
        </w:tc>
      </w:tr>
      <w:tr w:rsidR="72A5A7BC" w14:paraId="2B158B1F"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5DCE6271" w14:textId="6990070B"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Poptún</w:t>
            </w:r>
          </w:p>
        </w:tc>
        <w:tc>
          <w:tcPr>
            <w:tcW w:w="1860" w:type="dxa"/>
            <w:tcMar>
              <w:left w:w="108" w:type="dxa"/>
              <w:right w:w="108" w:type="dxa"/>
            </w:tcMar>
          </w:tcPr>
          <w:p w14:paraId="057F2E7D" w14:textId="038AA0A8"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Q54,365,355.56</w:t>
            </w:r>
          </w:p>
        </w:tc>
        <w:tc>
          <w:tcPr>
            <w:tcW w:w="1845" w:type="dxa"/>
            <w:tcMar>
              <w:left w:w="108" w:type="dxa"/>
              <w:right w:w="108" w:type="dxa"/>
            </w:tcMar>
          </w:tcPr>
          <w:p w14:paraId="7D894046" w14:textId="07D6FD78"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Q42,127,415.14</w:t>
            </w:r>
          </w:p>
        </w:tc>
        <w:tc>
          <w:tcPr>
            <w:tcW w:w="1140" w:type="dxa"/>
            <w:shd w:val="clear" w:color="auto" w:fill="C00000"/>
            <w:tcMar>
              <w:left w:w="108" w:type="dxa"/>
              <w:right w:w="108" w:type="dxa"/>
            </w:tcMar>
            <w:vAlign w:val="bottom"/>
          </w:tcPr>
          <w:p w14:paraId="28569D2E" w14:textId="4D832F82"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45.79%</w:t>
            </w:r>
          </w:p>
        </w:tc>
        <w:tc>
          <w:tcPr>
            <w:tcW w:w="1245" w:type="dxa"/>
            <w:shd w:val="clear" w:color="auto" w:fill="FFFF00"/>
            <w:tcMar>
              <w:left w:w="108" w:type="dxa"/>
              <w:right w:w="108" w:type="dxa"/>
            </w:tcMar>
            <w:vAlign w:val="bottom"/>
          </w:tcPr>
          <w:p w14:paraId="3459BF20" w14:textId="78A39D39"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77.49%</w:t>
            </w:r>
          </w:p>
        </w:tc>
      </w:tr>
      <w:tr w:rsidR="72A5A7BC" w14:paraId="4BB61DF0"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3A506F67" w14:textId="629C82CF"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San Luis</w:t>
            </w:r>
          </w:p>
        </w:tc>
        <w:tc>
          <w:tcPr>
            <w:tcW w:w="1860" w:type="dxa"/>
            <w:tcMar>
              <w:left w:w="108" w:type="dxa"/>
              <w:right w:w="108" w:type="dxa"/>
            </w:tcMar>
          </w:tcPr>
          <w:p w14:paraId="6F6BC74A" w14:textId="0B719676"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Q56,828,478.88</w:t>
            </w:r>
          </w:p>
        </w:tc>
        <w:tc>
          <w:tcPr>
            <w:tcW w:w="1845" w:type="dxa"/>
            <w:tcMar>
              <w:left w:w="108" w:type="dxa"/>
              <w:right w:w="108" w:type="dxa"/>
            </w:tcMar>
          </w:tcPr>
          <w:p w14:paraId="277380CF" w14:textId="022AF114"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Q24,727,682.72</w:t>
            </w:r>
          </w:p>
        </w:tc>
        <w:tc>
          <w:tcPr>
            <w:tcW w:w="1140" w:type="dxa"/>
            <w:shd w:val="clear" w:color="auto" w:fill="C00000"/>
            <w:tcMar>
              <w:left w:w="108" w:type="dxa"/>
              <w:right w:w="108" w:type="dxa"/>
            </w:tcMar>
            <w:vAlign w:val="bottom"/>
          </w:tcPr>
          <w:p w14:paraId="41FBD665" w14:textId="2C230D1E"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29.80%</w:t>
            </w:r>
          </w:p>
        </w:tc>
        <w:tc>
          <w:tcPr>
            <w:tcW w:w="1245" w:type="dxa"/>
            <w:shd w:val="clear" w:color="auto" w:fill="C00000"/>
            <w:tcMar>
              <w:left w:w="108" w:type="dxa"/>
              <w:right w:w="108" w:type="dxa"/>
            </w:tcMar>
            <w:vAlign w:val="bottom"/>
          </w:tcPr>
          <w:p w14:paraId="114708FB" w14:textId="35966508" w:rsidR="72A5A7BC" w:rsidRDefault="72A5A7BC" w:rsidP="72A5A7BC">
            <w:pPr>
              <w:jc w:val="right"/>
              <w:cnfStyle w:val="000000000000" w:firstRow="0" w:lastRow="0" w:firstColumn="0" w:lastColumn="0" w:oddVBand="0" w:evenVBand="0" w:oddHBand="0" w:evenHBand="0" w:firstRowFirstColumn="0" w:firstRowLastColumn="0" w:lastRowFirstColumn="0" w:lastRowLastColumn="0"/>
            </w:pPr>
            <w:r w:rsidRPr="72A5A7BC">
              <w:rPr>
                <w:rFonts w:ascii="Calibri" w:eastAsia="Calibri" w:hAnsi="Calibri" w:cs="Calibri"/>
                <w:color w:val="000000" w:themeColor="text1"/>
              </w:rPr>
              <w:t>43.51%</w:t>
            </w:r>
          </w:p>
        </w:tc>
      </w:tr>
      <w:tr w:rsidR="72A5A7BC" w14:paraId="5623156D"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Mar>
              <w:left w:w="108" w:type="dxa"/>
              <w:right w:w="108" w:type="dxa"/>
            </w:tcMar>
          </w:tcPr>
          <w:p w14:paraId="5923E508" w14:textId="709059C4" w:rsidR="72A5A7BC" w:rsidRDefault="049B63E7" w:rsidP="049B63E7">
            <w:pPr>
              <w:rPr>
                <w:rFonts w:ascii="Calibri" w:eastAsia="Calibri" w:hAnsi="Calibri" w:cs="Calibri"/>
                <w:b w:val="0"/>
                <w:bCs w:val="0"/>
                <w:color w:val="000000" w:themeColor="text1"/>
              </w:rPr>
            </w:pPr>
            <w:r w:rsidRPr="049B63E7">
              <w:rPr>
                <w:rFonts w:ascii="Calibri" w:eastAsia="Calibri" w:hAnsi="Calibri" w:cs="Calibri"/>
                <w:b w:val="0"/>
                <w:bCs w:val="0"/>
                <w:color w:val="000000" w:themeColor="text1"/>
              </w:rPr>
              <w:t>Santa Ana</w:t>
            </w:r>
          </w:p>
        </w:tc>
        <w:tc>
          <w:tcPr>
            <w:tcW w:w="1860" w:type="dxa"/>
            <w:tcMar>
              <w:left w:w="108" w:type="dxa"/>
              <w:right w:w="108" w:type="dxa"/>
            </w:tcMar>
          </w:tcPr>
          <w:p w14:paraId="531E65F0" w14:textId="284BCE06"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Q38,806,320.00</w:t>
            </w:r>
          </w:p>
        </w:tc>
        <w:tc>
          <w:tcPr>
            <w:tcW w:w="1845" w:type="dxa"/>
            <w:tcMar>
              <w:left w:w="108" w:type="dxa"/>
              <w:right w:w="108" w:type="dxa"/>
            </w:tcMar>
          </w:tcPr>
          <w:p w14:paraId="6494B850" w14:textId="384F0D7A"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Q15,189,993.61</w:t>
            </w:r>
          </w:p>
        </w:tc>
        <w:tc>
          <w:tcPr>
            <w:tcW w:w="1140" w:type="dxa"/>
            <w:shd w:val="clear" w:color="auto" w:fill="C00000"/>
            <w:tcMar>
              <w:left w:w="108" w:type="dxa"/>
              <w:right w:w="108" w:type="dxa"/>
            </w:tcMar>
            <w:vAlign w:val="bottom"/>
          </w:tcPr>
          <w:p w14:paraId="783EEF6D" w14:textId="7AD2A00D"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18.45%</w:t>
            </w:r>
          </w:p>
        </w:tc>
        <w:tc>
          <w:tcPr>
            <w:tcW w:w="1245" w:type="dxa"/>
            <w:shd w:val="clear" w:color="auto" w:fill="C00000"/>
            <w:tcMar>
              <w:left w:w="108" w:type="dxa"/>
              <w:right w:w="108" w:type="dxa"/>
            </w:tcMar>
            <w:vAlign w:val="bottom"/>
          </w:tcPr>
          <w:p w14:paraId="5D434568" w14:textId="0165CFE3" w:rsidR="72A5A7BC" w:rsidRDefault="72A5A7BC" w:rsidP="72A5A7BC">
            <w:pPr>
              <w:jc w:val="right"/>
              <w:cnfStyle w:val="000000100000" w:firstRow="0" w:lastRow="0" w:firstColumn="0" w:lastColumn="0" w:oddVBand="0" w:evenVBand="0" w:oddHBand="1" w:evenHBand="0" w:firstRowFirstColumn="0" w:firstRowLastColumn="0" w:lastRowFirstColumn="0" w:lastRowLastColumn="0"/>
            </w:pPr>
            <w:r w:rsidRPr="72A5A7BC">
              <w:rPr>
                <w:rFonts w:ascii="Calibri" w:eastAsia="Calibri" w:hAnsi="Calibri" w:cs="Calibri"/>
                <w:color w:val="000000" w:themeColor="text1"/>
              </w:rPr>
              <w:t>39.14%</w:t>
            </w:r>
          </w:p>
        </w:tc>
      </w:tr>
    </w:tbl>
    <w:p w14:paraId="7954EC91" w14:textId="725B6D97" w:rsidR="00693BD9" w:rsidRPr="003051CD" w:rsidRDefault="049B63E7" w:rsidP="00E8422A">
      <w:pPr>
        <w:autoSpaceDE w:val="0"/>
        <w:autoSpaceDN w:val="0"/>
        <w:adjustRightInd w:val="0"/>
        <w:spacing w:after="120" w:line="240" w:lineRule="auto"/>
        <w:jc w:val="both"/>
        <w:rPr>
          <w:rFonts w:eastAsiaTheme="minorEastAsia"/>
          <w:sz w:val="24"/>
          <w:szCs w:val="24"/>
          <w:lang w:val="es-ES"/>
        </w:rPr>
      </w:pPr>
      <w:r w:rsidRPr="049B63E7">
        <w:rPr>
          <w:rFonts w:eastAsiaTheme="minorEastAsia"/>
          <w:sz w:val="18"/>
          <w:szCs w:val="18"/>
          <w:lang w:val="es-ES"/>
        </w:rPr>
        <w:t>Fuente: Siplangl, III informe cuatrimestral y acumulado.  Año 2022.</w:t>
      </w:r>
    </w:p>
    <w:p w14:paraId="2499F238" w14:textId="7FD2E28B" w:rsidR="00693BD9" w:rsidRPr="00A543DE" w:rsidRDefault="049B63E7" w:rsidP="00C75033">
      <w:pPr>
        <w:autoSpaceDE w:val="0"/>
        <w:autoSpaceDN w:val="0"/>
        <w:adjustRightInd w:val="0"/>
        <w:spacing w:after="0" w:line="240" w:lineRule="auto"/>
        <w:contextualSpacing/>
        <w:jc w:val="both"/>
        <w:rPr>
          <w:rFonts w:eastAsia="Times New Roman" w:cstheme="minorHAnsi"/>
          <w:b/>
          <w:color w:val="002060"/>
          <w:sz w:val="28"/>
          <w:szCs w:val="28"/>
          <w:lang w:val="es-ES"/>
        </w:rPr>
      </w:pPr>
      <w:r w:rsidRPr="00A543DE">
        <w:rPr>
          <w:rFonts w:eastAsia="Times New Roman" w:cstheme="minorHAnsi"/>
          <w:b/>
          <w:bCs/>
          <w:color w:val="002060"/>
          <w:sz w:val="28"/>
          <w:szCs w:val="28"/>
          <w:lang w:val="es-ES"/>
        </w:rPr>
        <w:t>Totonicapán</w:t>
      </w:r>
    </w:p>
    <w:p w14:paraId="03E65B7A" w14:textId="19383BFE" w:rsidR="00693BD9" w:rsidRPr="003051CD" w:rsidRDefault="00E8422A" w:rsidP="00E8422A">
      <w:pPr>
        <w:autoSpaceDE w:val="0"/>
        <w:autoSpaceDN w:val="0"/>
        <w:adjustRightInd w:val="0"/>
        <w:spacing w:after="120" w:line="240" w:lineRule="auto"/>
        <w:jc w:val="both"/>
      </w:pPr>
      <w:r>
        <w:rPr>
          <w:noProof/>
        </w:rPr>
        <w:drawing>
          <wp:anchor distT="0" distB="0" distL="114300" distR="114300" simplePos="0" relativeHeight="251690496" behindDoc="1" locked="0" layoutInCell="1" allowOverlap="1" wp14:anchorId="462B1EBE" wp14:editId="6F4D393F">
            <wp:simplePos x="0" y="0"/>
            <wp:positionH relativeFrom="column">
              <wp:posOffset>4400550</wp:posOffset>
            </wp:positionH>
            <wp:positionV relativeFrom="paragraph">
              <wp:posOffset>45085</wp:posOffset>
            </wp:positionV>
            <wp:extent cx="1504315" cy="1024890"/>
            <wp:effectExtent l="19050" t="19050" r="19685" b="22860"/>
            <wp:wrapTight wrapText="bothSides">
              <wp:wrapPolygon edited="0">
                <wp:start x="-274" y="-401"/>
                <wp:lineTo x="-274" y="21680"/>
                <wp:lineTo x="21609" y="21680"/>
                <wp:lineTo x="21609" y="-401"/>
                <wp:lineTo x="-274" y="-401"/>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504315" cy="1024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49B63E7" w:rsidRPr="049B63E7">
        <w:rPr>
          <w:rFonts w:ascii="Calibri" w:eastAsia="Calibri" w:hAnsi="Calibri" w:cs="Calibri"/>
          <w:sz w:val="24"/>
          <w:szCs w:val="24"/>
          <w:lang w:val="es-ES"/>
        </w:rPr>
        <w:t>El departamento presentó un promedio de ejecución física del 68.87%. Los municipios que mayor ejecución presentaron son: San Francisco El Alto con el 100%, San Bartolo Aguas Calientes con 87.90% y Santa Lucía La Reforma con 73.75%.</w:t>
      </w:r>
    </w:p>
    <w:p w14:paraId="2AC33FF4" w14:textId="14E3A685" w:rsidR="00693BD9" w:rsidRPr="003051CD" w:rsidRDefault="049B63E7" w:rsidP="00E8422A">
      <w:pPr>
        <w:autoSpaceDE w:val="0"/>
        <w:autoSpaceDN w:val="0"/>
        <w:adjustRightInd w:val="0"/>
        <w:spacing w:after="120" w:line="240" w:lineRule="auto"/>
        <w:jc w:val="both"/>
      </w:pPr>
      <w:r w:rsidRPr="049B63E7">
        <w:rPr>
          <w:rFonts w:ascii="Calibri" w:eastAsia="Calibri" w:hAnsi="Calibri" w:cs="Calibri"/>
          <w:sz w:val="24"/>
          <w:szCs w:val="24"/>
          <w:lang w:val="es-ES"/>
        </w:rPr>
        <w:t>En relación al avance financiero, el departamento reportó un avance promedio del 67.15%, siendo los municipios de San Francisco El Alto, Santa Lucía La Reforma y San Bartolo Aguas Calientes con 100%, 77.58% y 64.55% respectivamente, quienes mostraron mayor avance.</w:t>
      </w:r>
    </w:p>
    <w:p w14:paraId="53167363" w14:textId="5D2022F5" w:rsidR="00693BD9" w:rsidRPr="003051CD" w:rsidRDefault="049B63E7" w:rsidP="00E8422A">
      <w:pPr>
        <w:autoSpaceDE w:val="0"/>
        <w:autoSpaceDN w:val="0"/>
        <w:adjustRightInd w:val="0"/>
        <w:spacing w:after="120" w:line="240" w:lineRule="auto"/>
        <w:jc w:val="both"/>
      </w:pPr>
      <w:r w:rsidRPr="049B63E7">
        <w:rPr>
          <w:rFonts w:ascii="Calibri" w:eastAsia="Calibri" w:hAnsi="Calibri" w:cs="Calibri"/>
          <w:sz w:val="24"/>
          <w:szCs w:val="24"/>
          <w:lang w:val="es-ES"/>
        </w:rPr>
        <w:t>El municipio de Totonicapán no utilizó la plataforma de Siplangl durante el año 2022.</w:t>
      </w:r>
    </w:p>
    <w:p w14:paraId="4887E193" w14:textId="49A10C77" w:rsidR="049B63E7" w:rsidRPr="00E8422A" w:rsidRDefault="375C27C2" w:rsidP="049B63E7">
      <w:pPr>
        <w:pStyle w:val="ttulosgrficas"/>
        <w:rPr>
          <w:rFonts w:asciiTheme="minorHAnsi" w:eastAsia="Times New Roman" w:hAnsiTheme="minorHAnsi" w:cstheme="minorHAnsi"/>
          <w:b w:val="0"/>
          <w:bCs w:val="0"/>
          <w:lang w:val="es-ES"/>
        </w:rPr>
      </w:pPr>
      <w:bookmarkStart w:id="65" w:name="_Toc130199610"/>
      <w:r w:rsidRPr="00E8422A">
        <w:rPr>
          <w:rFonts w:asciiTheme="minorHAnsi" w:eastAsia="Times New Roman" w:hAnsiTheme="minorHAnsi" w:cstheme="minorHAnsi"/>
          <w:color w:val="4471C4"/>
          <w:lang w:val="es-ES"/>
        </w:rPr>
        <w:t xml:space="preserve">Tabla </w:t>
      </w:r>
      <w:r w:rsidR="006E5E0A">
        <w:rPr>
          <w:rFonts w:asciiTheme="minorHAnsi" w:eastAsia="Times New Roman" w:hAnsiTheme="minorHAnsi" w:cstheme="minorHAnsi"/>
          <w:color w:val="4471C4"/>
          <w:lang w:val="es-ES"/>
        </w:rPr>
        <w:fldChar w:fldCharType="begin"/>
      </w:r>
      <w:r w:rsidR="006E5E0A">
        <w:rPr>
          <w:rFonts w:asciiTheme="minorHAnsi" w:eastAsia="Times New Roman" w:hAnsiTheme="minorHAnsi" w:cstheme="minorHAnsi"/>
          <w:color w:val="4471C4"/>
          <w:lang w:val="es-ES"/>
        </w:rPr>
        <w:instrText xml:space="preserve"> SEQ Tabla \* ARABIC </w:instrText>
      </w:r>
      <w:r w:rsidR="006E5E0A">
        <w:rPr>
          <w:rFonts w:asciiTheme="minorHAnsi" w:eastAsia="Times New Roman" w:hAnsiTheme="minorHAnsi" w:cstheme="minorHAnsi"/>
          <w:color w:val="4471C4"/>
          <w:lang w:val="es-ES"/>
        </w:rPr>
        <w:fldChar w:fldCharType="separate"/>
      </w:r>
      <w:r w:rsidR="00777974">
        <w:rPr>
          <w:rFonts w:asciiTheme="minorHAnsi" w:eastAsia="Times New Roman" w:hAnsiTheme="minorHAnsi" w:cstheme="minorHAnsi"/>
          <w:noProof/>
          <w:color w:val="4471C4"/>
          <w:lang w:val="es-ES"/>
        </w:rPr>
        <w:t>22</w:t>
      </w:r>
      <w:r w:rsidR="006E5E0A">
        <w:rPr>
          <w:rFonts w:asciiTheme="minorHAnsi" w:eastAsia="Times New Roman" w:hAnsiTheme="minorHAnsi" w:cstheme="minorHAnsi"/>
          <w:color w:val="4471C4"/>
          <w:lang w:val="es-ES"/>
        </w:rPr>
        <w:fldChar w:fldCharType="end"/>
      </w:r>
      <w:r w:rsidR="007A6B50">
        <w:rPr>
          <w:rFonts w:asciiTheme="minorHAnsi" w:eastAsia="Times New Roman" w:hAnsiTheme="minorHAnsi" w:cstheme="minorHAnsi"/>
          <w:color w:val="4471C4"/>
          <w:lang w:val="es-ES"/>
        </w:rPr>
        <w:t>.</w:t>
      </w:r>
      <w:r w:rsidRPr="00E8422A">
        <w:rPr>
          <w:rFonts w:asciiTheme="minorHAnsi" w:eastAsia="Times New Roman" w:hAnsiTheme="minorHAnsi" w:cstheme="minorHAnsi"/>
          <w:color w:val="4471C4"/>
          <w:lang w:val="es-ES"/>
        </w:rPr>
        <w:t xml:space="preserve"> Ejecución Física y Financiera, departamento de Totonicapán</w:t>
      </w:r>
      <w:bookmarkEnd w:id="65"/>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255"/>
        <w:gridCol w:w="1845"/>
        <w:gridCol w:w="1845"/>
        <w:gridCol w:w="1125"/>
        <w:gridCol w:w="1245"/>
      </w:tblGrid>
      <w:tr w:rsidR="375C27C2" w14:paraId="553E68E5" w14:textId="77777777" w:rsidTr="00E8422A">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55" w:type="dxa"/>
            <w:tcBorders>
              <w:top w:val="none" w:sz="0" w:space="0" w:color="auto"/>
              <w:left w:val="none" w:sz="0" w:space="0" w:color="auto"/>
              <w:bottom w:val="none" w:sz="0" w:space="0" w:color="auto"/>
            </w:tcBorders>
            <w:tcMar>
              <w:left w:w="108" w:type="dxa"/>
              <w:right w:w="108" w:type="dxa"/>
            </w:tcMar>
            <w:vAlign w:val="center"/>
          </w:tcPr>
          <w:p w14:paraId="152FA855" w14:textId="6EA5293C" w:rsidR="375C27C2" w:rsidRDefault="375C27C2" w:rsidP="375C27C2">
            <w:pPr>
              <w:jc w:val="center"/>
            </w:pPr>
            <w:r w:rsidRPr="375C27C2">
              <w:rPr>
                <w:rFonts w:ascii="Calibri" w:eastAsia="Calibri" w:hAnsi="Calibri" w:cs="Calibri"/>
                <w:color w:val="000000" w:themeColor="text1"/>
              </w:rPr>
              <w:t>Municipio</w:t>
            </w:r>
          </w:p>
        </w:tc>
        <w:tc>
          <w:tcPr>
            <w:tcW w:w="1845" w:type="dxa"/>
            <w:tcBorders>
              <w:top w:val="none" w:sz="0" w:space="0" w:color="auto"/>
              <w:bottom w:val="none" w:sz="0" w:space="0" w:color="auto"/>
            </w:tcBorders>
            <w:tcMar>
              <w:left w:w="108" w:type="dxa"/>
              <w:right w:w="108" w:type="dxa"/>
            </w:tcMar>
            <w:vAlign w:val="center"/>
          </w:tcPr>
          <w:p w14:paraId="088072C3" w14:textId="4E721BBF" w:rsidR="375C27C2" w:rsidRDefault="46B27687" w:rsidP="375C27C2">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Meta Financiera Anual Vigente</w:t>
            </w:r>
          </w:p>
        </w:tc>
        <w:tc>
          <w:tcPr>
            <w:tcW w:w="1845" w:type="dxa"/>
            <w:tcBorders>
              <w:top w:val="none" w:sz="0" w:space="0" w:color="auto"/>
              <w:bottom w:val="none" w:sz="0" w:space="0" w:color="auto"/>
            </w:tcBorders>
            <w:tcMar>
              <w:left w:w="108" w:type="dxa"/>
              <w:right w:w="108" w:type="dxa"/>
            </w:tcMar>
            <w:vAlign w:val="center"/>
          </w:tcPr>
          <w:p w14:paraId="2549DDF1" w14:textId="6E1134AF" w:rsidR="375C27C2" w:rsidRDefault="46B27687" w:rsidP="375C27C2">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Ejecución Financiera Acumulada</w:t>
            </w:r>
          </w:p>
        </w:tc>
        <w:tc>
          <w:tcPr>
            <w:tcW w:w="1125" w:type="dxa"/>
            <w:tcBorders>
              <w:top w:val="none" w:sz="0" w:space="0" w:color="auto"/>
              <w:bottom w:val="none" w:sz="0" w:space="0" w:color="auto"/>
            </w:tcBorders>
            <w:tcMar>
              <w:left w:w="108" w:type="dxa"/>
              <w:right w:w="108" w:type="dxa"/>
            </w:tcMar>
            <w:vAlign w:val="center"/>
          </w:tcPr>
          <w:p w14:paraId="1DEF66BE" w14:textId="13370A53" w:rsidR="375C27C2" w:rsidRDefault="375C27C2" w:rsidP="375C27C2">
            <w:pPr>
              <w:jc w:val="center"/>
              <w:cnfStyle w:val="100000000000" w:firstRow="1"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 de Ejecución Física</w:t>
            </w:r>
          </w:p>
        </w:tc>
        <w:tc>
          <w:tcPr>
            <w:tcW w:w="1245" w:type="dxa"/>
            <w:tcBorders>
              <w:top w:val="none" w:sz="0" w:space="0" w:color="auto"/>
              <w:bottom w:val="none" w:sz="0" w:space="0" w:color="auto"/>
              <w:right w:val="none" w:sz="0" w:space="0" w:color="auto"/>
            </w:tcBorders>
            <w:tcMar>
              <w:left w:w="108" w:type="dxa"/>
              <w:right w:w="108" w:type="dxa"/>
            </w:tcMar>
            <w:vAlign w:val="center"/>
          </w:tcPr>
          <w:p w14:paraId="04460A3E" w14:textId="3635F8D3" w:rsidR="375C27C2" w:rsidRDefault="375C27C2" w:rsidP="375C27C2">
            <w:pPr>
              <w:jc w:val="center"/>
              <w:cnfStyle w:val="100000000000" w:firstRow="1"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 de Ejecución Financiera</w:t>
            </w:r>
          </w:p>
        </w:tc>
      </w:tr>
      <w:tr w:rsidR="375C27C2" w14:paraId="16943DE1"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4A24549E" w14:textId="6D2BB003" w:rsidR="375C27C2" w:rsidRDefault="375C27C2" w:rsidP="375C27C2">
            <w:r w:rsidRPr="375C27C2">
              <w:rPr>
                <w:rFonts w:ascii="Calibri" w:eastAsia="Calibri" w:hAnsi="Calibri" w:cs="Calibri"/>
                <w:color w:val="000000" w:themeColor="text1"/>
              </w:rPr>
              <w:t>Todo el Departamento</w:t>
            </w:r>
          </w:p>
        </w:tc>
        <w:tc>
          <w:tcPr>
            <w:tcW w:w="1845" w:type="dxa"/>
            <w:tcMar>
              <w:left w:w="108" w:type="dxa"/>
              <w:right w:w="108" w:type="dxa"/>
            </w:tcMar>
          </w:tcPr>
          <w:p w14:paraId="6C09CC17" w14:textId="1224A851"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b/>
                <w:bCs/>
                <w:color w:val="000000" w:themeColor="text1"/>
              </w:rPr>
              <w:t>Q236,256,915.28</w:t>
            </w:r>
          </w:p>
        </w:tc>
        <w:tc>
          <w:tcPr>
            <w:tcW w:w="1845" w:type="dxa"/>
            <w:tcMar>
              <w:left w:w="108" w:type="dxa"/>
              <w:right w:w="108" w:type="dxa"/>
            </w:tcMar>
          </w:tcPr>
          <w:p w14:paraId="3054570B" w14:textId="61DF888A"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b/>
                <w:bCs/>
                <w:color w:val="000000" w:themeColor="text1"/>
              </w:rPr>
              <w:t>Q158,647,653.31</w:t>
            </w:r>
          </w:p>
        </w:tc>
        <w:tc>
          <w:tcPr>
            <w:tcW w:w="1125" w:type="dxa"/>
            <w:shd w:val="clear" w:color="auto" w:fill="FFFF00"/>
            <w:tcMar>
              <w:left w:w="108" w:type="dxa"/>
              <w:right w:w="108" w:type="dxa"/>
            </w:tcMar>
            <w:vAlign w:val="bottom"/>
          </w:tcPr>
          <w:p w14:paraId="2498CA15" w14:textId="7FB66B48"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b/>
                <w:bCs/>
                <w:color w:val="000000" w:themeColor="text1"/>
              </w:rPr>
              <w:t>68.87%</w:t>
            </w:r>
          </w:p>
        </w:tc>
        <w:tc>
          <w:tcPr>
            <w:tcW w:w="1245" w:type="dxa"/>
            <w:shd w:val="clear" w:color="auto" w:fill="FFFF00"/>
            <w:tcMar>
              <w:left w:w="108" w:type="dxa"/>
              <w:right w:w="108" w:type="dxa"/>
            </w:tcMar>
            <w:vAlign w:val="bottom"/>
          </w:tcPr>
          <w:p w14:paraId="1FCD8802" w14:textId="5A416EDC"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b/>
                <w:bCs/>
                <w:color w:val="000000" w:themeColor="text1"/>
              </w:rPr>
              <w:t>67.15%</w:t>
            </w:r>
          </w:p>
        </w:tc>
      </w:tr>
      <w:tr w:rsidR="375C27C2" w14:paraId="770FB969"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77A2DDC1" w14:textId="3334C5A9" w:rsidR="375C27C2" w:rsidRDefault="375C27C2" w:rsidP="375C27C2">
            <w:pPr>
              <w:rPr>
                <w:rFonts w:ascii="Calibri" w:eastAsia="Calibri" w:hAnsi="Calibri" w:cs="Calibri"/>
                <w:b w:val="0"/>
                <w:bCs w:val="0"/>
                <w:color w:val="000000" w:themeColor="text1"/>
              </w:rPr>
            </w:pPr>
            <w:r w:rsidRPr="375C27C2">
              <w:rPr>
                <w:rFonts w:ascii="Calibri" w:eastAsia="Calibri" w:hAnsi="Calibri" w:cs="Calibri"/>
                <w:b w:val="0"/>
                <w:bCs w:val="0"/>
                <w:color w:val="000000" w:themeColor="text1"/>
              </w:rPr>
              <w:t>San Francisco El Alto</w:t>
            </w:r>
          </w:p>
        </w:tc>
        <w:tc>
          <w:tcPr>
            <w:tcW w:w="1845" w:type="dxa"/>
            <w:tcMar>
              <w:left w:w="108" w:type="dxa"/>
              <w:right w:w="108" w:type="dxa"/>
            </w:tcMar>
          </w:tcPr>
          <w:p w14:paraId="4F4FB72C" w14:textId="38C2FE64"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Q28,924,494.92</w:t>
            </w:r>
          </w:p>
        </w:tc>
        <w:tc>
          <w:tcPr>
            <w:tcW w:w="1845" w:type="dxa"/>
            <w:tcMar>
              <w:left w:w="108" w:type="dxa"/>
              <w:right w:w="108" w:type="dxa"/>
            </w:tcMar>
          </w:tcPr>
          <w:p w14:paraId="3FB8BE78" w14:textId="41809CC5"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Q28,924,494.92</w:t>
            </w:r>
          </w:p>
        </w:tc>
        <w:tc>
          <w:tcPr>
            <w:tcW w:w="1125" w:type="dxa"/>
            <w:shd w:val="clear" w:color="auto" w:fill="92D050"/>
            <w:tcMar>
              <w:left w:w="108" w:type="dxa"/>
              <w:right w:w="108" w:type="dxa"/>
            </w:tcMar>
            <w:vAlign w:val="bottom"/>
          </w:tcPr>
          <w:p w14:paraId="64219480" w14:textId="0F9F077F"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100.00%</w:t>
            </w:r>
          </w:p>
        </w:tc>
        <w:tc>
          <w:tcPr>
            <w:tcW w:w="1245" w:type="dxa"/>
            <w:shd w:val="clear" w:color="auto" w:fill="92D050"/>
            <w:tcMar>
              <w:left w:w="108" w:type="dxa"/>
              <w:right w:w="108" w:type="dxa"/>
            </w:tcMar>
            <w:vAlign w:val="bottom"/>
          </w:tcPr>
          <w:p w14:paraId="29025CC1" w14:textId="03FFF652"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100.00%</w:t>
            </w:r>
          </w:p>
        </w:tc>
      </w:tr>
      <w:tr w:rsidR="375C27C2" w14:paraId="1926C5F2"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7449A7DB" w14:textId="5F7E572A" w:rsidR="375C27C2" w:rsidRDefault="375C27C2" w:rsidP="375C27C2">
            <w:pPr>
              <w:rPr>
                <w:rFonts w:ascii="Calibri" w:eastAsia="Calibri" w:hAnsi="Calibri" w:cs="Calibri"/>
                <w:b w:val="0"/>
                <w:bCs w:val="0"/>
                <w:color w:val="000000" w:themeColor="text1"/>
              </w:rPr>
            </w:pPr>
            <w:r w:rsidRPr="375C27C2">
              <w:rPr>
                <w:rFonts w:ascii="Calibri" w:eastAsia="Calibri" w:hAnsi="Calibri" w:cs="Calibri"/>
                <w:b w:val="0"/>
                <w:bCs w:val="0"/>
                <w:color w:val="000000" w:themeColor="text1"/>
              </w:rPr>
              <w:t>San Bartolo Aguas Calientes</w:t>
            </w:r>
          </w:p>
        </w:tc>
        <w:tc>
          <w:tcPr>
            <w:tcW w:w="1845" w:type="dxa"/>
            <w:tcMar>
              <w:left w:w="108" w:type="dxa"/>
              <w:right w:w="108" w:type="dxa"/>
            </w:tcMar>
          </w:tcPr>
          <w:p w14:paraId="1D22830E" w14:textId="79C408D1"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Q14,394,713.59</w:t>
            </w:r>
          </w:p>
        </w:tc>
        <w:tc>
          <w:tcPr>
            <w:tcW w:w="1845" w:type="dxa"/>
            <w:tcMar>
              <w:left w:w="108" w:type="dxa"/>
              <w:right w:w="108" w:type="dxa"/>
            </w:tcMar>
          </w:tcPr>
          <w:p w14:paraId="7613384D" w14:textId="3FC58EA2"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Q9,291,226.77</w:t>
            </w:r>
          </w:p>
        </w:tc>
        <w:tc>
          <w:tcPr>
            <w:tcW w:w="1125" w:type="dxa"/>
            <w:shd w:val="clear" w:color="auto" w:fill="FFFF00"/>
            <w:tcMar>
              <w:left w:w="108" w:type="dxa"/>
              <w:right w:w="108" w:type="dxa"/>
            </w:tcMar>
            <w:vAlign w:val="bottom"/>
          </w:tcPr>
          <w:p w14:paraId="4576E596" w14:textId="60FB3E47"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87.90%</w:t>
            </w:r>
          </w:p>
        </w:tc>
        <w:tc>
          <w:tcPr>
            <w:tcW w:w="1245" w:type="dxa"/>
            <w:shd w:val="clear" w:color="auto" w:fill="FFFF00"/>
            <w:tcMar>
              <w:left w:w="108" w:type="dxa"/>
              <w:right w:w="108" w:type="dxa"/>
            </w:tcMar>
            <w:vAlign w:val="bottom"/>
          </w:tcPr>
          <w:p w14:paraId="120C9109" w14:textId="2AE4CB8B"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64.55%</w:t>
            </w:r>
          </w:p>
        </w:tc>
      </w:tr>
      <w:tr w:rsidR="375C27C2" w14:paraId="25844D98"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382F7635" w14:textId="227E2789" w:rsidR="375C27C2" w:rsidRDefault="375C27C2" w:rsidP="375C27C2">
            <w:pPr>
              <w:rPr>
                <w:rFonts w:ascii="Calibri" w:eastAsia="Calibri" w:hAnsi="Calibri" w:cs="Calibri"/>
                <w:b w:val="0"/>
                <w:bCs w:val="0"/>
                <w:color w:val="000000" w:themeColor="text1"/>
              </w:rPr>
            </w:pPr>
            <w:r w:rsidRPr="375C27C2">
              <w:rPr>
                <w:rFonts w:ascii="Calibri" w:eastAsia="Calibri" w:hAnsi="Calibri" w:cs="Calibri"/>
                <w:b w:val="0"/>
                <w:bCs w:val="0"/>
                <w:color w:val="000000" w:themeColor="text1"/>
              </w:rPr>
              <w:t>Santa Lucía La Reforma</w:t>
            </w:r>
          </w:p>
        </w:tc>
        <w:tc>
          <w:tcPr>
            <w:tcW w:w="1845" w:type="dxa"/>
            <w:tcMar>
              <w:left w:w="108" w:type="dxa"/>
              <w:right w:w="108" w:type="dxa"/>
            </w:tcMar>
          </w:tcPr>
          <w:p w14:paraId="0E750D25" w14:textId="250E5036"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Q39,406,483.64</w:t>
            </w:r>
          </w:p>
        </w:tc>
        <w:tc>
          <w:tcPr>
            <w:tcW w:w="1845" w:type="dxa"/>
            <w:tcMar>
              <w:left w:w="108" w:type="dxa"/>
              <w:right w:w="108" w:type="dxa"/>
            </w:tcMar>
          </w:tcPr>
          <w:p w14:paraId="6A548487" w14:textId="5A938439"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Q30,573,320.03</w:t>
            </w:r>
          </w:p>
        </w:tc>
        <w:tc>
          <w:tcPr>
            <w:tcW w:w="1125" w:type="dxa"/>
            <w:shd w:val="clear" w:color="auto" w:fill="FFFF00"/>
            <w:tcMar>
              <w:left w:w="108" w:type="dxa"/>
              <w:right w:w="108" w:type="dxa"/>
            </w:tcMar>
            <w:vAlign w:val="bottom"/>
          </w:tcPr>
          <w:p w14:paraId="41044A55" w14:textId="07ED12D3"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73.75%</w:t>
            </w:r>
          </w:p>
        </w:tc>
        <w:tc>
          <w:tcPr>
            <w:tcW w:w="1245" w:type="dxa"/>
            <w:shd w:val="clear" w:color="auto" w:fill="FFFF00"/>
            <w:tcMar>
              <w:left w:w="108" w:type="dxa"/>
              <w:right w:w="108" w:type="dxa"/>
            </w:tcMar>
            <w:vAlign w:val="bottom"/>
          </w:tcPr>
          <w:p w14:paraId="674AC8CA" w14:textId="56FE0068"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77.58%</w:t>
            </w:r>
          </w:p>
        </w:tc>
      </w:tr>
      <w:tr w:rsidR="375C27C2" w14:paraId="610D07BB"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44066094" w14:textId="66987B82" w:rsidR="375C27C2" w:rsidRDefault="375C27C2" w:rsidP="375C27C2">
            <w:pPr>
              <w:rPr>
                <w:rFonts w:ascii="Calibri" w:eastAsia="Calibri" w:hAnsi="Calibri" w:cs="Calibri"/>
                <w:b w:val="0"/>
                <w:bCs w:val="0"/>
                <w:color w:val="000000" w:themeColor="text1"/>
              </w:rPr>
            </w:pPr>
            <w:r w:rsidRPr="375C27C2">
              <w:rPr>
                <w:rFonts w:ascii="Calibri" w:eastAsia="Calibri" w:hAnsi="Calibri" w:cs="Calibri"/>
                <w:b w:val="0"/>
                <w:bCs w:val="0"/>
                <w:color w:val="000000" w:themeColor="text1"/>
              </w:rPr>
              <w:t>San Cristóbal Totonicapán</w:t>
            </w:r>
          </w:p>
        </w:tc>
        <w:tc>
          <w:tcPr>
            <w:tcW w:w="1845" w:type="dxa"/>
            <w:tcMar>
              <w:left w:w="108" w:type="dxa"/>
              <w:right w:w="108" w:type="dxa"/>
            </w:tcMar>
          </w:tcPr>
          <w:p w14:paraId="09C61925" w14:textId="44C499E3"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Q24,019,005.00</w:t>
            </w:r>
          </w:p>
        </w:tc>
        <w:tc>
          <w:tcPr>
            <w:tcW w:w="1845" w:type="dxa"/>
            <w:tcMar>
              <w:left w:w="108" w:type="dxa"/>
              <w:right w:w="108" w:type="dxa"/>
            </w:tcMar>
          </w:tcPr>
          <w:p w14:paraId="6A81968D" w14:textId="7C733B1F"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Q13,515,974.12</w:t>
            </w:r>
          </w:p>
        </w:tc>
        <w:tc>
          <w:tcPr>
            <w:tcW w:w="1125" w:type="dxa"/>
            <w:shd w:val="clear" w:color="auto" w:fill="FFFF00"/>
            <w:tcMar>
              <w:left w:w="108" w:type="dxa"/>
              <w:right w:w="108" w:type="dxa"/>
            </w:tcMar>
            <w:vAlign w:val="bottom"/>
          </w:tcPr>
          <w:p w14:paraId="1571D025" w14:textId="4FABFB1A"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67.71%</w:t>
            </w:r>
          </w:p>
        </w:tc>
        <w:tc>
          <w:tcPr>
            <w:tcW w:w="1245" w:type="dxa"/>
            <w:shd w:val="clear" w:color="auto" w:fill="FFFF00"/>
            <w:tcMar>
              <w:left w:w="108" w:type="dxa"/>
              <w:right w:w="108" w:type="dxa"/>
            </w:tcMar>
            <w:vAlign w:val="bottom"/>
          </w:tcPr>
          <w:p w14:paraId="29185BC6" w14:textId="19ED8FC4"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56.27%</w:t>
            </w:r>
          </w:p>
        </w:tc>
      </w:tr>
      <w:tr w:rsidR="375C27C2" w14:paraId="55660324"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0D53B3D2" w14:textId="73B738BE" w:rsidR="375C27C2" w:rsidRDefault="375C27C2" w:rsidP="375C27C2">
            <w:pPr>
              <w:rPr>
                <w:rFonts w:ascii="Calibri" w:eastAsia="Calibri" w:hAnsi="Calibri" w:cs="Calibri"/>
                <w:b w:val="0"/>
                <w:bCs w:val="0"/>
                <w:color w:val="000000" w:themeColor="text1"/>
              </w:rPr>
            </w:pPr>
            <w:r w:rsidRPr="375C27C2">
              <w:rPr>
                <w:rFonts w:ascii="Calibri" w:eastAsia="Calibri" w:hAnsi="Calibri" w:cs="Calibri"/>
                <w:b w:val="0"/>
                <w:bCs w:val="0"/>
                <w:color w:val="000000" w:themeColor="text1"/>
              </w:rPr>
              <w:t>San Andrés Xecul</w:t>
            </w:r>
          </w:p>
        </w:tc>
        <w:tc>
          <w:tcPr>
            <w:tcW w:w="1845" w:type="dxa"/>
            <w:tcMar>
              <w:left w:w="108" w:type="dxa"/>
              <w:right w:w="108" w:type="dxa"/>
            </w:tcMar>
          </w:tcPr>
          <w:p w14:paraId="51F2A52A" w14:textId="09FBCF06"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Q36,041,760.78</w:t>
            </w:r>
          </w:p>
        </w:tc>
        <w:tc>
          <w:tcPr>
            <w:tcW w:w="1845" w:type="dxa"/>
            <w:tcMar>
              <w:left w:w="108" w:type="dxa"/>
              <w:right w:w="108" w:type="dxa"/>
            </w:tcMar>
          </w:tcPr>
          <w:p w14:paraId="0F589D35" w14:textId="55E40488"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Q21,556,625.52</w:t>
            </w:r>
          </w:p>
        </w:tc>
        <w:tc>
          <w:tcPr>
            <w:tcW w:w="1125" w:type="dxa"/>
            <w:shd w:val="clear" w:color="auto" w:fill="FFFF00"/>
            <w:tcMar>
              <w:left w:w="108" w:type="dxa"/>
              <w:right w:w="108" w:type="dxa"/>
            </w:tcMar>
            <w:vAlign w:val="bottom"/>
          </w:tcPr>
          <w:p w14:paraId="352643BE" w14:textId="741ADF35"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63.85%</w:t>
            </w:r>
          </w:p>
        </w:tc>
        <w:tc>
          <w:tcPr>
            <w:tcW w:w="1245" w:type="dxa"/>
            <w:shd w:val="clear" w:color="auto" w:fill="FFFF00"/>
            <w:tcMar>
              <w:left w:w="108" w:type="dxa"/>
              <w:right w:w="108" w:type="dxa"/>
            </w:tcMar>
            <w:vAlign w:val="bottom"/>
          </w:tcPr>
          <w:p w14:paraId="562D64FD" w14:textId="2C29CD67"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59.81%</w:t>
            </w:r>
          </w:p>
        </w:tc>
      </w:tr>
      <w:tr w:rsidR="375C27C2" w14:paraId="3BA4EA20"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070721AB" w14:textId="41A40B50" w:rsidR="375C27C2" w:rsidRDefault="375C27C2" w:rsidP="375C27C2">
            <w:pPr>
              <w:rPr>
                <w:rFonts w:ascii="Calibri" w:eastAsia="Calibri" w:hAnsi="Calibri" w:cs="Calibri"/>
                <w:b w:val="0"/>
                <w:bCs w:val="0"/>
                <w:color w:val="000000" w:themeColor="text1"/>
              </w:rPr>
            </w:pPr>
            <w:r w:rsidRPr="375C27C2">
              <w:rPr>
                <w:rFonts w:ascii="Calibri" w:eastAsia="Calibri" w:hAnsi="Calibri" w:cs="Calibri"/>
                <w:b w:val="0"/>
                <w:bCs w:val="0"/>
                <w:color w:val="000000" w:themeColor="text1"/>
              </w:rPr>
              <w:t>Santa María Chiquimula</w:t>
            </w:r>
          </w:p>
        </w:tc>
        <w:tc>
          <w:tcPr>
            <w:tcW w:w="1845" w:type="dxa"/>
            <w:tcMar>
              <w:left w:w="108" w:type="dxa"/>
              <w:right w:w="108" w:type="dxa"/>
            </w:tcMar>
          </w:tcPr>
          <w:p w14:paraId="7EF37A8B" w14:textId="5DCCCD0E"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Q22,007,541.03</w:t>
            </w:r>
          </w:p>
        </w:tc>
        <w:tc>
          <w:tcPr>
            <w:tcW w:w="1845" w:type="dxa"/>
            <w:tcMar>
              <w:left w:w="108" w:type="dxa"/>
              <w:right w:w="108" w:type="dxa"/>
            </w:tcMar>
          </w:tcPr>
          <w:p w14:paraId="5B25B1A4" w14:textId="178E38E3"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Q9,735,334.00</w:t>
            </w:r>
          </w:p>
        </w:tc>
        <w:tc>
          <w:tcPr>
            <w:tcW w:w="1125" w:type="dxa"/>
            <w:shd w:val="clear" w:color="auto" w:fill="FFFF00"/>
            <w:tcMar>
              <w:left w:w="108" w:type="dxa"/>
              <w:right w:w="108" w:type="dxa"/>
            </w:tcMar>
            <w:vAlign w:val="bottom"/>
          </w:tcPr>
          <w:p w14:paraId="6502FAF4" w14:textId="3CF079D0"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60.55%</w:t>
            </w:r>
          </w:p>
        </w:tc>
        <w:tc>
          <w:tcPr>
            <w:tcW w:w="1245" w:type="dxa"/>
            <w:shd w:val="clear" w:color="auto" w:fill="C00000"/>
            <w:tcMar>
              <w:left w:w="108" w:type="dxa"/>
              <w:right w:w="108" w:type="dxa"/>
            </w:tcMar>
            <w:vAlign w:val="bottom"/>
          </w:tcPr>
          <w:p w14:paraId="3BE019E2" w14:textId="35039EFD"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44.24%</w:t>
            </w:r>
          </w:p>
        </w:tc>
      </w:tr>
      <w:tr w:rsidR="375C27C2" w14:paraId="644F0815"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65A68DD8" w14:textId="7904FFC9" w:rsidR="375C27C2" w:rsidRDefault="375C27C2" w:rsidP="375C27C2">
            <w:pPr>
              <w:rPr>
                <w:rFonts w:ascii="Calibri" w:eastAsia="Calibri" w:hAnsi="Calibri" w:cs="Calibri"/>
                <w:b w:val="0"/>
                <w:bCs w:val="0"/>
                <w:color w:val="000000" w:themeColor="text1"/>
              </w:rPr>
            </w:pPr>
            <w:r w:rsidRPr="375C27C2">
              <w:rPr>
                <w:rFonts w:ascii="Calibri" w:eastAsia="Calibri" w:hAnsi="Calibri" w:cs="Calibri"/>
                <w:b w:val="0"/>
                <w:bCs w:val="0"/>
                <w:color w:val="000000" w:themeColor="text1"/>
              </w:rPr>
              <w:t>Momostenango</w:t>
            </w:r>
          </w:p>
        </w:tc>
        <w:tc>
          <w:tcPr>
            <w:tcW w:w="1845" w:type="dxa"/>
            <w:tcMar>
              <w:left w:w="108" w:type="dxa"/>
              <w:right w:w="108" w:type="dxa"/>
            </w:tcMar>
          </w:tcPr>
          <w:p w14:paraId="5FCE7C97" w14:textId="568D870E"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Q71,462,916.32</w:t>
            </w:r>
          </w:p>
        </w:tc>
        <w:tc>
          <w:tcPr>
            <w:tcW w:w="1845" w:type="dxa"/>
            <w:tcMar>
              <w:left w:w="108" w:type="dxa"/>
              <w:right w:w="108" w:type="dxa"/>
            </w:tcMar>
          </w:tcPr>
          <w:p w14:paraId="32DA3A82" w14:textId="00FFFAD8"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Q45,050,677.95</w:t>
            </w:r>
          </w:p>
        </w:tc>
        <w:tc>
          <w:tcPr>
            <w:tcW w:w="1125" w:type="dxa"/>
            <w:shd w:val="clear" w:color="auto" w:fill="FFFF00"/>
            <w:tcMar>
              <w:left w:w="108" w:type="dxa"/>
              <w:right w:w="108" w:type="dxa"/>
            </w:tcMar>
            <w:vAlign w:val="bottom"/>
          </w:tcPr>
          <w:p w14:paraId="5F0BA897" w14:textId="2F862563"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59.22%</w:t>
            </w:r>
          </w:p>
        </w:tc>
        <w:tc>
          <w:tcPr>
            <w:tcW w:w="1245" w:type="dxa"/>
            <w:shd w:val="clear" w:color="auto" w:fill="FFFF00"/>
            <w:tcMar>
              <w:left w:w="108" w:type="dxa"/>
              <w:right w:w="108" w:type="dxa"/>
            </w:tcMar>
            <w:vAlign w:val="bottom"/>
          </w:tcPr>
          <w:p w14:paraId="7F3F64BD" w14:textId="11AC03BD" w:rsidR="375C27C2" w:rsidRDefault="375C27C2" w:rsidP="375C27C2">
            <w:pPr>
              <w:jc w:val="right"/>
              <w:cnfStyle w:val="000000000000" w:firstRow="0" w:lastRow="0" w:firstColumn="0" w:lastColumn="0" w:oddVBand="0" w:evenVBand="0" w:oddHBand="0" w:evenHBand="0" w:firstRowFirstColumn="0" w:firstRowLastColumn="0" w:lastRowFirstColumn="0" w:lastRowLastColumn="0"/>
            </w:pPr>
            <w:r w:rsidRPr="375C27C2">
              <w:rPr>
                <w:rFonts w:ascii="Calibri" w:eastAsia="Calibri" w:hAnsi="Calibri" w:cs="Calibri"/>
                <w:color w:val="000000" w:themeColor="text1"/>
              </w:rPr>
              <w:t>63.04%</w:t>
            </w:r>
          </w:p>
        </w:tc>
      </w:tr>
      <w:tr w:rsidR="375C27C2" w14:paraId="1326779A"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3432D1D7" w14:textId="6ACCE875" w:rsidR="375C27C2" w:rsidRDefault="375C27C2" w:rsidP="375C27C2">
            <w:pPr>
              <w:rPr>
                <w:rFonts w:ascii="Calibri" w:eastAsia="Calibri" w:hAnsi="Calibri" w:cs="Calibri"/>
                <w:b w:val="0"/>
                <w:bCs w:val="0"/>
                <w:color w:val="000000" w:themeColor="text1"/>
              </w:rPr>
            </w:pPr>
            <w:r w:rsidRPr="375C27C2">
              <w:rPr>
                <w:rFonts w:ascii="Calibri" w:eastAsia="Calibri" w:hAnsi="Calibri" w:cs="Calibri"/>
                <w:b w:val="0"/>
                <w:bCs w:val="0"/>
                <w:color w:val="000000" w:themeColor="text1"/>
              </w:rPr>
              <w:t>Totonicapán</w:t>
            </w:r>
          </w:p>
        </w:tc>
        <w:tc>
          <w:tcPr>
            <w:tcW w:w="1845" w:type="dxa"/>
            <w:tcMar>
              <w:left w:w="108" w:type="dxa"/>
              <w:right w:w="108" w:type="dxa"/>
            </w:tcMar>
          </w:tcPr>
          <w:p w14:paraId="3EDB78E7" w14:textId="1241F4F0"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0.00</w:t>
            </w:r>
          </w:p>
        </w:tc>
        <w:tc>
          <w:tcPr>
            <w:tcW w:w="1845" w:type="dxa"/>
            <w:tcMar>
              <w:left w:w="108" w:type="dxa"/>
              <w:right w:w="108" w:type="dxa"/>
            </w:tcMar>
          </w:tcPr>
          <w:p w14:paraId="4A24794B" w14:textId="331D49B1"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0.00</w:t>
            </w:r>
          </w:p>
        </w:tc>
        <w:tc>
          <w:tcPr>
            <w:tcW w:w="1125" w:type="dxa"/>
            <w:shd w:val="clear" w:color="auto" w:fill="C00000"/>
            <w:tcMar>
              <w:left w:w="108" w:type="dxa"/>
              <w:right w:w="108" w:type="dxa"/>
            </w:tcMar>
            <w:vAlign w:val="bottom"/>
          </w:tcPr>
          <w:p w14:paraId="2FEEDE90" w14:textId="339DC2CE"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0.00%</w:t>
            </w:r>
          </w:p>
        </w:tc>
        <w:tc>
          <w:tcPr>
            <w:tcW w:w="1245" w:type="dxa"/>
            <w:shd w:val="clear" w:color="auto" w:fill="C00000"/>
            <w:tcMar>
              <w:left w:w="108" w:type="dxa"/>
              <w:right w:w="108" w:type="dxa"/>
            </w:tcMar>
            <w:vAlign w:val="bottom"/>
          </w:tcPr>
          <w:p w14:paraId="7271EC22" w14:textId="1D4EF98C" w:rsidR="375C27C2" w:rsidRDefault="375C27C2" w:rsidP="375C27C2">
            <w:pPr>
              <w:jc w:val="right"/>
              <w:cnfStyle w:val="000000100000" w:firstRow="0" w:lastRow="0" w:firstColumn="0" w:lastColumn="0" w:oddVBand="0" w:evenVBand="0" w:oddHBand="1" w:evenHBand="0" w:firstRowFirstColumn="0" w:firstRowLastColumn="0" w:lastRowFirstColumn="0" w:lastRowLastColumn="0"/>
            </w:pPr>
            <w:r w:rsidRPr="375C27C2">
              <w:rPr>
                <w:rFonts w:ascii="Calibri" w:eastAsia="Calibri" w:hAnsi="Calibri" w:cs="Calibri"/>
                <w:color w:val="000000" w:themeColor="text1"/>
              </w:rPr>
              <w:t>0.00%</w:t>
            </w:r>
          </w:p>
        </w:tc>
      </w:tr>
    </w:tbl>
    <w:p w14:paraId="38FC1F1D" w14:textId="2544011F" w:rsidR="00693BD9" w:rsidRPr="003051CD" w:rsidRDefault="375C27C2" w:rsidP="00E8422A">
      <w:pPr>
        <w:autoSpaceDE w:val="0"/>
        <w:autoSpaceDN w:val="0"/>
        <w:adjustRightInd w:val="0"/>
        <w:spacing w:after="120" w:line="240" w:lineRule="auto"/>
        <w:jc w:val="both"/>
        <w:rPr>
          <w:rFonts w:eastAsiaTheme="minorEastAsia"/>
          <w:sz w:val="18"/>
          <w:szCs w:val="18"/>
          <w:lang w:val="es-ES"/>
        </w:rPr>
      </w:pPr>
      <w:r w:rsidRPr="375C27C2">
        <w:rPr>
          <w:rFonts w:eastAsiaTheme="minorEastAsia"/>
          <w:sz w:val="18"/>
          <w:szCs w:val="18"/>
          <w:lang w:val="es-ES"/>
        </w:rPr>
        <w:t>Fuente: Siplangl, III informe cuatrimestral y acumulado. Año 2022.</w:t>
      </w:r>
    </w:p>
    <w:p w14:paraId="68BFF140" w14:textId="7402C9B2" w:rsidR="00693BD9" w:rsidRPr="00A543DE" w:rsidRDefault="375C27C2" w:rsidP="00E8422A">
      <w:pPr>
        <w:autoSpaceDE w:val="0"/>
        <w:autoSpaceDN w:val="0"/>
        <w:adjustRightInd w:val="0"/>
        <w:spacing w:after="120" w:line="240" w:lineRule="auto"/>
        <w:jc w:val="both"/>
        <w:rPr>
          <w:rFonts w:eastAsia="Times New Roman" w:cstheme="minorHAnsi"/>
          <w:b/>
          <w:color w:val="002060"/>
          <w:sz w:val="28"/>
          <w:szCs w:val="28"/>
          <w:lang w:val="es-ES"/>
        </w:rPr>
      </w:pPr>
      <w:r w:rsidRPr="00A543DE">
        <w:rPr>
          <w:rFonts w:eastAsia="Times New Roman" w:cstheme="minorHAnsi"/>
          <w:b/>
          <w:bCs/>
          <w:color w:val="002060"/>
          <w:sz w:val="28"/>
          <w:szCs w:val="28"/>
          <w:lang w:val="es-ES"/>
        </w:rPr>
        <w:t>Zacapa</w:t>
      </w:r>
    </w:p>
    <w:p w14:paraId="36B7E256" w14:textId="2A0097B8" w:rsidR="00693BD9" w:rsidRPr="003051CD" w:rsidRDefault="00E8422A" w:rsidP="00E8422A">
      <w:pPr>
        <w:autoSpaceDE w:val="0"/>
        <w:autoSpaceDN w:val="0"/>
        <w:adjustRightInd w:val="0"/>
        <w:spacing w:after="120" w:line="240" w:lineRule="auto"/>
        <w:jc w:val="both"/>
      </w:pPr>
      <w:r w:rsidRPr="00C46307">
        <w:rPr>
          <w:noProof/>
          <w:sz w:val="24"/>
        </w:rPr>
        <w:drawing>
          <wp:anchor distT="0" distB="0" distL="114300" distR="114300" simplePos="0" relativeHeight="251692544" behindDoc="1" locked="0" layoutInCell="1" allowOverlap="1" wp14:anchorId="431EAC33" wp14:editId="0E53C953">
            <wp:simplePos x="0" y="0"/>
            <wp:positionH relativeFrom="column">
              <wp:posOffset>4356100</wp:posOffset>
            </wp:positionH>
            <wp:positionV relativeFrom="paragraph">
              <wp:posOffset>75565</wp:posOffset>
            </wp:positionV>
            <wp:extent cx="1504315" cy="993140"/>
            <wp:effectExtent l="19050" t="19050" r="19685" b="16510"/>
            <wp:wrapTight wrapText="bothSides">
              <wp:wrapPolygon edited="0">
                <wp:start x="-274" y="-414"/>
                <wp:lineTo x="-274" y="21545"/>
                <wp:lineTo x="21609" y="21545"/>
                <wp:lineTo x="21609" y="-414"/>
                <wp:lineTo x="-274" y="-414"/>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504315" cy="993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375C27C2" w:rsidRPr="375C27C2">
        <w:rPr>
          <w:rFonts w:ascii="Calibri" w:eastAsia="Calibri" w:hAnsi="Calibri" w:cs="Calibri"/>
          <w:sz w:val="24"/>
          <w:szCs w:val="24"/>
          <w:lang w:val="es-ES"/>
        </w:rPr>
        <w:t>Al finalizar el año 2022, el departamento reportó un avance promedio de ejecución física del 73.52%. Los municipios que más avance presentaron son: Estanzuela con 97.35%, La Unión con 90.79% y Teculután con 86.67%.</w:t>
      </w:r>
    </w:p>
    <w:p w14:paraId="4E5555A4" w14:textId="5F799F38" w:rsidR="00693BD9" w:rsidRPr="003051CD" w:rsidRDefault="375C27C2" w:rsidP="00E8422A">
      <w:pPr>
        <w:autoSpaceDE w:val="0"/>
        <w:autoSpaceDN w:val="0"/>
        <w:adjustRightInd w:val="0"/>
        <w:spacing w:after="120" w:line="240" w:lineRule="auto"/>
        <w:jc w:val="both"/>
      </w:pPr>
      <w:r w:rsidRPr="375C27C2">
        <w:rPr>
          <w:rFonts w:ascii="Calibri" w:eastAsia="Calibri" w:hAnsi="Calibri" w:cs="Calibri"/>
          <w:sz w:val="24"/>
          <w:szCs w:val="24"/>
          <w:lang w:val="es-ES"/>
        </w:rPr>
        <w:t>En cuanto a la ejecución financiera, el departamento reportó un avance del 76.39%. Los municipios que reportaron mayor avance son: Estanzuela con 95.99%, Río Hondo con 87.29% y La Unión con 83.17%. Ver siguiente tabla.</w:t>
      </w:r>
    </w:p>
    <w:p w14:paraId="070AC059" w14:textId="0C25ED1D" w:rsidR="00BC2B6E" w:rsidRPr="00E8422A" w:rsidRDefault="5499291F" w:rsidP="009070B1">
      <w:pPr>
        <w:pStyle w:val="ttulosgrficas"/>
        <w:rPr>
          <w:rFonts w:asciiTheme="minorHAnsi" w:eastAsia="Times New Roman" w:hAnsiTheme="minorHAnsi" w:cstheme="minorHAnsi"/>
          <w:color w:val="4472C4" w:themeColor="accent1"/>
          <w:lang w:val="es-ES"/>
        </w:rPr>
      </w:pPr>
      <w:bookmarkStart w:id="66" w:name="_Toc130199611"/>
      <w:r w:rsidRPr="00E8422A">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23</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E8422A">
        <w:rPr>
          <w:rFonts w:asciiTheme="minorHAnsi" w:eastAsia="Times New Roman" w:hAnsiTheme="minorHAnsi" w:cstheme="minorHAnsi"/>
          <w:color w:val="4472C4" w:themeColor="accent1"/>
          <w:lang w:val="es-ES"/>
        </w:rPr>
        <w:t xml:space="preserve"> Ejecución Física y Financiera, departamento de Zacapa</w:t>
      </w:r>
      <w:bookmarkEnd w:id="66"/>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180"/>
        <w:gridCol w:w="1860"/>
        <w:gridCol w:w="1845"/>
        <w:gridCol w:w="1215"/>
        <w:gridCol w:w="1245"/>
      </w:tblGrid>
      <w:tr w:rsidR="5499291F" w14:paraId="5E214DBC" w14:textId="77777777" w:rsidTr="00E8422A">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180" w:type="dxa"/>
            <w:tcBorders>
              <w:top w:val="none" w:sz="0" w:space="0" w:color="auto"/>
              <w:left w:val="none" w:sz="0" w:space="0" w:color="auto"/>
              <w:bottom w:val="none" w:sz="0" w:space="0" w:color="auto"/>
            </w:tcBorders>
            <w:tcMar>
              <w:left w:w="108" w:type="dxa"/>
              <w:right w:w="108" w:type="dxa"/>
            </w:tcMar>
            <w:vAlign w:val="center"/>
          </w:tcPr>
          <w:p w14:paraId="75E68373" w14:textId="638C2B68" w:rsidR="5499291F" w:rsidRDefault="5499291F" w:rsidP="5499291F">
            <w:pPr>
              <w:jc w:val="center"/>
            </w:pPr>
            <w:r w:rsidRPr="5499291F">
              <w:rPr>
                <w:rFonts w:ascii="Calibri" w:eastAsia="Calibri" w:hAnsi="Calibri" w:cs="Calibri"/>
                <w:color w:val="000000" w:themeColor="text1"/>
              </w:rPr>
              <w:t>Municipio</w:t>
            </w:r>
          </w:p>
        </w:tc>
        <w:tc>
          <w:tcPr>
            <w:tcW w:w="1860" w:type="dxa"/>
            <w:tcBorders>
              <w:top w:val="none" w:sz="0" w:space="0" w:color="auto"/>
              <w:bottom w:val="none" w:sz="0" w:space="0" w:color="auto"/>
            </w:tcBorders>
            <w:tcMar>
              <w:left w:w="108" w:type="dxa"/>
              <w:right w:w="108" w:type="dxa"/>
            </w:tcMar>
            <w:vAlign w:val="center"/>
          </w:tcPr>
          <w:p w14:paraId="0599EDB5" w14:textId="0FD084C3" w:rsidR="5499291F" w:rsidRDefault="46B27687" w:rsidP="5499291F">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Meta Financiera Anual Vigente</w:t>
            </w:r>
          </w:p>
        </w:tc>
        <w:tc>
          <w:tcPr>
            <w:tcW w:w="1845" w:type="dxa"/>
            <w:tcBorders>
              <w:top w:val="none" w:sz="0" w:space="0" w:color="auto"/>
              <w:bottom w:val="none" w:sz="0" w:space="0" w:color="auto"/>
            </w:tcBorders>
            <w:tcMar>
              <w:left w:w="108" w:type="dxa"/>
              <w:right w:w="108" w:type="dxa"/>
            </w:tcMar>
            <w:vAlign w:val="center"/>
          </w:tcPr>
          <w:p w14:paraId="64535CB2" w14:textId="72762E32" w:rsidR="5499291F" w:rsidRDefault="46B27687" w:rsidP="5499291F">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Ejecución Financiera Acumulada</w:t>
            </w:r>
          </w:p>
        </w:tc>
        <w:tc>
          <w:tcPr>
            <w:tcW w:w="1215" w:type="dxa"/>
            <w:tcBorders>
              <w:top w:val="none" w:sz="0" w:space="0" w:color="auto"/>
              <w:bottom w:val="none" w:sz="0" w:space="0" w:color="auto"/>
            </w:tcBorders>
            <w:tcMar>
              <w:left w:w="108" w:type="dxa"/>
              <w:right w:w="108" w:type="dxa"/>
            </w:tcMar>
            <w:vAlign w:val="center"/>
          </w:tcPr>
          <w:p w14:paraId="0FB904D6" w14:textId="3BC813E4" w:rsidR="5499291F" w:rsidRDefault="5499291F" w:rsidP="5499291F">
            <w:pPr>
              <w:jc w:val="center"/>
              <w:cnfStyle w:val="100000000000" w:firstRow="1"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 de Ejecución Física</w:t>
            </w:r>
          </w:p>
        </w:tc>
        <w:tc>
          <w:tcPr>
            <w:tcW w:w="1245" w:type="dxa"/>
            <w:tcBorders>
              <w:top w:val="none" w:sz="0" w:space="0" w:color="auto"/>
              <w:bottom w:val="none" w:sz="0" w:space="0" w:color="auto"/>
              <w:right w:val="none" w:sz="0" w:space="0" w:color="auto"/>
            </w:tcBorders>
            <w:tcMar>
              <w:left w:w="108" w:type="dxa"/>
              <w:right w:w="108" w:type="dxa"/>
            </w:tcMar>
            <w:vAlign w:val="center"/>
          </w:tcPr>
          <w:p w14:paraId="25CDB927" w14:textId="2AD13D83" w:rsidR="5499291F" w:rsidRDefault="5499291F" w:rsidP="5499291F">
            <w:pPr>
              <w:jc w:val="center"/>
              <w:cnfStyle w:val="100000000000" w:firstRow="1"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 de Ejecución Financiera</w:t>
            </w:r>
          </w:p>
        </w:tc>
      </w:tr>
      <w:tr w:rsidR="5499291F" w14:paraId="2DC16AEF"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1E310E82" w14:textId="6EA4E7A3" w:rsidR="5499291F" w:rsidRDefault="5499291F" w:rsidP="5499291F">
            <w:r w:rsidRPr="5499291F">
              <w:rPr>
                <w:rFonts w:ascii="Calibri" w:eastAsia="Calibri" w:hAnsi="Calibri" w:cs="Calibri"/>
                <w:color w:val="000000" w:themeColor="text1"/>
              </w:rPr>
              <w:t xml:space="preserve"> Todo el Departamento</w:t>
            </w:r>
          </w:p>
        </w:tc>
        <w:tc>
          <w:tcPr>
            <w:tcW w:w="1860" w:type="dxa"/>
            <w:tcMar>
              <w:left w:w="108" w:type="dxa"/>
              <w:right w:w="108" w:type="dxa"/>
            </w:tcMar>
          </w:tcPr>
          <w:p w14:paraId="1AEC4A5C" w14:textId="35CDA99B"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b/>
                <w:bCs/>
                <w:color w:val="000000" w:themeColor="text1"/>
              </w:rPr>
              <w:t>Q445,787,527.71</w:t>
            </w:r>
          </w:p>
        </w:tc>
        <w:tc>
          <w:tcPr>
            <w:tcW w:w="1845" w:type="dxa"/>
            <w:tcMar>
              <w:left w:w="108" w:type="dxa"/>
              <w:right w:w="108" w:type="dxa"/>
            </w:tcMar>
          </w:tcPr>
          <w:p w14:paraId="16E6E1A6" w14:textId="4520834F"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b/>
                <w:bCs/>
                <w:color w:val="000000" w:themeColor="text1"/>
              </w:rPr>
              <w:t>Q340,556,876.99</w:t>
            </w:r>
          </w:p>
        </w:tc>
        <w:tc>
          <w:tcPr>
            <w:tcW w:w="1215" w:type="dxa"/>
            <w:shd w:val="clear" w:color="auto" w:fill="FFFF00"/>
            <w:tcMar>
              <w:left w:w="108" w:type="dxa"/>
              <w:right w:w="108" w:type="dxa"/>
            </w:tcMar>
            <w:vAlign w:val="bottom"/>
          </w:tcPr>
          <w:p w14:paraId="13B67C6B" w14:textId="7740EB4B"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b/>
                <w:bCs/>
                <w:color w:val="000000" w:themeColor="text1"/>
              </w:rPr>
              <w:t>73.52%</w:t>
            </w:r>
          </w:p>
        </w:tc>
        <w:tc>
          <w:tcPr>
            <w:tcW w:w="1245" w:type="dxa"/>
            <w:shd w:val="clear" w:color="auto" w:fill="FFFF00"/>
            <w:tcMar>
              <w:left w:w="108" w:type="dxa"/>
              <w:right w:w="108" w:type="dxa"/>
            </w:tcMar>
            <w:vAlign w:val="bottom"/>
          </w:tcPr>
          <w:p w14:paraId="43617D0B" w14:textId="12619B61"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b/>
                <w:bCs/>
                <w:color w:val="000000" w:themeColor="text1"/>
              </w:rPr>
              <w:t>76.39%</w:t>
            </w:r>
          </w:p>
        </w:tc>
      </w:tr>
      <w:tr w:rsidR="5499291F" w14:paraId="38166FBC"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6E89FE53" w14:textId="024DC108"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Estanzuela</w:t>
            </w:r>
          </w:p>
        </w:tc>
        <w:tc>
          <w:tcPr>
            <w:tcW w:w="1860" w:type="dxa"/>
            <w:tcMar>
              <w:left w:w="108" w:type="dxa"/>
              <w:right w:w="108" w:type="dxa"/>
            </w:tcMar>
          </w:tcPr>
          <w:p w14:paraId="432E14BE" w14:textId="62A7C443"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Q31,732,889.40</w:t>
            </w:r>
          </w:p>
        </w:tc>
        <w:tc>
          <w:tcPr>
            <w:tcW w:w="1845" w:type="dxa"/>
            <w:tcMar>
              <w:left w:w="108" w:type="dxa"/>
              <w:right w:w="108" w:type="dxa"/>
            </w:tcMar>
          </w:tcPr>
          <w:p w14:paraId="4A2B185A" w14:textId="340E6488"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Q30,460,741.95</w:t>
            </w:r>
          </w:p>
        </w:tc>
        <w:tc>
          <w:tcPr>
            <w:tcW w:w="1215" w:type="dxa"/>
            <w:shd w:val="clear" w:color="auto" w:fill="92D050"/>
            <w:tcMar>
              <w:left w:w="108" w:type="dxa"/>
              <w:right w:w="108" w:type="dxa"/>
            </w:tcMar>
            <w:vAlign w:val="bottom"/>
          </w:tcPr>
          <w:p w14:paraId="1C1EB168" w14:textId="22D417DB"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97.35%</w:t>
            </w:r>
          </w:p>
        </w:tc>
        <w:tc>
          <w:tcPr>
            <w:tcW w:w="1245" w:type="dxa"/>
            <w:shd w:val="clear" w:color="auto" w:fill="92D050"/>
            <w:tcMar>
              <w:left w:w="108" w:type="dxa"/>
              <w:right w:w="108" w:type="dxa"/>
            </w:tcMar>
            <w:vAlign w:val="bottom"/>
          </w:tcPr>
          <w:p w14:paraId="5D711999" w14:textId="75208D66"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95.99%</w:t>
            </w:r>
          </w:p>
        </w:tc>
      </w:tr>
      <w:tr w:rsidR="5499291F" w14:paraId="72F2F965"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00AEC9BB" w14:textId="20D25947"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La Unión</w:t>
            </w:r>
          </w:p>
        </w:tc>
        <w:tc>
          <w:tcPr>
            <w:tcW w:w="1860" w:type="dxa"/>
            <w:tcMar>
              <w:left w:w="108" w:type="dxa"/>
              <w:right w:w="108" w:type="dxa"/>
            </w:tcMar>
          </w:tcPr>
          <w:p w14:paraId="7FE68AF3" w14:textId="1307281A"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Q34,417,216.36</w:t>
            </w:r>
          </w:p>
        </w:tc>
        <w:tc>
          <w:tcPr>
            <w:tcW w:w="1845" w:type="dxa"/>
            <w:tcMar>
              <w:left w:w="108" w:type="dxa"/>
              <w:right w:w="108" w:type="dxa"/>
            </w:tcMar>
          </w:tcPr>
          <w:p w14:paraId="73448187" w14:textId="54635511"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Q28,626,058.63</w:t>
            </w:r>
          </w:p>
        </w:tc>
        <w:tc>
          <w:tcPr>
            <w:tcW w:w="1215" w:type="dxa"/>
            <w:shd w:val="clear" w:color="auto" w:fill="92D050"/>
            <w:tcMar>
              <w:left w:w="108" w:type="dxa"/>
              <w:right w:w="108" w:type="dxa"/>
            </w:tcMar>
            <w:vAlign w:val="bottom"/>
          </w:tcPr>
          <w:p w14:paraId="647A0BA1" w14:textId="3518EF28"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90.79%</w:t>
            </w:r>
          </w:p>
        </w:tc>
        <w:tc>
          <w:tcPr>
            <w:tcW w:w="1245" w:type="dxa"/>
            <w:shd w:val="clear" w:color="auto" w:fill="FFFF00"/>
            <w:tcMar>
              <w:left w:w="108" w:type="dxa"/>
              <w:right w:w="108" w:type="dxa"/>
            </w:tcMar>
            <w:vAlign w:val="bottom"/>
          </w:tcPr>
          <w:p w14:paraId="7AC6E01B" w14:textId="01B487EF"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83.17%</w:t>
            </w:r>
          </w:p>
        </w:tc>
      </w:tr>
      <w:tr w:rsidR="5499291F" w14:paraId="71A8D276"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30586CF6" w14:textId="0D198209"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Teculután</w:t>
            </w:r>
          </w:p>
        </w:tc>
        <w:tc>
          <w:tcPr>
            <w:tcW w:w="1860" w:type="dxa"/>
            <w:tcMar>
              <w:left w:w="108" w:type="dxa"/>
              <w:right w:w="108" w:type="dxa"/>
            </w:tcMar>
          </w:tcPr>
          <w:p w14:paraId="667ADDB5" w14:textId="37FCF041"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Q24,081,800.74</w:t>
            </w:r>
          </w:p>
        </w:tc>
        <w:tc>
          <w:tcPr>
            <w:tcW w:w="1845" w:type="dxa"/>
            <w:tcMar>
              <w:left w:w="108" w:type="dxa"/>
              <w:right w:w="108" w:type="dxa"/>
            </w:tcMar>
          </w:tcPr>
          <w:p w14:paraId="620BB3E3" w14:textId="1FED989D"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Q15,998,799.00</w:t>
            </w:r>
          </w:p>
        </w:tc>
        <w:tc>
          <w:tcPr>
            <w:tcW w:w="1215" w:type="dxa"/>
            <w:shd w:val="clear" w:color="auto" w:fill="FFFF00"/>
            <w:tcMar>
              <w:left w:w="108" w:type="dxa"/>
              <w:right w:w="108" w:type="dxa"/>
            </w:tcMar>
            <w:vAlign w:val="bottom"/>
          </w:tcPr>
          <w:p w14:paraId="76D37286" w14:textId="536AC28F"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86.67%</w:t>
            </w:r>
          </w:p>
        </w:tc>
        <w:tc>
          <w:tcPr>
            <w:tcW w:w="1245" w:type="dxa"/>
            <w:shd w:val="clear" w:color="auto" w:fill="FFFF00"/>
            <w:tcMar>
              <w:left w:w="108" w:type="dxa"/>
              <w:right w:w="108" w:type="dxa"/>
            </w:tcMar>
            <w:vAlign w:val="bottom"/>
          </w:tcPr>
          <w:p w14:paraId="1224394F" w14:textId="7650ECB7"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66.44%</w:t>
            </w:r>
          </w:p>
        </w:tc>
      </w:tr>
      <w:tr w:rsidR="5499291F" w14:paraId="3E10887B"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44A422DC" w14:textId="03FC31BA"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Río Hondo</w:t>
            </w:r>
          </w:p>
        </w:tc>
        <w:tc>
          <w:tcPr>
            <w:tcW w:w="1860" w:type="dxa"/>
            <w:tcMar>
              <w:left w:w="108" w:type="dxa"/>
              <w:right w:w="108" w:type="dxa"/>
            </w:tcMar>
          </w:tcPr>
          <w:p w14:paraId="700F167B" w14:textId="289EC2CC"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Q31,079,335.69</w:t>
            </w:r>
          </w:p>
        </w:tc>
        <w:tc>
          <w:tcPr>
            <w:tcW w:w="1845" w:type="dxa"/>
            <w:tcMar>
              <w:left w:w="108" w:type="dxa"/>
              <w:right w:w="108" w:type="dxa"/>
            </w:tcMar>
          </w:tcPr>
          <w:p w14:paraId="541208D9" w14:textId="0D1B2740"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Q27,129,932.78</w:t>
            </w:r>
          </w:p>
        </w:tc>
        <w:tc>
          <w:tcPr>
            <w:tcW w:w="1215" w:type="dxa"/>
            <w:shd w:val="clear" w:color="auto" w:fill="FFFF00"/>
            <w:tcMar>
              <w:left w:w="108" w:type="dxa"/>
              <w:right w:w="108" w:type="dxa"/>
            </w:tcMar>
            <w:vAlign w:val="bottom"/>
          </w:tcPr>
          <w:p w14:paraId="34220398" w14:textId="0036DB5B"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85.30%</w:t>
            </w:r>
          </w:p>
        </w:tc>
        <w:tc>
          <w:tcPr>
            <w:tcW w:w="1245" w:type="dxa"/>
            <w:shd w:val="clear" w:color="auto" w:fill="FFFF00"/>
            <w:tcMar>
              <w:left w:w="108" w:type="dxa"/>
              <w:right w:w="108" w:type="dxa"/>
            </w:tcMar>
            <w:vAlign w:val="bottom"/>
          </w:tcPr>
          <w:p w14:paraId="42A88F42" w14:textId="62890760"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87.29%</w:t>
            </w:r>
          </w:p>
        </w:tc>
      </w:tr>
      <w:tr w:rsidR="5499291F" w14:paraId="5E503824"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0EFD5089" w14:textId="6C644EB9"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Usumatlán</w:t>
            </w:r>
          </w:p>
        </w:tc>
        <w:tc>
          <w:tcPr>
            <w:tcW w:w="1860" w:type="dxa"/>
            <w:tcMar>
              <w:left w:w="108" w:type="dxa"/>
              <w:right w:w="108" w:type="dxa"/>
            </w:tcMar>
          </w:tcPr>
          <w:p w14:paraId="5BF28EA6" w14:textId="227B32A3"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Q33,894,880.22</w:t>
            </w:r>
          </w:p>
        </w:tc>
        <w:tc>
          <w:tcPr>
            <w:tcW w:w="1845" w:type="dxa"/>
            <w:tcMar>
              <w:left w:w="108" w:type="dxa"/>
              <w:right w:w="108" w:type="dxa"/>
            </w:tcMar>
          </w:tcPr>
          <w:p w14:paraId="6747736D" w14:textId="2001B352"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Q27,082,635.59</w:t>
            </w:r>
          </w:p>
        </w:tc>
        <w:tc>
          <w:tcPr>
            <w:tcW w:w="1215" w:type="dxa"/>
            <w:shd w:val="clear" w:color="auto" w:fill="FFFF00"/>
            <w:tcMar>
              <w:left w:w="108" w:type="dxa"/>
              <w:right w:w="108" w:type="dxa"/>
            </w:tcMar>
            <w:vAlign w:val="bottom"/>
          </w:tcPr>
          <w:p w14:paraId="154F52A5" w14:textId="423EE295"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81.33%</w:t>
            </w:r>
          </w:p>
        </w:tc>
        <w:tc>
          <w:tcPr>
            <w:tcW w:w="1245" w:type="dxa"/>
            <w:shd w:val="clear" w:color="auto" w:fill="FFFF00"/>
            <w:tcMar>
              <w:left w:w="108" w:type="dxa"/>
              <w:right w:w="108" w:type="dxa"/>
            </w:tcMar>
            <w:vAlign w:val="bottom"/>
          </w:tcPr>
          <w:p w14:paraId="0FCDA22F" w14:textId="3ECB1DB2"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79.90%</w:t>
            </w:r>
          </w:p>
        </w:tc>
      </w:tr>
      <w:tr w:rsidR="5499291F" w14:paraId="151EBBEB"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28781AF3" w14:textId="279CE840"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Cabañas</w:t>
            </w:r>
          </w:p>
        </w:tc>
        <w:tc>
          <w:tcPr>
            <w:tcW w:w="1860" w:type="dxa"/>
            <w:tcMar>
              <w:left w:w="108" w:type="dxa"/>
              <w:right w:w="108" w:type="dxa"/>
            </w:tcMar>
          </w:tcPr>
          <w:p w14:paraId="18EEACC4" w14:textId="1C0F53F6"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Q32,160,566.49</w:t>
            </w:r>
          </w:p>
        </w:tc>
        <w:tc>
          <w:tcPr>
            <w:tcW w:w="1845" w:type="dxa"/>
            <w:tcMar>
              <w:left w:w="108" w:type="dxa"/>
              <w:right w:w="108" w:type="dxa"/>
            </w:tcMar>
          </w:tcPr>
          <w:p w14:paraId="4AC1BD85" w14:textId="416E882A"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Q23,266,912.14</w:t>
            </w:r>
          </w:p>
        </w:tc>
        <w:tc>
          <w:tcPr>
            <w:tcW w:w="1215" w:type="dxa"/>
            <w:shd w:val="clear" w:color="auto" w:fill="FFFF00"/>
            <w:tcMar>
              <w:left w:w="108" w:type="dxa"/>
              <w:right w:w="108" w:type="dxa"/>
            </w:tcMar>
            <w:vAlign w:val="bottom"/>
          </w:tcPr>
          <w:p w14:paraId="77AEFBD0" w14:textId="3AAFCECA"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78.75%</w:t>
            </w:r>
          </w:p>
        </w:tc>
        <w:tc>
          <w:tcPr>
            <w:tcW w:w="1245" w:type="dxa"/>
            <w:shd w:val="clear" w:color="auto" w:fill="FFFF00"/>
            <w:tcMar>
              <w:left w:w="108" w:type="dxa"/>
              <w:right w:w="108" w:type="dxa"/>
            </w:tcMar>
            <w:vAlign w:val="bottom"/>
          </w:tcPr>
          <w:p w14:paraId="2A58D776" w14:textId="71D8FC02"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72.35%</w:t>
            </w:r>
          </w:p>
        </w:tc>
      </w:tr>
      <w:tr w:rsidR="5499291F" w14:paraId="137095B1"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56878065" w14:textId="5B82C35C"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Gualán</w:t>
            </w:r>
          </w:p>
        </w:tc>
        <w:tc>
          <w:tcPr>
            <w:tcW w:w="1860" w:type="dxa"/>
            <w:tcMar>
              <w:left w:w="108" w:type="dxa"/>
              <w:right w:w="108" w:type="dxa"/>
            </w:tcMar>
          </w:tcPr>
          <w:p w14:paraId="371B8B17" w14:textId="5843B7D5"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Q48,087,768.02</w:t>
            </w:r>
          </w:p>
        </w:tc>
        <w:tc>
          <w:tcPr>
            <w:tcW w:w="1845" w:type="dxa"/>
            <w:tcMar>
              <w:left w:w="108" w:type="dxa"/>
              <w:right w:w="108" w:type="dxa"/>
            </w:tcMar>
          </w:tcPr>
          <w:p w14:paraId="3761406C" w14:textId="0BFFC12F"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Q36,781,120.51</w:t>
            </w:r>
          </w:p>
        </w:tc>
        <w:tc>
          <w:tcPr>
            <w:tcW w:w="1215" w:type="dxa"/>
            <w:shd w:val="clear" w:color="auto" w:fill="FFFF00"/>
            <w:tcMar>
              <w:left w:w="108" w:type="dxa"/>
              <w:right w:w="108" w:type="dxa"/>
            </w:tcMar>
            <w:vAlign w:val="bottom"/>
          </w:tcPr>
          <w:p w14:paraId="4373AB84" w14:textId="71DD2A5E"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76.31%</w:t>
            </w:r>
          </w:p>
        </w:tc>
        <w:tc>
          <w:tcPr>
            <w:tcW w:w="1245" w:type="dxa"/>
            <w:shd w:val="clear" w:color="auto" w:fill="FFFF00"/>
            <w:tcMar>
              <w:left w:w="108" w:type="dxa"/>
              <w:right w:w="108" w:type="dxa"/>
            </w:tcMar>
            <w:vAlign w:val="bottom"/>
          </w:tcPr>
          <w:p w14:paraId="768C3E20" w14:textId="1BD3557A"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76.49%</w:t>
            </w:r>
          </w:p>
        </w:tc>
      </w:tr>
      <w:tr w:rsidR="5499291F" w14:paraId="67284DC2"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27C0A780" w14:textId="54D2B1B5"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Huité</w:t>
            </w:r>
          </w:p>
        </w:tc>
        <w:tc>
          <w:tcPr>
            <w:tcW w:w="1860" w:type="dxa"/>
            <w:tcMar>
              <w:left w:w="108" w:type="dxa"/>
              <w:right w:w="108" w:type="dxa"/>
            </w:tcMar>
          </w:tcPr>
          <w:p w14:paraId="1987EC9B" w14:textId="65C689BC"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Q43,659,717.79</w:t>
            </w:r>
          </w:p>
        </w:tc>
        <w:tc>
          <w:tcPr>
            <w:tcW w:w="1845" w:type="dxa"/>
            <w:tcMar>
              <w:left w:w="108" w:type="dxa"/>
              <w:right w:w="108" w:type="dxa"/>
            </w:tcMar>
          </w:tcPr>
          <w:p w14:paraId="541F8CF0" w14:textId="0603804F"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Q20,691,871.34</w:t>
            </w:r>
          </w:p>
        </w:tc>
        <w:tc>
          <w:tcPr>
            <w:tcW w:w="1215" w:type="dxa"/>
            <w:shd w:val="clear" w:color="auto" w:fill="FFFF00"/>
            <w:tcMar>
              <w:left w:w="108" w:type="dxa"/>
              <w:right w:w="108" w:type="dxa"/>
            </w:tcMar>
            <w:vAlign w:val="bottom"/>
          </w:tcPr>
          <w:p w14:paraId="4643899E" w14:textId="65B83972"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67.74%</w:t>
            </w:r>
          </w:p>
        </w:tc>
        <w:tc>
          <w:tcPr>
            <w:tcW w:w="1245" w:type="dxa"/>
            <w:shd w:val="clear" w:color="auto" w:fill="C00000"/>
            <w:tcMar>
              <w:left w:w="108" w:type="dxa"/>
              <w:right w:w="108" w:type="dxa"/>
            </w:tcMar>
            <w:vAlign w:val="bottom"/>
          </w:tcPr>
          <w:p w14:paraId="21B9A782" w14:textId="01670311"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47.39%</w:t>
            </w:r>
          </w:p>
        </w:tc>
      </w:tr>
      <w:tr w:rsidR="5499291F" w14:paraId="5AE6095D"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5F3AFFA8" w14:textId="0E7D2BDD"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San Diego</w:t>
            </w:r>
          </w:p>
        </w:tc>
        <w:tc>
          <w:tcPr>
            <w:tcW w:w="1860" w:type="dxa"/>
            <w:tcMar>
              <w:left w:w="108" w:type="dxa"/>
              <w:right w:w="108" w:type="dxa"/>
            </w:tcMar>
          </w:tcPr>
          <w:p w14:paraId="71BD75B5" w14:textId="1BEF60A0"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Q19,641,337.55</w:t>
            </w:r>
          </w:p>
        </w:tc>
        <w:tc>
          <w:tcPr>
            <w:tcW w:w="1845" w:type="dxa"/>
            <w:tcMar>
              <w:left w:w="108" w:type="dxa"/>
              <w:right w:w="108" w:type="dxa"/>
            </w:tcMar>
          </w:tcPr>
          <w:p w14:paraId="2338817B" w14:textId="5D8BB94B"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Q14,868,992.67</w:t>
            </w:r>
          </w:p>
        </w:tc>
        <w:tc>
          <w:tcPr>
            <w:tcW w:w="1215" w:type="dxa"/>
            <w:shd w:val="clear" w:color="auto" w:fill="FFFF00"/>
            <w:tcMar>
              <w:left w:w="108" w:type="dxa"/>
              <w:right w:w="108" w:type="dxa"/>
            </w:tcMar>
            <w:vAlign w:val="bottom"/>
          </w:tcPr>
          <w:p w14:paraId="5EF3B6A8" w14:textId="032B3A9A"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55.47%</w:t>
            </w:r>
          </w:p>
        </w:tc>
        <w:tc>
          <w:tcPr>
            <w:tcW w:w="1245" w:type="dxa"/>
            <w:shd w:val="clear" w:color="auto" w:fill="FFFF00"/>
            <w:tcMar>
              <w:left w:w="108" w:type="dxa"/>
              <w:right w:w="108" w:type="dxa"/>
            </w:tcMar>
            <w:vAlign w:val="bottom"/>
          </w:tcPr>
          <w:p w14:paraId="3FEAEBAA" w14:textId="4AB2F765"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75.70%</w:t>
            </w:r>
          </w:p>
        </w:tc>
      </w:tr>
      <w:tr w:rsidR="5499291F" w14:paraId="0B470B6D" w14:textId="77777777" w:rsidTr="00E842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118AFE4A" w14:textId="2762EBF9"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Zacapa</w:t>
            </w:r>
          </w:p>
        </w:tc>
        <w:tc>
          <w:tcPr>
            <w:tcW w:w="1860" w:type="dxa"/>
            <w:tcMar>
              <w:left w:w="108" w:type="dxa"/>
              <w:right w:w="108" w:type="dxa"/>
            </w:tcMar>
          </w:tcPr>
          <w:p w14:paraId="4A84FF15" w14:textId="51439FCD"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Q130,256,886.09</w:t>
            </w:r>
          </w:p>
        </w:tc>
        <w:tc>
          <w:tcPr>
            <w:tcW w:w="1845" w:type="dxa"/>
            <w:tcMar>
              <w:left w:w="108" w:type="dxa"/>
              <w:right w:w="108" w:type="dxa"/>
            </w:tcMar>
          </w:tcPr>
          <w:p w14:paraId="6E97DF70" w14:textId="1B66CDFD"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Q107,414,313.39</w:t>
            </w:r>
          </w:p>
        </w:tc>
        <w:tc>
          <w:tcPr>
            <w:tcW w:w="1215" w:type="dxa"/>
            <w:shd w:val="clear" w:color="auto" w:fill="FFFF00"/>
            <w:tcMar>
              <w:left w:w="108" w:type="dxa"/>
              <w:right w:w="108" w:type="dxa"/>
            </w:tcMar>
            <w:vAlign w:val="bottom"/>
          </w:tcPr>
          <w:p w14:paraId="628DA1B4" w14:textId="6280D316"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53.64%</w:t>
            </w:r>
          </w:p>
        </w:tc>
        <w:tc>
          <w:tcPr>
            <w:tcW w:w="1245" w:type="dxa"/>
            <w:shd w:val="clear" w:color="auto" w:fill="FFFF00"/>
            <w:tcMar>
              <w:left w:w="108" w:type="dxa"/>
              <w:right w:w="108" w:type="dxa"/>
            </w:tcMar>
            <w:vAlign w:val="bottom"/>
          </w:tcPr>
          <w:p w14:paraId="2331A5C8" w14:textId="3DF23EB7"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82.46%</w:t>
            </w:r>
          </w:p>
        </w:tc>
      </w:tr>
      <w:tr w:rsidR="5499291F" w14:paraId="5FBDA91C" w14:textId="77777777" w:rsidTr="00E8422A">
        <w:trPr>
          <w:trHeight w:val="300"/>
        </w:trPr>
        <w:tc>
          <w:tcPr>
            <w:cnfStyle w:val="001000000000" w:firstRow="0" w:lastRow="0" w:firstColumn="1" w:lastColumn="0" w:oddVBand="0" w:evenVBand="0" w:oddHBand="0" w:evenHBand="0" w:firstRowFirstColumn="0" w:firstRowLastColumn="0" w:lastRowFirstColumn="0" w:lastRowLastColumn="0"/>
            <w:tcW w:w="3180" w:type="dxa"/>
            <w:tcMar>
              <w:left w:w="108" w:type="dxa"/>
              <w:right w:w="108" w:type="dxa"/>
            </w:tcMar>
          </w:tcPr>
          <w:p w14:paraId="6591333B" w14:textId="78720507"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San Jorge</w:t>
            </w:r>
          </w:p>
        </w:tc>
        <w:tc>
          <w:tcPr>
            <w:tcW w:w="1860" w:type="dxa"/>
            <w:tcMar>
              <w:left w:w="108" w:type="dxa"/>
              <w:right w:w="108" w:type="dxa"/>
            </w:tcMar>
          </w:tcPr>
          <w:p w14:paraId="43934547" w14:textId="62A9543A"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Q16,775,129.36</w:t>
            </w:r>
          </w:p>
        </w:tc>
        <w:tc>
          <w:tcPr>
            <w:tcW w:w="1845" w:type="dxa"/>
            <w:tcMar>
              <w:left w:w="108" w:type="dxa"/>
              <w:right w:w="108" w:type="dxa"/>
            </w:tcMar>
          </w:tcPr>
          <w:p w14:paraId="53AE7925" w14:textId="1ED22BE9"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Q8,235,498.99</w:t>
            </w:r>
          </w:p>
        </w:tc>
        <w:tc>
          <w:tcPr>
            <w:tcW w:w="1215" w:type="dxa"/>
            <w:shd w:val="clear" w:color="auto" w:fill="C00000"/>
            <w:tcMar>
              <w:left w:w="108" w:type="dxa"/>
              <w:right w:w="108" w:type="dxa"/>
            </w:tcMar>
            <w:vAlign w:val="bottom"/>
          </w:tcPr>
          <w:p w14:paraId="65224348" w14:textId="3FDB5AEC"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10.17%</w:t>
            </w:r>
          </w:p>
        </w:tc>
        <w:tc>
          <w:tcPr>
            <w:tcW w:w="1245" w:type="dxa"/>
            <w:shd w:val="clear" w:color="auto" w:fill="C00000"/>
            <w:tcMar>
              <w:left w:w="108" w:type="dxa"/>
              <w:right w:w="108" w:type="dxa"/>
            </w:tcMar>
            <w:vAlign w:val="bottom"/>
          </w:tcPr>
          <w:p w14:paraId="44E7284A" w14:textId="07125929"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49.09%</w:t>
            </w:r>
          </w:p>
        </w:tc>
      </w:tr>
    </w:tbl>
    <w:p w14:paraId="5A0206ED" w14:textId="03D07FFB" w:rsidR="00693BD9" w:rsidRPr="003051CD" w:rsidRDefault="5499291F" w:rsidP="0068441A">
      <w:pPr>
        <w:autoSpaceDE w:val="0"/>
        <w:autoSpaceDN w:val="0"/>
        <w:adjustRightInd w:val="0"/>
        <w:spacing w:after="120" w:line="240" w:lineRule="auto"/>
        <w:jc w:val="both"/>
        <w:rPr>
          <w:rFonts w:ascii="Helvetica" w:eastAsia="Times New Roman" w:hAnsi="Helvetica" w:cs="Helvetica"/>
          <w:sz w:val="18"/>
          <w:szCs w:val="18"/>
          <w:lang w:val="es-ES"/>
        </w:rPr>
      </w:pPr>
      <w:r w:rsidRPr="5499291F">
        <w:rPr>
          <w:rFonts w:eastAsiaTheme="minorEastAsia"/>
          <w:sz w:val="18"/>
          <w:szCs w:val="18"/>
          <w:lang w:val="es-ES"/>
        </w:rPr>
        <w:t>Fuente: Siplangl, III informe cuatrimestral y acumulado. Año 2022.</w:t>
      </w:r>
    </w:p>
    <w:p w14:paraId="509D64F1" w14:textId="39727ADC" w:rsidR="00693BD9" w:rsidRPr="00A543DE" w:rsidRDefault="5499291F" w:rsidP="0068441A">
      <w:pPr>
        <w:autoSpaceDE w:val="0"/>
        <w:autoSpaceDN w:val="0"/>
        <w:adjustRightInd w:val="0"/>
        <w:spacing w:after="120" w:line="240" w:lineRule="auto"/>
        <w:jc w:val="both"/>
        <w:rPr>
          <w:rFonts w:eastAsia="Times New Roman" w:cstheme="minorHAnsi"/>
          <w:b/>
          <w:color w:val="002060"/>
          <w:sz w:val="28"/>
          <w:szCs w:val="28"/>
          <w:lang w:val="es-ES"/>
        </w:rPr>
      </w:pPr>
      <w:r w:rsidRPr="00A543DE">
        <w:rPr>
          <w:rFonts w:eastAsia="Times New Roman" w:cstheme="minorHAnsi"/>
          <w:b/>
          <w:bCs/>
          <w:color w:val="002060"/>
          <w:sz w:val="28"/>
          <w:szCs w:val="28"/>
          <w:lang w:val="es-ES"/>
        </w:rPr>
        <w:t>Jalapa</w:t>
      </w:r>
    </w:p>
    <w:p w14:paraId="1B164201" w14:textId="3C679E1E" w:rsidR="00693BD9" w:rsidRPr="003051CD" w:rsidRDefault="0068441A" w:rsidP="0068441A">
      <w:pPr>
        <w:autoSpaceDE w:val="0"/>
        <w:autoSpaceDN w:val="0"/>
        <w:adjustRightInd w:val="0"/>
        <w:spacing w:after="120" w:line="240" w:lineRule="auto"/>
        <w:jc w:val="both"/>
      </w:pPr>
      <w:r>
        <w:rPr>
          <w:noProof/>
        </w:rPr>
        <w:drawing>
          <wp:anchor distT="0" distB="0" distL="114300" distR="114300" simplePos="0" relativeHeight="251694592" behindDoc="1" locked="0" layoutInCell="1" allowOverlap="1" wp14:anchorId="097F7D2D" wp14:editId="53122756">
            <wp:simplePos x="0" y="0"/>
            <wp:positionH relativeFrom="column">
              <wp:posOffset>4387850</wp:posOffset>
            </wp:positionH>
            <wp:positionV relativeFrom="paragraph">
              <wp:posOffset>76835</wp:posOffset>
            </wp:positionV>
            <wp:extent cx="1504315" cy="969010"/>
            <wp:effectExtent l="19050" t="19050" r="19685" b="21590"/>
            <wp:wrapTight wrapText="bothSides">
              <wp:wrapPolygon edited="0">
                <wp:start x="-274" y="-425"/>
                <wp:lineTo x="-274" y="21657"/>
                <wp:lineTo x="21609" y="21657"/>
                <wp:lineTo x="21609" y="-425"/>
                <wp:lineTo x="-274" y="-425"/>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04315" cy="969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5499291F" w:rsidRPr="5499291F">
        <w:rPr>
          <w:rFonts w:ascii="Calibri" w:eastAsia="Calibri" w:hAnsi="Calibri" w:cs="Calibri"/>
          <w:sz w:val="24"/>
          <w:szCs w:val="24"/>
          <w:lang w:val="es-ES"/>
        </w:rPr>
        <w:t xml:space="preserve">El departamento de Jalapa, en el año 2022 presentó un promedio de avance físico del 69.88%. Los municipios que mayor avance físico presentaron son: San Luis Jilotepeque con 86.86%, Jalapa con 85.37% y San Carlos Alzatate con 69.44%. </w:t>
      </w:r>
    </w:p>
    <w:p w14:paraId="41364ACA" w14:textId="5A0DE58C" w:rsidR="00693BD9" w:rsidRPr="003051CD" w:rsidRDefault="5499291F" w:rsidP="00A543DE">
      <w:pPr>
        <w:autoSpaceDE w:val="0"/>
        <w:autoSpaceDN w:val="0"/>
        <w:adjustRightInd w:val="0"/>
        <w:spacing w:after="120" w:line="240" w:lineRule="auto"/>
        <w:jc w:val="both"/>
        <w:rPr>
          <w:rFonts w:ascii="Helvetica" w:eastAsia="Times New Roman" w:hAnsi="Helvetica" w:cs="Helvetica"/>
          <w:sz w:val="24"/>
          <w:szCs w:val="24"/>
          <w:lang w:val="es-ES"/>
        </w:rPr>
      </w:pPr>
      <w:r w:rsidRPr="5499291F">
        <w:rPr>
          <w:rFonts w:ascii="Calibri" w:eastAsia="Calibri" w:hAnsi="Calibri" w:cs="Calibri"/>
          <w:sz w:val="24"/>
          <w:szCs w:val="24"/>
          <w:lang w:val="es-ES"/>
        </w:rPr>
        <w:t>En cuanto al avance financiero, el departamento presentó un avance del 73.83%, siendo los municipios con mayor avance: San Carlos Alzatate, Jalapa y San Luis Jilotepeque con 95.20%, 85.45% y 79.44% respectivamente. Ver siguiente tabla.</w:t>
      </w:r>
    </w:p>
    <w:p w14:paraId="4ED52517" w14:textId="2916172B" w:rsidR="00BC2B6E" w:rsidRPr="00A543DE" w:rsidRDefault="5499291F" w:rsidP="009070B1">
      <w:pPr>
        <w:pStyle w:val="ttulosgrficas"/>
        <w:rPr>
          <w:rFonts w:asciiTheme="minorHAnsi" w:eastAsia="Times New Roman" w:hAnsiTheme="minorHAnsi" w:cstheme="minorHAnsi"/>
          <w:color w:val="4472C4" w:themeColor="accent1"/>
          <w:lang w:val="es-ES"/>
        </w:rPr>
      </w:pPr>
      <w:bookmarkStart w:id="67" w:name="_Toc130199612"/>
      <w:r w:rsidRPr="00A543DE">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24</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A543DE">
        <w:rPr>
          <w:rFonts w:asciiTheme="minorHAnsi" w:eastAsia="Times New Roman" w:hAnsiTheme="minorHAnsi" w:cstheme="minorHAnsi"/>
          <w:color w:val="4472C4" w:themeColor="accent1"/>
          <w:lang w:val="es-ES"/>
        </w:rPr>
        <w:t xml:space="preserve"> Ejecución Financiera, departamento de Jalapa</w:t>
      </w:r>
      <w:bookmarkEnd w:id="67"/>
    </w:p>
    <w:tbl>
      <w:tblPr>
        <w:tblStyle w:val="Tabladelista4-nfasis5"/>
        <w:tblW w:w="9360"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225"/>
        <w:gridCol w:w="1830"/>
        <w:gridCol w:w="1845"/>
        <w:gridCol w:w="1185"/>
        <w:gridCol w:w="1275"/>
      </w:tblGrid>
      <w:tr w:rsidR="5499291F" w14:paraId="55CF06BB" w14:textId="77777777" w:rsidTr="00A543D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25" w:type="dxa"/>
            <w:tcBorders>
              <w:top w:val="none" w:sz="0" w:space="0" w:color="auto"/>
              <w:left w:val="none" w:sz="0" w:space="0" w:color="auto"/>
              <w:bottom w:val="none" w:sz="0" w:space="0" w:color="auto"/>
            </w:tcBorders>
            <w:tcMar>
              <w:left w:w="108" w:type="dxa"/>
              <w:right w:w="108" w:type="dxa"/>
            </w:tcMar>
            <w:vAlign w:val="center"/>
          </w:tcPr>
          <w:p w14:paraId="3036A669" w14:textId="3C475523" w:rsidR="5499291F" w:rsidRDefault="5499291F" w:rsidP="5499291F">
            <w:pPr>
              <w:jc w:val="center"/>
            </w:pPr>
            <w:r w:rsidRPr="5499291F">
              <w:rPr>
                <w:rFonts w:ascii="Calibri" w:eastAsia="Calibri" w:hAnsi="Calibri" w:cs="Calibri"/>
                <w:color w:val="000000" w:themeColor="text1"/>
              </w:rPr>
              <w:t>Municipio</w:t>
            </w:r>
          </w:p>
        </w:tc>
        <w:tc>
          <w:tcPr>
            <w:tcW w:w="1830" w:type="dxa"/>
            <w:tcBorders>
              <w:top w:val="none" w:sz="0" w:space="0" w:color="auto"/>
              <w:bottom w:val="none" w:sz="0" w:space="0" w:color="auto"/>
            </w:tcBorders>
            <w:tcMar>
              <w:left w:w="108" w:type="dxa"/>
              <w:right w:w="108" w:type="dxa"/>
            </w:tcMar>
            <w:vAlign w:val="center"/>
          </w:tcPr>
          <w:p w14:paraId="25EF4D9D" w14:textId="4A767133" w:rsidR="5499291F" w:rsidRDefault="46B27687" w:rsidP="5499291F">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Meta financiera Anual Vigente</w:t>
            </w:r>
          </w:p>
        </w:tc>
        <w:tc>
          <w:tcPr>
            <w:tcW w:w="1845" w:type="dxa"/>
            <w:tcBorders>
              <w:top w:val="none" w:sz="0" w:space="0" w:color="auto"/>
              <w:bottom w:val="none" w:sz="0" w:space="0" w:color="auto"/>
            </w:tcBorders>
            <w:tcMar>
              <w:left w:w="108" w:type="dxa"/>
              <w:right w:w="108" w:type="dxa"/>
            </w:tcMar>
            <w:vAlign w:val="center"/>
          </w:tcPr>
          <w:p w14:paraId="20600E0F" w14:textId="7E7B845F" w:rsidR="5499291F" w:rsidRDefault="46B27687" w:rsidP="5499291F">
            <w:pPr>
              <w:jc w:val="center"/>
              <w:cnfStyle w:val="100000000000" w:firstRow="1" w:lastRow="0" w:firstColumn="0" w:lastColumn="0" w:oddVBand="0" w:evenVBand="0" w:oddHBand="0" w:evenHBand="0" w:firstRowFirstColumn="0" w:firstRowLastColumn="0" w:lastRowFirstColumn="0" w:lastRowLastColumn="0"/>
            </w:pPr>
            <w:r w:rsidRPr="46B27687">
              <w:rPr>
                <w:rFonts w:ascii="Calibri" w:eastAsia="Calibri" w:hAnsi="Calibri" w:cs="Calibri"/>
                <w:color w:val="000000" w:themeColor="text1"/>
              </w:rPr>
              <w:t>Ejecución Financiera Acumulada</w:t>
            </w:r>
          </w:p>
        </w:tc>
        <w:tc>
          <w:tcPr>
            <w:tcW w:w="1185" w:type="dxa"/>
            <w:tcBorders>
              <w:top w:val="none" w:sz="0" w:space="0" w:color="auto"/>
              <w:bottom w:val="none" w:sz="0" w:space="0" w:color="auto"/>
            </w:tcBorders>
            <w:tcMar>
              <w:left w:w="108" w:type="dxa"/>
              <w:right w:w="108" w:type="dxa"/>
            </w:tcMar>
            <w:vAlign w:val="center"/>
          </w:tcPr>
          <w:p w14:paraId="72B89856" w14:textId="466918FE" w:rsidR="5499291F" w:rsidRDefault="5499291F" w:rsidP="5499291F">
            <w:pPr>
              <w:jc w:val="center"/>
              <w:cnfStyle w:val="100000000000" w:firstRow="1"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 de Ejecución Física</w:t>
            </w:r>
          </w:p>
        </w:tc>
        <w:tc>
          <w:tcPr>
            <w:tcW w:w="1275" w:type="dxa"/>
            <w:tcBorders>
              <w:top w:val="none" w:sz="0" w:space="0" w:color="auto"/>
              <w:bottom w:val="none" w:sz="0" w:space="0" w:color="auto"/>
              <w:right w:val="none" w:sz="0" w:space="0" w:color="auto"/>
            </w:tcBorders>
            <w:tcMar>
              <w:left w:w="108" w:type="dxa"/>
              <w:right w:w="108" w:type="dxa"/>
            </w:tcMar>
            <w:vAlign w:val="center"/>
          </w:tcPr>
          <w:p w14:paraId="539146A0" w14:textId="37790821" w:rsidR="5499291F" w:rsidRDefault="5499291F" w:rsidP="5499291F">
            <w:pPr>
              <w:jc w:val="center"/>
              <w:cnfStyle w:val="100000000000" w:firstRow="1"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 de Ejecución Financiera</w:t>
            </w:r>
          </w:p>
        </w:tc>
      </w:tr>
      <w:tr w:rsidR="5499291F" w14:paraId="43E106DB"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0509C9A8" w14:textId="1EB158A1" w:rsidR="5499291F" w:rsidRDefault="5499291F" w:rsidP="5499291F">
            <w:r w:rsidRPr="5499291F">
              <w:rPr>
                <w:rFonts w:ascii="Calibri" w:eastAsia="Calibri" w:hAnsi="Calibri" w:cs="Calibri"/>
                <w:color w:val="000000" w:themeColor="text1"/>
              </w:rPr>
              <w:t>Todo el Departamento</w:t>
            </w:r>
          </w:p>
        </w:tc>
        <w:tc>
          <w:tcPr>
            <w:tcW w:w="1830" w:type="dxa"/>
            <w:tcMar>
              <w:left w:w="108" w:type="dxa"/>
              <w:right w:w="108" w:type="dxa"/>
            </w:tcMar>
          </w:tcPr>
          <w:p w14:paraId="3C069952" w14:textId="5FA1E6D8"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b/>
                <w:bCs/>
                <w:color w:val="000000" w:themeColor="text1"/>
              </w:rPr>
              <w:t>Q336,885,775.88</w:t>
            </w:r>
          </w:p>
        </w:tc>
        <w:tc>
          <w:tcPr>
            <w:tcW w:w="1845" w:type="dxa"/>
            <w:tcMar>
              <w:left w:w="108" w:type="dxa"/>
              <w:right w:w="108" w:type="dxa"/>
            </w:tcMar>
          </w:tcPr>
          <w:p w14:paraId="028537C1" w14:textId="041080A1"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b/>
                <w:bCs/>
                <w:color w:val="000000" w:themeColor="text1"/>
              </w:rPr>
              <w:t>Q248,725,118.33</w:t>
            </w:r>
          </w:p>
        </w:tc>
        <w:tc>
          <w:tcPr>
            <w:tcW w:w="1185" w:type="dxa"/>
            <w:shd w:val="clear" w:color="auto" w:fill="FFFF00"/>
            <w:tcMar>
              <w:left w:w="108" w:type="dxa"/>
              <w:right w:w="108" w:type="dxa"/>
            </w:tcMar>
            <w:vAlign w:val="bottom"/>
          </w:tcPr>
          <w:p w14:paraId="77667123" w14:textId="21BB3F66"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b/>
                <w:bCs/>
                <w:color w:val="000000" w:themeColor="text1"/>
              </w:rPr>
              <w:t>69.88%</w:t>
            </w:r>
          </w:p>
        </w:tc>
        <w:tc>
          <w:tcPr>
            <w:tcW w:w="1275" w:type="dxa"/>
            <w:shd w:val="clear" w:color="auto" w:fill="FFFF00"/>
            <w:tcMar>
              <w:left w:w="108" w:type="dxa"/>
              <w:right w:w="108" w:type="dxa"/>
            </w:tcMar>
            <w:vAlign w:val="bottom"/>
          </w:tcPr>
          <w:p w14:paraId="251CC532" w14:textId="5AAB2D64"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b/>
                <w:bCs/>
                <w:color w:val="000000" w:themeColor="text1"/>
              </w:rPr>
              <w:t>73.83%</w:t>
            </w:r>
          </w:p>
        </w:tc>
      </w:tr>
      <w:tr w:rsidR="5499291F" w14:paraId="70C16DAD"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10E03CD9" w14:textId="6BAF5DB6"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San Luis Jilotepeque</w:t>
            </w:r>
          </w:p>
        </w:tc>
        <w:tc>
          <w:tcPr>
            <w:tcW w:w="1830" w:type="dxa"/>
            <w:tcMar>
              <w:left w:w="108" w:type="dxa"/>
              <w:right w:w="108" w:type="dxa"/>
            </w:tcMar>
          </w:tcPr>
          <w:p w14:paraId="598DFE89" w14:textId="2848CE02"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Q47,040,647.67</w:t>
            </w:r>
          </w:p>
        </w:tc>
        <w:tc>
          <w:tcPr>
            <w:tcW w:w="1845" w:type="dxa"/>
            <w:tcMar>
              <w:left w:w="108" w:type="dxa"/>
              <w:right w:w="108" w:type="dxa"/>
            </w:tcMar>
          </w:tcPr>
          <w:p w14:paraId="7CBF693D" w14:textId="63BBD1DD"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Q37,368,231.78</w:t>
            </w:r>
          </w:p>
        </w:tc>
        <w:tc>
          <w:tcPr>
            <w:tcW w:w="1185" w:type="dxa"/>
            <w:shd w:val="clear" w:color="auto" w:fill="FFFF00"/>
            <w:tcMar>
              <w:left w:w="108" w:type="dxa"/>
              <w:right w:w="108" w:type="dxa"/>
            </w:tcMar>
            <w:vAlign w:val="bottom"/>
          </w:tcPr>
          <w:p w14:paraId="5AF5ADA8" w14:textId="61E22564"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86.86%</w:t>
            </w:r>
          </w:p>
        </w:tc>
        <w:tc>
          <w:tcPr>
            <w:tcW w:w="1275" w:type="dxa"/>
            <w:shd w:val="clear" w:color="auto" w:fill="FFFF00"/>
            <w:tcMar>
              <w:left w:w="108" w:type="dxa"/>
              <w:right w:w="108" w:type="dxa"/>
            </w:tcMar>
            <w:vAlign w:val="bottom"/>
          </w:tcPr>
          <w:p w14:paraId="459C893F" w14:textId="5A0C5BD9"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79.44%</w:t>
            </w:r>
          </w:p>
        </w:tc>
      </w:tr>
      <w:tr w:rsidR="5499291F" w14:paraId="7673D78A"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26A763B6" w14:textId="4F78911E"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Jalapa</w:t>
            </w:r>
          </w:p>
        </w:tc>
        <w:tc>
          <w:tcPr>
            <w:tcW w:w="1830" w:type="dxa"/>
            <w:tcMar>
              <w:left w:w="108" w:type="dxa"/>
              <w:right w:w="108" w:type="dxa"/>
            </w:tcMar>
          </w:tcPr>
          <w:p w14:paraId="482939AE" w14:textId="54AB806F"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Q102,389,483.37</w:t>
            </w:r>
          </w:p>
        </w:tc>
        <w:tc>
          <w:tcPr>
            <w:tcW w:w="1845" w:type="dxa"/>
            <w:tcMar>
              <w:left w:w="108" w:type="dxa"/>
              <w:right w:w="108" w:type="dxa"/>
            </w:tcMar>
          </w:tcPr>
          <w:p w14:paraId="78700DC1" w14:textId="3D65349F"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Q87,491,909.23</w:t>
            </w:r>
          </w:p>
        </w:tc>
        <w:tc>
          <w:tcPr>
            <w:tcW w:w="1185" w:type="dxa"/>
            <w:shd w:val="clear" w:color="auto" w:fill="FFFF00"/>
            <w:tcMar>
              <w:left w:w="108" w:type="dxa"/>
              <w:right w:w="108" w:type="dxa"/>
            </w:tcMar>
            <w:vAlign w:val="bottom"/>
          </w:tcPr>
          <w:p w14:paraId="4A0F0439" w14:textId="11C41380"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85.37%</w:t>
            </w:r>
          </w:p>
        </w:tc>
        <w:tc>
          <w:tcPr>
            <w:tcW w:w="1275" w:type="dxa"/>
            <w:shd w:val="clear" w:color="auto" w:fill="FFFF00"/>
            <w:tcMar>
              <w:left w:w="108" w:type="dxa"/>
              <w:right w:w="108" w:type="dxa"/>
            </w:tcMar>
            <w:vAlign w:val="bottom"/>
          </w:tcPr>
          <w:p w14:paraId="6EDF0FD8" w14:textId="2EEE8511"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85.45%</w:t>
            </w:r>
          </w:p>
        </w:tc>
      </w:tr>
      <w:tr w:rsidR="5499291F" w14:paraId="08D6B61D"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0C515475" w14:textId="286305F5"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San Carlos Alzatate</w:t>
            </w:r>
          </w:p>
        </w:tc>
        <w:tc>
          <w:tcPr>
            <w:tcW w:w="1830" w:type="dxa"/>
            <w:tcMar>
              <w:left w:w="108" w:type="dxa"/>
              <w:right w:w="108" w:type="dxa"/>
            </w:tcMar>
          </w:tcPr>
          <w:p w14:paraId="5555EE34" w14:textId="7F820D68"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Q30,123,665.89</w:t>
            </w:r>
          </w:p>
        </w:tc>
        <w:tc>
          <w:tcPr>
            <w:tcW w:w="1845" w:type="dxa"/>
            <w:tcMar>
              <w:left w:w="108" w:type="dxa"/>
              <w:right w:w="108" w:type="dxa"/>
            </w:tcMar>
          </w:tcPr>
          <w:p w14:paraId="17E3672A" w14:textId="349536D2"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Q28,676,266.07</w:t>
            </w:r>
          </w:p>
        </w:tc>
        <w:tc>
          <w:tcPr>
            <w:tcW w:w="1185" w:type="dxa"/>
            <w:shd w:val="clear" w:color="auto" w:fill="FFFF00"/>
            <w:tcMar>
              <w:left w:w="108" w:type="dxa"/>
              <w:right w:w="108" w:type="dxa"/>
            </w:tcMar>
            <w:vAlign w:val="bottom"/>
          </w:tcPr>
          <w:p w14:paraId="11888C6C" w14:textId="3F140ED6"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69.44%</w:t>
            </w:r>
          </w:p>
        </w:tc>
        <w:tc>
          <w:tcPr>
            <w:tcW w:w="1275" w:type="dxa"/>
            <w:shd w:val="clear" w:color="auto" w:fill="92D050"/>
            <w:tcMar>
              <w:left w:w="108" w:type="dxa"/>
              <w:right w:w="108" w:type="dxa"/>
            </w:tcMar>
            <w:vAlign w:val="bottom"/>
          </w:tcPr>
          <w:p w14:paraId="09A5763A" w14:textId="48C96912"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95.20%</w:t>
            </w:r>
          </w:p>
        </w:tc>
      </w:tr>
      <w:tr w:rsidR="5499291F" w14:paraId="2527D3B7"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6C9C4AB4" w14:textId="5AB5EA61"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San Manuel Chaparrón</w:t>
            </w:r>
          </w:p>
        </w:tc>
        <w:tc>
          <w:tcPr>
            <w:tcW w:w="1830" w:type="dxa"/>
            <w:tcMar>
              <w:left w:w="108" w:type="dxa"/>
              <w:right w:w="108" w:type="dxa"/>
            </w:tcMar>
          </w:tcPr>
          <w:p w14:paraId="4803CD91" w14:textId="1C1A3F10"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Q18,238,670.00</w:t>
            </w:r>
          </w:p>
        </w:tc>
        <w:tc>
          <w:tcPr>
            <w:tcW w:w="1845" w:type="dxa"/>
            <w:tcMar>
              <w:left w:w="108" w:type="dxa"/>
              <w:right w:w="108" w:type="dxa"/>
            </w:tcMar>
          </w:tcPr>
          <w:p w14:paraId="0969BF8C" w14:textId="00E86681"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Q12,080,801.87</w:t>
            </w:r>
          </w:p>
        </w:tc>
        <w:tc>
          <w:tcPr>
            <w:tcW w:w="1185" w:type="dxa"/>
            <w:shd w:val="clear" w:color="auto" w:fill="FFFF00"/>
            <w:tcMar>
              <w:left w:w="108" w:type="dxa"/>
              <w:right w:w="108" w:type="dxa"/>
            </w:tcMar>
            <w:vAlign w:val="bottom"/>
          </w:tcPr>
          <w:p w14:paraId="2C77BE4A" w14:textId="20B339D2"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67.26%</w:t>
            </w:r>
          </w:p>
        </w:tc>
        <w:tc>
          <w:tcPr>
            <w:tcW w:w="1275" w:type="dxa"/>
            <w:shd w:val="clear" w:color="auto" w:fill="FFFF00"/>
            <w:tcMar>
              <w:left w:w="108" w:type="dxa"/>
              <w:right w:w="108" w:type="dxa"/>
            </w:tcMar>
            <w:vAlign w:val="bottom"/>
          </w:tcPr>
          <w:p w14:paraId="39CE632A" w14:textId="41CDAE89"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66.24%</w:t>
            </w:r>
          </w:p>
        </w:tc>
      </w:tr>
      <w:tr w:rsidR="5499291F" w14:paraId="7B75FDAD"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4F00FB93" w14:textId="20552770"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Mataquescuintla</w:t>
            </w:r>
          </w:p>
        </w:tc>
        <w:tc>
          <w:tcPr>
            <w:tcW w:w="1830" w:type="dxa"/>
            <w:tcMar>
              <w:left w:w="108" w:type="dxa"/>
              <w:right w:w="108" w:type="dxa"/>
            </w:tcMar>
          </w:tcPr>
          <w:p w14:paraId="27C9E139" w14:textId="2D553B7D"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Q66,869,727.60</w:t>
            </w:r>
          </w:p>
        </w:tc>
        <w:tc>
          <w:tcPr>
            <w:tcW w:w="1845" w:type="dxa"/>
            <w:tcMar>
              <w:left w:w="108" w:type="dxa"/>
              <w:right w:w="108" w:type="dxa"/>
            </w:tcMar>
          </w:tcPr>
          <w:p w14:paraId="07F063D3" w14:textId="4566CE2B"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Q36,210,710.95</w:t>
            </w:r>
          </w:p>
        </w:tc>
        <w:tc>
          <w:tcPr>
            <w:tcW w:w="1185" w:type="dxa"/>
            <w:shd w:val="clear" w:color="auto" w:fill="FFFF00"/>
            <w:tcMar>
              <w:left w:w="108" w:type="dxa"/>
              <w:right w:w="108" w:type="dxa"/>
            </w:tcMar>
            <w:vAlign w:val="bottom"/>
          </w:tcPr>
          <w:p w14:paraId="34D09B74" w14:textId="3598AAB0"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62.04%</w:t>
            </w:r>
          </w:p>
        </w:tc>
        <w:tc>
          <w:tcPr>
            <w:tcW w:w="1275" w:type="dxa"/>
            <w:shd w:val="clear" w:color="auto" w:fill="FFFF00"/>
            <w:tcMar>
              <w:left w:w="108" w:type="dxa"/>
              <w:right w:w="108" w:type="dxa"/>
            </w:tcMar>
            <w:vAlign w:val="bottom"/>
          </w:tcPr>
          <w:p w14:paraId="6021103D" w14:textId="634C8CC2"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54.15%</w:t>
            </w:r>
          </w:p>
        </w:tc>
      </w:tr>
      <w:tr w:rsidR="5499291F" w14:paraId="6B35D66A"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34CF692F" w14:textId="35035125"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San Pedro Pinula</w:t>
            </w:r>
          </w:p>
        </w:tc>
        <w:tc>
          <w:tcPr>
            <w:tcW w:w="1830" w:type="dxa"/>
            <w:tcMar>
              <w:left w:w="108" w:type="dxa"/>
              <w:right w:w="108" w:type="dxa"/>
            </w:tcMar>
          </w:tcPr>
          <w:p w14:paraId="322CB917" w14:textId="715A809F"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Q29,925,981.04</w:t>
            </w:r>
          </w:p>
        </w:tc>
        <w:tc>
          <w:tcPr>
            <w:tcW w:w="1845" w:type="dxa"/>
            <w:tcMar>
              <w:left w:w="108" w:type="dxa"/>
              <w:right w:w="108" w:type="dxa"/>
            </w:tcMar>
          </w:tcPr>
          <w:p w14:paraId="094142A2" w14:textId="182E83DA"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Q22,996,174.39</w:t>
            </w:r>
          </w:p>
        </w:tc>
        <w:tc>
          <w:tcPr>
            <w:tcW w:w="1185" w:type="dxa"/>
            <w:shd w:val="clear" w:color="auto" w:fill="FFFF00"/>
            <w:tcMar>
              <w:left w:w="108" w:type="dxa"/>
              <w:right w:w="108" w:type="dxa"/>
            </w:tcMar>
            <w:vAlign w:val="bottom"/>
          </w:tcPr>
          <w:p w14:paraId="33358659" w14:textId="6EEA2FFB"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59.71%</w:t>
            </w:r>
          </w:p>
        </w:tc>
        <w:tc>
          <w:tcPr>
            <w:tcW w:w="1275" w:type="dxa"/>
            <w:shd w:val="clear" w:color="auto" w:fill="FFFF00"/>
            <w:tcMar>
              <w:left w:w="108" w:type="dxa"/>
              <w:right w:w="108" w:type="dxa"/>
            </w:tcMar>
            <w:vAlign w:val="bottom"/>
          </w:tcPr>
          <w:p w14:paraId="1C0828CC" w14:textId="0C3ADB24" w:rsidR="5499291F" w:rsidRDefault="5499291F" w:rsidP="5499291F">
            <w:pPr>
              <w:jc w:val="right"/>
              <w:cnfStyle w:val="000000100000" w:firstRow="0" w:lastRow="0" w:firstColumn="0" w:lastColumn="0" w:oddVBand="0" w:evenVBand="0" w:oddHBand="1" w:evenHBand="0" w:firstRowFirstColumn="0" w:firstRowLastColumn="0" w:lastRowFirstColumn="0" w:lastRowLastColumn="0"/>
            </w:pPr>
            <w:r w:rsidRPr="5499291F">
              <w:rPr>
                <w:rFonts w:ascii="Calibri" w:eastAsia="Calibri" w:hAnsi="Calibri" w:cs="Calibri"/>
                <w:color w:val="000000" w:themeColor="text1"/>
              </w:rPr>
              <w:t>76.84%</w:t>
            </w:r>
          </w:p>
        </w:tc>
      </w:tr>
      <w:tr w:rsidR="5499291F" w14:paraId="7333DFC7"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2E11E4B9" w14:textId="32C49304" w:rsidR="5499291F" w:rsidRDefault="5499291F" w:rsidP="5499291F">
            <w:pPr>
              <w:rPr>
                <w:rFonts w:ascii="Calibri" w:eastAsia="Calibri" w:hAnsi="Calibri" w:cs="Calibri"/>
                <w:b w:val="0"/>
                <w:bCs w:val="0"/>
                <w:color w:val="000000" w:themeColor="text1"/>
              </w:rPr>
            </w:pPr>
            <w:r w:rsidRPr="5499291F">
              <w:rPr>
                <w:rFonts w:ascii="Calibri" w:eastAsia="Calibri" w:hAnsi="Calibri" w:cs="Calibri"/>
                <w:b w:val="0"/>
                <w:bCs w:val="0"/>
                <w:color w:val="000000" w:themeColor="text1"/>
              </w:rPr>
              <w:t>Monjas</w:t>
            </w:r>
          </w:p>
        </w:tc>
        <w:tc>
          <w:tcPr>
            <w:tcW w:w="1830" w:type="dxa"/>
            <w:tcMar>
              <w:left w:w="108" w:type="dxa"/>
              <w:right w:w="108" w:type="dxa"/>
            </w:tcMar>
          </w:tcPr>
          <w:p w14:paraId="2B154314" w14:textId="3EBFC359"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Q42,297,600.31</w:t>
            </w:r>
          </w:p>
        </w:tc>
        <w:tc>
          <w:tcPr>
            <w:tcW w:w="1845" w:type="dxa"/>
            <w:tcMar>
              <w:left w:w="108" w:type="dxa"/>
              <w:right w:w="108" w:type="dxa"/>
            </w:tcMar>
          </w:tcPr>
          <w:p w14:paraId="7F594A79" w14:textId="5C8BB412"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Q23,901,024.04</w:t>
            </w:r>
          </w:p>
        </w:tc>
        <w:tc>
          <w:tcPr>
            <w:tcW w:w="1185" w:type="dxa"/>
            <w:shd w:val="clear" w:color="auto" w:fill="FFFF00"/>
            <w:tcMar>
              <w:left w:w="108" w:type="dxa"/>
              <w:right w:w="108" w:type="dxa"/>
            </w:tcMar>
            <w:vAlign w:val="bottom"/>
          </w:tcPr>
          <w:p w14:paraId="2D84E61E" w14:textId="481CCCED"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52.29%</w:t>
            </w:r>
          </w:p>
        </w:tc>
        <w:tc>
          <w:tcPr>
            <w:tcW w:w="1275" w:type="dxa"/>
            <w:shd w:val="clear" w:color="auto" w:fill="FFFF00"/>
            <w:tcMar>
              <w:left w:w="108" w:type="dxa"/>
              <w:right w:w="108" w:type="dxa"/>
            </w:tcMar>
            <w:vAlign w:val="bottom"/>
          </w:tcPr>
          <w:p w14:paraId="76F0ACD2" w14:textId="5D56105B" w:rsidR="5499291F" w:rsidRDefault="5499291F" w:rsidP="5499291F">
            <w:pPr>
              <w:jc w:val="right"/>
              <w:cnfStyle w:val="000000000000" w:firstRow="0" w:lastRow="0" w:firstColumn="0" w:lastColumn="0" w:oddVBand="0" w:evenVBand="0" w:oddHBand="0" w:evenHBand="0" w:firstRowFirstColumn="0" w:firstRowLastColumn="0" w:lastRowFirstColumn="0" w:lastRowLastColumn="0"/>
            </w:pPr>
            <w:r w:rsidRPr="5499291F">
              <w:rPr>
                <w:rFonts w:ascii="Calibri" w:eastAsia="Calibri" w:hAnsi="Calibri" w:cs="Calibri"/>
                <w:color w:val="000000" w:themeColor="text1"/>
              </w:rPr>
              <w:t>56.51%</w:t>
            </w:r>
          </w:p>
        </w:tc>
      </w:tr>
    </w:tbl>
    <w:p w14:paraId="31982B15" w14:textId="3D1A19BC" w:rsidR="00693BD9" w:rsidRPr="003051CD" w:rsidRDefault="46B27687" w:rsidP="00A543DE">
      <w:pPr>
        <w:autoSpaceDE w:val="0"/>
        <w:autoSpaceDN w:val="0"/>
        <w:adjustRightInd w:val="0"/>
        <w:spacing w:after="120" w:line="240" w:lineRule="auto"/>
        <w:jc w:val="both"/>
        <w:rPr>
          <w:rFonts w:eastAsiaTheme="minorEastAsia"/>
          <w:sz w:val="18"/>
          <w:szCs w:val="18"/>
          <w:lang w:val="es-ES"/>
        </w:rPr>
      </w:pPr>
      <w:r w:rsidRPr="46B27687">
        <w:rPr>
          <w:rFonts w:eastAsiaTheme="minorEastAsia"/>
          <w:sz w:val="18"/>
          <w:szCs w:val="18"/>
          <w:lang w:val="es-ES"/>
        </w:rPr>
        <w:t>Fuente: Siplangl, III informe cuatrimestral y acumulado. Año 2022.</w:t>
      </w:r>
    </w:p>
    <w:p w14:paraId="7EE39F16" w14:textId="46F6F8B6" w:rsidR="00693BD9" w:rsidRPr="00A543DE" w:rsidRDefault="00693BD9" w:rsidP="00A543DE">
      <w:pPr>
        <w:autoSpaceDE w:val="0"/>
        <w:autoSpaceDN w:val="0"/>
        <w:adjustRightInd w:val="0"/>
        <w:spacing w:after="120" w:line="240" w:lineRule="auto"/>
        <w:jc w:val="both"/>
        <w:rPr>
          <w:rFonts w:eastAsia="Times New Roman" w:cstheme="minorHAnsi"/>
          <w:b/>
          <w:color w:val="002060"/>
          <w:sz w:val="28"/>
          <w:szCs w:val="28"/>
          <w:lang w:val="es-ES"/>
        </w:rPr>
      </w:pPr>
      <w:r w:rsidRPr="00A543DE">
        <w:rPr>
          <w:rFonts w:eastAsia="Times New Roman" w:cstheme="minorHAnsi"/>
          <w:b/>
          <w:color w:val="002060"/>
          <w:sz w:val="28"/>
          <w:szCs w:val="28"/>
          <w:lang w:val="es-ES"/>
        </w:rPr>
        <w:t>Quiché</w:t>
      </w:r>
    </w:p>
    <w:p w14:paraId="2F2DF98A" w14:textId="5C022684" w:rsidR="46B27687" w:rsidRDefault="00A543DE" w:rsidP="00A543DE">
      <w:pPr>
        <w:spacing w:after="120" w:line="240" w:lineRule="auto"/>
        <w:jc w:val="both"/>
      </w:pPr>
      <w:r>
        <w:rPr>
          <w:noProof/>
        </w:rPr>
        <w:drawing>
          <wp:anchor distT="0" distB="0" distL="114300" distR="114300" simplePos="0" relativeHeight="251696640" behindDoc="1" locked="0" layoutInCell="1" allowOverlap="1" wp14:anchorId="205E7D9C" wp14:editId="7282DE71">
            <wp:simplePos x="0" y="0"/>
            <wp:positionH relativeFrom="column">
              <wp:posOffset>4387850</wp:posOffset>
            </wp:positionH>
            <wp:positionV relativeFrom="paragraph">
              <wp:posOffset>75565</wp:posOffset>
            </wp:positionV>
            <wp:extent cx="1504315" cy="1007745"/>
            <wp:effectExtent l="19050" t="19050" r="19685" b="20955"/>
            <wp:wrapTight wrapText="bothSides">
              <wp:wrapPolygon edited="0">
                <wp:start x="-274" y="-408"/>
                <wp:lineTo x="-274" y="21641"/>
                <wp:lineTo x="21609" y="21641"/>
                <wp:lineTo x="21609" y="-408"/>
                <wp:lineTo x="-274" y="-408"/>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04315" cy="10077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46B27687" w:rsidRPr="46B27687">
        <w:rPr>
          <w:rFonts w:ascii="Calibri" w:eastAsia="Calibri" w:hAnsi="Calibri" w:cs="Calibri"/>
          <w:sz w:val="24"/>
          <w:szCs w:val="24"/>
          <w:lang w:val="es-ES"/>
        </w:rPr>
        <w:t>El departamento solo alcanzó un promedio de avance físico del 53.08%, al finalizar el año 2022;</w:t>
      </w:r>
      <w:r w:rsidRPr="00A543DE">
        <w:rPr>
          <w:noProof/>
        </w:rPr>
        <w:t xml:space="preserve"> </w:t>
      </w:r>
      <w:r w:rsidR="46B27687" w:rsidRPr="46B27687">
        <w:rPr>
          <w:rFonts w:ascii="Calibri" w:eastAsia="Calibri" w:hAnsi="Calibri" w:cs="Calibri"/>
          <w:sz w:val="24"/>
          <w:szCs w:val="24"/>
          <w:lang w:val="es-ES"/>
        </w:rPr>
        <w:t xml:space="preserve">siendo los municipios de Chajul, Chicamán y Cunén con 79.85%, 75.78% y 73.73% respectivamente, quienes presentaron mayor avance. </w:t>
      </w:r>
    </w:p>
    <w:p w14:paraId="28F4AA23" w14:textId="2068F27E" w:rsidR="46B27687" w:rsidRDefault="46B27687" w:rsidP="00A543DE">
      <w:pPr>
        <w:spacing w:after="120" w:line="240" w:lineRule="auto"/>
        <w:jc w:val="both"/>
      </w:pPr>
      <w:r w:rsidRPr="46B27687">
        <w:rPr>
          <w:rFonts w:ascii="Calibri" w:eastAsia="Calibri" w:hAnsi="Calibri" w:cs="Calibri"/>
          <w:sz w:val="24"/>
          <w:szCs w:val="24"/>
          <w:lang w:val="es-ES"/>
        </w:rPr>
        <w:t>En relación al avance financiero, el departamento presentó un avance del 53.82%. Los municipios que mayor ejecución presentaron son: Santa Cruz del Quiché con 79.79%, San Bartolomé Jocotenango con 78.65% y Cunén con 74.94%.</w:t>
      </w:r>
    </w:p>
    <w:p w14:paraId="6548ACC2" w14:textId="651E3E2E" w:rsidR="46B27687" w:rsidRDefault="46B27687" w:rsidP="00A543DE">
      <w:pPr>
        <w:spacing w:after="120" w:line="240" w:lineRule="auto"/>
        <w:jc w:val="both"/>
      </w:pPr>
      <w:r w:rsidRPr="46B27687">
        <w:rPr>
          <w:rFonts w:ascii="Calibri" w:eastAsia="Calibri" w:hAnsi="Calibri" w:cs="Calibri"/>
          <w:sz w:val="24"/>
          <w:szCs w:val="24"/>
          <w:lang w:val="es-ES"/>
        </w:rPr>
        <w:t>Chiché, San Pedro Jocopilas y Chichicastenango, durante el año 2022, no utilizaron la plataforma de Siplangl. San Juan Cotzal, durante el año 2022, nunca registró avance alguno en la plataforma de Siplangl.</w:t>
      </w:r>
    </w:p>
    <w:p w14:paraId="7FC7366F" w14:textId="32222EAC" w:rsidR="46B27687" w:rsidRDefault="46B27687" w:rsidP="00A543DE">
      <w:pPr>
        <w:spacing w:after="120" w:line="240" w:lineRule="auto"/>
        <w:jc w:val="both"/>
      </w:pPr>
      <w:r w:rsidRPr="46B27687">
        <w:rPr>
          <w:rFonts w:ascii="Calibri" w:eastAsia="Calibri" w:hAnsi="Calibri" w:cs="Calibri"/>
          <w:sz w:val="24"/>
          <w:szCs w:val="24"/>
          <w:lang w:val="es-ES"/>
        </w:rPr>
        <w:t>Será preciso fortalecer el registro de avance en el sistema correspondiente para reflejar mejor los esfuerzos que se hacen dentro del departamento, sabiendo que el departamento muestra valores altos de severidad de pobreza, según los resultados de la Encuesta Nacional de Condiciones de Vida-ENCOVI- 2014. Ver tabla siguiente.</w:t>
      </w:r>
    </w:p>
    <w:p w14:paraId="7B8C512F" w14:textId="45DF89CE" w:rsidR="009578B0" w:rsidRPr="00A543DE" w:rsidRDefault="7351A6A1" w:rsidP="00AB6A48">
      <w:pPr>
        <w:pStyle w:val="ttulosgrficas"/>
        <w:rPr>
          <w:rFonts w:asciiTheme="minorHAnsi" w:eastAsia="Times New Roman" w:hAnsiTheme="minorHAnsi" w:cstheme="minorHAnsi"/>
          <w:color w:val="4472C4" w:themeColor="accent1"/>
          <w:lang w:val="es-ES"/>
        </w:rPr>
      </w:pPr>
      <w:bookmarkStart w:id="68" w:name="_Toc130199613"/>
      <w:r w:rsidRPr="00A543DE">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25</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A543DE">
        <w:rPr>
          <w:rFonts w:asciiTheme="minorHAnsi" w:eastAsia="Times New Roman" w:hAnsiTheme="minorHAnsi" w:cstheme="minorHAnsi"/>
          <w:color w:val="4472C4" w:themeColor="accent1"/>
          <w:lang w:val="es-ES"/>
        </w:rPr>
        <w:t xml:space="preserve"> Ejecución Física y Financiera, departamento de El Quiché</w:t>
      </w:r>
      <w:bookmarkEnd w:id="68"/>
    </w:p>
    <w:tbl>
      <w:tblPr>
        <w:tblStyle w:val="Tabladelista4-nfasis5"/>
        <w:tblW w:w="9435"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240"/>
        <w:gridCol w:w="1875"/>
        <w:gridCol w:w="1845"/>
        <w:gridCol w:w="1110"/>
        <w:gridCol w:w="1365"/>
      </w:tblGrid>
      <w:tr w:rsidR="7351A6A1" w14:paraId="47654F50" w14:textId="77777777" w:rsidTr="00EA3448">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tcMar>
              <w:left w:w="108" w:type="dxa"/>
              <w:right w:w="108" w:type="dxa"/>
            </w:tcMar>
            <w:vAlign w:val="center"/>
          </w:tcPr>
          <w:p w14:paraId="168F1E14" w14:textId="5A07B9D7" w:rsidR="7351A6A1" w:rsidRDefault="7351A6A1" w:rsidP="7351A6A1">
            <w:pPr>
              <w:jc w:val="center"/>
            </w:pPr>
            <w:r w:rsidRPr="7351A6A1">
              <w:rPr>
                <w:rFonts w:ascii="Calibri" w:eastAsia="Calibri" w:hAnsi="Calibri" w:cs="Calibri"/>
                <w:color w:val="000000" w:themeColor="text1"/>
              </w:rPr>
              <w:t>Municipio</w:t>
            </w:r>
          </w:p>
        </w:tc>
        <w:tc>
          <w:tcPr>
            <w:tcW w:w="1875" w:type="dxa"/>
            <w:tcBorders>
              <w:top w:val="none" w:sz="0" w:space="0" w:color="auto"/>
              <w:bottom w:val="none" w:sz="0" w:space="0" w:color="auto"/>
            </w:tcBorders>
            <w:tcMar>
              <w:left w:w="108" w:type="dxa"/>
              <w:right w:w="108" w:type="dxa"/>
            </w:tcMar>
            <w:vAlign w:val="center"/>
          </w:tcPr>
          <w:p w14:paraId="73804529" w14:textId="4B7E40B9" w:rsidR="7351A6A1" w:rsidRDefault="7351A6A1" w:rsidP="7351A6A1">
            <w:pPr>
              <w:jc w:val="center"/>
              <w:cnfStyle w:val="100000000000" w:firstRow="1"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Meta Financiera Anual Vigente</w:t>
            </w:r>
          </w:p>
        </w:tc>
        <w:tc>
          <w:tcPr>
            <w:tcW w:w="1845" w:type="dxa"/>
            <w:tcBorders>
              <w:top w:val="none" w:sz="0" w:space="0" w:color="auto"/>
              <w:bottom w:val="none" w:sz="0" w:space="0" w:color="auto"/>
            </w:tcBorders>
            <w:tcMar>
              <w:left w:w="108" w:type="dxa"/>
              <w:right w:w="108" w:type="dxa"/>
            </w:tcMar>
            <w:vAlign w:val="center"/>
          </w:tcPr>
          <w:p w14:paraId="41AC05FE" w14:textId="731D47D5" w:rsidR="7351A6A1" w:rsidRDefault="7351A6A1" w:rsidP="7351A6A1">
            <w:pPr>
              <w:jc w:val="center"/>
              <w:cnfStyle w:val="100000000000" w:firstRow="1"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Ejecución Financiera Acumulada</w:t>
            </w:r>
          </w:p>
        </w:tc>
        <w:tc>
          <w:tcPr>
            <w:tcW w:w="1110" w:type="dxa"/>
            <w:tcBorders>
              <w:top w:val="none" w:sz="0" w:space="0" w:color="auto"/>
              <w:bottom w:val="none" w:sz="0" w:space="0" w:color="auto"/>
            </w:tcBorders>
            <w:tcMar>
              <w:left w:w="108" w:type="dxa"/>
              <w:right w:w="108" w:type="dxa"/>
            </w:tcMar>
            <w:vAlign w:val="center"/>
          </w:tcPr>
          <w:p w14:paraId="32F6FA7A" w14:textId="0C73D394" w:rsidR="7351A6A1" w:rsidRDefault="7351A6A1" w:rsidP="7351A6A1">
            <w:pPr>
              <w:jc w:val="center"/>
              <w:cnfStyle w:val="100000000000" w:firstRow="1"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 de Ejecución Física</w:t>
            </w:r>
          </w:p>
        </w:tc>
        <w:tc>
          <w:tcPr>
            <w:tcW w:w="1365" w:type="dxa"/>
            <w:tcBorders>
              <w:top w:val="none" w:sz="0" w:space="0" w:color="auto"/>
              <w:bottom w:val="none" w:sz="0" w:space="0" w:color="auto"/>
              <w:right w:val="none" w:sz="0" w:space="0" w:color="auto"/>
            </w:tcBorders>
            <w:tcMar>
              <w:left w:w="108" w:type="dxa"/>
              <w:right w:w="108" w:type="dxa"/>
            </w:tcMar>
            <w:vAlign w:val="center"/>
          </w:tcPr>
          <w:p w14:paraId="2C8F6A5D" w14:textId="6E213777" w:rsidR="7351A6A1" w:rsidRDefault="34D87270" w:rsidP="7351A6A1">
            <w:pPr>
              <w:jc w:val="center"/>
              <w:cnfStyle w:val="100000000000" w:firstRow="1"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 de Ejecución Financiera</w:t>
            </w:r>
          </w:p>
        </w:tc>
      </w:tr>
      <w:tr w:rsidR="7351A6A1" w14:paraId="3FC0DC02"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6696F539" w14:textId="77AE7421" w:rsidR="7351A6A1" w:rsidRDefault="7351A6A1" w:rsidP="7351A6A1">
            <w:r w:rsidRPr="7351A6A1">
              <w:rPr>
                <w:rFonts w:ascii="Calibri" w:eastAsia="Calibri" w:hAnsi="Calibri" w:cs="Calibri"/>
                <w:color w:val="000000" w:themeColor="text1"/>
              </w:rPr>
              <w:t xml:space="preserve"> Todo el Departamento</w:t>
            </w:r>
          </w:p>
        </w:tc>
        <w:tc>
          <w:tcPr>
            <w:tcW w:w="1875" w:type="dxa"/>
            <w:tcMar>
              <w:left w:w="108" w:type="dxa"/>
              <w:right w:w="108" w:type="dxa"/>
            </w:tcMar>
          </w:tcPr>
          <w:p w14:paraId="3A1480F6" w14:textId="4B897161"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b/>
                <w:bCs/>
                <w:color w:val="000000" w:themeColor="text1"/>
              </w:rPr>
              <w:t>Q633,037,006.17</w:t>
            </w:r>
          </w:p>
        </w:tc>
        <w:tc>
          <w:tcPr>
            <w:tcW w:w="1845" w:type="dxa"/>
            <w:tcMar>
              <w:left w:w="108" w:type="dxa"/>
              <w:right w:w="108" w:type="dxa"/>
            </w:tcMar>
          </w:tcPr>
          <w:p w14:paraId="129A6207" w14:textId="7D467FF5"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b/>
                <w:bCs/>
                <w:color w:val="000000" w:themeColor="text1"/>
              </w:rPr>
              <w:t>Q340,690,530.04</w:t>
            </w:r>
          </w:p>
        </w:tc>
        <w:tc>
          <w:tcPr>
            <w:tcW w:w="1110" w:type="dxa"/>
            <w:shd w:val="clear" w:color="auto" w:fill="FFFF00"/>
            <w:tcMar>
              <w:left w:w="108" w:type="dxa"/>
              <w:right w:w="108" w:type="dxa"/>
            </w:tcMar>
            <w:vAlign w:val="bottom"/>
          </w:tcPr>
          <w:p w14:paraId="2C4E9FA9" w14:textId="45D022F3"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b/>
                <w:bCs/>
                <w:color w:val="000000" w:themeColor="text1"/>
              </w:rPr>
              <w:t>53.08%</w:t>
            </w:r>
          </w:p>
        </w:tc>
        <w:tc>
          <w:tcPr>
            <w:tcW w:w="1365" w:type="dxa"/>
            <w:shd w:val="clear" w:color="auto" w:fill="FFFF00"/>
            <w:tcMar>
              <w:left w:w="108" w:type="dxa"/>
              <w:right w:w="108" w:type="dxa"/>
            </w:tcMar>
            <w:vAlign w:val="bottom"/>
          </w:tcPr>
          <w:p w14:paraId="7DFC7CD5" w14:textId="0EFC7712"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b/>
                <w:bCs/>
                <w:color w:val="000000" w:themeColor="text1"/>
              </w:rPr>
              <w:t>53.82%</w:t>
            </w:r>
          </w:p>
        </w:tc>
      </w:tr>
      <w:tr w:rsidR="7351A6A1" w14:paraId="4B16A367"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5AB40D8C" w14:textId="42CBF269"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Chajul</w:t>
            </w:r>
          </w:p>
        </w:tc>
        <w:tc>
          <w:tcPr>
            <w:tcW w:w="1875" w:type="dxa"/>
            <w:tcMar>
              <w:left w:w="108" w:type="dxa"/>
              <w:right w:w="108" w:type="dxa"/>
            </w:tcMar>
          </w:tcPr>
          <w:p w14:paraId="5C9C9230" w14:textId="691DD0A1"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Q50,986,725.87</w:t>
            </w:r>
          </w:p>
        </w:tc>
        <w:tc>
          <w:tcPr>
            <w:tcW w:w="1845" w:type="dxa"/>
            <w:tcMar>
              <w:left w:w="108" w:type="dxa"/>
              <w:right w:w="108" w:type="dxa"/>
            </w:tcMar>
          </w:tcPr>
          <w:p w14:paraId="25D73C57" w14:textId="7EADA96F"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Q36,976,960.42</w:t>
            </w:r>
          </w:p>
        </w:tc>
        <w:tc>
          <w:tcPr>
            <w:tcW w:w="1110" w:type="dxa"/>
            <w:shd w:val="clear" w:color="auto" w:fill="FFFF00"/>
            <w:tcMar>
              <w:left w:w="108" w:type="dxa"/>
              <w:right w:w="108" w:type="dxa"/>
            </w:tcMar>
            <w:vAlign w:val="bottom"/>
          </w:tcPr>
          <w:p w14:paraId="73F3C952" w14:textId="6E129D20"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79.85%</w:t>
            </w:r>
          </w:p>
        </w:tc>
        <w:tc>
          <w:tcPr>
            <w:tcW w:w="1365" w:type="dxa"/>
            <w:shd w:val="clear" w:color="auto" w:fill="FFFF00"/>
            <w:tcMar>
              <w:left w:w="108" w:type="dxa"/>
              <w:right w:w="108" w:type="dxa"/>
            </w:tcMar>
            <w:vAlign w:val="bottom"/>
          </w:tcPr>
          <w:p w14:paraId="719D3D26" w14:textId="153CDFFD"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72.52%</w:t>
            </w:r>
          </w:p>
        </w:tc>
      </w:tr>
      <w:tr w:rsidR="7351A6A1" w14:paraId="71381D0B"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7B516AA7" w14:textId="0A0A28B4"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Chicamán</w:t>
            </w:r>
          </w:p>
        </w:tc>
        <w:tc>
          <w:tcPr>
            <w:tcW w:w="1875" w:type="dxa"/>
            <w:tcMar>
              <w:left w:w="108" w:type="dxa"/>
              <w:right w:w="108" w:type="dxa"/>
            </w:tcMar>
          </w:tcPr>
          <w:p w14:paraId="6180F687" w14:textId="38328C98"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Q24,936,042.36</w:t>
            </w:r>
          </w:p>
        </w:tc>
        <w:tc>
          <w:tcPr>
            <w:tcW w:w="1845" w:type="dxa"/>
            <w:tcMar>
              <w:left w:w="108" w:type="dxa"/>
              <w:right w:w="108" w:type="dxa"/>
            </w:tcMar>
          </w:tcPr>
          <w:p w14:paraId="0F63254D" w14:textId="7AC1F478"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Q14,937,423.53</w:t>
            </w:r>
          </w:p>
        </w:tc>
        <w:tc>
          <w:tcPr>
            <w:tcW w:w="1110" w:type="dxa"/>
            <w:shd w:val="clear" w:color="auto" w:fill="FFFF00"/>
            <w:tcMar>
              <w:left w:w="108" w:type="dxa"/>
              <w:right w:w="108" w:type="dxa"/>
            </w:tcMar>
            <w:vAlign w:val="bottom"/>
          </w:tcPr>
          <w:p w14:paraId="63011735" w14:textId="199D08DE"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75.78%</w:t>
            </w:r>
          </w:p>
        </w:tc>
        <w:tc>
          <w:tcPr>
            <w:tcW w:w="1365" w:type="dxa"/>
            <w:shd w:val="clear" w:color="auto" w:fill="FFFF00"/>
            <w:tcMar>
              <w:left w:w="108" w:type="dxa"/>
              <w:right w:w="108" w:type="dxa"/>
            </w:tcMar>
            <w:vAlign w:val="bottom"/>
          </w:tcPr>
          <w:p w14:paraId="392813CC" w14:textId="6288F7E2"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59.90%</w:t>
            </w:r>
          </w:p>
        </w:tc>
      </w:tr>
      <w:tr w:rsidR="7351A6A1" w14:paraId="12508D51"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5E6392C2" w14:textId="473CDE0C"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Cunén</w:t>
            </w:r>
          </w:p>
        </w:tc>
        <w:tc>
          <w:tcPr>
            <w:tcW w:w="1875" w:type="dxa"/>
            <w:tcMar>
              <w:left w:w="108" w:type="dxa"/>
              <w:right w:w="108" w:type="dxa"/>
            </w:tcMar>
          </w:tcPr>
          <w:p w14:paraId="63E28047" w14:textId="1CFF9E4F"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Q47,821,943.27</w:t>
            </w:r>
          </w:p>
        </w:tc>
        <w:tc>
          <w:tcPr>
            <w:tcW w:w="1845" w:type="dxa"/>
            <w:tcMar>
              <w:left w:w="108" w:type="dxa"/>
              <w:right w:w="108" w:type="dxa"/>
            </w:tcMar>
          </w:tcPr>
          <w:p w14:paraId="238ADB4F" w14:textId="63B2D892"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Q35,837,239.97</w:t>
            </w:r>
          </w:p>
        </w:tc>
        <w:tc>
          <w:tcPr>
            <w:tcW w:w="1110" w:type="dxa"/>
            <w:shd w:val="clear" w:color="auto" w:fill="FFFF00"/>
            <w:tcMar>
              <w:left w:w="108" w:type="dxa"/>
              <w:right w:w="108" w:type="dxa"/>
            </w:tcMar>
            <w:vAlign w:val="bottom"/>
          </w:tcPr>
          <w:p w14:paraId="153C6978" w14:textId="6F8B8A0D"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73.73%</w:t>
            </w:r>
          </w:p>
        </w:tc>
        <w:tc>
          <w:tcPr>
            <w:tcW w:w="1365" w:type="dxa"/>
            <w:shd w:val="clear" w:color="auto" w:fill="FFFF00"/>
            <w:tcMar>
              <w:left w:w="108" w:type="dxa"/>
              <w:right w:w="108" w:type="dxa"/>
            </w:tcMar>
            <w:vAlign w:val="bottom"/>
          </w:tcPr>
          <w:p w14:paraId="7C148599" w14:textId="021DAAA1"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74.94%</w:t>
            </w:r>
          </w:p>
        </w:tc>
      </w:tr>
      <w:tr w:rsidR="7351A6A1" w14:paraId="2F311C99"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284D6BDB" w14:textId="3B13A708"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Pachalum</w:t>
            </w:r>
          </w:p>
        </w:tc>
        <w:tc>
          <w:tcPr>
            <w:tcW w:w="1875" w:type="dxa"/>
            <w:tcMar>
              <w:left w:w="108" w:type="dxa"/>
              <w:right w:w="108" w:type="dxa"/>
            </w:tcMar>
          </w:tcPr>
          <w:p w14:paraId="26082C4C" w14:textId="4EBCF8A1"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Q37,390,665.04</w:t>
            </w:r>
          </w:p>
        </w:tc>
        <w:tc>
          <w:tcPr>
            <w:tcW w:w="1845" w:type="dxa"/>
            <w:tcMar>
              <w:left w:w="108" w:type="dxa"/>
              <w:right w:w="108" w:type="dxa"/>
            </w:tcMar>
          </w:tcPr>
          <w:p w14:paraId="15785075" w14:textId="36881BCC"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Q27,583,379.25</w:t>
            </w:r>
          </w:p>
        </w:tc>
        <w:tc>
          <w:tcPr>
            <w:tcW w:w="1110" w:type="dxa"/>
            <w:shd w:val="clear" w:color="auto" w:fill="FFFF00"/>
            <w:tcMar>
              <w:left w:w="108" w:type="dxa"/>
              <w:right w:w="108" w:type="dxa"/>
            </w:tcMar>
            <w:vAlign w:val="bottom"/>
          </w:tcPr>
          <w:p w14:paraId="29C3425F" w14:textId="4FB42F60"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73.31%</w:t>
            </w:r>
          </w:p>
        </w:tc>
        <w:tc>
          <w:tcPr>
            <w:tcW w:w="1365" w:type="dxa"/>
            <w:shd w:val="clear" w:color="auto" w:fill="FFFF00"/>
            <w:tcMar>
              <w:left w:w="108" w:type="dxa"/>
              <w:right w:w="108" w:type="dxa"/>
            </w:tcMar>
            <w:vAlign w:val="bottom"/>
          </w:tcPr>
          <w:p w14:paraId="3DCD004E" w14:textId="1A3325BA"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73.77%</w:t>
            </w:r>
          </w:p>
        </w:tc>
      </w:tr>
      <w:tr w:rsidR="7351A6A1" w14:paraId="07D4C376"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1120478B" w14:textId="1C4DDFC3"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Canillá</w:t>
            </w:r>
          </w:p>
        </w:tc>
        <w:tc>
          <w:tcPr>
            <w:tcW w:w="1875" w:type="dxa"/>
            <w:tcMar>
              <w:left w:w="108" w:type="dxa"/>
              <w:right w:w="108" w:type="dxa"/>
            </w:tcMar>
          </w:tcPr>
          <w:p w14:paraId="3F1B7D79" w14:textId="210F5EC4"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Q23,099,917.54</w:t>
            </w:r>
          </w:p>
        </w:tc>
        <w:tc>
          <w:tcPr>
            <w:tcW w:w="1845" w:type="dxa"/>
            <w:tcMar>
              <w:left w:w="108" w:type="dxa"/>
              <w:right w:w="108" w:type="dxa"/>
            </w:tcMar>
          </w:tcPr>
          <w:p w14:paraId="4C5AFC8D" w14:textId="523E6BD3"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Q13,804,843.51</w:t>
            </w:r>
          </w:p>
        </w:tc>
        <w:tc>
          <w:tcPr>
            <w:tcW w:w="1110" w:type="dxa"/>
            <w:shd w:val="clear" w:color="auto" w:fill="FFFF00"/>
            <w:tcMar>
              <w:left w:w="108" w:type="dxa"/>
              <w:right w:w="108" w:type="dxa"/>
            </w:tcMar>
            <w:vAlign w:val="bottom"/>
          </w:tcPr>
          <w:p w14:paraId="41C26830" w14:textId="44DE2B5F"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72.83%</w:t>
            </w:r>
          </w:p>
        </w:tc>
        <w:tc>
          <w:tcPr>
            <w:tcW w:w="1365" w:type="dxa"/>
            <w:shd w:val="clear" w:color="auto" w:fill="FFFF00"/>
            <w:tcMar>
              <w:left w:w="108" w:type="dxa"/>
              <w:right w:w="108" w:type="dxa"/>
            </w:tcMar>
            <w:vAlign w:val="bottom"/>
          </w:tcPr>
          <w:p w14:paraId="55D3AF39" w14:textId="358DE997"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59.76%</w:t>
            </w:r>
          </w:p>
        </w:tc>
      </w:tr>
      <w:tr w:rsidR="7351A6A1" w14:paraId="3348C537"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1E2ABB31" w14:textId="6C818B6D"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Santa Cruz del Quiché</w:t>
            </w:r>
          </w:p>
        </w:tc>
        <w:tc>
          <w:tcPr>
            <w:tcW w:w="1875" w:type="dxa"/>
            <w:tcMar>
              <w:left w:w="108" w:type="dxa"/>
              <w:right w:w="108" w:type="dxa"/>
            </w:tcMar>
          </w:tcPr>
          <w:p w14:paraId="58B28BD0" w14:textId="25859D72"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Q53,371,498.20</w:t>
            </w:r>
          </w:p>
        </w:tc>
        <w:tc>
          <w:tcPr>
            <w:tcW w:w="1845" w:type="dxa"/>
            <w:tcMar>
              <w:left w:w="108" w:type="dxa"/>
              <w:right w:w="108" w:type="dxa"/>
            </w:tcMar>
          </w:tcPr>
          <w:p w14:paraId="62B0657D" w14:textId="0FC7C88F"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Q42,583,561.21</w:t>
            </w:r>
          </w:p>
        </w:tc>
        <w:tc>
          <w:tcPr>
            <w:tcW w:w="1110" w:type="dxa"/>
            <w:shd w:val="clear" w:color="auto" w:fill="FFFF00"/>
            <w:tcMar>
              <w:left w:w="108" w:type="dxa"/>
              <w:right w:w="108" w:type="dxa"/>
            </w:tcMar>
            <w:vAlign w:val="bottom"/>
          </w:tcPr>
          <w:p w14:paraId="08ECC2F2" w14:textId="266E44F0"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71.53%</w:t>
            </w:r>
          </w:p>
        </w:tc>
        <w:tc>
          <w:tcPr>
            <w:tcW w:w="1365" w:type="dxa"/>
            <w:shd w:val="clear" w:color="auto" w:fill="FFFF00"/>
            <w:tcMar>
              <w:left w:w="108" w:type="dxa"/>
              <w:right w:w="108" w:type="dxa"/>
            </w:tcMar>
            <w:vAlign w:val="bottom"/>
          </w:tcPr>
          <w:p w14:paraId="1C9E4D1A" w14:textId="56D81A59"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79.79%</w:t>
            </w:r>
          </w:p>
        </w:tc>
      </w:tr>
      <w:tr w:rsidR="7351A6A1" w14:paraId="2DD7C633"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01E2BB6C" w14:textId="6D4019B0"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Chinique</w:t>
            </w:r>
          </w:p>
        </w:tc>
        <w:tc>
          <w:tcPr>
            <w:tcW w:w="1875" w:type="dxa"/>
            <w:tcMar>
              <w:left w:w="108" w:type="dxa"/>
              <w:right w:w="108" w:type="dxa"/>
            </w:tcMar>
          </w:tcPr>
          <w:p w14:paraId="4632F2A0" w14:textId="3BFB91FE"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Q10,230,144.12</w:t>
            </w:r>
          </w:p>
        </w:tc>
        <w:tc>
          <w:tcPr>
            <w:tcW w:w="1845" w:type="dxa"/>
            <w:tcMar>
              <w:left w:w="108" w:type="dxa"/>
              <w:right w:w="108" w:type="dxa"/>
            </w:tcMar>
          </w:tcPr>
          <w:p w14:paraId="2A96A504" w14:textId="3C872CDD"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Q7,431,363.46</w:t>
            </w:r>
          </w:p>
        </w:tc>
        <w:tc>
          <w:tcPr>
            <w:tcW w:w="1110" w:type="dxa"/>
            <w:shd w:val="clear" w:color="auto" w:fill="FFFF00"/>
            <w:tcMar>
              <w:left w:w="108" w:type="dxa"/>
              <w:right w:w="108" w:type="dxa"/>
            </w:tcMar>
            <w:vAlign w:val="bottom"/>
          </w:tcPr>
          <w:p w14:paraId="51B16EF2" w14:textId="0FD6A291"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68.11%</w:t>
            </w:r>
          </w:p>
        </w:tc>
        <w:tc>
          <w:tcPr>
            <w:tcW w:w="1365" w:type="dxa"/>
            <w:shd w:val="clear" w:color="auto" w:fill="FFFF00"/>
            <w:tcMar>
              <w:left w:w="108" w:type="dxa"/>
              <w:right w:w="108" w:type="dxa"/>
            </w:tcMar>
            <w:vAlign w:val="bottom"/>
          </w:tcPr>
          <w:p w14:paraId="5808D145" w14:textId="1443988A"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72.64%</w:t>
            </w:r>
          </w:p>
        </w:tc>
      </w:tr>
      <w:tr w:rsidR="7351A6A1" w14:paraId="37125053"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173645A5" w14:textId="02F49F4A"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Nebaj</w:t>
            </w:r>
          </w:p>
        </w:tc>
        <w:tc>
          <w:tcPr>
            <w:tcW w:w="1875" w:type="dxa"/>
            <w:tcMar>
              <w:left w:w="108" w:type="dxa"/>
              <w:right w:w="108" w:type="dxa"/>
            </w:tcMar>
          </w:tcPr>
          <w:p w14:paraId="350E9369" w14:textId="70C62B25"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Q34,029,855.22</w:t>
            </w:r>
          </w:p>
        </w:tc>
        <w:tc>
          <w:tcPr>
            <w:tcW w:w="1845" w:type="dxa"/>
            <w:tcMar>
              <w:left w:w="108" w:type="dxa"/>
              <w:right w:w="108" w:type="dxa"/>
            </w:tcMar>
          </w:tcPr>
          <w:p w14:paraId="580E6E8D" w14:textId="7C12FF71"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Q21,207,875.45</w:t>
            </w:r>
          </w:p>
        </w:tc>
        <w:tc>
          <w:tcPr>
            <w:tcW w:w="1110" w:type="dxa"/>
            <w:shd w:val="clear" w:color="auto" w:fill="FFFF00"/>
            <w:tcMar>
              <w:left w:w="108" w:type="dxa"/>
              <w:right w:w="108" w:type="dxa"/>
            </w:tcMar>
            <w:vAlign w:val="bottom"/>
          </w:tcPr>
          <w:p w14:paraId="736DE2DF" w14:textId="50678B87"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60.58%</w:t>
            </w:r>
          </w:p>
        </w:tc>
        <w:tc>
          <w:tcPr>
            <w:tcW w:w="1365" w:type="dxa"/>
            <w:shd w:val="clear" w:color="auto" w:fill="FFFF00"/>
            <w:tcMar>
              <w:left w:w="108" w:type="dxa"/>
              <w:right w:w="108" w:type="dxa"/>
            </w:tcMar>
            <w:vAlign w:val="bottom"/>
          </w:tcPr>
          <w:p w14:paraId="46175DE9" w14:textId="6D6B75BC"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62.32%</w:t>
            </w:r>
          </w:p>
        </w:tc>
      </w:tr>
      <w:tr w:rsidR="7351A6A1" w14:paraId="581A3486"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7433B6D9" w14:textId="6EF8824F"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Patzité</w:t>
            </w:r>
          </w:p>
        </w:tc>
        <w:tc>
          <w:tcPr>
            <w:tcW w:w="1875" w:type="dxa"/>
            <w:tcMar>
              <w:left w:w="108" w:type="dxa"/>
              <w:right w:w="108" w:type="dxa"/>
            </w:tcMar>
          </w:tcPr>
          <w:p w14:paraId="2A24D2B0" w14:textId="6710372D"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Q26,390,108.13</w:t>
            </w:r>
          </w:p>
        </w:tc>
        <w:tc>
          <w:tcPr>
            <w:tcW w:w="1845" w:type="dxa"/>
            <w:tcMar>
              <w:left w:w="108" w:type="dxa"/>
              <w:right w:w="108" w:type="dxa"/>
            </w:tcMar>
          </w:tcPr>
          <w:p w14:paraId="51DA5DA4" w14:textId="3C662ECA"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Q19,177,497.39</w:t>
            </w:r>
          </w:p>
        </w:tc>
        <w:tc>
          <w:tcPr>
            <w:tcW w:w="1110" w:type="dxa"/>
            <w:shd w:val="clear" w:color="auto" w:fill="FFFF00"/>
            <w:tcMar>
              <w:left w:w="108" w:type="dxa"/>
              <w:right w:w="108" w:type="dxa"/>
            </w:tcMar>
            <w:vAlign w:val="bottom"/>
          </w:tcPr>
          <w:p w14:paraId="09531BCD" w14:textId="3CA40FFF"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59.76%</w:t>
            </w:r>
          </w:p>
        </w:tc>
        <w:tc>
          <w:tcPr>
            <w:tcW w:w="1365" w:type="dxa"/>
            <w:shd w:val="clear" w:color="auto" w:fill="FFFF00"/>
            <w:tcMar>
              <w:left w:w="108" w:type="dxa"/>
              <w:right w:w="108" w:type="dxa"/>
            </w:tcMar>
            <w:vAlign w:val="bottom"/>
          </w:tcPr>
          <w:p w14:paraId="33230212" w14:textId="30859DB5"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72.67%</w:t>
            </w:r>
          </w:p>
        </w:tc>
      </w:tr>
      <w:tr w:rsidR="7351A6A1" w14:paraId="58C0176F"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56A1B98A" w14:textId="48CD94A0"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San Antonio Ilotenango</w:t>
            </w:r>
          </w:p>
        </w:tc>
        <w:tc>
          <w:tcPr>
            <w:tcW w:w="1875" w:type="dxa"/>
            <w:tcMar>
              <w:left w:w="108" w:type="dxa"/>
              <w:right w:w="108" w:type="dxa"/>
            </w:tcMar>
          </w:tcPr>
          <w:p w14:paraId="287AE9F1" w14:textId="06989DA5"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Q48,261,300.99</w:t>
            </w:r>
          </w:p>
        </w:tc>
        <w:tc>
          <w:tcPr>
            <w:tcW w:w="1845" w:type="dxa"/>
            <w:tcMar>
              <w:left w:w="108" w:type="dxa"/>
              <w:right w:w="108" w:type="dxa"/>
            </w:tcMar>
          </w:tcPr>
          <w:p w14:paraId="1AAA1073" w14:textId="1F37A95A"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Q26,981,508.64</w:t>
            </w:r>
          </w:p>
        </w:tc>
        <w:tc>
          <w:tcPr>
            <w:tcW w:w="1110" w:type="dxa"/>
            <w:shd w:val="clear" w:color="auto" w:fill="FFFF00"/>
            <w:tcMar>
              <w:left w:w="108" w:type="dxa"/>
              <w:right w:w="108" w:type="dxa"/>
            </w:tcMar>
            <w:vAlign w:val="bottom"/>
          </w:tcPr>
          <w:p w14:paraId="615AE4DC" w14:textId="781770F0"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52.22%</w:t>
            </w:r>
          </w:p>
        </w:tc>
        <w:tc>
          <w:tcPr>
            <w:tcW w:w="1365" w:type="dxa"/>
            <w:shd w:val="clear" w:color="auto" w:fill="FFFF00"/>
            <w:tcMar>
              <w:left w:w="108" w:type="dxa"/>
              <w:right w:w="108" w:type="dxa"/>
            </w:tcMar>
            <w:vAlign w:val="bottom"/>
          </w:tcPr>
          <w:p w14:paraId="10769E32" w14:textId="0382218B"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55.91%</w:t>
            </w:r>
          </w:p>
        </w:tc>
      </w:tr>
      <w:tr w:rsidR="7351A6A1" w14:paraId="4F77EE9F"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07B63D15" w14:textId="2EA39156"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San Bartolomé Jocotenango</w:t>
            </w:r>
          </w:p>
        </w:tc>
        <w:tc>
          <w:tcPr>
            <w:tcW w:w="1875" w:type="dxa"/>
            <w:tcMar>
              <w:left w:w="108" w:type="dxa"/>
              <w:right w:w="108" w:type="dxa"/>
            </w:tcMar>
          </w:tcPr>
          <w:p w14:paraId="48794C5D" w14:textId="489D5E45"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Q21,721,355.89</w:t>
            </w:r>
          </w:p>
        </w:tc>
        <w:tc>
          <w:tcPr>
            <w:tcW w:w="1845" w:type="dxa"/>
            <w:tcMar>
              <w:left w:w="108" w:type="dxa"/>
              <w:right w:w="108" w:type="dxa"/>
            </w:tcMar>
          </w:tcPr>
          <w:p w14:paraId="2BB5EC40" w14:textId="27FFFF51"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Q17,083,004.68</w:t>
            </w:r>
          </w:p>
        </w:tc>
        <w:tc>
          <w:tcPr>
            <w:tcW w:w="1110" w:type="dxa"/>
            <w:shd w:val="clear" w:color="auto" w:fill="FFFF00"/>
            <w:tcMar>
              <w:left w:w="108" w:type="dxa"/>
              <w:right w:w="108" w:type="dxa"/>
            </w:tcMar>
            <w:vAlign w:val="bottom"/>
          </w:tcPr>
          <w:p w14:paraId="23703821" w14:textId="76432DD6"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50.00%</w:t>
            </w:r>
          </w:p>
        </w:tc>
        <w:tc>
          <w:tcPr>
            <w:tcW w:w="1365" w:type="dxa"/>
            <w:shd w:val="clear" w:color="auto" w:fill="FFFF00"/>
            <w:tcMar>
              <w:left w:w="108" w:type="dxa"/>
              <w:right w:w="108" w:type="dxa"/>
            </w:tcMar>
            <w:vAlign w:val="bottom"/>
          </w:tcPr>
          <w:p w14:paraId="31A979D3" w14:textId="41041EBD"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78.65%</w:t>
            </w:r>
          </w:p>
        </w:tc>
      </w:tr>
      <w:tr w:rsidR="7351A6A1" w14:paraId="6D6CE8F5"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224478BB" w14:textId="3BFCAB5E"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Zacualpa</w:t>
            </w:r>
          </w:p>
        </w:tc>
        <w:tc>
          <w:tcPr>
            <w:tcW w:w="1875" w:type="dxa"/>
            <w:tcMar>
              <w:left w:w="108" w:type="dxa"/>
              <w:right w:w="108" w:type="dxa"/>
            </w:tcMar>
          </w:tcPr>
          <w:p w14:paraId="1667B6EC" w14:textId="5AFE8E52"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Q14,302,974.00</w:t>
            </w:r>
          </w:p>
        </w:tc>
        <w:tc>
          <w:tcPr>
            <w:tcW w:w="1845" w:type="dxa"/>
            <w:tcMar>
              <w:left w:w="108" w:type="dxa"/>
              <w:right w:w="108" w:type="dxa"/>
            </w:tcMar>
          </w:tcPr>
          <w:p w14:paraId="3C27AFB7" w14:textId="132545DB"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Q7,965,872.00</w:t>
            </w:r>
          </w:p>
        </w:tc>
        <w:tc>
          <w:tcPr>
            <w:tcW w:w="1110" w:type="dxa"/>
            <w:shd w:val="clear" w:color="auto" w:fill="C00000"/>
            <w:tcMar>
              <w:left w:w="108" w:type="dxa"/>
              <w:right w:w="108" w:type="dxa"/>
            </w:tcMar>
            <w:vAlign w:val="bottom"/>
          </w:tcPr>
          <w:p w14:paraId="4FD47E1D" w14:textId="7D14B69E"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41.91%</w:t>
            </w:r>
          </w:p>
        </w:tc>
        <w:tc>
          <w:tcPr>
            <w:tcW w:w="1365" w:type="dxa"/>
            <w:shd w:val="clear" w:color="auto" w:fill="FFFF00"/>
            <w:tcMar>
              <w:left w:w="108" w:type="dxa"/>
              <w:right w:w="108" w:type="dxa"/>
            </w:tcMar>
            <w:vAlign w:val="bottom"/>
          </w:tcPr>
          <w:p w14:paraId="445263FF" w14:textId="15D962B8"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55.69%</w:t>
            </w:r>
          </w:p>
        </w:tc>
      </w:tr>
      <w:tr w:rsidR="7351A6A1" w14:paraId="757DA2AE"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277326B8" w14:textId="18F3596F"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Sacapulas</w:t>
            </w:r>
          </w:p>
        </w:tc>
        <w:tc>
          <w:tcPr>
            <w:tcW w:w="1875" w:type="dxa"/>
            <w:tcMar>
              <w:left w:w="108" w:type="dxa"/>
              <w:right w:w="108" w:type="dxa"/>
            </w:tcMar>
          </w:tcPr>
          <w:p w14:paraId="1C91F44B" w14:textId="5BC2118C"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Q20,542,916.23</w:t>
            </w:r>
          </w:p>
        </w:tc>
        <w:tc>
          <w:tcPr>
            <w:tcW w:w="1845" w:type="dxa"/>
            <w:tcMar>
              <w:left w:w="108" w:type="dxa"/>
              <w:right w:w="108" w:type="dxa"/>
            </w:tcMar>
          </w:tcPr>
          <w:p w14:paraId="45DCCD06" w14:textId="7BA635CB"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Q8,232,744.16</w:t>
            </w:r>
          </w:p>
        </w:tc>
        <w:tc>
          <w:tcPr>
            <w:tcW w:w="1110" w:type="dxa"/>
            <w:shd w:val="clear" w:color="auto" w:fill="C00000"/>
            <w:tcMar>
              <w:left w:w="108" w:type="dxa"/>
              <w:right w:w="108" w:type="dxa"/>
            </w:tcMar>
            <w:vAlign w:val="bottom"/>
          </w:tcPr>
          <w:p w14:paraId="08BF3948" w14:textId="4A40B55C"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37.28%</w:t>
            </w:r>
          </w:p>
        </w:tc>
        <w:tc>
          <w:tcPr>
            <w:tcW w:w="1365" w:type="dxa"/>
            <w:shd w:val="clear" w:color="auto" w:fill="C00000"/>
            <w:tcMar>
              <w:left w:w="108" w:type="dxa"/>
              <w:right w:w="108" w:type="dxa"/>
            </w:tcMar>
            <w:vAlign w:val="bottom"/>
          </w:tcPr>
          <w:p w14:paraId="571F1DF3" w14:textId="675A0854"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40.08%</w:t>
            </w:r>
          </w:p>
        </w:tc>
      </w:tr>
      <w:tr w:rsidR="7351A6A1" w14:paraId="4A88EEA5"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7EAFB60D" w14:textId="14337840"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Uspantán</w:t>
            </w:r>
          </w:p>
        </w:tc>
        <w:tc>
          <w:tcPr>
            <w:tcW w:w="1875" w:type="dxa"/>
            <w:tcMar>
              <w:left w:w="108" w:type="dxa"/>
              <w:right w:w="108" w:type="dxa"/>
            </w:tcMar>
          </w:tcPr>
          <w:p w14:paraId="4A088D13" w14:textId="071F9033"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Q44,778,670.00</w:t>
            </w:r>
          </w:p>
        </w:tc>
        <w:tc>
          <w:tcPr>
            <w:tcW w:w="1845" w:type="dxa"/>
            <w:tcMar>
              <w:left w:w="108" w:type="dxa"/>
              <w:right w:w="108" w:type="dxa"/>
            </w:tcMar>
          </w:tcPr>
          <w:p w14:paraId="2DAD65F9" w14:textId="242D1225"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Q16,902,018.14</w:t>
            </w:r>
          </w:p>
        </w:tc>
        <w:tc>
          <w:tcPr>
            <w:tcW w:w="1110" w:type="dxa"/>
            <w:shd w:val="clear" w:color="auto" w:fill="C00000"/>
            <w:tcMar>
              <w:left w:w="108" w:type="dxa"/>
              <w:right w:w="108" w:type="dxa"/>
            </w:tcMar>
            <w:vAlign w:val="bottom"/>
          </w:tcPr>
          <w:p w14:paraId="633E5C8E" w14:textId="0CCDDC68"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34.10%</w:t>
            </w:r>
          </w:p>
        </w:tc>
        <w:tc>
          <w:tcPr>
            <w:tcW w:w="1365" w:type="dxa"/>
            <w:shd w:val="clear" w:color="auto" w:fill="C00000"/>
            <w:tcMar>
              <w:left w:w="108" w:type="dxa"/>
              <w:right w:w="108" w:type="dxa"/>
            </w:tcMar>
            <w:vAlign w:val="bottom"/>
          </w:tcPr>
          <w:p w14:paraId="2A3FDE7F" w14:textId="562AB1C0"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37.75%</w:t>
            </w:r>
          </w:p>
        </w:tc>
      </w:tr>
      <w:tr w:rsidR="7351A6A1" w14:paraId="46408BF3"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5357E1D1" w14:textId="5888DE59"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San Andrés Sajcabajá</w:t>
            </w:r>
          </w:p>
        </w:tc>
        <w:tc>
          <w:tcPr>
            <w:tcW w:w="1875" w:type="dxa"/>
            <w:tcMar>
              <w:left w:w="108" w:type="dxa"/>
              <w:right w:w="108" w:type="dxa"/>
            </w:tcMar>
          </w:tcPr>
          <w:p w14:paraId="6FB6E609" w14:textId="77F66DE0"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Q32,556,570.43</w:t>
            </w:r>
          </w:p>
        </w:tc>
        <w:tc>
          <w:tcPr>
            <w:tcW w:w="1845" w:type="dxa"/>
            <w:tcMar>
              <w:left w:w="108" w:type="dxa"/>
              <w:right w:w="108" w:type="dxa"/>
            </w:tcMar>
          </w:tcPr>
          <w:p w14:paraId="56D7EB01" w14:textId="1738352C"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Q15,653,068.10</w:t>
            </w:r>
          </w:p>
        </w:tc>
        <w:tc>
          <w:tcPr>
            <w:tcW w:w="1110" w:type="dxa"/>
            <w:shd w:val="clear" w:color="auto" w:fill="C00000"/>
            <w:tcMar>
              <w:left w:w="108" w:type="dxa"/>
              <w:right w:w="108" w:type="dxa"/>
            </w:tcMar>
            <w:vAlign w:val="bottom"/>
          </w:tcPr>
          <w:p w14:paraId="29BE04C7" w14:textId="3FD9651B"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28.26%</w:t>
            </w:r>
          </w:p>
        </w:tc>
        <w:tc>
          <w:tcPr>
            <w:tcW w:w="1365" w:type="dxa"/>
            <w:shd w:val="clear" w:color="auto" w:fill="C00000"/>
            <w:tcMar>
              <w:left w:w="108" w:type="dxa"/>
              <w:right w:w="108" w:type="dxa"/>
            </w:tcMar>
            <w:vAlign w:val="bottom"/>
          </w:tcPr>
          <w:p w14:paraId="15018B46" w14:textId="1AF67E64"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48.08%</w:t>
            </w:r>
          </w:p>
        </w:tc>
      </w:tr>
      <w:tr w:rsidR="7351A6A1" w14:paraId="20BD2A59"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13D2262C" w14:textId="2053EA21"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Joyabaj</w:t>
            </w:r>
          </w:p>
        </w:tc>
        <w:tc>
          <w:tcPr>
            <w:tcW w:w="1875" w:type="dxa"/>
            <w:tcMar>
              <w:left w:w="108" w:type="dxa"/>
              <w:right w:w="108" w:type="dxa"/>
            </w:tcMar>
          </w:tcPr>
          <w:p w14:paraId="39CFBA6F" w14:textId="1727D31E"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Q35,554,898.66</w:t>
            </w:r>
          </w:p>
        </w:tc>
        <w:tc>
          <w:tcPr>
            <w:tcW w:w="1845" w:type="dxa"/>
            <w:tcMar>
              <w:left w:w="108" w:type="dxa"/>
              <w:right w:w="108" w:type="dxa"/>
            </w:tcMar>
          </w:tcPr>
          <w:p w14:paraId="2B9EAB22" w14:textId="320269D8"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Q16,910,504.51</w:t>
            </w:r>
          </w:p>
        </w:tc>
        <w:tc>
          <w:tcPr>
            <w:tcW w:w="1110" w:type="dxa"/>
            <w:shd w:val="clear" w:color="auto" w:fill="C00000"/>
            <w:tcMar>
              <w:left w:w="108" w:type="dxa"/>
              <w:right w:w="108" w:type="dxa"/>
            </w:tcMar>
            <w:vAlign w:val="bottom"/>
          </w:tcPr>
          <w:p w14:paraId="7E34A9ED" w14:textId="20025DFF"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17.52%</w:t>
            </w:r>
          </w:p>
        </w:tc>
        <w:tc>
          <w:tcPr>
            <w:tcW w:w="1365" w:type="dxa"/>
            <w:shd w:val="clear" w:color="auto" w:fill="C00000"/>
            <w:tcMar>
              <w:left w:w="108" w:type="dxa"/>
              <w:right w:w="108" w:type="dxa"/>
            </w:tcMar>
            <w:vAlign w:val="bottom"/>
          </w:tcPr>
          <w:p w14:paraId="029C1F15" w14:textId="40E414D9"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47.56%</w:t>
            </w:r>
          </w:p>
        </w:tc>
      </w:tr>
      <w:tr w:rsidR="7351A6A1" w14:paraId="34E6B1A4"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3B52B761" w14:textId="34F4B79D"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Ixcán</w:t>
            </w:r>
          </w:p>
        </w:tc>
        <w:tc>
          <w:tcPr>
            <w:tcW w:w="1875" w:type="dxa"/>
            <w:tcMar>
              <w:left w:w="108" w:type="dxa"/>
              <w:right w:w="108" w:type="dxa"/>
            </w:tcMar>
          </w:tcPr>
          <w:p w14:paraId="5CE0BA06" w14:textId="71DAD5B0"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Q86,570,379.45</w:t>
            </w:r>
          </w:p>
        </w:tc>
        <w:tc>
          <w:tcPr>
            <w:tcW w:w="1845" w:type="dxa"/>
            <w:tcMar>
              <w:left w:w="108" w:type="dxa"/>
              <w:right w:w="108" w:type="dxa"/>
            </w:tcMar>
          </w:tcPr>
          <w:p w14:paraId="1B03440D" w14:textId="1C9E3DE8"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Q11,421,665.62</w:t>
            </w:r>
          </w:p>
        </w:tc>
        <w:tc>
          <w:tcPr>
            <w:tcW w:w="1110" w:type="dxa"/>
            <w:shd w:val="clear" w:color="auto" w:fill="C00000"/>
            <w:tcMar>
              <w:left w:w="108" w:type="dxa"/>
              <w:right w:w="108" w:type="dxa"/>
            </w:tcMar>
            <w:vAlign w:val="bottom"/>
          </w:tcPr>
          <w:p w14:paraId="5E1038A0" w14:textId="4F5A2BC3"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10.49%</w:t>
            </w:r>
          </w:p>
        </w:tc>
        <w:tc>
          <w:tcPr>
            <w:tcW w:w="1365" w:type="dxa"/>
            <w:shd w:val="clear" w:color="auto" w:fill="C00000"/>
            <w:tcMar>
              <w:left w:w="108" w:type="dxa"/>
              <w:right w:w="108" w:type="dxa"/>
            </w:tcMar>
            <w:vAlign w:val="bottom"/>
          </w:tcPr>
          <w:p w14:paraId="084746BB" w14:textId="3CBE972D"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13.19%</w:t>
            </w:r>
          </w:p>
        </w:tc>
      </w:tr>
      <w:tr w:rsidR="7351A6A1" w14:paraId="649DBAE1"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7E10C89D" w14:textId="69FE4570"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San Juan Cotzal</w:t>
            </w:r>
          </w:p>
        </w:tc>
        <w:tc>
          <w:tcPr>
            <w:tcW w:w="1875" w:type="dxa"/>
            <w:tcMar>
              <w:left w:w="108" w:type="dxa"/>
              <w:right w:w="108" w:type="dxa"/>
            </w:tcMar>
          </w:tcPr>
          <w:p w14:paraId="7D7F72CE" w14:textId="7934852E"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Q20,491,040.77</w:t>
            </w:r>
          </w:p>
        </w:tc>
        <w:tc>
          <w:tcPr>
            <w:tcW w:w="1845" w:type="dxa"/>
            <w:tcMar>
              <w:left w:w="108" w:type="dxa"/>
              <w:right w:w="108" w:type="dxa"/>
            </w:tcMar>
          </w:tcPr>
          <w:p w14:paraId="1581912D" w14:textId="5A3C763F"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Q0.00</w:t>
            </w:r>
          </w:p>
        </w:tc>
        <w:tc>
          <w:tcPr>
            <w:tcW w:w="1110" w:type="dxa"/>
            <w:shd w:val="clear" w:color="auto" w:fill="C00000"/>
            <w:tcMar>
              <w:left w:w="108" w:type="dxa"/>
              <w:right w:w="108" w:type="dxa"/>
            </w:tcMar>
            <w:vAlign w:val="bottom"/>
          </w:tcPr>
          <w:p w14:paraId="5913F0A7" w14:textId="2262E527"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0.00%</w:t>
            </w:r>
          </w:p>
        </w:tc>
        <w:tc>
          <w:tcPr>
            <w:tcW w:w="1365" w:type="dxa"/>
            <w:shd w:val="clear" w:color="auto" w:fill="C00000"/>
            <w:tcMar>
              <w:left w:w="108" w:type="dxa"/>
              <w:right w:w="108" w:type="dxa"/>
            </w:tcMar>
            <w:vAlign w:val="bottom"/>
          </w:tcPr>
          <w:p w14:paraId="62048248" w14:textId="196C21A7"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0.00%</w:t>
            </w:r>
          </w:p>
        </w:tc>
      </w:tr>
      <w:tr w:rsidR="7351A6A1" w14:paraId="4D04043B"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2B606E52" w14:textId="336A5E15"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Chiché</w:t>
            </w:r>
          </w:p>
        </w:tc>
        <w:tc>
          <w:tcPr>
            <w:tcW w:w="1875" w:type="dxa"/>
            <w:tcMar>
              <w:left w:w="108" w:type="dxa"/>
              <w:right w:w="108" w:type="dxa"/>
            </w:tcMar>
          </w:tcPr>
          <w:p w14:paraId="0FBDD817" w14:textId="6697A96C"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Q0.00</w:t>
            </w:r>
          </w:p>
        </w:tc>
        <w:tc>
          <w:tcPr>
            <w:tcW w:w="1845" w:type="dxa"/>
            <w:tcMar>
              <w:left w:w="108" w:type="dxa"/>
              <w:right w:w="108" w:type="dxa"/>
            </w:tcMar>
          </w:tcPr>
          <w:p w14:paraId="30B65012" w14:textId="41975E95"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Q0.00</w:t>
            </w:r>
          </w:p>
        </w:tc>
        <w:tc>
          <w:tcPr>
            <w:tcW w:w="1110" w:type="dxa"/>
            <w:shd w:val="clear" w:color="auto" w:fill="C00000"/>
            <w:tcMar>
              <w:left w:w="108" w:type="dxa"/>
              <w:right w:w="108" w:type="dxa"/>
            </w:tcMar>
            <w:vAlign w:val="bottom"/>
          </w:tcPr>
          <w:p w14:paraId="3EA8357E" w14:textId="3F2B5B75"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0.00%</w:t>
            </w:r>
          </w:p>
        </w:tc>
        <w:tc>
          <w:tcPr>
            <w:tcW w:w="1365" w:type="dxa"/>
            <w:shd w:val="clear" w:color="auto" w:fill="C00000"/>
            <w:tcMar>
              <w:left w:w="108" w:type="dxa"/>
              <w:right w:w="108" w:type="dxa"/>
            </w:tcMar>
            <w:vAlign w:val="bottom"/>
          </w:tcPr>
          <w:p w14:paraId="7C80007E" w14:textId="633062F8"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0.00%</w:t>
            </w:r>
          </w:p>
        </w:tc>
      </w:tr>
      <w:tr w:rsidR="7351A6A1" w14:paraId="47AF87DC"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7B23A958" w14:textId="0F176705"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Chichicastenango</w:t>
            </w:r>
          </w:p>
        </w:tc>
        <w:tc>
          <w:tcPr>
            <w:tcW w:w="1875" w:type="dxa"/>
            <w:tcMar>
              <w:left w:w="108" w:type="dxa"/>
              <w:right w:w="108" w:type="dxa"/>
            </w:tcMar>
          </w:tcPr>
          <w:p w14:paraId="1ABC71C3" w14:textId="06F70ECF"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Q0.00</w:t>
            </w:r>
          </w:p>
        </w:tc>
        <w:tc>
          <w:tcPr>
            <w:tcW w:w="1845" w:type="dxa"/>
            <w:tcMar>
              <w:left w:w="108" w:type="dxa"/>
              <w:right w:w="108" w:type="dxa"/>
            </w:tcMar>
          </w:tcPr>
          <w:p w14:paraId="6E704416" w14:textId="3CE353F4"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Q0.00</w:t>
            </w:r>
          </w:p>
        </w:tc>
        <w:tc>
          <w:tcPr>
            <w:tcW w:w="1110" w:type="dxa"/>
            <w:shd w:val="clear" w:color="auto" w:fill="C00000"/>
            <w:tcMar>
              <w:left w:w="108" w:type="dxa"/>
              <w:right w:w="108" w:type="dxa"/>
            </w:tcMar>
            <w:vAlign w:val="bottom"/>
          </w:tcPr>
          <w:p w14:paraId="44DCD46C" w14:textId="6C2CBEFA"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0.00%</w:t>
            </w:r>
          </w:p>
        </w:tc>
        <w:tc>
          <w:tcPr>
            <w:tcW w:w="1365" w:type="dxa"/>
            <w:shd w:val="clear" w:color="auto" w:fill="C00000"/>
            <w:tcMar>
              <w:left w:w="108" w:type="dxa"/>
              <w:right w:w="108" w:type="dxa"/>
            </w:tcMar>
            <w:vAlign w:val="bottom"/>
          </w:tcPr>
          <w:p w14:paraId="57DA2323" w14:textId="27636FDE" w:rsidR="7351A6A1" w:rsidRDefault="7351A6A1" w:rsidP="7351A6A1">
            <w:pPr>
              <w:jc w:val="right"/>
              <w:cnfStyle w:val="000000100000" w:firstRow="0" w:lastRow="0" w:firstColumn="0" w:lastColumn="0" w:oddVBand="0" w:evenVBand="0" w:oddHBand="1" w:evenHBand="0" w:firstRowFirstColumn="0" w:firstRowLastColumn="0" w:lastRowFirstColumn="0" w:lastRowLastColumn="0"/>
            </w:pPr>
            <w:r w:rsidRPr="7351A6A1">
              <w:rPr>
                <w:rFonts w:ascii="Calibri" w:eastAsia="Calibri" w:hAnsi="Calibri" w:cs="Calibri"/>
                <w:color w:val="000000" w:themeColor="text1"/>
              </w:rPr>
              <w:t>0.00%</w:t>
            </w:r>
          </w:p>
        </w:tc>
      </w:tr>
      <w:tr w:rsidR="7351A6A1" w14:paraId="30D8D475"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12370040" w14:textId="3E2A5560" w:rsidR="7351A6A1" w:rsidRDefault="7351A6A1" w:rsidP="7351A6A1">
            <w:pPr>
              <w:rPr>
                <w:rFonts w:ascii="Calibri" w:eastAsia="Calibri" w:hAnsi="Calibri" w:cs="Calibri"/>
                <w:b w:val="0"/>
                <w:bCs w:val="0"/>
                <w:color w:val="000000" w:themeColor="text1"/>
              </w:rPr>
            </w:pPr>
            <w:r w:rsidRPr="7351A6A1">
              <w:rPr>
                <w:rFonts w:ascii="Calibri" w:eastAsia="Calibri" w:hAnsi="Calibri" w:cs="Calibri"/>
                <w:b w:val="0"/>
                <w:bCs w:val="0"/>
                <w:color w:val="000000" w:themeColor="text1"/>
              </w:rPr>
              <w:t>San Pedro Jocopilas</w:t>
            </w:r>
          </w:p>
        </w:tc>
        <w:tc>
          <w:tcPr>
            <w:tcW w:w="1875" w:type="dxa"/>
            <w:tcMar>
              <w:left w:w="108" w:type="dxa"/>
              <w:right w:w="108" w:type="dxa"/>
            </w:tcMar>
          </w:tcPr>
          <w:p w14:paraId="011736CA" w14:textId="2E371CEE"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Q0.00</w:t>
            </w:r>
          </w:p>
        </w:tc>
        <w:tc>
          <w:tcPr>
            <w:tcW w:w="1845" w:type="dxa"/>
            <w:tcMar>
              <w:left w:w="108" w:type="dxa"/>
              <w:right w:w="108" w:type="dxa"/>
            </w:tcMar>
          </w:tcPr>
          <w:p w14:paraId="267AD401" w14:textId="1756F816"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Q0.00</w:t>
            </w:r>
          </w:p>
        </w:tc>
        <w:tc>
          <w:tcPr>
            <w:tcW w:w="1110" w:type="dxa"/>
            <w:shd w:val="clear" w:color="auto" w:fill="C00000"/>
            <w:tcMar>
              <w:left w:w="108" w:type="dxa"/>
              <w:right w:w="108" w:type="dxa"/>
            </w:tcMar>
            <w:vAlign w:val="bottom"/>
          </w:tcPr>
          <w:p w14:paraId="534E76D0" w14:textId="76F4113D"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0.00%</w:t>
            </w:r>
          </w:p>
        </w:tc>
        <w:tc>
          <w:tcPr>
            <w:tcW w:w="1365" w:type="dxa"/>
            <w:shd w:val="clear" w:color="auto" w:fill="C00000"/>
            <w:tcMar>
              <w:left w:w="108" w:type="dxa"/>
              <w:right w:w="108" w:type="dxa"/>
            </w:tcMar>
            <w:vAlign w:val="bottom"/>
          </w:tcPr>
          <w:p w14:paraId="67C776E2" w14:textId="637812C1" w:rsidR="7351A6A1" w:rsidRDefault="7351A6A1" w:rsidP="7351A6A1">
            <w:pPr>
              <w:jc w:val="right"/>
              <w:cnfStyle w:val="000000000000" w:firstRow="0" w:lastRow="0" w:firstColumn="0" w:lastColumn="0" w:oddVBand="0" w:evenVBand="0" w:oddHBand="0" w:evenHBand="0" w:firstRowFirstColumn="0" w:firstRowLastColumn="0" w:lastRowFirstColumn="0" w:lastRowLastColumn="0"/>
            </w:pPr>
            <w:r w:rsidRPr="7351A6A1">
              <w:rPr>
                <w:rFonts w:ascii="Calibri" w:eastAsia="Calibri" w:hAnsi="Calibri" w:cs="Calibri"/>
                <w:color w:val="000000" w:themeColor="text1"/>
              </w:rPr>
              <w:t>0.00%</w:t>
            </w:r>
          </w:p>
        </w:tc>
      </w:tr>
    </w:tbl>
    <w:p w14:paraId="2988BC5E" w14:textId="211720E4" w:rsidR="00693BD9" w:rsidRPr="003051CD" w:rsidRDefault="7351A6A1" w:rsidP="00A543DE">
      <w:pPr>
        <w:autoSpaceDE w:val="0"/>
        <w:autoSpaceDN w:val="0"/>
        <w:adjustRightInd w:val="0"/>
        <w:spacing w:after="120" w:line="240" w:lineRule="auto"/>
        <w:jc w:val="both"/>
        <w:rPr>
          <w:rFonts w:eastAsiaTheme="minorEastAsia"/>
          <w:sz w:val="18"/>
          <w:szCs w:val="18"/>
          <w:lang w:val="es-ES"/>
        </w:rPr>
      </w:pPr>
      <w:r w:rsidRPr="7351A6A1">
        <w:rPr>
          <w:rFonts w:eastAsiaTheme="minorEastAsia"/>
          <w:sz w:val="18"/>
          <w:szCs w:val="18"/>
          <w:lang w:val="es-ES"/>
        </w:rPr>
        <w:t>Fuente: Siplangl, III informe cuatrimestral y acumulado. Año 2022.</w:t>
      </w:r>
    </w:p>
    <w:p w14:paraId="4447457B" w14:textId="74EA1E2F" w:rsidR="00693BD9" w:rsidRPr="00A543DE" w:rsidRDefault="00693BD9" w:rsidP="00A543DE">
      <w:pPr>
        <w:autoSpaceDE w:val="0"/>
        <w:autoSpaceDN w:val="0"/>
        <w:adjustRightInd w:val="0"/>
        <w:spacing w:after="120" w:line="240" w:lineRule="auto"/>
        <w:jc w:val="both"/>
        <w:rPr>
          <w:rFonts w:eastAsia="Times New Roman" w:cstheme="minorHAnsi"/>
          <w:b/>
          <w:color w:val="002060"/>
          <w:sz w:val="28"/>
          <w:szCs w:val="28"/>
          <w:lang w:val="es-ES"/>
        </w:rPr>
      </w:pPr>
      <w:r w:rsidRPr="00A543DE">
        <w:rPr>
          <w:rFonts w:eastAsia="Times New Roman" w:cstheme="minorHAnsi"/>
          <w:b/>
          <w:color w:val="002060"/>
          <w:sz w:val="28"/>
          <w:szCs w:val="28"/>
          <w:lang w:val="es-ES"/>
        </w:rPr>
        <w:t>Huehuetenango</w:t>
      </w:r>
    </w:p>
    <w:p w14:paraId="44122E8F" w14:textId="65042EA2" w:rsidR="7351A6A1" w:rsidRDefault="00A543DE" w:rsidP="00A543DE">
      <w:pPr>
        <w:spacing w:after="120" w:line="240" w:lineRule="auto"/>
        <w:jc w:val="both"/>
      </w:pPr>
      <w:r>
        <w:rPr>
          <w:noProof/>
        </w:rPr>
        <w:drawing>
          <wp:anchor distT="0" distB="0" distL="114300" distR="114300" simplePos="0" relativeHeight="251698688" behindDoc="1" locked="0" layoutInCell="1" allowOverlap="1" wp14:anchorId="04F0EDFA" wp14:editId="714625BF">
            <wp:simplePos x="0" y="0"/>
            <wp:positionH relativeFrom="column">
              <wp:posOffset>4400550</wp:posOffset>
            </wp:positionH>
            <wp:positionV relativeFrom="paragraph">
              <wp:posOffset>88265</wp:posOffset>
            </wp:positionV>
            <wp:extent cx="1504315" cy="984250"/>
            <wp:effectExtent l="19050" t="19050" r="19685" b="25400"/>
            <wp:wrapTight wrapText="bothSides">
              <wp:wrapPolygon edited="0">
                <wp:start x="-274" y="-418"/>
                <wp:lineTo x="-274" y="21739"/>
                <wp:lineTo x="21609" y="21739"/>
                <wp:lineTo x="21609" y="-418"/>
                <wp:lineTo x="-274" y="-418"/>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04315" cy="98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7351A6A1" w:rsidRPr="7351A6A1">
        <w:rPr>
          <w:rFonts w:ascii="Calibri" w:eastAsia="Calibri" w:hAnsi="Calibri" w:cs="Calibri"/>
          <w:sz w:val="24"/>
          <w:szCs w:val="24"/>
          <w:lang w:val="es-ES"/>
        </w:rPr>
        <w:t>Al finalizar el año 2022, el departamento, presentó un promedio de avance del 64.03%. Los municipios que mejor avance presentaron son: Santiago Chimaltenango y San Sebastián Coatán con 100% cada uno y La Unión Cantinil con 97.75%.</w:t>
      </w:r>
      <w:r w:rsidR="7351A6A1" w:rsidRPr="7351A6A1">
        <w:rPr>
          <w:rFonts w:ascii="Calibri" w:eastAsia="Calibri" w:hAnsi="Calibri" w:cs="Calibri"/>
          <w:lang w:val="es-ES"/>
        </w:rPr>
        <w:t xml:space="preserve"> </w:t>
      </w:r>
    </w:p>
    <w:p w14:paraId="017A1AAA" w14:textId="1695934E" w:rsidR="7351A6A1" w:rsidRDefault="7351A6A1" w:rsidP="00A543DE">
      <w:pPr>
        <w:spacing w:after="120" w:line="240" w:lineRule="auto"/>
        <w:jc w:val="both"/>
      </w:pPr>
      <w:r w:rsidRPr="7351A6A1">
        <w:rPr>
          <w:rFonts w:ascii="Calibri" w:eastAsia="Calibri" w:hAnsi="Calibri" w:cs="Calibri"/>
          <w:sz w:val="24"/>
          <w:szCs w:val="24"/>
          <w:lang w:val="es-ES"/>
        </w:rPr>
        <w:t>En relación al avance financiero, el departamento presentó una ejecución del 71.10%. Siendo los municipios de Santiago Chimaltenango, Colotenango y Barillas; quienes presentaron el mayor avance, con el 100% cada uno.</w:t>
      </w:r>
    </w:p>
    <w:p w14:paraId="6B6B51BA" w14:textId="24A39998" w:rsidR="00FF671F" w:rsidRDefault="7351A6A1" w:rsidP="00A543DE">
      <w:pPr>
        <w:spacing w:after="120" w:line="240" w:lineRule="auto"/>
        <w:jc w:val="both"/>
        <w:rPr>
          <w:rFonts w:ascii="Calibri" w:eastAsia="Calibri" w:hAnsi="Calibri" w:cs="Calibri"/>
          <w:sz w:val="24"/>
          <w:szCs w:val="24"/>
          <w:lang w:val="es-ES"/>
        </w:rPr>
      </w:pPr>
      <w:r w:rsidRPr="7351A6A1">
        <w:rPr>
          <w:rFonts w:ascii="Calibri" w:eastAsia="Calibri" w:hAnsi="Calibri" w:cs="Calibri"/>
          <w:sz w:val="24"/>
          <w:szCs w:val="24"/>
          <w:lang w:val="es-ES"/>
        </w:rPr>
        <w:t>Cuilco, no utilizó durante el año 2022 la plataforma de Siplangl, para registrar los avances de ejecución. Ver siguiente tabla.</w:t>
      </w:r>
    </w:p>
    <w:p w14:paraId="33482679" w14:textId="77777777" w:rsidR="00EA3448" w:rsidRDefault="00EA3448" w:rsidP="00A543DE">
      <w:pPr>
        <w:spacing w:after="120" w:line="240" w:lineRule="auto"/>
        <w:jc w:val="both"/>
        <w:rPr>
          <w:rFonts w:ascii="Calibri" w:eastAsia="Calibri" w:hAnsi="Calibri" w:cs="Calibri"/>
          <w:sz w:val="24"/>
          <w:szCs w:val="24"/>
          <w:lang w:val="es-ES"/>
        </w:rPr>
      </w:pPr>
    </w:p>
    <w:p w14:paraId="08B3006E" w14:textId="77777777" w:rsidR="00595D1D" w:rsidRDefault="00595D1D" w:rsidP="00A543DE">
      <w:pPr>
        <w:spacing w:after="120" w:line="240" w:lineRule="auto"/>
        <w:jc w:val="both"/>
        <w:rPr>
          <w:rFonts w:ascii="Helvetica" w:eastAsia="Times New Roman" w:hAnsi="Helvetica" w:cs="Helvetica"/>
          <w:sz w:val="24"/>
          <w:szCs w:val="24"/>
          <w:lang w:val="es-ES"/>
        </w:rPr>
      </w:pPr>
    </w:p>
    <w:p w14:paraId="1F224DD6" w14:textId="0B250A28" w:rsidR="00693BD9" w:rsidRPr="00A543DE" w:rsidRDefault="0831ED43" w:rsidP="007A6B50">
      <w:pPr>
        <w:pStyle w:val="ttulosgrficas"/>
        <w:rPr>
          <w:rFonts w:asciiTheme="minorHAnsi" w:eastAsia="Times New Roman" w:hAnsiTheme="minorHAnsi" w:cstheme="minorHAnsi"/>
          <w:b w:val="0"/>
          <w:lang w:val="es-ES"/>
        </w:rPr>
      </w:pPr>
      <w:bookmarkStart w:id="69" w:name="_Toc130199614"/>
      <w:r w:rsidRPr="00A543DE">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26</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A543DE">
        <w:rPr>
          <w:rFonts w:asciiTheme="minorHAnsi" w:eastAsia="Times New Roman" w:hAnsiTheme="minorHAnsi" w:cstheme="minorHAnsi"/>
          <w:color w:val="4472C4" w:themeColor="accent1"/>
          <w:lang w:val="es-ES"/>
        </w:rPr>
        <w:t xml:space="preserve"> Ejecución Física y Financiera, Departamento de Huehuetenango</w:t>
      </w:r>
      <w:bookmarkEnd w:id="69"/>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094"/>
        <w:gridCol w:w="1853"/>
        <w:gridCol w:w="1853"/>
        <w:gridCol w:w="1136"/>
        <w:gridCol w:w="1255"/>
      </w:tblGrid>
      <w:tr w:rsidR="0831ED43" w14:paraId="5A4700F7" w14:textId="77777777" w:rsidTr="0093034A">
        <w:trPr>
          <w:cnfStyle w:val="100000000000" w:firstRow="1" w:lastRow="0" w:firstColumn="0" w:lastColumn="0" w:oddVBand="0" w:evenVBand="0" w:oddHBand="0"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094" w:type="dxa"/>
            <w:tcBorders>
              <w:top w:val="none" w:sz="0" w:space="0" w:color="auto"/>
              <w:left w:val="none" w:sz="0" w:space="0" w:color="auto"/>
              <w:bottom w:val="none" w:sz="0" w:space="0" w:color="auto"/>
            </w:tcBorders>
            <w:tcMar>
              <w:left w:w="108" w:type="dxa"/>
              <w:right w:w="108" w:type="dxa"/>
            </w:tcMar>
            <w:vAlign w:val="center"/>
          </w:tcPr>
          <w:p w14:paraId="4D90B9CC" w14:textId="280E8C97" w:rsidR="0831ED43" w:rsidRDefault="0831ED43" w:rsidP="0831ED43">
            <w:pPr>
              <w:jc w:val="center"/>
            </w:pPr>
            <w:r w:rsidRPr="0831ED43">
              <w:rPr>
                <w:rFonts w:ascii="Calibri" w:eastAsia="Calibri" w:hAnsi="Calibri" w:cs="Calibri"/>
                <w:color w:val="000000" w:themeColor="text1"/>
              </w:rPr>
              <w:t>Municipio</w:t>
            </w:r>
          </w:p>
        </w:tc>
        <w:tc>
          <w:tcPr>
            <w:tcW w:w="1853" w:type="dxa"/>
            <w:tcBorders>
              <w:top w:val="none" w:sz="0" w:space="0" w:color="auto"/>
              <w:bottom w:val="none" w:sz="0" w:space="0" w:color="auto"/>
            </w:tcBorders>
            <w:tcMar>
              <w:left w:w="108" w:type="dxa"/>
              <w:right w:w="108" w:type="dxa"/>
            </w:tcMar>
            <w:vAlign w:val="center"/>
          </w:tcPr>
          <w:p w14:paraId="3B496F54" w14:textId="6FB95694" w:rsidR="0831ED43" w:rsidRDefault="0831ED43" w:rsidP="0831ED43">
            <w:pPr>
              <w:jc w:val="center"/>
              <w:cnfStyle w:val="100000000000" w:firstRow="1"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Meta Financiera Anual Vigente</w:t>
            </w:r>
          </w:p>
        </w:tc>
        <w:tc>
          <w:tcPr>
            <w:tcW w:w="1853" w:type="dxa"/>
            <w:tcBorders>
              <w:top w:val="none" w:sz="0" w:space="0" w:color="auto"/>
              <w:bottom w:val="none" w:sz="0" w:space="0" w:color="auto"/>
            </w:tcBorders>
            <w:tcMar>
              <w:left w:w="108" w:type="dxa"/>
              <w:right w:w="108" w:type="dxa"/>
            </w:tcMar>
            <w:vAlign w:val="center"/>
          </w:tcPr>
          <w:p w14:paraId="36BC49BE" w14:textId="69704E2B" w:rsidR="0831ED43" w:rsidRDefault="0831ED43" w:rsidP="0831ED43">
            <w:pPr>
              <w:jc w:val="center"/>
              <w:cnfStyle w:val="100000000000" w:firstRow="1"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Ejecución Financiera Acumulada</w:t>
            </w:r>
          </w:p>
        </w:tc>
        <w:tc>
          <w:tcPr>
            <w:tcW w:w="1136" w:type="dxa"/>
            <w:tcBorders>
              <w:top w:val="none" w:sz="0" w:space="0" w:color="auto"/>
              <w:bottom w:val="none" w:sz="0" w:space="0" w:color="auto"/>
            </w:tcBorders>
            <w:tcMar>
              <w:left w:w="108" w:type="dxa"/>
              <w:right w:w="108" w:type="dxa"/>
            </w:tcMar>
            <w:vAlign w:val="center"/>
          </w:tcPr>
          <w:p w14:paraId="53DBFA25" w14:textId="797F2BB9" w:rsidR="0831ED43" w:rsidRDefault="0831ED43" w:rsidP="0831ED43">
            <w:pPr>
              <w:jc w:val="center"/>
              <w:cnfStyle w:val="100000000000" w:firstRow="1"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 de Ejecución Física</w:t>
            </w:r>
          </w:p>
        </w:tc>
        <w:tc>
          <w:tcPr>
            <w:tcW w:w="1255" w:type="dxa"/>
            <w:tcBorders>
              <w:top w:val="none" w:sz="0" w:space="0" w:color="auto"/>
              <w:bottom w:val="none" w:sz="0" w:space="0" w:color="auto"/>
              <w:right w:val="none" w:sz="0" w:space="0" w:color="auto"/>
            </w:tcBorders>
            <w:tcMar>
              <w:left w:w="108" w:type="dxa"/>
              <w:right w:w="108" w:type="dxa"/>
            </w:tcMar>
            <w:vAlign w:val="center"/>
          </w:tcPr>
          <w:p w14:paraId="334C3548" w14:textId="309217CF" w:rsidR="0831ED43" w:rsidRDefault="0831ED43" w:rsidP="0831ED43">
            <w:pPr>
              <w:jc w:val="center"/>
              <w:cnfStyle w:val="100000000000" w:firstRow="1"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 de Ejecución Financiera</w:t>
            </w:r>
          </w:p>
        </w:tc>
      </w:tr>
      <w:tr w:rsidR="0831ED43" w14:paraId="4F5783B9"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1C8E16AB" w14:textId="41E769A5" w:rsidR="0831ED43" w:rsidRDefault="0831ED43" w:rsidP="0831ED43">
            <w:r w:rsidRPr="0831ED43">
              <w:rPr>
                <w:rFonts w:ascii="Calibri" w:eastAsia="Calibri" w:hAnsi="Calibri" w:cs="Calibri"/>
                <w:color w:val="000000" w:themeColor="text1"/>
              </w:rPr>
              <w:t xml:space="preserve"> Todo el Departamento</w:t>
            </w:r>
          </w:p>
        </w:tc>
        <w:tc>
          <w:tcPr>
            <w:tcW w:w="1853" w:type="dxa"/>
            <w:tcMar>
              <w:left w:w="108" w:type="dxa"/>
              <w:right w:w="108" w:type="dxa"/>
            </w:tcMar>
          </w:tcPr>
          <w:p w14:paraId="0FBF4670" w14:textId="11DE3405"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b/>
                <w:bCs/>
                <w:color w:val="000000" w:themeColor="text1"/>
              </w:rPr>
              <w:t>Q893,091,502.88</w:t>
            </w:r>
          </w:p>
        </w:tc>
        <w:tc>
          <w:tcPr>
            <w:tcW w:w="1853" w:type="dxa"/>
            <w:tcMar>
              <w:left w:w="108" w:type="dxa"/>
              <w:right w:w="108" w:type="dxa"/>
            </w:tcMar>
          </w:tcPr>
          <w:p w14:paraId="40E2E70A" w14:textId="16816E7A"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b/>
                <w:bCs/>
                <w:color w:val="000000" w:themeColor="text1"/>
              </w:rPr>
              <w:t>Q635,017,729.08</w:t>
            </w:r>
          </w:p>
        </w:tc>
        <w:tc>
          <w:tcPr>
            <w:tcW w:w="1136" w:type="dxa"/>
            <w:shd w:val="clear" w:color="auto" w:fill="FFFF00"/>
            <w:tcMar>
              <w:left w:w="108" w:type="dxa"/>
              <w:right w:w="108" w:type="dxa"/>
            </w:tcMar>
            <w:vAlign w:val="bottom"/>
          </w:tcPr>
          <w:p w14:paraId="40DEE23D" w14:textId="23E6570A"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b/>
                <w:bCs/>
                <w:color w:val="000000" w:themeColor="text1"/>
              </w:rPr>
              <w:t>64.03%</w:t>
            </w:r>
          </w:p>
        </w:tc>
        <w:tc>
          <w:tcPr>
            <w:tcW w:w="1255" w:type="dxa"/>
            <w:shd w:val="clear" w:color="auto" w:fill="FFFF00"/>
            <w:tcMar>
              <w:left w:w="108" w:type="dxa"/>
              <w:right w:w="108" w:type="dxa"/>
            </w:tcMar>
            <w:vAlign w:val="bottom"/>
          </w:tcPr>
          <w:p w14:paraId="6E1C7ADF" w14:textId="45586DE5"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b/>
                <w:bCs/>
                <w:color w:val="000000" w:themeColor="text1"/>
              </w:rPr>
              <w:t>71.10%</w:t>
            </w:r>
          </w:p>
        </w:tc>
      </w:tr>
      <w:tr w:rsidR="0831ED43" w14:paraId="5DC08B91"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5DF12D8B" w14:textId="7236D0AD"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Santiago Chimaltenango</w:t>
            </w:r>
          </w:p>
        </w:tc>
        <w:tc>
          <w:tcPr>
            <w:tcW w:w="1853" w:type="dxa"/>
            <w:tcMar>
              <w:left w:w="108" w:type="dxa"/>
              <w:right w:w="108" w:type="dxa"/>
            </w:tcMar>
          </w:tcPr>
          <w:p w14:paraId="796CE293" w14:textId="718E94CA"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Q7,000,000.00</w:t>
            </w:r>
          </w:p>
        </w:tc>
        <w:tc>
          <w:tcPr>
            <w:tcW w:w="1853" w:type="dxa"/>
            <w:tcMar>
              <w:left w:w="108" w:type="dxa"/>
              <w:right w:w="108" w:type="dxa"/>
            </w:tcMar>
          </w:tcPr>
          <w:p w14:paraId="4A752D88" w14:textId="764F35AC"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Q7,000,000.00</w:t>
            </w:r>
          </w:p>
        </w:tc>
        <w:tc>
          <w:tcPr>
            <w:tcW w:w="1136" w:type="dxa"/>
            <w:shd w:val="clear" w:color="auto" w:fill="92D050"/>
            <w:tcMar>
              <w:left w:w="108" w:type="dxa"/>
              <w:right w:w="108" w:type="dxa"/>
            </w:tcMar>
            <w:vAlign w:val="bottom"/>
          </w:tcPr>
          <w:p w14:paraId="0C89D7BD" w14:textId="07474AF9"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100.00%</w:t>
            </w:r>
          </w:p>
        </w:tc>
        <w:tc>
          <w:tcPr>
            <w:tcW w:w="1255" w:type="dxa"/>
            <w:shd w:val="clear" w:color="auto" w:fill="92D050"/>
            <w:tcMar>
              <w:left w:w="108" w:type="dxa"/>
              <w:right w:w="108" w:type="dxa"/>
            </w:tcMar>
            <w:vAlign w:val="bottom"/>
          </w:tcPr>
          <w:p w14:paraId="6CC4ABF6" w14:textId="2BBD2A3E"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100.00%</w:t>
            </w:r>
          </w:p>
        </w:tc>
      </w:tr>
      <w:tr w:rsidR="0831ED43" w14:paraId="02E5FC21"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0CD46CFD" w14:textId="7B0ADBD8"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Sebastián Coatán</w:t>
            </w:r>
          </w:p>
        </w:tc>
        <w:tc>
          <w:tcPr>
            <w:tcW w:w="1853" w:type="dxa"/>
            <w:tcMar>
              <w:left w:w="108" w:type="dxa"/>
              <w:right w:w="108" w:type="dxa"/>
            </w:tcMar>
          </w:tcPr>
          <w:p w14:paraId="192A30F2" w14:textId="43DEC10D"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Q13,864,645.00</w:t>
            </w:r>
          </w:p>
        </w:tc>
        <w:tc>
          <w:tcPr>
            <w:tcW w:w="1853" w:type="dxa"/>
            <w:tcMar>
              <w:left w:w="108" w:type="dxa"/>
              <w:right w:w="108" w:type="dxa"/>
            </w:tcMar>
          </w:tcPr>
          <w:p w14:paraId="0A5970D9" w14:textId="5C25385F"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Q13,764,645.00</w:t>
            </w:r>
          </w:p>
        </w:tc>
        <w:tc>
          <w:tcPr>
            <w:tcW w:w="1136" w:type="dxa"/>
            <w:shd w:val="clear" w:color="auto" w:fill="92D050"/>
            <w:tcMar>
              <w:left w:w="108" w:type="dxa"/>
              <w:right w:w="108" w:type="dxa"/>
            </w:tcMar>
            <w:vAlign w:val="bottom"/>
          </w:tcPr>
          <w:p w14:paraId="390798E1" w14:textId="1E080849"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100.00%</w:t>
            </w:r>
          </w:p>
        </w:tc>
        <w:tc>
          <w:tcPr>
            <w:tcW w:w="1255" w:type="dxa"/>
            <w:shd w:val="clear" w:color="auto" w:fill="92D050"/>
            <w:tcMar>
              <w:left w:w="108" w:type="dxa"/>
              <w:right w:w="108" w:type="dxa"/>
            </w:tcMar>
            <w:vAlign w:val="bottom"/>
          </w:tcPr>
          <w:p w14:paraId="586C56F0" w14:textId="09343115"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99.28%</w:t>
            </w:r>
          </w:p>
        </w:tc>
      </w:tr>
      <w:tr w:rsidR="0831ED43" w14:paraId="6ED0F064"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0A6AB8ED" w14:textId="1D063D98"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La Unión Cantinil</w:t>
            </w:r>
          </w:p>
        </w:tc>
        <w:tc>
          <w:tcPr>
            <w:tcW w:w="1853" w:type="dxa"/>
            <w:tcMar>
              <w:left w:w="108" w:type="dxa"/>
              <w:right w:w="108" w:type="dxa"/>
            </w:tcMar>
          </w:tcPr>
          <w:p w14:paraId="23601F1D" w14:textId="2AAF37D8"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Q21,447,720.26</w:t>
            </w:r>
          </w:p>
        </w:tc>
        <w:tc>
          <w:tcPr>
            <w:tcW w:w="1853" w:type="dxa"/>
            <w:tcMar>
              <w:left w:w="108" w:type="dxa"/>
              <w:right w:w="108" w:type="dxa"/>
            </w:tcMar>
          </w:tcPr>
          <w:p w14:paraId="54D59A50" w14:textId="4A85EF04"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Q20,325,066.67</w:t>
            </w:r>
          </w:p>
        </w:tc>
        <w:tc>
          <w:tcPr>
            <w:tcW w:w="1136" w:type="dxa"/>
            <w:shd w:val="clear" w:color="auto" w:fill="92D050"/>
            <w:tcMar>
              <w:left w:w="108" w:type="dxa"/>
              <w:right w:w="108" w:type="dxa"/>
            </w:tcMar>
            <w:vAlign w:val="bottom"/>
          </w:tcPr>
          <w:p w14:paraId="4EA532A8" w14:textId="0A0B5F54"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97.75%</w:t>
            </w:r>
          </w:p>
        </w:tc>
        <w:tc>
          <w:tcPr>
            <w:tcW w:w="1255" w:type="dxa"/>
            <w:shd w:val="clear" w:color="auto" w:fill="92D050"/>
            <w:tcMar>
              <w:left w:w="108" w:type="dxa"/>
              <w:right w:w="108" w:type="dxa"/>
            </w:tcMar>
            <w:vAlign w:val="bottom"/>
          </w:tcPr>
          <w:p w14:paraId="32306949" w14:textId="3D409EE0"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94.77%</w:t>
            </w:r>
          </w:p>
        </w:tc>
      </w:tr>
      <w:tr w:rsidR="0831ED43" w14:paraId="05FB41D4"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621D9E16" w14:textId="1BB8751C"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Ildefonso Ixtahuacán</w:t>
            </w:r>
          </w:p>
        </w:tc>
        <w:tc>
          <w:tcPr>
            <w:tcW w:w="1853" w:type="dxa"/>
            <w:tcMar>
              <w:left w:w="108" w:type="dxa"/>
              <w:right w:w="108" w:type="dxa"/>
            </w:tcMar>
          </w:tcPr>
          <w:p w14:paraId="336AEF25" w14:textId="6591CEED"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Q33,534,015.40</w:t>
            </w:r>
          </w:p>
        </w:tc>
        <w:tc>
          <w:tcPr>
            <w:tcW w:w="1853" w:type="dxa"/>
            <w:tcMar>
              <w:left w:w="108" w:type="dxa"/>
              <w:right w:w="108" w:type="dxa"/>
            </w:tcMar>
          </w:tcPr>
          <w:p w14:paraId="47882649" w14:textId="71185224"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Q27,346,047.73</w:t>
            </w:r>
          </w:p>
        </w:tc>
        <w:tc>
          <w:tcPr>
            <w:tcW w:w="1136" w:type="dxa"/>
            <w:shd w:val="clear" w:color="auto" w:fill="92D050"/>
            <w:tcMar>
              <w:left w:w="108" w:type="dxa"/>
              <w:right w:w="108" w:type="dxa"/>
            </w:tcMar>
            <w:vAlign w:val="bottom"/>
          </w:tcPr>
          <w:p w14:paraId="021F0975" w14:textId="62B183F1"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95.15%</w:t>
            </w:r>
          </w:p>
        </w:tc>
        <w:tc>
          <w:tcPr>
            <w:tcW w:w="1255" w:type="dxa"/>
            <w:shd w:val="clear" w:color="auto" w:fill="FFFF00"/>
            <w:tcMar>
              <w:left w:w="108" w:type="dxa"/>
              <w:right w:w="108" w:type="dxa"/>
            </w:tcMar>
            <w:vAlign w:val="bottom"/>
          </w:tcPr>
          <w:p w14:paraId="0DE4C8D5" w14:textId="70420BC1"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81.55%</w:t>
            </w:r>
          </w:p>
        </w:tc>
      </w:tr>
      <w:tr w:rsidR="0831ED43" w14:paraId="159B16FE"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2574580E" w14:textId="275B05B7"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Colotenango</w:t>
            </w:r>
          </w:p>
        </w:tc>
        <w:tc>
          <w:tcPr>
            <w:tcW w:w="1853" w:type="dxa"/>
            <w:tcMar>
              <w:left w:w="108" w:type="dxa"/>
              <w:right w:w="108" w:type="dxa"/>
            </w:tcMar>
          </w:tcPr>
          <w:p w14:paraId="567830B2" w14:textId="67116D3B"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Q32,070,937.91</w:t>
            </w:r>
          </w:p>
        </w:tc>
        <w:tc>
          <w:tcPr>
            <w:tcW w:w="1853" w:type="dxa"/>
            <w:tcMar>
              <w:left w:w="108" w:type="dxa"/>
              <w:right w:w="108" w:type="dxa"/>
            </w:tcMar>
          </w:tcPr>
          <w:p w14:paraId="2AB88B3D" w14:textId="436C30C3"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Q32,070,937.91</w:t>
            </w:r>
          </w:p>
        </w:tc>
        <w:tc>
          <w:tcPr>
            <w:tcW w:w="1136" w:type="dxa"/>
            <w:shd w:val="clear" w:color="auto" w:fill="92D050"/>
            <w:tcMar>
              <w:left w:w="108" w:type="dxa"/>
              <w:right w:w="108" w:type="dxa"/>
            </w:tcMar>
            <w:vAlign w:val="bottom"/>
          </w:tcPr>
          <w:p w14:paraId="7F999EDF" w14:textId="42EACF5F"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94.74%</w:t>
            </w:r>
          </w:p>
        </w:tc>
        <w:tc>
          <w:tcPr>
            <w:tcW w:w="1255" w:type="dxa"/>
            <w:shd w:val="clear" w:color="auto" w:fill="92D050"/>
            <w:tcMar>
              <w:left w:w="108" w:type="dxa"/>
              <w:right w:w="108" w:type="dxa"/>
            </w:tcMar>
            <w:vAlign w:val="bottom"/>
          </w:tcPr>
          <w:p w14:paraId="3A740367" w14:textId="7BC0D3FB"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100.00%</w:t>
            </w:r>
          </w:p>
        </w:tc>
      </w:tr>
      <w:tr w:rsidR="0831ED43" w14:paraId="20F7D261"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763E9595" w14:textId="71814711"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Rafael La Independencia</w:t>
            </w:r>
          </w:p>
        </w:tc>
        <w:tc>
          <w:tcPr>
            <w:tcW w:w="1853" w:type="dxa"/>
            <w:tcMar>
              <w:left w:w="108" w:type="dxa"/>
              <w:right w:w="108" w:type="dxa"/>
            </w:tcMar>
          </w:tcPr>
          <w:p w14:paraId="2900BEA9" w14:textId="0676B420"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Q19,914,231.42</w:t>
            </w:r>
          </w:p>
        </w:tc>
        <w:tc>
          <w:tcPr>
            <w:tcW w:w="1853" w:type="dxa"/>
            <w:tcMar>
              <w:left w:w="108" w:type="dxa"/>
              <w:right w:w="108" w:type="dxa"/>
            </w:tcMar>
          </w:tcPr>
          <w:p w14:paraId="2C52BEA9" w14:textId="46E7A1C5"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Q18,298,702.17</w:t>
            </w:r>
          </w:p>
        </w:tc>
        <w:tc>
          <w:tcPr>
            <w:tcW w:w="1136" w:type="dxa"/>
            <w:shd w:val="clear" w:color="auto" w:fill="92D050"/>
            <w:tcMar>
              <w:left w:w="108" w:type="dxa"/>
              <w:right w:w="108" w:type="dxa"/>
            </w:tcMar>
            <w:vAlign w:val="bottom"/>
          </w:tcPr>
          <w:p w14:paraId="25933E1D" w14:textId="1453B5FC"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92.50%</w:t>
            </w:r>
          </w:p>
        </w:tc>
        <w:tc>
          <w:tcPr>
            <w:tcW w:w="1255" w:type="dxa"/>
            <w:shd w:val="clear" w:color="auto" w:fill="92D050"/>
            <w:tcMar>
              <w:left w:w="108" w:type="dxa"/>
              <w:right w:w="108" w:type="dxa"/>
            </w:tcMar>
            <w:vAlign w:val="bottom"/>
          </w:tcPr>
          <w:p w14:paraId="6C3206EB" w14:textId="21E3DB66"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91.89%</w:t>
            </w:r>
          </w:p>
        </w:tc>
      </w:tr>
      <w:tr w:rsidR="0831ED43" w14:paraId="1073F34B"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11F67C71" w14:textId="24453345"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Nentón</w:t>
            </w:r>
          </w:p>
        </w:tc>
        <w:tc>
          <w:tcPr>
            <w:tcW w:w="1853" w:type="dxa"/>
            <w:tcMar>
              <w:left w:w="108" w:type="dxa"/>
              <w:right w:w="108" w:type="dxa"/>
            </w:tcMar>
          </w:tcPr>
          <w:p w14:paraId="0CAB62B8" w14:textId="27510E56"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Q27,005,852.54</w:t>
            </w:r>
          </w:p>
        </w:tc>
        <w:tc>
          <w:tcPr>
            <w:tcW w:w="1853" w:type="dxa"/>
            <w:tcMar>
              <w:left w:w="108" w:type="dxa"/>
              <w:right w:w="108" w:type="dxa"/>
            </w:tcMar>
          </w:tcPr>
          <w:p w14:paraId="4215DF0F" w14:textId="37196DB3"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Q22,886,712.02</w:t>
            </w:r>
          </w:p>
        </w:tc>
        <w:tc>
          <w:tcPr>
            <w:tcW w:w="1136" w:type="dxa"/>
            <w:shd w:val="clear" w:color="auto" w:fill="92D050"/>
            <w:tcMar>
              <w:left w:w="108" w:type="dxa"/>
              <w:right w:w="108" w:type="dxa"/>
            </w:tcMar>
            <w:vAlign w:val="bottom"/>
          </w:tcPr>
          <w:p w14:paraId="4DBB8F65" w14:textId="481E19EF"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90.68%</w:t>
            </w:r>
          </w:p>
        </w:tc>
        <w:tc>
          <w:tcPr>
            <w:tcW w:w="1255" w:type="dxa"/>
            <w:shd w:val="clear" w:color="auto" w:fill="FFFF00"/>
            <w:tcMar>
              <w:left w:w="108" w:type="dxa"/>
              <w:right w:w="108" w:type="dxa"/>
            </w:tcMar>
            <w:vAlign w:val="bottom"/>
          </w:tcPr>
          <w:p w14:paraId="2CBDB218" w14:textId="69DBD802"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84.75%</w:t>
            </w:r>
          </w:p>
        </w:tc>
      </w:tr>
      <w:tr w:rsidR="0831ED43" w14:paraId="19D29C53"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1230F9B0" w14:textId="60F65CE0"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Juan Ixcoy</w:t>
            </w:r>
          </w:p>
        </w:tc>
        <w:tc>
          <w:tcPr>
            <w:tcW w:w="1853" w:type="dxa"/>
            <w:tcMar>
              <w:left w:w="108" w:type="dxa"/>
              <w:right w:w="108" w:type="dxa"/>
            </w:tcMar>
          </w:tcPr>
          <w:p w14:paraId="76FA70D8" w14:textId="3634A449"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Q21,163,753.67</w:t>
            </w:r>
          </w:p>
        </w:tc>
        <w:tc>
          <w:tcPr>
            <w:tcW w:w="1853" w:type="dxa"/>
            <w:tcMar>
              <w:left w:w="108" w:type="dxa"/>
              <w:right w:w="108" w:type="dxa"/>
            </w:tcMar>
          </w:tcPr>
          <w:p w14:paraId="2FE81414" w14:textId="0A3E9160"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Q16,922,533.41</w:t>
            </w:r>
          </w:p>
        </w:tc>
        <w:tc>
          <w:tcPr>
            <w:tcW w:w="1136" w:type="dxa"/>
            <w:shd w:val="clear" w:color="auto" w:fill="FFFF00"/>
            <w:tcMar>
              <w:left w:w="108" w:type="dxa"/>
              <w:right w:w="108" w:type="dxa"/>
            </w:tcMar>
            <w:vAlign w:val="bottom"/>
          </w:tcPr>
          <w:p w14:paraId="2E9DF9B8" w14:textId="0E6729AB"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88.64%</w:t>
            </w:r>
          </w:p>
        </w:tc>
        <w:tc>
          <w:tcPr>
            <w:tcW w:w="1255" w:type="dxa"/>
            <w:shd w:val="clear" w:color="auto" w:fill="FFFF00"/>
            <w:tcMar>
              <w:left w:w="108" w:type="dxa"/>
              <w:right w:w="108" w:type="dxa"/>
            </w:tcMar>
            <w:vAlign w:val="bottom"/>
          </w:tcPr>
          <w:p w14:paraId="65B0CF58" w14:textId="4E9DC6C7"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79.96%</w:t>
            </w:r>
          </w:p>
        </w:tc>
      </w:tr>
      <w:tr w:rsidR="0831ED43" w14:paraId="4A27E387"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674F8445" w14:textId="6DE1F24A"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Sebastián Huehuetenango</w:t>
            </w:r>
          </w:p>
        </w:tc>
        <w:tc>
          <w:tcPr>
            <w:tcW w:w="1853" w:type="dxa"/>
            <w:tcMar>
              <w:left w:w="108" w:type="dxa"/>
              <w:right w:w="108" w:type="dxa"/>
            </w:tcMar>
          </w:tcPr>
          <w:p w14:paraId="4F872164" w14:textId="530838C3"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Q27,211,781.98</w:t>
            </w:r>
          </w:p>
        </w:tc>
        <w:tc>
          <w:tcPr>
            <w:tcW w:w="1853" w:type="dxa"/>
            <w:tcMar>
              <w:left w:w="108" w:type="dxa"/>
              <w:right w:w="108" w:type="dxa"/>
            </w:tcMar>
          </w:tcPr>
          <w:p w14:paraId="4207638B" w14:textId="06BF39ED"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Q24,738,404.28</w:t>
            </w:r>
          </w:p>
        </w:tc>
        <w:tc>
          <w:tcPr>
            <w:tcW w:w="1136" w:type="dxa"/>
            <w:shd w:val="clear" w:color="auto" w:fill="FFFF00"/>
            <w:tcMar>
              <w:left w:w="108" w:type="dxa"/>
              <w:right w:w="108" w:type="dxa"/>
            </w:tcMar>
            <w:vAlign w:val="bottom"/>
          </w:tcPr>
          <w:p w14:paraId="04FFC4C2" w14:textId="40A0C343"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88.41%</w:t>
            </w:r>
          </w:p>
        </w:tc>
        <w:tc>
          <w:tcPr>
            <w:tcW w:w="1255" w:type="dxa"/>
            <w:shd w:val="clear" w:color="auto" w:fill="92D050"/>
            <w:tcMar>
              <w:left w:w="108" w:type="dxa"/>
              <w:right w:w="108" w:type="dxa"/>
            </w:tcMar>
            <w:vAlign w:val="bottom"/>
          </w:tcPr>
          <w:p w14:paraId="2E2B0121" w14:textId="1771D3D7"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90.91%</w:t>
            </w:r>
          </w:p>
        </w:tc>
      </w:tr>
      <w:tr w:rsidR="0831ED43" w14:paraId="7E62C85B"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6C262018" w14:textId="261EDE71"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Barillas</w:t>
            </w:r>
          </w:p>
        </w:tc>
        <w:tc>
          <w:tcPr>
            <w:tcW w:w="1853" w:type="dxa"/>
            <w:tcMar>
              <w:left w:w="108" w:type="dxa"/>
              <w:right w:w="108" w:type="dxa"/>
            </w:tcMar>
          </w:tcPr>
          <w:p w14:paraId="2ED1D1F2" w14:textId="5A26B6D0"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Q39,212,946.19</w:t>
            </w:r>
          </w:p>
        </w:tc>
        <w:tc>
          <w:tcPr>
            <w:tcW w:w="1853" w:type="dxa"/>
            <w:tcMar>
              <w:left w:w="108" w:type="dxa"/>
              <w:right w:w="108" w:type="dxa"/>
            </w:tcMar>
          </w:tcPr>
          <w:p w14:paraId="074C8CBB" w14:textId="3F63B43B"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Q39,212,946.19</w:t>
            </w:r>
          </w:p>
        </w:tc>
        <w:tc>
          <w:tcPr>
            <w:tcW w:w="1136" w:type="dxa"/>
            <w:shd w:val="clear" w:color="auto" w:fill="FFFF00"/>
            <w:tcMar>
              <w:left w:w="108" w:type="dxa"/>
              <w:right w:w="108" w:type="dxa"/>
            </w:tcMar>
            <w:vAlign w:val="bottom"/>
          </w:tcPr>
          <w:p w14:paraId="611BA651" w14:textId="601A2D65"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87.50%</w:t>
            </w:r>
          </w:p>
        </w:tc>
        <w:tc>
          <w:tcPr>
            <w:tcW w:w="1255" w:type="dxa"/>
            <w:shd w:val="clear" w:color="auto" w:fill="92D050"/>
            <w:tcMar>
              <w:left w:w="108" w:type="dxa"/>
              <w:right w:w="108" w:type="dxa"/>
            </w:tcMar>
            <w:vAlign w:val="bottom"/>
          </w:tcPr>
          <w:p w14:paraId="2A60CB73" w14:textId="2E265980"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100.00%</w:t>
            </w:r>
          </w:p>
        </w:tc>
      </w:tr>
      <w:tr w:rsidR="0831ED43" w14:paraId="72D2468D"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7D4B2C15" w14:textId="5A18D8BA"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Jacaltenango</w:t>
            </w:r>
          </w:p>
        </w:tc>
        <w:tc>
          <w:tcPr>
            <w:tcW w:w="1853" w:type="dxa"/>
            <w:tcMar>
              <w:left w:w="108" w:type="dxa"/>
              <w:right w:w="108" w:type="dxa"/>
            </w:tcMar>
          </w:tcPr>
          <w:p w14:paraId="200927D9" w14:textId="5AFBE8CE"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Q41,531,185.79</w:t>
            </w:r>
          </w:p>
        </w:tc>
        <w:tc>
          <w:tcPr>
            <w:tcW w:w="1853" w:type="dxa"/>
            <w:tcMar>
              <w:left w:w="108" w:type="dxa"/>
              <w:right w:w="108" w:type="dxa"/>
            </w:tcMar>
          </w:tcPr>
          <w:p w14:paraId="68BA0E0D" w14:textId="6E8DCA8F"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Q31,750,667.73</w:t>
            </w:r>
          </w:p>
        </w:tc>
        <w:tc>
          <w:tcPr>
            <w:tcW w:w="1136" w:type="dxa"/>
            <w:shd w:val="clear" w:color="auto" w:fill="FFFF00"/>
            <w:tcMar>
              <w:left w:w="108" w:type="dxa"/>
              <w:right w:w="108" w:type="dxa"/>
            </w:tcMar>
            <w:vAlign w:val="bottom"/>
          </w:tcPr>
          <w:p w14:paraId="19FF5D84" w14:textId="072671CB"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87.22%</w:t>
            </w:r>
          </w:p>
        </w:tc>
        <w:tc>
          <w:tcPr>
            <w:tcW w:w="1255" w:type="dxa"/>
            <w:shd w:val="clear" w:color="auto" w:fill="FFFF00"/>
            <w:tcMar>
              <w:left w:w="108" w:type="dxa"/>
              <w:right w:w="108" w:type="dxa"/>
            </w:tcMar>
            <w:vAlign w:val="bottom"/>
          </w:tcPr>
          <w:p w14:paraId="29C64ECF" w14:textId="732B110B"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76.45%</w:t>
            </w:r>
          </w:p>
        </w:tc>
      </w:tr>
      <w:tr w:rsidR="0831ED43" w14:paraId="766B2DF5"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581FBFCD" w14:textId="6F6BFBBA"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Gaspar Ixchil</w:t>
            </w:r>
          </w:p>
        </w:tc>
        <w:tc>
          <w:tcPr>
            <w:tcW w:w="1853" w:type="dxa"/>
            <w:tcMar>
              <w:left w:w="108" w:type="dxa"/>
              <w:right w:w="108" w:type="dxa"/>
            </w:tcMar>
          </w:tcPr>
          <w:p w14:paraId="0DE6FD21" w14:textId="7F26C25B"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Q22,953,030.18</w:t>
            </w:r>
          </w:p>
        </w:tc>
        <w:tc>
          <w:tcPr>
            <w:tcW w:w="1853" w:type="dxa"/>
            <w:tcMar>
              <w:left w:w="108" w:type="dxa"/>
              <w:right w:w="108" w:type="dxa"/>
            </w:tcMar>
          </w:tcPr>
          <w:p w14:paraId="184E821C" w14:textId="24E19F32"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Q17,816,465.64</w:t>
            </w:r>
          </w:p>
        </w:tc>
        <w:tc>
          <w:tcPr>
            <w:tcW w:w="1136" w:type="dxa"/>
            <w:shd w:val="clear" w:color="auto" w:fill="FFFF00"/>
            <w:tcMar>
              <w:left w:w="108" w:type="dxa"/>
              <w:right w:w="108" w:type="dxa"/>
            </w:tcMar>
            <w:vAlign w:val="bottom"/>
          </w:tcPr>
          <w:p w14:paraId="424D458A" w14:textId="4941E4B7"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84.95%</w:t>
            </w:r>
          </w:p>
        </w:tc>
        <w:tc>
          <w:tcPr>
            <w:tcW w:w="1255" w:type="dxa"/>
            <w:shd w:val="clear" w:color="auto" w:fill="FFFF00"/>
            <w:tcMar>
              <w:left w:w="108" w:type="dxa"/>
              <w:right w:w="108" w:type="dxa"/>
            </w:tcMar>
            <w:vAlign w:val="bottom"/>
          </w:tcPr>
          <w:p w14:paraId="1A4361FC" w14:textId="5043C9BE"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77.62%</w:t>
            </w:r>
          </w:p>
        </w:tc>
      </w:tr>
      <w:tr w:rsidR="0831ED43" w14:paraId="7462F0E1"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163BD2E4" w14:textId="224E3106"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Pedro Necta</w:t>
            </w:r>
          </w:p>
        </w:tc>
        <w:tc>
          <w:tcPr>
            <w:tcW w:w="1853" w:type="dxa"/>
            <w:tcMar>
              <w:left w:w="108" w:type="dxa"/>
              <w:right w:w="108" w:type="dxa"/>
            </w:tcMar>
          </w:tcPr>
          <w:p w14:paraId="4440DC4B" w14:textId="086B4BEC"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Q17,980,962.60</w:t>
            </w:r>
          </w:p>
        </w:tc>
        <w:tc>
          <w:tcPr>
            <w:tcW w:w="1853" w:type="dxa"/>
            <w:tcMar>
              <w:left w:w="108" w:type="dxa"/>
              <w:right w:w="108" w:type="dxa"/>
            </w:tcMar>
          </w:tcPr>
          <w:p w14:paraId="47DB63F9" w14:textId="7FE458A2"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Q14,689,878.63</w:t>
            </w:r>
          </w:p>
        </w:tc>
        <w:tc>
          <w:tcPr>
            <w:tcW w:w="1136" w:type="dxa"/>
            <w:shd w:val="clear" w:color="auto" w:fill="FFFF00"/>
            <w:tcMar>
              <w:left w:w="108" w:type="dxa"/>
              <w:right w:w="108" w:type="dxa"/>
            </w:tcMar>
            <w:vAlign w:val="bottom"/>
          </w:tcPr>
          <w:p w14:paraId="7A428B6E" w14:textId="3BE4CEB5"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82.69%</w:t>
            </w:r>
          </w:p>
        </w:tc>
        <w:tc>
          <w:tcPr>
            <w:tcW w:w="1255" w:type="dxa"/>
            <w:shd w:val="clear" w:color="auto" w:fill="FFFF00"/>
            <w:tcMar>
              <w:left w:w="108" w:type="dxa"/>
              <w:right w:w="108" w:type="dxa"/>
            </w:tcMar>
            <w:vAlign w:val="bottom"/>
          </w:tcPr>
          <w:p w14:paraId="7863EA54" w14:textId="05470E64"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81.70%</w:t>
            </w:r>
          </w:p>
        </w:tc>
      </w:tr>
      <w:tr w:rsidR="0831ED43" w14:paraId="6B92FDD3"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7305768B" w14:textId="661831D9"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La Democracia</w:t>
            </w:r>
          </w:p>
        </w:tc>
        <w:tc>
          <w:tcPr>
            <w:tcW w:w="1853" w:type="dxa"/>
            <w:tcMar>
              <w:left w:w="108" w:type="dxa"/>
              <w:right w:w="108" w:type="dxa"/>
            </w:tcMar>
          </w:tcPr>
          <w:p w14:paraId="5B1DAFD1" w14:textId="604450F6"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Q12,685,237.90</w:t>
            </w:r>
          </w:p>
        </w:tc>
        <w:tc>
          <w:tcPr>
            <w:tcW w:w="1853" w:type="dxa"/>
            <w:tcMar>
              <w:left w:w="108" w:type="dxa"/>
              <w:right w:w="108" w:type="dxa"/>
            </w:tcMar>
          </w:tcPr>
          <w:p w14:paraId="0C41FFFF" w14:textId="15FA011B"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Q11,187,910.90</w:t>
            </w:r>
          </w:p>
        </w:tc>
        <w:tc>
          <w:tcPr>
            <w:tcW w:w="1136" w:type="dxa"/>
            <w:shd w:val="clear" w:color="auto" w:fill="FFFF00"/>
            <w:tcMar>
              <w:left w:w="108" w:type="dxa"/>
              <w:right w:w="108" w:type="dxa"/>
            </w:tcMar>
            <w:vAlign w:val="bottom"/>
          </w:tcPr>
          <w:p w14:paraId="7161CB2B" w14:textId="6B4C42D2"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80.24%</w:t>
            </w:r>
          </w:p>
        </w:tc>
        <w:tc>
          <w:tcPr>
            <w:tcW w:w="1255" w:type="dxa"/>
            <w:shd w:val="clear" w:color="auto" w:fill="FFFF00"/>
            <w:tcMar>
              <w:left w:w="108" w:type="dxa"/>
              <w:right w:w="108" w:type="dxa"/>
            </w:tcMar>
            <w:vAlign w:val="bottom"/>
          </w:tcPr>
          <w:p w14:paraId="7D683AF9" w14:textId="070D5F41"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88.20%</w:t>
            </w:r>
          </w:p>
        </w:tc>
      </w:tr>
      <w:tr w:rsidR="0831ED43" w14:paraId="2505F176"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28041CEF" w14:textId="62F4D1AD"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Petatán</w:t>
            </w:r>
          </w:p>
        </w:tc>
        <w:tc>
          <w:tcPr>
            <w:tcW w:w="1853" w:type="dxa"/>
            <w:tcMar>
              <w:left w:w="108" w:type="dxa"/>
              <w:right w:w="108" w:type="dxa"/>
            </w:tcMar>
          </w:tcPr>
          <w:p w14:paraId="6DE99A90" w14:textId="5E8CCC67"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Q15,120,932.95</w:t>
            </w:r>
          </w:p>
        </w:tc>
        <w:tc>
          <w:tcPr>
            <w:tcW w:w="1853" w:type="dxa"/>
            <w:tcMar>
              <w:left w:w="108" w:type="dxa"/>
              <w:right w:w="108" w:type="dxa"/>
            </w:tcMar>
          </w:tcPr>
          <w:p w14:paraId="7DC640A0" w14:textId="51DE47C0"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Q4,713,716.32</w:t>
            </w:r>
          </w:p>
        </w:tc>
        <w:tc>
          <w:tcPr>
            <w:tcW w:w="1136" w:type="dxa"/>
            <w:shd w:val="clear" w:color="auto" w:fill="FFFF00"/>
            <w:tcMar>
              <w:left w:w="108" w:type="dxa"/>
              <w:right w:w="108" w:type="dxa"/>
            </w:tcMar>
            <w:vAlign w:val="bottom"/>
          </w:tcPr>
          <w:p w14:paraId="003B564D" w14:textId="373B738B"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76.22%</w:t>
            </w:r>
          </w:p>
        </w:tc>
        <w:tc>
          <w:tcPr>
            <w:tcW w:w="1255" w:type="dxa"/>
            <w:shd w:val="clear" w:color="auto" w:fill="C00000"/>
            <w:tcMar>
              <w:left w:w="108" w:type="dxa"/>
              <w:right w:w="108" w:type="dxa"/>
            </w:tcMar>
            <w:vAlign w:val="bottom"/>
          </w:tcPr>
          <w:p w14:paraId="419DD3AF" w14:textId="6F2BF218"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31.17%</w:t>
            </w:r>
          </w:p>
        </w:tc>
      </w:tr>
      <w:tr w:rsidR="0831ED43" w14:paraId="174FBEB4"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187F87BD" w14:textId="34DB8C45"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Huehuetenango</w:t>
            </w:r>
          </w:p>
        </w:tc>
        <w:tc>
          <w:tcPr>
            <w:tcW w:w="1853" w:type="dxa"/>
            <w:tcMar>
              <w:left w:w="108" w:type="dxa"/>
              <w:right w:w="108" w:type="dxa"/>
            </w:tcMar>
          </w:tcPr>
          <w:p w14:paraId="6C6448FD" w14:textId="5AB95D59"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Q55,025,909.79</w:t>
            </w:r>
          </w:p>
        </w:tc>
        <w:tc>
          <w:tcPr>
            <w:tcW w:w="1853" w:type="dxa"/>
            <w:tcMar>
              <w:left w:w="108" w:type="dxa"/>
              <w:right w:w="108" w:type="dxa"/>
            </w:tcMar>
          </w:tcPr>
          <w:p w14:paraId="40EAC999" w14:textId="46666D5C"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Q42,327,642.56</w:t>
            </w:r>
          </w:p>
        </w:tc>
        <w:tc>
          <w:tcPr>
            <w:tcW w:w="1136" w:type="dxa"/>
            <w:shd w:val="clear" w:color="auto" w:fill="FFFF00"/>
            <w:tcMar>
              <w:left w:w="108" w:type="dxa"/>
              <w:right w:w="108" w:type="dxa"/>
            </w:tcMar>
            <w:vAlign w:val="bottom"/>
          </w:tcPr>
          <w:p w14:paraId="56583730" w14:textId="010096CA"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73.41%</w:t>
            </w:r>
          </w:p>
        </w:tc>
        <w:tc>
          <w:tcPr>
            <w:tcW w:w="1255" w:type="dxa"/>
            <w:shd w:val="clear" w:color="auto" w:fill="FFFF00"/>
            <w:tcMar>
              <w:left w:w="108" w:type="dxa"/>
              <w:right w:w="108" w:type="dxa"/>
            </w:tcMar>
            <w:vAlign w:val="bottom"/>
          </w:tcPr>
          <w:p w14:paraId="5BDC6CB9" w14:textId="2FB38581"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76.92%</w:t>
            </w:r>
          </w:p>
        </w:tc>
      </w:tr>
      <w:tr w:rsidR="0831ED43" w14:paraId="0771FE6B"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313052DF" w14:textId="67E66E6C"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Santa Bárbara</w:t>
            </w:r>
          </w:p>
        </w:tc>
        <w:tc>
          <w:tcPr>
            <w:tcW w:w="1853" w:type="dxa"/>
            <w:tcMar>
              <w:left w:w="108" w:type="dxa"/>
              <w:right w:w="108" w:type="dxa"/>
            </w:tcMar>
          </w:tcPr>
          <w:p w14:paraId="4B2478E7" w14:textId="53B4EE68"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Q40,584,866.33</w:t>
            </w:r>
          </w:p>
        </w:tc>
        <w:tc>
          <w:tcPr>
            <w:tcW w:w="1853" w:type="dxa"/>
            <w:tcMar>
              <w:left w:w="108" w:type="dxa"/>
              <w:right w:w="108" w:type="dxa"/>
            </w:tcMar>
          </w:tcPr>
          <w:p w14:paraId="02D9568C" w14:textId="49B8A71C"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Q19,959,426.54</w:t>
            </w:r>
          </w:p>
        </w:tc>
        <w:tc>
          <w:tcPr>
            <w:tcW w:w="1136" w:type="dxa"/>
            <w:shd w:val="clear" w:color="auto" w:fill="FFFF00"/>
            <w:tcMar>
              <w:left w:w="108" w:type="dxa"/>
              <w:right w:w="108" w:type="dxa"/>
            </w:tcMar>
            <w:vAlign w:val="bottom"/>
          </w:tcPr>
          <w:p w14:paraId="2596FC7E" w14:textId="3A2CFB60"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72.31%</w:t>
            </w:r>
          </w:p>
        </w:tc>
        <w:tc>
          <w:tcPr>
            <w:tcW w:w="1255" w:type="dxa"/>
            <w:shd w:val="clear" w:color="auto" w:fill="C00000"/>
            <w:tcMar>
              <w:left w:w="108" w:type="dxa"/>
              <w:right w:w="108" w:type="dxa"/>
            </w:tcMar>
            <w:vAlign w:val="bottom"/>
          </w:tcPr>
          <w:p w14:paraId="381AAF77" w14:textId="2E2317BE"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49.18%</w:t>
            </w:r>
          </w:p>
        </w:tc>
      </w:tr>
      <w:tr w:rsidR="0831ED43" w14:paraId="1F7C7B1F"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10EDF7ED" w14:textId="0B5B03AF"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Juan Atitán</w:t>
            </w:r>
          </w:p>
        </w:tc>
        <w:tc>
          <w:tcPr>
            <w:tcW w:w="1853" w:type="dxa"/>
            <w:tcMar>
              <w:left w:w="108" w:type="dxa"/>
              <w:right w:w="108" w:type="dxa"/>
            </w:tcMar>
          </w:tcPr>
          <w:p w14:paraId="3F8CCF54" w14:textId="2D11FE0C"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Q19,823,504.00</w:t>
            </w:r>
          </w:p>
        </w:tc>
        <w:tc>
          <w:tcPr>
            <w:tcW w:w="1853" w:type="dxa"/>
            <w:tcMar>
              <w:left w:w="108" w:type="dxa"/>
              <w:right w:w="108" w:type="dxa"/>
            </w:tcMar>
          </w:tcPr>
          <w:p w14:paraId="71494634" w14:textId="664CADAC"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Q13,869,129.00</w:t>
            </w:r>
          </w:p>
        </w:tc>
        <w:tc>
          <w:tcPr>
            <w:tcW w:w="1136" w:type="dxa"/>
            <w:shd w:val="clear" w:color="auto" w:fill="FFFF00"/>
            <w:tcMar>
              <w:left w:w="108" w:type="dxa"/>
              <w:right w:w="108" w:type="dxa"/>
            </w:tcMar>
            <w:vAlign w:val="bottom"/>
          </w:tcPr>
          <w:p w14:paraId="41C6F5EF" w14:textId="0FF5F038"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69.76%</w:t>
            </w:r>
          </w:p>
        </w:tc>
        <w:tc>
          <w:tcPr>
            <w:tcW w:w="1255" w:type="dxa"/>
            <w:shd w:val="clear" w:color="auto" w:fill="FFFF00"/>
            <w:tcMar>
              <w:left w:w="108" w:type="dxa"/>
              <w:right w:w="108" w:type="dxa"/>
            </w:tcMar>
            <w:vAlign w:val="bottom"/>
          </w:tcPr>
          <w:p w14:paraId="5F1D03E7" w14:textId="746A91E9"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69.96%</w:t>
            </w:r>
          </w:p>
        </w:tc>
      </w:tr>
      <w:tr w:rsidR="0831ED43" w14:paraId="04B4403A"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587FC93B" w14:textId="55FEF2E6"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Antonio Huista</w:t>
            </w:r>
          </w:p>
        </w:tc>
        <w:tc>
          <w:tcPr>
            <w:tcW w:w="1853" w:type="dxa"/>
            <w:tcMar>
              <w:left w:w="108" w:type="dxa"/>
              <w:right w:w="108" w:type="dxa"/>
            </w:tcMar>
          </w:tcPr>
          <w:p w14:paraId="7FE23F4B" w14:textId="6A4C5DFE"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Q25,344,879.84</w:t>
            </w:r>
          </w:p>
        </w:tc>
        <w:tc>
          <w:tcPr>
            <w:tcW w:w="1853" w:type="dxa"/>
            <w:tcMar>
              <w:left w:w="108" w:type="dxa"/>
              <w:right w:w="108" w:type="dxa"/>
            </w:tcMar>
          </w:tcPr>
          <w:p w14:paraId="6B28B915" w14:textId="11BDADCE"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Q18,785,188.12</w:t>
            </w:r>
          </w:p>
        </w:tc>
        <w:tc>
          <w:tcPr>
            <w:tcW w:w="1136" w:type="dxa"/>
            <w:shd w:val="clear" w:color="auto" w:fill="FFFF00"/>
            <w:tcMar>
              <w:left w:w="108" w:type="dxa"/>
              <w:right w:w="108" w:type="dxa"/>
            </w:tcMar>
            <w:vAlign w:val="bottom"/>
          </w:tcPr>
          <w:p w14:paraId="713829B4" w14:textId="1D32295D"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64.17%</w:t>
            </w:r>
          </w:p>
        </w:tc>
        <w:tc>
          <w:tcPr>
            <w:tcW w:w="1255" w:type="dxa"/>
            <w:shd w:val="clear" w:color="auto" w:fill="FFFF00"/>
            <w:tcMar>
              <w:left w:w="108" w:type="dxa"/>
              <w:right w:w="108" w:type="dxa"/>
            </w:tcMar>
            <w:vAlign w:val="bottom"/>
          </w:tcPr>
          <w:p w14:paraId="3AB7CF3A" w14:textId="5D71B4C3"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74.12%</w:t>
            </w:r>
          </w:p>
        </w:tc>
      </w:tr>
      <w:tr w:rsidR="0831ED43" w14:paraId="6B9FD4E0"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24C994BD" w14:textId="7F82CF26"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Santa Ana Huista</w:t>
            </w:r>
          </w:p>
        </w:tc>
        <w:tc>
          <w:tcPr>
            <w:tcW w:w="1853" w:type="dxa"/>
            <w:tcMar>
              <w:left w:w="108" w:type="dxa"/>
              <w:right w:w="108" w:type="dxa"/>
            </w:tcMar>
          </w:tcPr>
          <w:p w14:paraId="012277A3" w14:textId="6AD04BA9"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Q12,882,131.50</w:t>
            </w:r>
          </w:p>
        </w:tc>
        <w:tc>
          <w:tcPr>
            <w:tcW w:w="1853" w:type="dxa"/>
            <w:tcMar>
              <w:left w:w="108" w:type="dxa"/>
              <w:right w:w="108" w:type="dxa"/>
            </w:tcMar>
          </w:tcPr>
          <w:p w14:paraId="611C0D27" w14:textId="29970BF8"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Q5,317,002.72</w:t>
            </w:r>
          </w:p>
        </w:tc>
        <w:tc>
          <w:tcPr>
            <w:tcW w:w="1136" w:type="dxa"/>
            <w:shd w:val="clear" w:color="auto" w:fill="FFFF00"/>
            <w:tcMar>
              <w:left w:w="108" w:type="dxa"/>
              <w:right w:w="108" w:type="dxa"/>
            </w:tcMar>
            <w:vAlign w:val="bottom"/>
          </w:tcPr>
          <w:p w14:paraId="5F75BD7F" w14:textId="57506130"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63.12%</w:t>
            </w:r>
          </w:p>
        </w:tc>
        <w:tc>
          <w:tcPr>
            <w:tcW w:w="1255" w:type="dxa"/>
            <w:shd w:val="clear" w:color="auto" w:fill="C00000"/>
            <w:tcMar>
              <w:left w:w="108" w:type="dxa"/>
              <w:right w:w="108" w:type="dxa"/>
            </w:tcMar>
            <w:vAlign w:val="bottom"/>
          </w:tcPr>
          <w:p w14:paraId="21554D50" w14:textId="2BE3F245"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41.27%</w:t>
            </w:r>
          </w:p>
        </w:tc>
      </w:tr>
      <w:tr w:rsidR="0831ED43" w14:paraId="606FE71E"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36C35932" w14:textId="2E07866A"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Todos Santos Cuchumatán</w:t>
            </w:r>
          </w:p>
        </w:tc>
        <w:tc>
          <w:tcPr>
            <w:tcW w:w="1853" w:type="dxa"/>
            <w:tcMar>
              <w:left w:w="108" w:type="dxa"/>
              <w:right w:w="108" w:type="dxa"/>
            </w:tcMar>
          </w:tcPr>
          <w:p w14:paraId="620D057F" w14:textId="6A91ABCB"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Q45,242,957.87</w:t>
            </w:r>
          </w:p>
        </w:tc>
        <w:tc>
          <w:tcPr>
            <w:tcW w:w="1853" w:type="dxa"/>
            <w:tcMar>
              <w:left w:w="108" w:type="dxa"/>
              <w:right w:w="108" w:type="dxa"/>
            </w:tcMar>
          </w:tcPr>
          <w:p w14:paraId="223F6E43" w14:textId="6BFBD466"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Q34,184,933.46</w:t>
            </w:r>
          </w:p>
        </w:tc>
        <w:tc>
          <w:tcPr>
            <w:tcW w:w="1136" w:type="dxa"/>
            <w:shd w:val="clear" w:color="auto" w:fill="FFFF00"/>
            <w:tcMar>
              <w:left w:w="108" w:type="dxa"/>
              <w:right w:w="108" w:type="dxa"/>
            </w:tcMar>
            <w:vAlign w:val="bottom"/>
          </w:tcPr>
          <w:p w14:paraId="2EA69A08" w14:textId="5CFE51EA"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63.10%</w:t>
            </w:r>
          </w:p>
        </w:tc>
        <w:tc>
          <w:tcPr>
            <w:tcW w:w="1255" w:type="dxa"/>
            <w:shd w:val="clear" w:color="auto" w:fill="FFFF00"/>
            <w:tcMar>
              <w:left w:w="108" w:type="dxa"/>
              <w:right w:w="108" w:type="dxa"/>
            </w:tcMar>
            <w:vAlign w:val="bottom"/>
          </w:tcPr>
          <w:p w14:paraId="2A462AF8" w14:textId="74F200C0"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75.56%</w:t>
            </w:r>
          </w:p>
        </w:tc>
      </w:tr>
      <w:tr w:rsidR="0831ED43" w14:paraId="04FA4B1F"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0B02A482" w14:textId="6A8572C7"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Concepción Huista</w:t>
            </w:r>
          </w:p>
        </w:tc>
        <w:tc>
          <w:tcPr>
            <w:tcW w:w="1853" w:type="dxa"/>
            <w:tcMar>
              <w:left w:w="108" w:type="dxa"/>
              <w:right w:w="108" w:type="dxa"/>
            </w:tcMar>
          </w:tcPr>
          <w:p w14:paraId="3DC2E33B" w14:textId="559EFB07"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Q13,329,761.12</w:t>
            </w:r>
          </w:p>
        </w:tc>
        <w:tc>
          <w:tcPr>
            <w:tcW w:w="1853" w:type="dxa"/>
            <w:tcMar>
              <w:left w:w="108" w:type="dxa"/>
              <w:right w:w="108" w:type="dxa"/>
            </w:tcMar>
          </w:tcPr>
          <w:p w14:paraId="57C16C85" w14:textId="087CEF11"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Q9,197,319.57</w:t>
            </w:r>
          </w:p>
        </w:tc>
        <w:tc>
          <w:tcPr>
            <w:tcW w:w="1136" w:type="dxa"/>
            <w:shd w:val="clear" w:color="auto" w:fill="FFFF00"/>
            <w:tcMar>
              <w:left w:w="108" w:type="dxa"/>
              <w:right w:w="108" w:type="dxa"/>
            </w:tcMar>
            <w:vAlign w:val="bottom"/>
          </w:tcPr>
          <w:p w14:paraId="23B91CDA" w14:textId="43DCD9CC"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58.37%</w:t>
            </w:r>
          </w:p>
        </w:tc>
        <w:tc>
          <w:tcPr>
            <w:tcW w:w="1255" w:type="dxa"/>
            <w:shd w:val="clear" w:color="auto" w:fill="FFFF00"/>
            <w:tcMar>
              <w:left w:w="108" w:type="dxa"/>
              <w:right w:w="108" w:type="dxa"/>
            </w:tcMar>
            <w:vAlign w:val="bottom"/>
          </w:tcPr>
          <w:p w14:paraId="746417E9" w14:textId="306D2A0B"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69.00%</w:t>
            </w:r>
          </w:p>
        </w:tc>
      </w:tr>
      <w:tr w:rsidR="0831ED43" w14:paraId="39527CBC"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1FEE8AB0" w14:textId="6CF9B784"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Malacatancito</w:t>
            </w:r>
          </w:p>
        </w:tc>
        <w:tc>
          <w:tcPr>
            <w:tcW w:w="1853" w:type="dxa"/>
            <w:tcMar>
              <w:left w:w="108" w:type="dxa"/>
              <w:right w:w="108" w:type="dxa"/>
            </w:tcMar>
          </w:tcPr>
          <w:p w14:paraId="74B82D1D" w14:textId="369ADDE7"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Q23,635,256.84</w:t>
            </w:r>
          </w:p>
        </w:tc>
        <w:tc>
          <w:tcPr>
            <w:tcW w:w="1853" w:type="dxa"/>
            <w:tcMar>
              <w:left w:w="108" w:type="dxa"/>
              <w:right w:w="108" w:type="dxa"/>
            </w:tcMar>
          </w:tcPr>
          <w:p w14:paraId="1AA2A191" w14:textId="37A4933E"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Q18,484,061.94</w:t>
            </w:r>
          </w:p>
        </w:tc>
        <w:tc>
          <w:tcPr>
            <w:tcW w:w="1136" w:type="dxa"/>
            <w:shd w:val="clear" w:color="auto" w:fill="FFFF00"/>
            <w:tcMar>
              <w:left w:w="108" w:type="dxa"/>
              <w:right w:w="108" w:type="dxa"/>
            </w:tcMar>
            <w:vAlign w:val="bottom"/>
          </w:tcPr>
          <w:p w14:paraId="7B32A581" w14:textId="2BE3E7CF"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57.68%</w:t>
            </w:r>
          </w:p>
        </w:tc>
        <w:tc>
          <w:tcPr>
            <w:tcW w:w="1255" w:type="dxa"/>
            <w:shd w:val="clear" w:color="auto" w:fill="FFFF00"/>
            <w:tcMar>
              <w:left w:w="108" w:type="dxa"/>
              <w:right w:w="108" w:type="dxa"/>
            </w:tcMar>
            <w:vAlign w:val="bottom"/>
          </w:tcPr>
          <w:p w14:paraId="4B62063E" w14:textId="06C80FBA"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78.21%</w:t>
            </w:r>
          </w:p>
        </w:tc>
      </w:tr>
      <w:tr w:rsidR="0831ED43" w14:paraId="4AF606EF"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4606DA8A" w14:textId="52182168"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Pedro Soloma</w:t>
            </w:r>
          </w:p>
        </w:tc>
        <w:tc>
          <w:tcPr>
            <w:tcW w:w="1853" w:type="dxa"/>
            <w:tcMar>
              <w:left w:w="108" w:type="dxa"/>
              <w:right w:w="108" w:type="dxa"/>
            </w:tcMar>
          </w:tcPr>
          <w:p w14:paraId="722DAC37" w14:textId="5BA30A61"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Q36,038,381.52</w:t>
            </w:r>
          </w:p>
        </w:tc>
        <w:tc>
          <w:tcPr>
            <w:tcW w:w="1853" w:type="dxa"/>
            <w:tcMar>
              <w:left w:w="108" w:type="dxa"/>
              <w:right w:w="108" w:type="dxa"/>
            </w:tcMar>
          </w:tcPr>
          <w:p w14:paraId="2A763037" w14:textId="175018AC"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Q30,011,700.20</w:t>
            </w:r>
          </w:p>
        </w:tc>
        <w:tc>
          <w:tcPr>
            <w:tcW w:w="1136" w:type="dxa"/>
            <w:shd w:val="clear" w:color="auto" w:fill="FFFF00"/>
            <w:tcMar>
              <w:left w:w="108" w:type="dxa"/>
              <w:right w:w="108" w:type="dxa"/>
            </w:tcMar>
            <w:vAlign w:val="bottom"/>
          </w:tcPr>
          <w:p w14:paraId="3B0EF61D" w14:textId="43DA8023"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55.81%</w:t>
            </w:r>
          </w:p>
        </w:tc>
        <w:tc>
          <w:tcPr>
            <w:tcW w:w="1255" w:type="dxa"/>
            <w:shd w:val="clear" w:color="auto" w:fill="FFFF00"/>
            <w:tcMar>
              <w:left w:w="108" w:type="dxa"/>
              <w:right w:w="108" w:type="dxa"/>
            </w:tcMar>
            <w:vAlign w:val="bottom"/>
          </w:tcPr>
          <w:p w14:paraId="18905C6D" w14:textId="08BB6784"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83.28%</w:t>
            </w:r>
          </w:p>
        </w:tc>
      </w:tr>
      <w:tr w:rsidR="0831ED43" w14:paraId="52A0EB42"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4F495CF9" w14:textId="19D683B6"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Rafael Petzal</w:t>
            </w:r>
          </w:p>
        </w:tc>
        <w:tc>
          <w:tcPr>
            <w:tcW w:w="1853" w:type="dxa"/>
            <w:tcMar>
              <w:left w:w="108" w:type="dxa"/>
              <w:right w:w="108" w:type="dxa"/>
            </w:tcMar>
          </w:tcPr>
          <w:p w14:paraId="5E457160" w14:textId="2290B93E"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Q25,730,461.54</w:t>
            </w:r>
          </w:p>
        </w:tc>
        <w:tc>
          <w:tcPr>
            <w:tcW w:w="1853" w:type="dxa"/>
            <w:tcMar>
              <w:left w:w="108" w:type="dxa"/>
              <w:right w:w="108" w:type="dxa"/>
            </w:tcMar>
          </w:tcPr>
          <w:p w14:paraId="0ABDEA31" w14:textId="08D48DFF"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Q18,270,405.54</w:t>
            </w:r>
          </w:p>
        </w:tc>
        <w:tc>
          <w:tcPr>
            <w:tcW w:w="1136" w:type="dxa"/>
            <w:shd w:val="clear" w:color="auto" w:fill="FFFF00"/>
            <w:tcMar>
              <w:left w:w="108" w:type="dxa"/>
              <w:right w:w="108" w:type="dxa"/>
            </w:tcMar>
            <w:vAlign w:val="bottom"/>
          </w:tcPr>
          <w:p w14:paraId="611AA5EB" w14:textId="3DAAE7C9"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51.70%</w:t>
            </w:r>
          </w:p>
        </w:tc>
        <w:tc>
          <w:tcPr>
            <w:tcW w:w="1255" w:type="dxa"/>
            <w:shd w:val="clear" w:color="auto" w:fill="FFFF00"/>
            <w:tcMar>
              <w:left w:w="108" w:type="dxa"/>
              <w:right w:w="108" w:type="dxa"/>
            </w:tcMar>
            <w:vAlign w:val="bottom"/>
          </w:tcPr>
          <w:p w14:paraId="7957FAE3" w14:textId="363D2C26"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71.01%</w:t>
            </w:r>
          </w:p>
        </w:tc>
      </w:tr>
      <w:tr w:rsidR="0831ED43" w14:paraId="2B1FDF67"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5F0204A1" w14:textId="293B7768"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Aguacatán</w:t>
            </w:r>
          </w:p>
        </w:tc>
        <w:tc>
          <w:tcPr>
            <w:tcW w:w="1853" w:type="dxa"/>
            <w:tcMar>
              <w:left w:w="108" w:type="dxa"/>
              <w:right w:w="108" w:type="dxa"/>
            </w:tcMar>
          </w:tcPr>
          <w:p w14:paraId="02D408BB" w14:textId="555D762D"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Q50,389,461.24</w:t>
            </w:r>
          </w:p>
        </w:tc>
        <w:tc>
          <w:tcPr>
            <w:tcW w:w="1853" w:type="dxa"/>
            <w:tcMar>
              <w:left w:w="108" w:type="dxa"/>
              <w:right w:w="108" w:type="dxa"/>
            </w:tcMar>
          </w:tcPr>
          <w:p w14:paraId="3D0AB0AD" w14:textId="4581AFF4"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Q34,711,819.11</w:t>
            </w:r>
          </w:p>
        </w:tc>
        <w:tc>
          <w:tcPr>
            <w:tcW w:w="1136" w:type="dxa"/>
            <w:shd w:val="clear" w:color="auto" w:fill="FFFF00"/>
            <w:tcMar>
              <w:left w:w="108" w:type="dxa"/>
              <w:right w:w="108" w:type="dxa"/>
            </w:tcMar>
            <w:vAlign w:val="bottom"/>
          </w:tcPr>
          <w:p w14:paraId="7CAA9873" w14:textId="5002B7DC"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51.67%</w:t>
            </w:r>
          </w:p>
        </w:tc>
        <w:tc>
          <w:tcPr>
            <w:tcW w:w="1255" w:type="dxa"/>
            <w:shd w:val="clear" w:color="auto" w:fill="FFFF00"/>
            <w:tcMar>
              <w:left w:w="108" w:type="dxa"/>
              <w:right w:w="108" w:type="dxa"/>
            </w:tcMar>
            <w:vAlign w:val="bottom"/>
          </w:tcPr>
          <w:p w14:paraId="6D38B586" w14:textId="7CF83B53"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68.89%</w:t>
            </w:r>
          </w:p>
        </w:tc>
      </w:tr>
      <w:tr w:rsidR="0831ED43" w14:paraId="5D029949"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64CB4FFE" w14:textId="3B042215"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Santa Eulalia</w:t>
            </w:r>
          </w:p>
        </w:tc>
        <w:tc>
          <w:tcPr>
            <w:tcW w:w="1853" w:type="dxa"/>
            <w:tcMar>
              <w:left w:w="108" w:type="dxa"/>
              <w:right w:w="108" w:type="dxa"/>
            </w:tcMar>
          </w:tcPr>
          <w:p w14:paraId="29F019F9" w14:textId="618230C4"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Q23,006,068.68</w:t>
            </w:r>
          </w:p>
        </w:tc>
        <w:tc>
          <w:tcPr>
            <w:tcW w:w="1853" w:type="dxa"/>
            <w:tcMar>
              <w:left w:w="108" w:type="dxa"/>
              <w:right w:w="108" w:type="dxa"/>
            </w:tcMar>
          </w:tcPr>
          <w:p w14:paraId="6D9E4A98" w14:textId="3D32E148"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Q12,065,910.18</w:t>
            </w:r>
          </w:p>
        </w:tc>
        <w:tc>
          <w:tcPr>
            <w:tcW w:w="1136" w:type="dxa"/>
            <w:shd w:val="clear" w:color="auto" w:fill="C00000"/>
            <w:tcMar>
              <w:left w:w="108" w:type="dxa"/>
              <w:right w:w="108" w:type="dxa"/>
            </w:tcMar>
            <w:vAlign w:val="bottom"/>
          </w:tcPr>
          <w:p w14:paraId="4C21E6B9" w14:textId="19E0401B"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44.34%</w:t>
            </w:r>
          </w:p>
        </w:tc>
        <w:tc>
          <w:tcPr>
            <w:tcW w:w="1255" w:type="dxa"/>
            <w:shd w:val="clear" w:color="auto" w:fill="FFFF00"/>
            <w:tcMar>
              <w:left w:w="108" w:type="dxa"/>
              <w:right w:w="108" w:type="dxa"/>
            </w:tcMar>
            <w:vAlign w:val="bottom"/>
          </w:tcPr>
          <w:p w14:paraId="336C19C3" w14:textId="47612A7A"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52.45%</w:t>
            </w:r>
          </w:p>
        </w:tc>
      </w:tr>
      <w:tr w:rsidR="0831ED43" w14:paraId="1DC30CD8"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4794AC79" w14:textId="176A9453"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Chiantla</w:t>
            </w:r>
          </w:p>
        </w:tc>
        <w:tc>
          <w:tcPr>
            <w:tcW w:w="1853" w:type="dxa"/>
            <w:tcMar>
              <w:left w:w="108" w:type="dxa"/>
              <w:right w:w="108" w:type="dxa"/>
            </w:tcMar>
          </w:tcPr>
          <w:p w14:paraId="4D373523" w14:textId="41229EE9"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Q55,914,064.20</w:t>
            </w:r>
          </w:p>
        </w:tc>
        <w:tc>
          <w:tcPr>
            <w:tcW w:w="1853" w:type="dxa"/>
            <w:tcMar>
              <w:left w:w="108" w:type="dxa"/>
              <w:right w:w="108" w:type="dxa"/>
            </w:tcMar>
          </w:tcPr>
          <w:p w14:paraId="0513DF2D" w14:textId="27C058B7"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Q35,917,288.38</w:t>
            </w:r>
          </w:p>
        </w:tc>
        <w:tc>
          <w:tcPr>
            <w:tcW w:w="1136" w:type="dxa"/>
            <w:shd w:val="clear" w:color="auto" w:fill="C00000"/>
            <w:tcMar>
              <w:left w:w="108" w:type="dxa"/>
              <w:right w:w="108" w:type="dxa"/>
            </w:tcMar>
            <w:vAlign w:val="bottom"/>
          </w:tcPr>
          <w:p w14:paraId="024A7E2F" w14:textId="52FC99F1"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43.26%</w:t>
            </w:r>
          </w:p>
        </w:tc>
        <w:tc>
          <w:tcPr>
            <w:tcW w:w="1255" w:type="dxa"/>
            <w:shd w:val="clear" w:color="auto" w:fill="FFFF00"/>
            <w:tcMar>
              <w:left w:w="108" w:type="dxa"/>
              <w:right w:w="108" w:type="dxa"/>
            </w:tcMar>
            <w:vAlign w:val="bottom"/>
          </w:tcPr>
          <w:p w14:paraId="53D47668" w14:textId="6736B7EC"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64.24%</w:t>
            </w:r>
          </w:p>
        </w:tc>
      </w:tr>
      <w:tr w:rsidR="0831ED43" w14:paraId="70376A62"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0E986E99" w14:textId="1D6A2E16"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Mateo Ixtatán</w:t>
            </w:r>
          </w:p>
        </w:tc>
        <w:tc>
          <w:tcPr>
            <w:tcW w:w="1853" w:type="dxa"/>
            <w:tcMar>
              <w:left w:w="108" w:type="dxa"/>
              <w:right w:w="108" w:type="dxa"/>
            </w:tcMar>
          </w:tcPr>
          <w:p w14:paraId="4CD5D82D" w14:textId="38F2DA57"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Q19,009,983.23</w:t>
            </w:r>
          </w:p>
        </w:tc>
        <w:tc>
          <w:tcPr>
            <w:tcW w:w="1853" w:type="dxa"/>
            <w:tcMar>
              <w:left w:w="108" w:type="dxa"/>
              <w:right w:w="108" w:type="dxa"/>
            </w:tcMar>
          </w:tcPr>
          <w:p w14:paraId="4AAEAA30" w14:textId="133BDC6F"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Q12,192,907.54</w:t>
            </w:r>
          </w:p>
        </w:tc>
        <w:tc>
          <w:tcPr>
            <w:tcW w:w="1136" w:type="dxa"/>
            <w:shd w:val="clear" w:color="auto" w:fill="C00000"/>
            <w:tcMar>
              <w:left w:w="108" w:type="dxa"/>
              <w:right w:w="108" w:type="dxa"/>
            </w:tcMar>
            <w:vAlign w:val="bottom"/>
          </w:tcPr>
          <w:p w14:paraId="6973553D" w14:textId="018E0958"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43.13%</w:t>
            </w:r>
          </w:p>
        </w:tc>
        <w:tc>
          <w:tcPr>
            <w:tcW w:w="1255" w:type="dxa"/>
            <w:shd w:val="clear" w:color="auto" w:fill="FFFF00"/>
            <w:tcMar>
              <w:left w:w="108" w:type="dxa"/>
              <w:right w:w="108" w:type="dxa"/>
            </w:tcMar>
            <w:vAlign w:val="bottom"/>
          </w:tcPr>
          <w:p w14:paraId="5859FE3A" w14:textId="255C2655"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64.14%</w:t>
            </w:r>
          </w:p>
        </w:tc>
      </w:tr>
      <w:tr w:rsidR="0831ED43" w14:paraId="51D0E778"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3B642F54" w14:textId="433A161F"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La Libertad</w:t>
            </w:r>
          </w:p>
        </w:tc>
        <w:tc>
          <w:tcPr>
            <w:tcW w:w="1853" w:type="dxa"/>
            <w:tcMar>
              <w:left w:w="108" w:type="dxa"/>
              <w:right w:w="108" w:type="dxa"/>
            </w:tcMar>
          </w:tcPr>
          <w:p w14:paraId="698FFE31" w14:textId="65882C96"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Q23,464,448.71</w:t>
            </w:r>
          </w:p>
        </w:tc>
        <w:tc>
          <w:tcPr>
            <w:tcW w:w="1853" w:type="dxa"/>
            <w:tcMar>
              <w:left w:w="108" w:type="dxa"/>
              <w:right w:w="108" w:type="dxa"/>
            </w:tcMar>
          </w:tcPr>
          <w:p w14:paraId="368E2C97" w14:textId="31EE86C5"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Q14,463,196.31</w:t>
            </w:r>
          </w:p>
        </w:tc>
        <w:tc>
          <w:tcPr>
            <w:tcW w:w="1136" w:type="dxa"/>
            <w:shd w:val="clear" w:color="auto" w:fill="C00000"/>
            <w:tcMar>
              <w:left w:w="108" w:type="dxa"/>
              <w:right w:w="108" w:type="dxa"/>
            </w:tcMar>
            <w:vAlign w:val="bottom"/>
          </w:tcPr>
          <w:p w14:paraId="1173B6C4" w14:textId="47A0CC72"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29.59%</w:t>
            </w:r>
          </w:p>
        </w:tc>
        <w:tc>
          <w:tcPr>
            <w:tcW w:w="1255" w:type="dxa"/>
            <w:shd w:val="clear" w:color="auto" w:fill="FFFF00"/>
            <w:tcMar>
              <w:left w:w="108" w:type="dxa"/>
              <w:right w:w="108" w:type="dxa"/>
            </w:tcMar>
            <w:vAlign w:val="bottom"/>
          </w:tcPr>
          <w:p w14:paraId="15BB3630" w14:textId="79A53509"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61.64%</w:t>
            </w:r>
          </w:p>
        </w:tc>
      </w:tr>
      <w:tr w:rsidR="0831ED43" w14:paraId="32F03626"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60A475C8" w14:textId="1BED1458"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Tectitán</w:t>
            </w:r>
          </w:p>
        </w:tc>
        <w:tc>
          <w:tcPr>
            <w:tcW w:w="1853" w:type="dxa"/>
            <w:tcMar>
              <w:left w:w="108" w:type="dxa"/>
              <w:right w:w="108" w:type="dxa"/>
            </w:tcMar>
          </w:tcPr>
          <w:p w14:paraId="10627E64" w14:textId="10581BC4"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Q12,796,251.20</w:t>
            </w:r>
          </w:p>
        </w:tc>
        <w:tc>
          <w:tcPr>
            <w:tcW w:w="1853" w:type="dxa"/>
            <w:tcMar>
              <w:left w:w="108" w:type="dxa"/>
              <w:right w:w="108" w:type="dxa"/>
            </w:tcMar>
          </w:tcPr>
          <w:p w14:paraId="5A778E3E" w14:textId="04F59DD8"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Q2,360,991.80</w:t>
            </w:r>
          </w:p>
        </w:tc>
        <w:tc>
          <w:tcPr>
            <w:tcW w:w="1136" w:type="dxa"/>
            <w:shd w:val="clear" w:color="auto" w:fill="C00000"/>
            <w:tcMar>
              <w:left w:w="108" w:type="dxa"/>
              <w:right w:w="108" w:type="dxa"/>
            </w:tcMar>
            <w:vAlign w:val="bottom"/>
          </w:tcPr>
          <w:p w14:paraId="743DB3A4" w14:textId="3E7EBCDC"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26.34%</w:t>
            </w:r>
          </w:p>
        </w:tc>
        <w:tc>
          <w:tcPr>
            <w:tcW w:w="1255" w:type="dxa"/>
            <w:shd w:val="clear" w:color="auto" w:fill="C00000"/>
            <w:tcMar>
              <w:left w:w="108" w:type="dxa"/>
              <w:right w:w="108" w:type="dxa"/>
            </w:tcMar>
            <w:vAlign w:val="bottom"/>
          </w:tcPr>
          <w:p w14:paraId="19DF64F8" w14:textId="6C7EA48D"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18.45%</w:t>
            </w:r>
          </w:p>
        </w:tc>
      </w:tr>
      <w:tr w:rsidR="0831ED43" w14:paraId="4D5BCA5D" w14:textId="77777777" w:rsidTr="0093034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22EF9875" w14:textId="20A075FD"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San Miguel Acatán</w:t>
            </w:r>
          </w:p>
        </w:tc>
        <w:tc>
          <w:tcPr>
            <w:tcW w:w="1853" w:type="dxa"/>
            <w:tcMar>
              <w:left w:w="108" w:type="dxa"/>
              <w:right w:w="108" w:type="dxa"/>
            </w:tcMar>
          </w:tcPr>
          <w:p w14:paraId="74D665FB" w14:textId="662334CE"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Q24,124,064.08</w:t>
            </w:r>
          </w:p>
        </w:tc>
        <w:tc>
          <w:tcPr>
            <w:tcW w:w="1853" w:type="dxa"/>
            <w:tcMar>
              <w:left w:w="108" w:type="dxa"/>
              <w:right w:w="108" w:type="dxa"/>
            </w:tcMar>
          </w:tcPr>
          <w:p w14:paraId="6B14A915" w14:textId="0FB331E8"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Q10,174,171.51</w:t>
            </w:r>
          </w:p>
        </w:tc>
        <w:tc>
          <w:tcPr>
            <w:tcW w:w="1136" w:type="dxa"/>
            <w:shd w:val="clear" w:color="auto" w:fill="C00000"/>
            <w:tcMar>
              <w:left w:w="108" w:type="dxa"/>
              <w:right w:w="108" w:type="dxa"/>
            </w:tcMar>
            <w:vAlign w:val="bottom"/>
          </w:tcPr>
          <w:p w14:paraId="69AAB227" w14:textId="3D7F7163"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24.99%</w:t>
            </w:r>
          </w:p>
        </w:tc>
        <w:tc>
          <w:tcPr>
            <w:tcW w:w="1255" w:type="dxa"/>
            <w:shd w:val="clear" w:color="auto" w:fill="C00000"/>
            <w:tcMar>
              <w:left w:w="108" w:type="dxa"/>
              <w:right w:w="108" w:type="dxa"/>
            </w:tcMar>
            <w:vAlign w:val="bottom"/>
          </w:tcPr>
          <w:p w14:paraId="012B9FB0" w14:textId="16A9A44A" w:rsidR="0831ED43" w:rsidRDefault="0831ED43" w:rsidP="0831ED43">
            <w:pPr>
              <w:jc w:val="right"/>
              <w:cnfStyle w:val="000000100000" w:firstRow="0" w:lastRow="0" w:firstColumn="0" w:lastColumn="0" w:oddVBand="0" w:evenVBand="0" w:oddHBand="1" w:evenHBand="0" w:firstRowFirstColumn="0" w:firstRowLastColumn="0" w:lastRowFirstColumn="0" w:lastRowLastColumn="0"/>
            </w:pPr>
            <w:r w:rsidRPr="0831ED43">
              <w:rPr>
                <w:rFonts w:ascii="Calibri" w:eastAsia="Calibri" w:hAnsi="Calibri" w:cs="Calibri"/>
                <w:color w:val="000000" w:themeColor="text1"/>
              </w:rPr>
              <w:t>42.17%</w:t>
            </w:r>
          </w:p>
        </w:tc>
      </w:tr>
      <w:tr w:rsidR="0831ED43" w14:paraId="2AA0D4AA" w14:textId="77777777" w:rsidTr="0093034A">
        <w:trPr>
          <w:trHeight w:val="289"/>
        </w:trPr>
        <w:tc>
          <w:tcPr>
            <w:cnfStyle w:val="001000000000" w:firstRow="0" w:lastRow="0" w:firstColumn="1" w:lastColumn="0" w:oddVBand="0" w:evenVBand="0" w:oddHBand="0" w:evenHBand="0" w:firstRowFirstColumn="0" w:firstRowLastColumn="0" w:lastRowFirstColumn="0" w:lastRowLastColumn="0"/>
            <w:tcW w:w="3094" w:type="dxa"/>
            <w:tcMar>
              <w:left w:w="108" w:type="dxa"/>
              <w:right w:w="108" w:type="dxa"/>
            </w:tcMar>
          </w:tcPr>
          <w:p w14:paraId="2D7E4666" w14:textId="1EDAC688" w:rsidR="0831ED43" w:rsidRDefault="0831ED43" w:rsidP="0831ED43">
            <w:pPr>
              <w:rPr>
                <w:rFonts w:ascii="Calibri" w:eastAsia="Calibri" w:hAnsi="Calibri" w:cs="Calibri"/>
                <w:b w:val="0"/>
                <w:bCs w:val="0"/>
                <w:color w:val="000000" w:themeColor="text1"/>
              </w:rPr>
            </w:pPr>
            <w:r w:rsidRPr="0831ED43">
              <w:rPr>
                <w:rFonts w:ascii="Calibri" w:eastAsia="Calibri" w:hAnsi="Calibri" w:cs="Calibri"/>
                <w:b w:val="0"/>
                <w:bCs w:val="0"/>
                <w:color w:val="000000" w:themeColor="text1"/>
              </w:rPr>
              <w:t>Cuilco</w:t>
            </w:r>
          </w:p>
        </w:tc>
        <w:tc>
          <w:tcPr>
            <w:tcW w:w="1853" w:type="dxa"/>
            <w:tcMar>
              <w:left w:w="108" w:type="dxa"/>
              <w:right w:w="108" w:type="dxa"/>
            </w:tcMar>
          </w:tcPr>
          <w:p w14:paraId="7A857DA9" w14:textId="43D304DB"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Q34,051,817.40</w:t>
            </w:r>
          </w:p>
        </w:tc>
        <w:tc>
          <w:tcPr>
            <w:tcW w:w="1853" w:type="dxa"/>
            <w:tcMar>
              <w:left w:w="108" w:type="dxa"/>
              <w:right w:w="108" w:type="dxa"/>
            </w:tcMar>
          </w:tcPr>
          <w:p w14:paraId="0A0D40D5" w14:textId="49C073BE"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Q0.00</w:t>
            </w:r>
          </w:p>
        </w:tc>
        <w:tc>
          <w:tcPr>
            <w:tcW w:w="1136" w:type="dxa"/>
            <w:shd w:val="clear" w:color="auto" w:fill="C00000"/>
            <w:tcMar>
              <w:left w:w="108" w:type="dxa"/>
              <w:right w:w="108" w:type="dxa"/>
            </w:tcMar>
            <w:vAlign w:val="bottom"/>
          </w:tcPr>
          <w:p w14:paraId="09078C5C" w14:textId="3EDE2B65"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0.00%</w:t>
            </w:r>
          </w:p>
        </w:tc>
        <w:tc>
          <w:tcPr>
            <w:tcW w:w="1255" w:type="dxa"/>
            <w:shd w:val="clear" w:color="auto" w:fill="C00000"/>
            <w:tcMar>
              <w:left w:w="108" w:type="dxa"/>
              <w:right w:w="108" w:type="dxa"/>
            </w:tcMar>
            <w:vAlign w:val="bottom"/>
          </w:tcPr>
          <w:p w14:paraId="3BE166A4" w14:textId="52DF9624" w:rsidR="0831ED43" w:rsidRDefault="0831ED43" w:rsidP="0831ED43">
            <w:pPr>
              <w:jc w:val="right"/>
              <w:cnfStyle w:val="000000000000" w:firstRow="0" w:lastRow="0" w:firstColumn="0" w:lastColumn="0" w:oddVBand="0" w:evenVBand="0" w:oddHBand="0" w:evenHBand="0" w:firstRowFirstColumn="0" w:firstRowLastColumn="0" w:lastRowFirstColumn="0" w:lastRowLastColumn="0"/>
            </w:pPr>
            <w:r w:rsidRPr="0831ED43">
              <w:rPr>
                <w:rFonts w:ascii="Calibri" w:eastAsia="Calibri" w:hAnsi="Calibri" w:cs="Calibri"/>
                <w:color w:val="000000" w:themeColor="text1"/>
              </w:rPr>
              <w:t>0.00%</w:t>
            </w:r>
          </w:p>
        </w:tc>
      </w:tr>
    </w:tbl>
    <w:p w14:paraId="01C1A92F" w14:textId="5DBE894D" w:rsidR="00693BD9" w:rsidRPr="003051CD" w:rsidRDefault="0831ED43" w:rsidP="00A543DE">
      <w:pPr>
        <w:autoSpaceDE w:val="0"/>
        <w:autoSpaceDN w:val="0"/>
        <w:adjustRightInd w:val="0"/>
        <w:spacing w:after="120" w:line="240" w:lineRule="auto"/>
        <w:jc w:val="both"/>
        <w:rPr>
          <w:rFonts w:eastAsiaTheme="minorEastAsia"/>
          <w:sz w:val="18"/>
          <w:szCs w:val="18"/>
          <w:lang w:val="es-ES"/>
        </w:rPr>
      </w:pPr>
      <w:r w:rsidRPr="0831ED43">
        <w:rPr>
          <w:rFonts w:eastAsiaTheme="minorEastAsia"/>
          <w:sz w:val="18"/>
          <w:szCs w:val="18"/>
          <w:lang w:val="es-ES"/>
        </w:rPr>
        <w:t>Fuente: Siplangl, III informe cuatrimestral y acumulado. Año 2022.</w:t>
      </w:r>
    </w:p>
    <w:p w14:paraId="0A9491B2" w14:textId="6FB3962F" w:rsidR="00693BD9" w:rsidRPr="00A543DE" w:rsidRDefault="0831ED43" w:rsidP="00A543DE">
      <w:pPr>
        <w:autoSpaceDE w:val="0"/>
        <w:autoSpaceDN w:val="0"/>
        <w:adjustRightInd w:val="0"/>
        <w:spacing w:after="120" w:line="240" w:lineRule="auto"/>
        <w:jc w:val="both"/>
        <w:rPr>
          <w:rFonts w:eastAsia="Times New Roman" w:cstheme="minorHAnsi"/>
          <w:b/>
          <w:color w:val="002060"/>
          <w:sz w:val="28"/>
          <w:szCs w:val="28"/>
          <w:lang w:val="es-ES"/>
        </w:rPr>
      </w:pPr>
      <w:r w:rsidRPr="00A543DE">
        <w:rPr>
          <w:rFonts w:eastAsia="Times New Roman" w:cstheme="minorHAnsi"/>
          <w:b/>
          <w:bCs/>
          <w:color w:val="002060"/>
          <w:sz w:val="28"/>
          <w:szCs w:val="28"/>
          <w:lang w:val="es-ES"/>
        </w:rPr>
        <w:t>Escuintla</w:t>
      </w:r>
    </w:p>
    <w:p w14:paraId="5E04CD6A" w14:textId="4CD993F8" w:rsidR="0831ED43" w:rsidRDefault="00A543DE" w:rsidP="00A543DE">
      <w:pPr>
        <w:spacing w:after="120" w:line="240" w:lineRule="auto"/>
        <w:jc w:val="both"/>
      </w:pPr>
      <w:r w:rsidRPr="008003FC">
        <w:rPr>
          <w:noProof/>
          <w:sz w:val="24"/>
        </w:rPr>
        <w:drawing>
          <wp:anchor distT="0" distB="0" distL="114300" distR="114300" simplePos="0" relativeHeight="251700736" behindDoc="1" locked="0" layoutInCell="1" allowOverlap="1" wp14:anchorId="253CAD90" wp14:editId="26593FE3">
            <wp:simplePos x="0" y="0"/>
            <wp:positionH relativeFrom="column">
              <wp:posOffset>4400550</wp:posOffset>
            </wp:positionH>
            <wp:positionV relativeFrom="paragraph">
              <wp:posOffset>69215</wp:posOffset>
            </wp:positionV>
            <wp:extent cx="1504315" cy="1021080"/>
            <wp:effectExtent l="19050" t="19050" r="19685" b="26670"/>
            <wp:wrapTight wrapText="bothSides">
              <wp:wrapPolygon edited="0">
                <wp:start x="-274" y="-403"/>
                <wp:lineTo x="-274" y="21761"/>
                <wp:lineTo x="21609" y="21761"/>
                <wp:lineTo x="21609" y="-403"/>
                <wp:lineTo x="-274" y="-403"/>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04315" cy="1021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831ED43" w:rsidRPr="0831ED43">
        <w:rPr>
          <w:rFonts w:ascii="Calibri" w:eastAsia="Calibri" w:hAnsi="Calibri" w:cs="Calibri"/>
          <w:sz w:val="24"/>
          <w:szCs w:val="24"/>
          <w:lang w:val="es-ES"/>
        </w:rPr>
        <w:t xml:space="preserve">Al finalizar el año 2022, el departamento reportó un avance promedio del 65.89%. Los municipios que mayor avance físico presentaron son: Nueva Concepción con 98.82%, Masagua con 89.80% y Santa Lucía Cotzumalguapa con 85.47%. </w:t>
      </w:r>
    </w:p>
    <w:p w14:paraId="4A7E2B26" w14:textId="745C0874" w:rsidR="0831ED43" w:rsidRDefault="0831ED43" w:rsidP="00A543DE">
      <w:pPr>
        <w:spacing w:after="120" w:line="240" w:lineRule="auto"/>
        <w:jc w:val="both"/>
        <w:rPr>
          <w:rFonts w:ascii="Helvetica" w:eastAsia="Times New Roman" w:hAnsi="Helvetica" w:cs="Helvetica"/>
          <w:sz w:val="24"/>
          <w:szCs w:val="24"/>
          <w:lang w:val="es-ES"/>
        </w:rPr>
      </w:pPr>
      <w:r w:rsidRPr="0831ED43">
        <w:rPr>
          <w:rFonts w:ascii="Calibri" w:eastAsia="Calibri" w:hAnsi="Calibri" w:cs="Calibri"/>
          <w:sz w:val="24"/>
          <w:szCs w:val="24"/>
          <w:lang w:val="es-ES"/>
        </w:rPr>
        <w:t>Por su lado, en lo que se refiere al avance financiero, el departamento reportó un avance al finalizar el ejercicio fiscal de 67.63%. Los municipios que mayor avance reportaron son: Siquinalá con 92.47%, San Vicente Pacaya con 90.41% y Sipacate con 89.73%. Ver siguiente tabla.</w:t>
      </w:r>
    </w:p>
    <w:p w14:paraId="72EEFCD6" w14:textId="085A36FB" w:rsidR="00BC2B6E" w:rsidRPr="00A543DE" w:rsidRDefault="22C98DE9" w:rsidP="00DE0BC3">
      <w:pPr>
        <w:pStyle w:val="ttulosgrficas"/>
        <w:rPr>
          <w:rStyle w:val="ttulosgrficasCar"/>
          <w:rFonts w:asciiTheme="minorHAnsi" w:eastAsia="Times New Roman" w:hAnsiTheme="minorHAnsi" w:cstheme="minorHAnsi"/>
          <w:b/>
          <w:bCs/>
          <w:color w:val="4472C4" w:themeColor="accent1"/>
          <w:lang w:val="es-ES"/>
        </w:rPr>
      </w:pPr>
      <w:bookmarkStart w:id="70" w:name="_Toc130199615"/>
      <w:r w:rsidRPr="00A543DE">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27</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A543DE">
        <w:rPr>
          <w:rFonts w:asciiTheme="minorHAnsi" w:eastAsia="Times New Roman" w:hAnsiTheme="minorHAnsi" w:cstheme="minorHAnsi"/>
          <w:color w:val="4472C4" w:themeColor="accent1"/>
          <w:lang w:val="es-ES"/>
        </w:rPr>
        <w:t xml:space="preserve"> Ejecución Física y Financiera, Departamento de Escuintla</w:t>
      </w:r>
      <w:bookmarkEnd w:id="70"/>
    </w:p>
    <w:tbl>
      <w:tblPr>
        <w:tblStyle w:val="Tabladelista4-nfasis5"/>
        <w:tblW w:w="9375"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255"/>
        <w:gridCol w:w="1875"/>
        <w:gridCol w:w="1860"/>
        <w:gridCol w:w="1095"/>
        <w:gridCol w:w="1290"/>
      </w:tblGrid>
      <w:tr w:rsidR="22C98DE9" w14:paraId="73327E98" w14:textId="77777777" w:rsidTr="00A543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Borders>
              <w:top w:val="none" w:sz="0" w:space="0" w:color="auto"/>
              <w:left w:val="none" w:sz="0" w:space="0" w:color="auto"/>
              <w:bottom w:val="none" w:sz="0" w:space="0" w:color="auto"/>
            </w:tcBorders>
            <w:tcMar>
              <w:left w:w="108" w:type="dxa"/>
              <w:right w:w="108" w:type="dxa"/>
            </w:tcMar>
            <w:vAlign w:val="center"/>
          </w:tcPr>
          <w:p w14:paraId="43CE70EA" w14:textId="62E45F2E" w:rsidR="22C98DE9" w:rsidRDefault="22C98DE9" w:rsidP="22C98DE9">
            <w:pPr>
              <w:jc w:val="center"/>
            </w:pPr>
            <w:r w:rsidRPr="22C98DE9">
              <w:rPr>
                <w:rFonts w:ascii="Calibri" w:eastAsia="Calibri" w:hAnsi="Calibri" w:cs="Calibri"/>
                <w:color w:val="000000" w:themeColor="text1"/>
              </w:rPr>
              <w:t>Municipio</w:t>
            </w:r>
          </w:p>
        </w:tc>
        <w:tc>
          <w:tcPr>
            <w:tcW w:w="1875" w:type="dxa"/>
            <w:tcBorders>
              <w:top w:val="none" w:sz="0" w:space="0" w:color="auto"/>
              <w:bottom w:val="none" w:sz="0" w:space="0" w:color="auto"/>
            </w:tcBorders>
            <w:tcMar>
              <w:left w:w="108" w:type="dxa"/>
              <w:right w:w="108" w:type="dxa"/>
            </w:tcMar>
            <w:vAlign w:val="center"/>
          </w:tcPr>
          <w:p w14:paraId="35762C47" w14:textId="2B45F8D0" w:rsidR="22C98DE9" w:rsidRDefault="10DDB783" w:rsidP="22C98DE9">
            <w:pPr>
              <w:jc w:val="center"/>
              <w:cnfStyle w:val="100000000000" w:firstRow="1" w:lastRow="0" w:firstColumn="0" w:lastColumn="0" w:oddVBand="0" w:evenVBand="0" w:oddHBand="0" w:evenHBand="0" w:firstRowFirstColumn="0" w:firstRowLastColumn="0" w:lastRowFirstColumn="0" w:lastRowLastColumn="0"/>
            </w:pPr>
            <w:r w:rsidRPr="10DDB783">
              <w:rPr>
                <w:rFonts w:ascii="Calibri" w:eastAsia="Calibri" w:hAnsi="Calibri" w:cs="Calibri"/>
                <w:color w:val="000000" w:themeColor="text1"/>
              </w:rPr>
              <w:t>Meta Financiera Anual Vigente</w:t>
            </w:r>
          </w:p>
        </w:tc>
        <w:tc>
          <w:tcPr>
            <w:tcW w:w="1860" w:type="dxa"/>
            <w:tcBorders>
              <w:top w:val="none" w:sz="0" w:space="0" w:color="auto"/>
              <w:bottom w:val="none" w:sz="0" w:space="0" w:color="auto"/>
            </w:tcBorders>
            <w:tcMar>
              <w:left w:w="108" w:type="dxa"/>
              <w:right w:w="108" w:type="dxa"/>
            </w:tcMar>
            <w:vAlign w:val="center"/>
          </w:tcPr>
          <w:p w14:paraId="5A51CE22" w14:textId="085EEB94" w:rsidR="22C98DE9" w:rsidRDefault="10DDB783" w:rsidP="22C98DE9">
            <w:pPr>
              <w:jc w:val="center"/>
              <w:cnfStyle w:val="100000000000" w:firstRow="1" w:lastRow="0" w:firstColumn="0" w:lastColumn="0" w:oddVBand="0" w:evenVBand="0" w:oddHBand="0" w:evenHBand="0" w:firstRowFirstColumn="0" w:firstRowLastColumn="0" w:lastRowFirstColumn="0" w:lastRowLastColumn="0"/>
            </w:pPr>
            <w:r w:rsidRPr="10DDB783">
              <w:rPr>
                <w:rFonts w:ascii="Calibri" w:eastAsia="Calibri" w:hAnsi="Calibri" w:cs="Calibri"/>
                <w:color w:val="000000" w:themeColor="text1"/>
              </w:rPr>
              <w:t>Ejecución Financiera Acumulada</w:t>
            </w:r>
          </w:p>
        </w:tc>
        <w:tc>
          <w:tcPr>
            <w:tcW w:w="1095" w:type="dxa"/>
            <w:tcBorders>
              <w:top w:val="none" w:sz="0" w:space="0" w:color="auto"/>
              <w:bottom w:val="none" w:sz="0" w:space="0" w:color="auto"/>
            </w:tcBorders>
            <w:tcMar>
              <w:left w:w="108" w:type="dxa"/>
              <w:right w:w="108" w:type="dxa"/>
            </w:tcMar>
            <w:vAlign w:val="center"/>
          </w:tcPr>
          <w:p w14:paraId="5FA6A5EC" w14:textId="3AC00548" w:rsidR="22C98DE9" w:rsidRDefault="22C98DE9" w:rsidP="22C98DE9">
            <w:pPr>
              <w:jc w:val="center"/>
              <w:cnfStyle w:val="100000000000" w:firstRow="1"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 de Ejecución Física</w:t>
            </w:r>
          </w:p>
        </w:tc>
        <w:tc>
          <w:tcPr>
            <w:tcW w:w="1290" w:type="dxa"/>
            <w:tcBorders>
              <w:top w:val="none" w:sz="0" w:space="0" w:color="auto"/>
              <w:bottom w:val="none" w:sz="0" w:space="0" w:color="auto"/>
              <w:right w:val="none" w:sz="0" w:space="0" w:color="auto"/>
            </w:tcBorders>
            <w:tcMar>
              <w:left w:w="108" w:type="dxa"/>
              <w:right w:w="108" w:type="dxa"/>
            </w:tcMar>
            <w:vAlign w:val="center"/>
          </w:tcPr>
          <w:p w14:paraId="342AE240" w14:textId="21274C08" w:rsidR="22C98DE9" w:rsidRDefault="22C98DE9" w:rsidP="22C98DE9">
            <w:pPr>
              <w:jc w:val="center"/>
              <w:cnfStyle w:val="100000000000" w:firstRow="1"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 de Ejecución Financiera</w:t>
            </w:r>
          </w:p>
        </w:tc>
      </w:tr>
      <w:tr w:rsidR="22C98DE9" w14:paraId="0048E0FA"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1F731682" w14:textId="73388408" w:rsidR="22C98DE9" w:rsidRDefault="22C98DE9" w:rsidP="22C98DE9">
            <w:r w:rsidRPr="22C98DE9">
              <w:rPr>
                <w:rFonts w:ascii="Calibri" w:eastAsia="Calibri" w:hAnsi="Calibri" w:cs="Calibri"/>
                <w:color w:val="000000" w:themeColor="text1"/>
              </w:rPr>
              <w:t xml:space="preserve"> Todo el Departamento</w:t>
            </w:r>
          </w:p>
        </w:tc>
        <w:tc>
          <w:tcPr>
            <w:tcW w:w="1875" w:type="dxa"/>
            <w:tcMar>
              <w:left w:w="108" w:type="dxa"/>
              <w:right w:w="108" w:type="dxa"/>
            </w:tcMar>
          </w:tcPr>
          <w:p w14:paraId="0226486F" w14:textId="3CD2186E"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b/>
                <w:bCs/>
                <w:color w:val="000000" w:themeColor="text1"/>
              </w:rPr>
              <w:t>Q883,977,417.94</w:t>
            </w:r>
          </w:p>
        </w:tc>
        <w:tc>
          <w:tcPr>
            <w:tcW w:w="1860" w:type="dxa"/>
            <w:tcMar>
              <w:left w:w="108" w:type="dxa"/>
              <w:right w:w="108" w:type="dxa"/>
            </w:tcMar>
          </w:tcPr>
          <w:p w14:paraId="3F6FB91C" w14:textId="458A8FE2"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b/>
                <w:bCs/>
                <w:color w:val="000000" w:themeColor="text1"/>
              </w:rPr>
              <w:t>Q597,847,816.11</w:t>
            </w:r>
          </w:p>
        </w:tc>
        <w:tc>
          <w:tcPr>
            <w:tcW w:w="1095" w:type="dxa"/>
            <w:shd w:val="clear" w:color="auto" w:fill="FFFF00"/>
            <w:tcMar>
              <w:left w:w="108" w:type="dxa"/>
              <w:right w:w="108" w:type="dxa"/>
            </w:tcMar>
            <w:vAlign w:val="bottom"/>
          </w:tcPr>
          <w:p w14:paraId="6AE9FAD6" w14:textId="3B84DBDA"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b/>
                <w:bCs/>
                <w:color w:val="000000" w:themeColor="text1"/>
              </w:rPr>
              <w:t>65.89%</w:t>
            </w:r>
          </w:p>
        </w:tc>
        <w:tc>
          <w:tcPr>
            <w:tcW w:w="1290" w:type="dxa"/>
            <w:shd w:val="clear" w:color="auto" w:fill="FFFF00"/>
            <w:tcMar>
              <w:left w:w="108" w:type="dxa"/>
              <w:right w:w="108" w:type="dxa"/>
            </w:tcMar>
            <w:vAlign w:val="bottom"/>
          </w:tcPr>
          <w:p w14:paraId="73C31FE6" w14:textId="75646FD5"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b/>
                <w:bCs/>
                <w:color w:val="000000" w:themeColor="text1"/>
              </w:rPr>
              <w:t>67.63%</w:t>
            </w:r>
          </w:p>
        </w:tc>
      </w:tr>
      <w:tr w:rsidR="22C98DE9" w14:paraId="1847EED7"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4B5AFEAC" w14:textId="40B2304E"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Nueva Concepción</w:t>
            </w:r>
          </w:p>
        </w:tc>
        <w:tc>
          <w:tcPr>
            <w:tcW w:w="1875" w:type="dxa"/>
            <w:tcMar>
              <w:left w:w="108" w:type="dxa"/>
              <w:right w:w="108" w:type="dxa"/>
            </w:tcMar>
          </w:tcPr>
          <w:p w14:paraId="23B1F179" w14:textId="437AEB77"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Q48,493,624.51</w:t>
            </w:r>
          </w:p>
        </w:tc>
        <w:tc>
          <w:tcPr>
            <w:tcW w:w="1860" w:type="dxa"/>
            <w:tcMar>
              <w:left w:w="108" w:type="dxa"/>
              <w:right w:w="108" w:type="dxa"/>
            </w:tcMar>
          </w:tcPr>
          <w:p w14:paraId="76F2437A" w14:textId="366C1788"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Q43,481,072.65</w:t>
            </w:r>
          </w:p>
        </w:tc>
        <w:tc>
          <w:tcPr>
            <w:tcW w:w="1095" w:type="dxa"/>
            <w:shd w:val="clear" w:color="auto" w:fill="92D050"/>
            <w:tcMar>
              <w:left w:w="108" w:type="dxa"/>
              <w:right w:w="108" w:type="dxa"/>
            </w:tcMar>
            <w:vAlign w:val="bottom"/>
          </w:tcPr>
          <w:p w14:paraId="32A3B9CF" w14:textId="0ABDBA3F"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98.82%</w:t>
            </w:r>
          </w:p>
        </w:tc>
        <w:tc>
          <w:tcPr>
            <w:tcW w:w="1290" w:type="dxa"/>
            <w:shd w:val="clear" w:color="auto" w:fill="FFFF00"/>
            <w:tcMar>
              <w:left w:w="108" w:type="dxa"/>
              <w:right w:w="108" w:type="dxa"/>
            </w:tcMar>
            <w:vAlign w:val="bottom"/>
          </w:tcPr>
          <w:p w14:paraId="2CAD4852" w14:textId="049273E7"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89.66%</w:t>
            </w:r>
          </w:p>
        </w:tc>
      </w:tr>
      <w:tr w:rsidR="22C98DE9" w14:paraId="782596C0"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76518391" w14:textId="020D035A"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Masagua</w:t>
            </w:r>
          </w:p>
        </w:tc>
        <w:tc>
          <w:tcPr>
            <w:tcW w:w="1875" w:type="dxa"/>
            <w:tcMar>
              <w:left w:w="108" w:type="dxa"/>
              <w:right w:w="108" w:type="dxa"/>
            </w:tcMar>
          </w:tcPr>
          <w:p w14:paraId="2473EBBA" w14:textId="30C8C81B"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Q57,227,427.84</w:t>
            </w:r>
          </w:p>
        </w:tc>
        <w:tc>
          <w:tcPr>
            <w:tcW w:w="1860" w:type="dxa"/>
            <w:tcMar>
              <w:left w:w="108" w:type="dxa"/>
              <w:right w:w="108" w:type="dxa"/>
            </w:tcMar>
          </w:tcPr>
          <w:p w14:paraId="1B95CA8E" w14:textId="3811D771"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Q49,338,453.94</w:t>
            </w:r>
          </w:p>
        </w:tc>
        <w:tc>
          <w:tcPr>
            <w:tcW w:w="1095" w:type="dxa"/>
            <w:shd w:val="clear" w:color="auto" w:fill="FFFF00"/>
            <w:tcMar>
              <w:left w:w="108" w:type="dxa"/>
              <w:right w:w="108" w:type="dxa"/>
            </w:tcMar>
            <w:vAlign w:val="bottom"/>
          </w:tcPr>
          <w:p w14:paraId="1A23CCBF" w14:textId="492AACE7"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89.80%</w:t>
            </w:r>
          </w:p>
        </w:tc>
        <w:tc>
          <w:tcPr>
            <w:tcW w:w="1290" w:type="dxa"/>
            <w:shd w:val="clear" w:color="auto" w:fill="FFFF00"/>
            <w:tcMar>
              <w:left w:w="108" w:type="dxa"/>
              <w:right w:w="108" w:type="dxa"/>
            </w:tcMar>
            <w:vAlign w:val="bottom"/>
          </w:tcPr>
          <w:p w14:paraId="5D5928B5" w14:textId="617CA6FB"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86.21%</w:t>
            </w:r>
          </w:p>
        </w:tc>
      </w:tr>
      <w:tr w:rsidR="22C98DE9" w14:paraId="42DCE945"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2A46924C" w14:textId="1615D108"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Santa Lucía Cotzumalguapa</w:t>
            </w:r>
          </w:p>
        </w:tc>
        <w:tc>
          <w:tcPr>
            <w:tcW w:w="1875" w:type="dxa"/>
            <w:tcMar>
              <w:left w:w="108" w:type="dxa"/>
              <w:right w:w="108" w:type="dxa"/>
            </w:tcMar>
          </w:tcPr>
          <w:p w14:paraId="1C058840" w14:textId="718591F0"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Q96,148,918.50</w:t>
            </w:r>
          </w:p>
        </w:tc>
        <w:tc>
          <w:tcPr>
            <w:tcW w:w="1860" w:type="dxa"/>
            <w:tcMar>
              <w:left w:w="108" w:type="dxa"/>
              <w:right w:w="108" w:type="dxa"/>
            </w:tcMar>
          </w:tcPr>
          <w:p w14:paraId="55020714" w14:textId="24972957"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Q77,958,821.08</w:t>
            </w:r>
          </w:p>
        </w:tc>
        <w:tc>
          <w:tcPr>
            <w:tcW w:w="1095" w:type="dxa"/>
            <w:shd w:val="clear" w:color="auto" w:fill="FFFF00"/>
            <w:tcMar>
              <w:left w:w="108" w:type="dxa"/>
              <w:right w:w="108" w:type="dxa"/>
            </w:tcMar>
            <w:vAlign w:val="bottom"/>
          </w:tcPr>
          <w:p w14:paraId="42C3A771" w14:textId="773E77DB"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85.47%</w:t>
            </w:r>
          </w:p>
        </w:tc>
        <w:tc>
          <w:tcPr>
            <w:tcW w:w="1290" w:type="dxa"/>
            <w:shd w:val="clear" w:color="auto" w:fill="FFFF00"/>
            <w:tcMar>
              <w:left w:w="108" w:type="dxa"/>
              <w:right w:w="108" w:type="dxa"/>
            </w:tcMar>
            <w:vAlign w:val="bottom"/>
          </w:tcPr>
          <w:p w14:paraId="77060A1E" w14:textId="01D0DD90"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81.08%</w:t>
            </w:r>
          </w:p>
        </w:tc>
      </w:tr>
      <w:tr w:rsidR="22C98DE9" w14:paraId="3697F019"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47E0BD04" w14:textId="76C5378F"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Siquinalá</w:t>
            </w:r>
          </w:p>
        </w:tc>
        <w:tc>
          <w:tcPr>
            <w:tcW w:w="1875" w:type="dxa"/>
            <w:tcMar>
              <w:left w:w="108" w:type="dxa"/>
              <w:right w:w="108" w:type="dxa"/>
            </w:tcMar>
          </w:tcPr>
          <w:p w14:paraId="65A64D92" w14:textId="223DB73E"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Q29,052,293.68</w:t>
            </w:r>
          </w:p>
        </w:tc>
        <w:tc>
          <w:tcPr>
            <w:tcW w:w="1860" w:type="dxa"/>
            <w:tcMar>
              <w:left w:w="108" w:type="dxa"/>
              <w:right w:w="108" w:type="dxa"/>
            </w:tcMar>
          </w:tcPr>
          <w:p w14:paraId="37521B37" w14:textId="3E40C796"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Q26,864,132.71</w:t>
            </w:r>
          </w:p>
        </w:tc>
        <w:tc>
          <w:tcPr>
            <w:tcW w:w="1095" w:type="dxa"/>
            <w:shd w:val="clear" w:color="auto" w:fill="FFFF00"/>
            <w:tcMar>
              <w:left w:w="108" w:type="dxa"/>
              <w:right w:w="108" w:type="dxa"/>
            </w:tcMar>
            <w:vAlign w:val="bottom"/>
          </w:tcPr>
          <w:p w14:paraId="66B968EF" w14:textId="4E58884B"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81.78%</w:t>
            </w:r>
          </w:p>
        </w:tc>
        <w:tc>
          <w:tcPr>
            <w:tcW w:w="1290" w:type="dxa"/>
            <w:shd w:val="clear" w:color="auto" w:fill="92D050"/>
            <w:tcMar>
              <w:left w:w="108" w:type="dxa"/>
              <w:right w:w="108" w:type="dxa"/>
            </w:tcMar>
            <w:vAlign w:val="bottom"/>
          </w:tcPr>
          <w:p w14:paraId="45840F23" w14:textId="39F1DBCA"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92.47%</w:t>
            </w:r>
          </w:p>
        </w:tc>
      </w:tr>
      <w:tr w:rsidR="22C98DE9" w14:paraId="3B4E939E"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1432C5C4" w14:textId="2FCE37D8"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San Vicente Pacaya</w:t>
            </w:r>
          </w:p>
        </w:tc>
        <w:tc>
          <w:tcPr>
            <w:tcW w:w="1875" w:type="dxa"/>
            <w:tcMar>
              <w:left w:w="108" w:type="dxa"/>
              <w:right w:w="108" w:type="dxa"/>
            </w:tcMar>
          </w:tcPr>
          <w:p w14:paraId="40D31774" w14:textId="5FB14C4D"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Q40,135,777.75</w:t>
            </w:r>
          </w:p>
        </w:tc>
        <w:tc>
          <w:tcPr>
            <w:tcW w:w="1860" w:type="dxa"/>
            <w:tcMar>
              <w:left w:w="108" w:type="dxa"/>
              <w:right w:w="108" w:type="dxa"/>
            </w:tcMar>
          </w:tcPr>
          <w:p w14:paraId="243CF33B" w14:textId="4A1E5772"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Q36,286,759.59</w:t>
            </w:r>
          </w:p>
        </w:tc>
        <w:tc>
          <w:tcPr>
            <w:tcW w:w="1095" w:type="dxa"/>
            <w:shd w:val="clear" w:color="auto" w:fill="FFFF00"/>
            <w:tcMar>
              <w:left w:w="108" w:type="dxa"/>
              <w:right w:w="108" w:type="dxa"/>
            </w:tcMar>
            <w:vAlign w:val="bottom"/>
          </w:tcPr>
          <w:p w14:paraId="1ACF0E8D" w14:textId="020DEC98"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79.20%</w:t>
            </w:r>
          </w:p>
        </w:tc>
        <w:tc>
          <w:tcPr>
            <w:tcW w:w="1290" w:type="dxa"/>
            <w:shd w:val="clear" w:color="auto" w:fill="92D050"/>
            <w:tcMar>
              <w:left w:w="108" w:type="dxa"/>
              <w:right w:w="108" w:type="dxa"/>
            </w:tcMar>
            <w:vAlign w:val="bottom"/>
          </w:tcPr>
          <w:p w14:paraId="5CFFB383" w14:textId="34A1EC76"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90.41%</w:t>
            </w:r>
          </w:p>
        </w:tc>
      </w:tr>
      <w:tr w:rsidR="22C98DE9" w14:paraId="1DBE0C21"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0F49B5FC" w14:textId="284725E9"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La Democracia</w:t>
            </w:r>
          </w:p>
        </w:tc>
        <w:tc>
          <w:tcPr>
            <w:tcW w:w="1875" w:type="dxa"/>
            <w:tcMar>
              <w:left w:w="108" w:type="dxa"/>
              <w:right w:w="108" w:type="dxa"/>
            </w:tcMar>
          </w:tcPr>
          <w:p w14:paraId="44E26294" w14:textId="761227D4"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Q51,352,290.31</w:t>
            </w:r>
          </w:p>
        </w:tc>
        <w:tc>
          <w:tcPr>
            <w:tcW w:w="1860" w:type="dxa"/>
            <w:tcMar>
              <w:left w:w="108" w:type="dxa"/>
              <w:right w:w="108" w:type="dxa"/>
            </w:tcMar>
          </w:tcPr>
          <w:p w14:paraId="6E7B621C" w14:textId="528313F7"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Q39,198,756.55</w:t>
            </w:r>
          </w:p>
        </w:tc>
        <w:tc>
          <w:tcPr>
            <w:tcW w:w="1095" w:type="dxa"/>
            <w:shd w:val="clear" w:color="auto" w:fill="FFFF00"/>
            <w:tcMar>
              <w:left w:w="108" w:type="dxa"/>
              <w:right w:w="108" w:type="dxa"/>
            </w:tcMar>
            <w:vAlign w:val="bottom"/>
          </w:tcPr>
          <w:p w14:paraId="11F00474" w14:textId="1D033B82"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75.79%</w:t>
            </w:r>
          </w:p>
        </w:tc>
        <w:tc>
          <w:tcPr>
            <w:tcW w:w="1290" w:type="dxa"/>
            <w:shd w:val="clear" w:color="auto" w:fill="FFFF00"/>
            <w:tcMar>
              <w:left w:w="108" w:type="dxa"/>
              <w:right w:w="108" w:type="dxa"/>
            </w:tcMar>
            <w:vAlign w:val="bottom"/>
          </w:tcPr>
          <w:p w14:paraId="64B64F54" w14:textId="7C1AB663"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76.33%</w:t>
            </w:r>
          </w:p>
        </w:tc>
      </w:tr>
      <w:tr w:rsidR="22C98DE9" w14:paraId="6E732491"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34BB43E0" w14:textId="6E59D277"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La Gomera</w:t>
            </w:r>
          </w:p>
        </w:tc>
        <w:tc>
          <w:tcPr>
            <w:tcW w:w="1875" w:type="dxa"/>
            <w:tcMar>
              <w:left w:w="108" w:type="dxa"/>
              <w:right w:w="108" w:type="dxa"/>
            </w:tcMar>
          </w:tcPr>
          <w:p w14:paraId="759BF066" w14:textId="65753D9B"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Q84,469,038.29</w:t>
            </w:r>
          </w:p>
        </w:tc>
        <w:tc>
          <w:tcPr>
            <w:tcW w:w="1860" w:type="dxa"/>
            <w:tcMar>
              <w:left w:w="108" w:type="dxa"/>
              <w:right w:w="108" w:type="dxa"/>
            </w:tcMar>
          </w:tcPr>
          <w:p w14:paraId="7314CD4A" w14:textId="6CF53109"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Q47,390,844.29</w:t>
            </w:r>
          </w:p>
        </w:tc>
        <w:tc>
          <w:tcPr>
            <w:tcW w:w="1095" w:type="dxa"/>
            <w:shd w:val="clear" w:color="auto" w:fill="FFFF00"/>
            <w:tcMar>
              <w:left w:w="108" w:type="dxa"/>
              <w:right w:w="108" w:type="dxa"/>
            </w:tcMar>
            <w:vAlign w:val="bottom"/>
          </w:tcPr>
          <w:p w14:paraId="3FD4776F" w14:textId="14E75B12"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73.13%</w:t>
            </w:r>
          </w:p>
        </w:tc>
        <w:tc>
          <w:tcPr>
            <w:tcW w:w="1290" w:type="dxa"/>
            <w:shd w:val="clear" w:color="auto" w:fill="FFFF00"/>
            <w:tcMar>
              <w:left w:w="108" w:type="dxa"/>
              <w:right w:w="108" w:type="dxa"/>
            </w:tcMar>
            <w:vAlign w:val="bottom"/>
          </w:tcPr>
          <w:p w14:paraId="6889BD6A" w14:textId="77B60DEF"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56.10%</w:t>
            </w:r>
          </w:p>
        </w:tc>
      </w:tr>
      <w:tr w:rsidR="22C98DE9" w14:paraId="7AE350F7"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41B64F7A" w14:textId="02D66C5C"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Iztapa</w:t>
            </w:r>
          </w:p>
        </w:tc>
        <w:tc>
          <w:tcPr>
            <w:tcW w:w="1875" w:type="dxa"/>
            <w:tcMar>
              <w:left w:w="108" w:type="dxa"/>
              <w:right w:w="108" w:type="dxa"/>
            </w:tcMar>
          </w:tcPr>
          <w:p w14:paraId="06FB91CC" w14:textId="0BC0EB74"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Q99,541,131.00</w:t>
            </w:r>
          </w:p>
        </w:tc>
        <w:tc>
          <w:tcPr>
            <w:tcW w:w="1860" w:type="dxa"/>
            <w:tcMar>
              <w:left w:w="108" w:type="dxa"/>
              <w:right w:w="108" w:type="dxa"/>
            </w:tcMar>
          </w:tcPr>
          <w:p w14:paraId="3DF81B5B" w14:textId="433CB528"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Q65,762,609.40</w:t>
            </w:r>
          </w:p>
        </w:tc>
        <w:tc>
          <w:tcPr>
            <w:tcW w:w="1095" w:type="dxa"/>
            <w:shd w:val="clear" w:color="auto" w:fill="FFFF00"/>
            <w:tcMar>
              <w:left w:w="108" w:type="dxa"/>
              <w:right w:w="108" w:type="dxa"/>
            </w:tcMar>
            <w:vAlign w:val="bottom"/>
          </w:tcPr>
          <w:p w14:paraId="7D5AE43A" w14:textId="2751AC4C"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66.40%</w:t>
            </w:r>
          </w:p>
        </w:tc>
        <w:tc>
          <w:tcPr>
            <w:tcW w:w="1290" w:type="dxa"/>
            <w:shd w:val="clear" w:color="auto" w:fill="FFFF00"/>
            <w:tcMar>
              <w:left w:w="108" w:type="dxa"/>
              <w:right w:w="108" w:type="dxa"/>
            </w:tcMar>
            <w:vAlign w:val="bottom"/>
          </w:tcPr>
          <w:p w14:paraId="29878B55" w14:textId="3215AE99"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66.07%</w:t>
            </w:r>
          </w:p>
        </w:tc>
      </w:tr>
      <w:tr w:rsidR="22C98DE9" w14:paraId="3197E0FA"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02A05EC7" w14:textId="0E8430F5"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Sipacate</w:t>
            </w:r>
          </w:p>
        </w:tc>
        <w:tc>
          <w:tcPr>
            <w:tcW w:w="1875" w:type="dxa"/>
            <w:tcMar>
              <w:left w:w="108" w:type="dxa"/>
              <w:right w:w="108" w:type="dxa"/>
            </w:tcMar>
          </w:tcPr>
          <w:p w14:paraId="4502A55A" w14:textId="6A99B091"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Q48,917,423.21</w:t>
            </w:r>
          </w:p>
        </w:tc>
        <w:tc>
          <w:tcPr>
            <w:tcW w:w="1860" w:type="dxa"/>
            <w:tcMar>
              <w:left w:w="108" w:type="dxa"/>
              <w:right w:w="108" w:type="dxa"/>
            </w:tcMar>
          </w:tcPr>
          <w:p w14:paraId="04B8FD70" w14:textId="5BF7D2DD"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Q43,891,854.23</w:t>
            </w:r>
          </w:p>
        </w:tc>
        <w:tc>
          <w:tcPr>
            <w:tcW w:w="1095" w:type="dxa"/>
            <w:shd w:val="clear" w:color="auto" w:fill="FFFF00"/>
            <w:tcMar>
              <w:left w:w="108" w:type="dxa"/>
              <w:right w:w="108" w:type="dxa"/>
            </w:tcMar>
            <w:vAlign w:val="bottom"/>
          </w:tcPr>
          <w:p w14:paraId="72B5F7D1" w14:textId="300FE888"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63.13%</w:t>
            </w:r>
          </w:p>
        </w:tc>
        <w:tc>
          <w:tcPr>
            <w:tcW w:w="1290" w:type="dxa"/>
            <w:shd w:val="clear" w:color="auto" w:fill="FFFF00"/>
            <w:tcMar>
              <w:left w:w="108" w:type="dxa"/>
              <w:right w:w="108" w:type="dxa"/>
            </w:tcMar>
            <w:vAlign w:val="bottom"/>
          </w:tcPr>
          <w:p w14:paraId="4A864125" w14:textId="5093A81C"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89.73%</w:t>
            </w:r>
          </w:p>
        </w:tc>
      </w:tr>
      <w:tr w:rsidR="22C98DE9" w14:paraId="602E8656"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267C10FD" w14:textId="126E7CD0"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San José</w:t>
            </w:r>
          </w:p>
        </w:tc>
        <w:tc>
          <w:tcPr>
            <w:tcW w:w="1875" w:type="dxa"/>
            <w:tcMar>
              <w:left w:w="108" w:type="dxa"/>
              <w:right w:w="108" w:type="dxa"/>
            </w:tcMar>
          </w:tcPr>
          <w:p w14:paraId="14E558DA" w14:textId="49E880C0"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Q104,718,547.30</w:t>
            </w:r>
          </w:p>
        </w:tc>
        <w:tc>
          <w:tcPr>
            <w:tcW w:w="1860" w:type="dxa"/>
            <w:tcMar>
              <w:left w:w="108" w:type="dxa"/>
              <w:right w:w="108" w:type="dxa"/>
            </w:tcMar>
          </w:tcPr>
          <w:p w14:paraId="6DEB1021" w14:textId="5B304B07"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Q55,682,947.79</w:t>
            </w:r>
          </w:p>
        </w:tc>
        <w:tc>
          <w:tcPr>
            <w:tcW w:w="1095" w:type="dxa"/>
            <w:shd w:val="clear" w:color="auto" w:fill="FFFF00"/>
            <w:tcMar>
              <w:left w:w="108" w:type="dxa"/>
              <w:right w:w="108" w:type="dxa"/>
            </w:tcMar>
            <w:vAlign w:val="bottom"/>
          </w:tcPr>
          <w:p w14:paraId="46D29E9B" w14:textId="70CA62C5"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57.53%</w:t>
            </w:r>
          </w:p>
        </w:tc>
        <w:tc>
          <w:tcPr>
            <w:tcW w:w="1290" w:type="dxa"/>
            <w:shd w:val="clear" w:color="auto" w:fill="FFFF00"/>
            <w:tcMar>
              <w:left w:w="108" w:type="dxa"/>
              <w:right w:w="108" w:type="dxa"/>
            </w:tcMar>
            <w:vAlign w:val="bottom"/>
          </w:tcPr>
          <w:p w14:paraId="3357A732" w14:textId="05735F19"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53.17%</w:t>
            </w:r>
          </w:p>
        </w:tc>
      </w:tr>
      <w:tr w:rsidR="22C98DE9" w14:paraId="51654D02"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6984E749" w14:textId="250E7997"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Tiquisate</w:t>
            </w:r>
          </w:p>
        </w:tc>
        <w:tc>
          <w:tcPr>
            <w:tcW w:w="1875" w:type="dxa"/>
            <w:tcMar>
              <w:left w:w="108" w:type="dxa"/>
              <w:right w:w="108" w:type="dxa"/>
            </w:tcMar>
          </w:tcPr>
          <w:p w14:paraId="78E5782A" w14:textId="4DAA60DE"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Q39,098,944.29</w:t>
            </w:r>
          </w:p>
        </w:tc>
        <w:tc>
          <w:tcPr>
            <w:tcW w:w="1860" w:type="dxa"/>
            <w:tcMar>
              <w:left w:w="108" w:type="dxa"/>
              <w:right w:w="108" w:type="dxa"/>
            </w:tcMar>
          </w:tcPr>
          <w:p w14:paraId="36614DE4" w14:textId="584827D7"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Q28,319,288.27</w:t>
            </w:r>
          </w:p>
        </w:tc>
        <w:tc>
          <w:tcPr>
            <w:tcW w:w="1095" w:type="dxa"/>
            <w:shd w:val="clear" w:color="auto" w:fill="C00000"/>
            <w:tcMar>
              <w:left w:w="108" w:type="dxa"/>
              <w:right w:w="108" w:type="dxa"/>
            </w:tcMar>
            <w:vAlign w:val="bottom"/>
          </w:tcPr>
          <w:p w14:paraId="37A5B2E0" w14:textId="5800B762"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48.63%</w:t>
            </w:r>
          </w:p>
        </w:tc>
        <w:tc>
          <w:tcPr>
            <w:tcW w:w="1290" w:type="dxa"/>
            <w:shd w:val="clear" w:color="auto" w:fill="FFFF00"/>
            <w:tcMar>
              <w:left w:w="108" w:type="dxa"/>
              <w:right w:w="108" w:type="dxa"/>
            </w:tcMar>
            <w:vAlign w:val="bottom"/>
          </w:tcPr>
          <w:p w14:paraId="7AD53C81" w14:textId="1A93F762"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72.43%</w:t>
            </w:r>
          </w:p>
        </w:tc>
      </w:tr>
      <w:tr w:rsidR="22C98DE9" w14:paraId="07B8136E"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676BBCDF" w14:textId="7FA953F4"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Escuintla</w:t>
            </w:r>
          </w:p>
        </w:tc>
        <w:tc>
          <w:tcPr>
            <w:tcW w:w="1875" w:type="dxa"/>
            <w:tcMar>
              <w:left w:w="108" w:type="dxa"/>
              <w:right w:w="108" w:type="dxa"/>
            </w:tcMar>
          </w:tcPr>
          <w:p w14:paraId="618C3A60" w14:textId="32F3208D"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Q115,973,117.50</w:t>
            </w:r>
          </w:p>
        </w:tc>
        <w:tc>
          <w:tcPr>
            <w:tcW w:w="1860" w:type="dxa"/>
            <w:tcMar>
              <w:left w:w="108" w:type="dxa"/>
              <w:right w:w="108" w:type="dxa"/>
            </w:tcMar>
          </w:tcPr>
          <w:p w14:paraId="6DA6CE65" w14:textId="34323F8B"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Q39,706,077.61</w:t>
            </w:r>
          </w:p>
        </w:tc>
        <w:tc>
          <w:tcPr>
            <w:tcW w:w="1095" w:type="dxa"/>
            <w:shd w:val="clear" w:color="auto" w:fill="C00000"/>
            <w:tcMar>
              <w:left w:w="108" w:type="dxa"/>
              <w:right w:w="108" w:type="dxa"/>
            </w:tcMar>
            <w:vAlign w:val="bottom"/>
          </w:tcPr>
          <w:p w14:paraId="4164C7EF" w14:textId="5A41D6D7"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46.19%</w:t>
            </w:r>
          </w:p>
        </w:tc>
        <w:tc>
          <w:tcPr>
            <w:tcW w:w="1290" w:type="dxa"/>
            <w:shd w:val="clear" w:color="auto" w:fill="C00000"/>
            <w:tcMar>
              <w:left w:w="108" w:type="dxa"/>
              <w:right w:w="108" w:type="dxa"/>
            </w:tcMar>
            <w:vAlign w:val="bottom"/>
          </w:tcPr>
          <w:p w14:paraId="66E4AA0D" w14:textId="6CBC9368"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34.24%</w:t>
            </w:r>
          </w:p>
        </w:tc>
      </w:tr>
      <w:tr w:rsidR="22C98DE9" w14:paraId="7192944E" w14:textId="77777777" w:rsidTr="00A543DE">
        <w:trPr>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576C7217" w14:textId="6666E231"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Palín</w:t>
            </w:r>
          </w:p>
        </w:tc>
        <w:tc>
          <w:tcPr>
            <w:tcW w:w="1875" w:type="dxa"/>
            <w:tcMar>
              <w:left w:w="108" w:type="dxa"/>
              <w:right w:w="108" w:type="dxa"/>
            </w:tcMar>
          </w:tcPr>
          <w:p w14:paraId="2C99F0F6" w14:textId="6A1F6256"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Q61,264,203.76</w:t>
            </w:r>
          </w:p>
        </w:tc>
        <w:tc>
          <w:tcPr>
            <w:tcW w:w="1860" w:type="dxa"/>
            <w:tcMar>
              <w:left w:w="108" w:type="dxa"/>
              <w:right w:w="108" w:type="dxa"/>
            </w:tcMar>
          </w:tcPr>
          <w:p w14:paraId="092D0526" w14:textId="0AE3ABB9"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Q43,516,198.00</w:t>
            </w:r>
          </w:p>
        </w:tc>
        <w:tc>
          <w:tcPr>
            <w:tcW w:w="1095" w:type="dxa"/>
            <w:shd w:val="clear" w:color="auto" w:fill="C00000"/>
            <w:tcMar>
              <w:left w:w="108" w:type="dxa"/>
              <w:right w:w="108" w:type="dxa"/>
            </w:tcMar>
            <w:vAlign w:val="bottom"/>
          </w:tcPr>
          <w:p w14:paraId="2DAEFDFC" w14:textId="5C1A4D8F"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45.28%</w:t>
            </w:r>
          </w:p>
        </w:tc>
        <w:tc>
          <w:tcPr>
            <w:tcW w:w="1290" w:type="dxa"/>
            <w:shd w:val="clear" w:color="auto" w:fill="FFFF00"/>
            <w:tcMar>
              <w:left w:w="108" w:type="dxa"/>
              <w:right w:w="108" w:type="dxa"/>
            </w:tcMar>
            <w:vAlign w:val="bottom"/>
          </w:tcPr>
          <w:p w14:paraId="41B868F2" w14:textId="567F1F18" w:rsidR="22C98DE9" w:rsidRDefault="22C98DE9" w:rsidP="22C98DE9">
            <w:pPr>
              <w:jc w:val="right"/>
              <w:cnfStyle w:val="000000000000" w:firstRow="0" w:lastRow="0" w:firstColumn="0" w:lastColumn="0" w:oddVBand="0" w:evenVBand="0" w:oddHBand="0" w:evenHBand="0" w:firstRowFirstColumn="0" w:firstRowLastColumn="0" w:lastRowFirstColumn="0" w:lastRowLastColumn="0"/>
            </w:pPr>
            <w:r w:rsidRPr="22C98DE9">
              <w:rPr>
                <w:rFonts w:ascii="Calibri" w:eastAsia="Calibri" w:hAnsi="Calibri" w:cs="Calibri"/>
                <w:color w:val="000000" w:themeColor="text1"/>
              </w:rPr>
              <w:t>71.03%</w:t>
            </w:r>
          </w:p>
        </w:tc>
      </w:tr>
      <w:tr w:rsidR="22C98DE9" w14:paraId="0CDBA5F6" w14:textId="77777777" w:rsidTr="00A543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Mar>
              <w:left w:w="108" w:type="dxa"/>
              <w:right w:w="108" w:type="dxa"/>
            </w:tcMar>
          </w:tcPr>
          <w:p w14:paraId="4B52AFD7" w14:textId="070A5593" w:rsidR="22C98DE9" w:rsidRDefault="10DDB783" w:rsidP="10DDB783">
            <w:pPr>
              <w:rPr>
                <w:rFonts w:ascii="Calibri" w:eastAsia="Calibri" w:hAnsi="Calibri" w:cs="Calibri"/>
                <w:b w:val="0"/>
                <w:bCs w:val="0"/>
                <w:color w:val="000000" w:themeColor="text1"/>
              </w:rPr>
            </w:pPr>
            <w:r w:rsidRPr="10DDB783">
              <w:rPr>
                <w:rFonts w:ascii="Calibri" w:eastAsia="Calibri" w:hAnsi="Calibri" w:cs="Calibri"/>
                <w:b w:val="0"/>
                <w:bCs w:val="0"/>
                <w:color w:val="000000" w:themeColor="text1"/>
              </w:rPr>
              <w:t>Guanagazapa</w:t>
            </w:r>
          </w:p>
        </w:tc>
        <w:tc>
          <w:tcPr>
            <w:tcW w:w="1875" w:type="dxa"/>
            <w:tcMar>
              <w:left w:w="108" w:type="dxa"/>
              <w:right w:w="108" w:type="dxa"/>
            </w:tcMar>
          </w:tcPr>
          <w:p w14:paraId="7E1FD6CC" w14:textId="0E40750B"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Q7,584,680.00</w:t>
            </w:r>
          </w:p>
        </w:tc>
        <w:tc>
          <w:tcPr>
            <w:tcW w:w="1860" w:type="dxa"/>
            <w:tcMar>
              <w:left w:w="108" w:type="dxa"/>
              <w:right w:w="108" w:type="dxa"/>
            </w:tcMar>
          </w:tcPr>
          <w:p w14:paraId="759E388F" w14:textId="63E8BA90"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Q450,000.00</w:t>
            </w:r>
          </w:p>
        </w:tc>
        <w:tc>
          <w:tcPr>
            <w:tcW w:w="1095" w:type="dxa"/>
            <w:shd w:val="clear" w:color="auto" w:fill="C00000"/>
            <w:tcMar>
              <w:left w:w="108" w:type="dxa"/>
              <w:right w:w="108" w:type="dxa"/>
            </w:tcMar>
            <w:vAlign w:val="bottom"/>
          </w:tcPr>
          <w:p w14:paraId="61C1A0A5" w14:textId="1C1E12FB"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4.69%</w:t>
            </w:r>
          </w:p>
        </w:tc>
        <w:tc>
          <w:tcPr>
            <w:tcW w:w="1290" w:type="dxa"/>
            <w:shd w:val="clear" w:color="auto" w:fill="C00000"/>
            <w:tcMar>
              <w:left w:w="108" w:type="dxa"/>
              <w:right w:w="108" w:type="dxa"/>
            </w:tcMar>
            <w:vAlign w:val="bottom"/>
          </w:tcPr>
          <w:p w14:paraId="70C814B1" w14:textId="40C91C4B" w:rsidR="22C98DE9" w:rsidRDefault="22C98DE9" w:rsidP="22C98DE9">
            <w:pPr>
              <w:jc w:val="right"/>
              <w:cnfStyle w:val="000000100000" w:firstRow="0" w:lastRow="0" w:firstColumn="0" w:lastColumn="0" w:oddVBand="0" w:evenVBand="0" w:oddHBand="1" w:evenHBand="0" w:firstRowFirstColumn="0" w:firstRowLastColumn="0" w:lastRowFirstColumn="0" w:lastRowLastColumn="0"/>
            </w:pPr>
            <w:r w:rsidRPr="22C98DE9">
              <w:rPr>
                <w:rFonts w:ascii="Calibri" w:eastAsia="Calibri" w:hAnsi="Calibri" w:cs="Calibri"/>
                <w:color w:val="000000" w:themeColor="text1"/>
              </w:rPr>
              <w:t>5.93%</w:t>
            </w:r>
          </w:p>
        </w:tc>
      </w:tr>
    </w:tbl>
    <w:p w14:paraId="538247C0" w14:textId="3DCC0CEE" w:rsidR="00693BD9" w:rsidRPr="003051CD" w:rsidRDefault="22C98DE9" w:rsidP="00A543DE">
      <w:pPr>
        <w:autoSpaceDE w:val="0"/>
        <w:autoSpaceDN w:val="0"/>
        <w:adjustRightInd w:val="0"/>
        <w:spacing w:after="120" w:line="240" w:lineRule="auto"/>
        <w:jc w:val="both"/>
        <w:rPr>
          <w:rFonts w:eastAsiaTheme="minorEastAsia"/>
          <w:sz w:val="18"/>
          <w:szCs w:val="18"/>
          <w:lang w:val="es-ES"/>
        </w:rPr>
      </w:pPr>
      <w:r w:rsidRPr="22C98DE9">
        <w:rPr>
          <w:rFonts w:eastAsiaTheme="minorEastAsia"/>
          <w:sz w:val="18"/>
          <w:szCs w:val="18"/>
          <w:lang w:val="es-ES"/>
        </w:rPr>
        <w:t>Fuente: Siplangl, III informe cuatrimestral y acumulado. Año 2022.</w:t>
      </w:r>
    </w:p>
    <w:p w14:paraId="619C1CFD" w14:textId="7FF49769" w:rsidR="00693BD9" w:rsidRPr="00A543DE" w:rsidRDefault="00693BD9" w:rsidP="00A543DE">
      <w:pPr>
        <w:autoSpaceDE w:val="0"/>
        <w:autoSpaceDN w:val="0"/>
        <w:adjustRightInd w:val="0"/>
        <w:spacing w:after="120" w:line="240" w:lineRule="auto"/>
        <w:jc w:val="both"/>
        <w:rPr>
          <w:rFonts w:eastAsia="Times New Roman" w:cstheme="minorHAnsi"/>
          <w:b/>
          <w:color w:val="002060"/>
          <w:sz w:val="28"/>
          <w:szCs w:val="28"/>
          <w:lang w:val="es-ES"/>
        </w:rPr>
      </w:pPr>
      <w:r w:rsidRPr="00A543DE">
        <w:rPr>
          <w:rFonts w:eastAsia="Times New Roman" w:cstheme="minorHAnsi"/>
          <w:b/>
          <w:color w:val="002060"/>
          <w:sz w:val="28"/>
          <w:szCs w:val="28"/>
          <w:lang w:val="es-ES"/>
        </w:rPr>
        <w:t>Izabal</w:t>
      </w:r>
    </w:p>
    <w:p w14:paraId="5F84324C" w14:textId="4BDDFA4B" w:rsidR="10DDB783" w:rsidRDefault="00A543DE" w:rsidP="00A543DE">
      <w:pPr>
        <w:spacing w:after="120" w:line="240" w:lineRule="auto"/>
        <w:jc w:val="both"/>
      </w:pPr>
      <w:r w:rsidRPr="008003FC">
        <w:rPr>
          <w:noProof/>
          <w:sz w:val="24"/>
        </w:rPr>
        <w:drawing>
          <wp:anchor distT="0" distB="0" distL="114300" distR="114300" simplePos="0" relativeHeight="251702784" behindDoc="1" locked="0" layoutInCell="1" allowOverlap="1" wp14:anchorId="0A029B12" wp14:editId="1A2CB397">
            <wp:simplePos x="0" y="0"/>
            <wp:positionH relativeFrom="column">
              <wp:posOffset>4400550</wp:posOffset>
            </wp:positionH>
            <wp:positionV relativeFrom="paragraph">
              <wp:posOffset>57150</wp:posOffset>
            </wp:positionV>
            <wp:extent cx="1504315" cy="1028065"/>
            <wp:effectExtent l="19050" t="19050" r="19685" b="19685"/>
            <wp:wrapTight wrapText="bothSides">
              <wp:wrapPolygon edited="0">
                <wp:start x="-274" y="-400"/>
                <wp:lineTo x="-274" y="21613"/>
                <wp:lineTo x="21609" y="21613"/>
                <wp:lineTo x="21609" y="-400"/>
                <wp:lineTo x="-274" y="-40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504315" cy="1028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10DDB783" w:rsidRPr="10DDB783">
        <w:rPr>
          <w:rFonts w:ascii="Calibri" w:eastAsia="Calibri" w:hAnsi="Calibri" w:cs="Calibri"/>
          <w:sz w:val="24"/>
          <w:szCs w:val="24"/>
          <w:lang w:val="es-ES"/>
        </w:rPr>
        <w:t xml:space="preserve">Con cinco municipios, el departamento reportó al finalizar el año 2022, un promedio de avance físico del 54.61%, siendo los municipios de Los Amates, El Estor y Livingston los que reportaron mayor avance físico con 79.88%, 74.19% y 69.30% respectivamente. </w:t>
      </w:r>
    </w:p>
    <w:p w14:paraId="161207F6" w14:textId="3B40A3CD" w:rsidR="10DDB783" w:rsidRDefault="10DDB783" w:rsidP="00A543DE">
      <w:pPr>
        <w:spacing w:after="120" w:line="240" w:lineRule="auto"/>
        <w:jc w:val="both"/>
        <w:rPr>
          <w:rFonts w:ascii="Calibri" w:eastAsia="Calibri" w:hAnsi="Calibri" w:cs="Calibri"/>
          <w:sz w:val="24"/>
          <w:szCs w:val="24"/>
          <w:lang w:val="es-ES"/>
        </w:rPr>
      </w:pPr>
      <w:r w:rsidRPr="10DDB783">
        <w:rPr>
          <w:rFonts w:ascii="Calibri" w:eastAsia="Calibri" w:hAnsi="Calibri" w:cs="Calibri"/>
          <w:sz w:val="24"/>
          <w:szCs w:val="24"/>
          <w:lang w:val="es-ES"/>
        </w:rPr>
        <w:t>En relación al avance financiero, el departamento reportó un avance del 74.72%. Los municipios que mayor avance reportaron son: Morales con 98.87%, Los Amates con 87.81% y El Estor con 71.50%. Ver siguiente tabla.</w:t>
      </w:r>
    </w:p>
    <w:p w14:paraId="39D8D2C1" w14:textId="56242AA4" w:rsidR="0093034A" w:rsidRDefault="0093034A" w:rsidP="00A543DE">
      <w:pPr>
        <w:spacing w:after="120" w:line="240" w:lineRule="auto"/>
        <w:jc w:val="both"/>
        <w:rPr>
          <w:rFonts w:ascii="Calibri" w:eastAsia="Calibri" w:hAnsi="Calibri" w:cs="Calibri"/>
          <w:sz w:val="24"/>
          <w:szCs w:val="24"/>
          <w:lang w:val="es-ES"/>
        </w:rPr>
      </w:pPr>
    </w:p>
    <w:p w14:paraId="4484B5A3" w14:textId="77777777" w:rsidR="00595D1D" w:rsidRDefault="00595D1D" w:rsidP="00A543DE">
      <w:pPr>
        <w:spacing w:after="120" w:line="240" w:lineRule="auto"/>
        <w:jc w:val="both"/>
        <w:rPr>
          <w:rFonts w:ascii="Calibri" w:eastAsia="Calibri" w:hAnsi="Calibri" w:cs="Calibri"/>
          <w:sz w:val="24"/>
          <w:szCs w:val="24"/>
          <w:lang w:val="es-ES"/>
        </w:rPr>
      </w:pPr>
    </w:p>
    <w:p w14:paraId="310C9F80" w14:textId="77777777" w:rsidR="0093034A" w:rsidRDefault="0093034A" w:rsidP="00A543DE">
      <w:pPr>
        <w:spacing w:after="120" w:line="240" w:lineRule="auto"/>
        <w:jc w:val="both"/>
      </w:pPr>
    </w:p>
    <w:p w14:paraId="40D617C5" w14:textId="4903BAA7" w:rsidR="00693BD9" w:rsidRPr="002F4FE3" w:rsidRDefault="76A07687" w:rsidP="007A6B50">
      <w:pPr>
        <w:pStyle w:val="ttulosgrficas"/>
        <w:rPr>
          <w:rFonts w:asciiTheme="minorHAnsi" w:eastAsia="Times New Roman" w:hAnsiTheme="minorHAnsi" w:cstheme="minorHAnsi"/>
          <w:color w:val="4472C4" w:themeColor="accent1"/>
          <w:lang w:val="es-ES"/>
        </w:rPr>
      </w:pPr>
      <w:bookmarkStart w:id="71" w:name="_Toc130199616"/>
      <w:r w:rsidRPr="002F4FE3">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28</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2F4FE3">
        <w:rPr>
          <w:rFonts w:asciiTheme="minorHAnsi" w:eastAsia="Times New Roman" w:hAnsiTheme="minorHAnsi" w:cstheme="minorHAnsi"/>
          <w:color w:val="4472C4" w:themeColor="accent1"/>
          <w:lang w:val="es-ES"/>
        </w:rPr>
        <w:t xml:space="preserve"> Ejecución Física y Financiera, Departamento de Izabal</w:t>
      </w:r>
      <w:bookmarkEnd w:id="71"/>
    </w:p>
    <w:tbl>
      <w:tblPr>
        <w:tblStyle w:val="Tabladelista4-nfasis5"/>
        <w:tblW w:w="9420" w:type="dxa"/>
        <w:tblLayout w:type="fixed"/>
        <w:tblLook w:val="04A0" w:firstRow="1" w:lastRow="0" w:firstColumn="1" w:lastColumn="0" w:noHBand="0" w:noVBand="1"/>
      </w:tblPr>
      <w:tblGrid>
        <w:gridCol w:w="3330"/>
        <w:gridCol w:w="1860"/>
        <w:gridCol w:w="1860"/>
        <w:gridCol w:w="1170"/>
        <w:gridCol w:w="1200"/>
      </w:tblGrid>
      <w:tr w:rsidR="76A07687" w14:paraId="45280850" w14:textId="77777777" w:rsidTr="002F4FE3">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330" w:type="dxa"/>
            <w:tcBorders>
              <w:top w:val="single" w:sz="8" w:space="0" w:color="5B9BD5" w:themeColor="accent5"/>
              <w:left w:val="single" w:sz="8" w:space="0" w:color="5B9BD5" w:themeColor="accent5"/>
              <w:bottom w:val="single" w:sz="8" w:space="0" w:color="5B9BD5" w:themeColor="accent5"/>
              <w:right w:val="single" w:sz="8" w:space="0" w:color="9CC2E5" w:themeColor="accent5" w:themeTint="99"/>
            </w:tcBorders>
            <w:tcMar>
              <w:left w:w="108" w:type="dxa"/>
              <w:right w:w="108" w:type="dxa"/>
            </w:tcMar>
            <w:vAlign w:val="center"/>
          </w:tcPr>
          <w:p w14:paraId="78D4BC33" w14:textId="3C65A2F9" w:rsidR="76A07687" w:rsidRDefault="76A07687" w:rsidP="76A07687">
            <w:pPr>
              <w:jc w:val="center"/>
            </w:pPr>
            <w:r w:rsidRPr="76A07687">
              <w:rPr>
                <w:rFonts w:ascii="Calibri" w:eastAsia="Calibri" w:hAnsi="Calibri" w:cs="Calibri"/>
                <w:color w:val="000000" w:themeColor="text1"/>
              </w:rPr>
              <w:t>Municipio</w:t>
            </w:r>
          </w:p>
        </w:tc>
        <w:tc>
          <w:tcPr>
            <w:tcW w:w="1860"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vAlign w:val="center"/>
          </w:tcPr>
          <w:p w14:paraId="55ED2E8E" w14:textId="04207442" w:rsidR="76A07687" w:rsidRDefault="34D87270" w:rsidP="76A07687">
            <w:pPr>
              <w:jc w:val="center"/>
              <w:cnfStyle w:val="100000000000" w:firstRow="1"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Meta Financiera Anual Vigente</w:t>
            </w:r>
          </w:p>
        </w:tc>
        <w:tc>
          <w:tcPr>
            <w:tcW w:w="1860" w:type="dxa"/>
            <w:tcBorders>
              <w:top w:val="single" w:sz="8" w:space="0" w:color="5B9BD5" w:themeColor="accent5"/>
              <w:left w:val="single" w:sz="8" w:space="0" w:color="9CC2E5" w:themeColor="accent5" w:themeTint="99"/>
              <w:bottom w:val="single" w:sz="8" w:space="0" w:color="5B9BD5" w:themeColor="accent5"/>
              <w:right w:val="single" w:sz="8" w:space="0" w:color="9CC2E5" w:themeColor="accent5" w:themeTint="99"/>
            </w:tcBorders>
            <w:tcMar>
              <w:left w:w="108" w:type="dxa"/>
              <w:right w:w="108" w:type="dxa"/>
            </w:tcMar>
            <w:vAlign w:val="center"/>
          </w:tcPr>
          <w:p w14:paraId="3F27A210" w14:textId="3037527B" w:rsidR="76A07687" w:rsidRDefault="34D87270" w:rsidP="76A07687">
            <w:pPr>
              <w:jc w:val="center"/>
              <w:cnfStyle w:val="100000000000" w:firstRow="1"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Ejecución Financiera Acumulada</w:t>
            </w:r>
          </w:p>
        </w:tc>
        <w:tc>
          <w:tcPr>
            <w:tcW w:w="1170"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vAlign w:val="center"/>
          </w:tcPr>
          <w:p w14:paraId="3E31A487" w14:textId="6E9EF096" w:rsidR="76A07687" w:rsidRDefault="76A07687" w:rsidP="76A07687">
            <w:pPr>
              <w:jc w:val="center"/>
              <w:cnfStyle w:val="100000000000" w:firstRow="1"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 de Ejecución Física</w:t>
            </w:r>
          </w:p>
        </w:tc>
        <w:tc>
          <w:tcPr>
            <w:tcW w:w="1200" w:type="dxa"/>
            <w:tcBorders>
              <w:top w:val="single" w:sz="8" w:space="0" w:color="5B9BD5" w:themeColor="accent5"/>
              <w:left w:val="single" w:sz="8" w:space="0" w:color="9CC2E5" w:themeColor="accent5" w:themeTint="99"/>
              <w:bottom w:val="single" w:sz="8" w:space="0" w:color="9CC2E5" w:themeColor="accent5" w:themeTint="99"/>
              <w:right w:val="single" w:sz="8" w:space="0" w:color="5B9BD5" w:themeColor="accent5"/>
            </w:tcBorders>
            <w:tcMar>
              <w:left w:w="108" w:type="dxa"/>
              <w:right w:w="108" w:type="dxa"/>
            </w:tcMar>
            <w:vAlign w:val="center"/>
          </w:tcPr>
          <w:p w14:paraId="1F14D186" w14:textId="220E7B32" w:rsidR="76A07687" w:rsidRDefault="76A07687" w:rsidP="76A07687">
            <w:pPr>
              <w:jc w:val="center"/>
              <w:cnfStyle w:val="100000000000" w:firstRow="1"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 de Ejecución Financiera</w:t>
            </w:r>
          </w:p>
        </w:tc>
      </w:tr>
      <w:tr w:rsidR="76A07687" w14:paraId="73E62A55"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D0055FE" w14:textId="6AE977B5" w:rsidR="76A07687" w:rsidRDefault="76A07687" w:rsidP="76A07687">
            <w:r w:rsidRPr="76A07687">
              <w:rPr>
                <w:rFonts w:ascii="Calibri" w:eastAsia="Calibri" w:hAnsi="Calibri" w:cs="Calibri"/>
                <w:color w:val="000000" w:themeColor="text1"/>
              </w:rPr>
              <w:t xml:space="preserve"> Todo el Departamento</w:t>
            </w:r>
          </w:p>
        </w:tc>
        <w:tc>
          <w:tcPr>
            <w:tcW w:w="1860"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158E0074" w14:textId="5961A3C4"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b/>
                <w:bCs/>
                <w:color w:val="000000" w:themeColor="text1"/>
              </w:rPr>
              <w:t>Q414,668,834.41</w:t>
            </w:r>
          </w:p>
        </w:tc>
        <w:tc>
          <w:tcPr>
            <w:tcW w:w="1860" w:type="dxa"/>
            <w:tcBorders>
              <w:top w:val="single" w:sz="8" w:space="0" w:color="5B9BD5" w:themeColor="accent5"/>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C5DC380" w14:textId="0B7C0F37"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b/>
                <w:bCs/>
                <w:color w:val="000000" w:themeColor="text1"/>
              </w:rPr>
              <w:t>Q309,841,817.81</w:t>
            </w:r>
          </w:p>
        </w:tc>
        <w:tc>
          <w:tcPr>
            <w:tcW w:w="117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FFFF00"/>
            <w:tcMar>
              <w:left w:w="108" w:type="dxa"/>
              <w:right w:w="108" w:type="dxa"/>
            </w:tcMar>
            <w:vAlign w:val="bottom"/>
          </w:tcPr>
          <w:p w14:paraId="5FF11988" w14:textId="497B471A"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b/>
                <w:bCs/>
                <w:color w:val="000000" w:themeColor="text1"/>
              </w:rPr>
              <w:t>54.61%</w:t>
            </w:r>
          </w:p>
        </w:tc>
        <w:tc>
          <w:tcPr>
            <w:tcW w:w="12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FFFF00"/>
            <w:tcMar>
              <w:left w:w="108" w:type="dxa"/>
              <w:right w:w="108" w:type="dxa"/>
            </w:tcMar>
            <w:vAlign w:val="bottom"/>
          </w:tcPr>
          <w:p w14:paraId="50742D75" w14:textId="6CAF1BF1"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b/>
                <w:bCs/>
                <w:color w:val="000000" w:themeColor="text1"/>
              </w:rPr>
              <w:t>74.72%</w:t>
            </w:r>
          </w:p>
        </w:tc>
      </w:tr>
      <w:tr w:rsidR="76A07687" w14:paraId="4ADAC1F8"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8C0DD26" w14:textId="1DFA2F98" w:rsidR="76A07687" w:rsidRDefault="76A07687" w:rsidP="76A07687">
            <w:pPr>
              <w:rPr>
                <w:rFonts w:ascii="Calibri" w:eastAsia="Calibri" w:hAnsi="Calibri" w:cs="Calibri"/>
                <w:b w:val="0"/>
                <w:bCs w:val="0"/>
                <w:color w:val="000000" w:themeColor="text1"/>
              </w:rPr>
            </w:pPr>
            <w:r w:rsidRPr="76A07687">
              <w:rPr>
                <w:rFonts w:ascii="Calibri" w:eastAsia="Calibri" w:hAnsi="Calibri" w:cs="Calibri"/>
                <w:b w:val="0"/>
                <w:bCs w:val="0"/>
                <w:color w:val="000000" w:themeColor="text1"/>
              </w:rPr>
              <w:t>Los Amates</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95186A0" w14:textId="7EF21848"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Q39,390,405.00</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BD8FE92" w14:textId="40C2BBA0"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Q34,589,859.72</w:t>
            </w:r>
          </w:p>
        </w:tc>
        <w:tc>
          <w:tcPr>
            <w:tcW w:w="117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FFFF00"/>
            <w:tcMar>
              <w:left w:w="108" w:type="dxa"/>
              <w:right w:w="108" w:type="dxa"/>
            </w:tcMar>
            <w:vAlign w:val="bottom"/>
          </w:tcPr>
          <w:p w14:paraId="15C526E9" w14:textId="768DE95C"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79.88%</w:t>
            </w:r>
          </w:p>
        </w:tc>
        <w:tc>
          <w:tcPr>
            <w:tcW w:w="12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FFFF00"/>
            <w:tcMar>
              <w:left w:w="108" w:type="dxa"/>
              <w:right w:w="108" w:type="dxa"/>
            </w:tcMar>
            <w:vAlign w:val="bottom"/>
          </w:tcPr>
          <w:p w14:paraId="31530197" w14:textId="00B5FACD"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87.81%</w:t>
            </w:r>
          </w:p>
        </w:tc>
      </w:tr>
      <w:tr w:rsidR="76A07687" w14:paraId="7A3C7886"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9CDED23" w14:textId="623E3CF4" w:rsidR="76A07687" w:rsidRDefault="76A07687" w:rsidP="76A07687">
            <w:pPr>
              <w:rPr>
                <w:rFonts w:ascii="Calibri" w:eastAsia="Calibri" w:hAnsi="Calibri" w:cs="Calibri"/>
                <w:b w:val="0"/>
                <w:bCs w:val="0"/>
                <w:color w:val="000000" w:themeColor="text1"/>
              </w:rPr>
            </w:pPr>
            <w:r w:rsidRPr="76A07687">
              <w:rPr>
                <w:rFonts w:ascii="Calibri" w:eastAsia="Calibri" w:hAnsi="Calibri" w:cs="Calibri"/>
                <w:b w:val="0"/>
                <w:bCs w:val="0"/>
                <w:color w:val="000000" w:themeColor="text1"/>
              </w:rPr>
              <w:t>El Estor</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65FB6DAB" w14:textId="06482640"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color w:val="000000" w:themeColor="text1"/>
              </w:rPr>
              <w:t>Q67,991,480.69</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56A737D" w14:textId="22789A24"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color w:val="000000" w:themeColor="text1"/>
              </w:rPr>
              <w:t>Q48,612,038.42</w:t>
            </w:r>
          </w:p>
        </w:tc>
        <w:tc>
          <w:tcPr>
            <w:tcW w:w="117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FFFF00"/>
            <w:tcMar>
              <w:left w:w="108" w:type="dxa"/>
              <w:right w:w="108" w:type="dxa"/>
            </w:tcMar>
            <w:vAlign w:val="bottom"/>
          </w:tcPr>
          <w:p w14:paraId="73C1DDC3" w14:textId="6272D0FA"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color w:val="000000" w:themeColor="text1"/>
              </w:rPr>
              <w:t>74.19%</w:t>
            </w:r>
          </w:p>
        </w:tc>
        <w:tc>
          <w:tcPr>
            <w:tcW w:w="12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FFFF00"/>
            <w:tcMar>
              <w:left w:w="108" w:type="dxa"/>
              <w:right w:w="108" w:type="dxa"/>
            </w:tcMar>
            <w:vAlign w:val="bottom"/>
          </w:tcPr>
          <w:p w14:paraId="5CE6F4D3" w14:textId="30CCF9A5"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color w:val="000000" w:themeColor="text1"/>
              </w:rPr>
              <w:t>71.50%</w:t>
            </w:r>
          </w:p>
        </w:tc>
      </w:tr>
      <w:tr w:rsidR="76A07687" w14:paraId="50DDDDC0"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F457048" w14:textId="15E7D4DD" w:rsidR="76A07687" w:rsidRDefault="76A07687" w:rsidP="76A07687">
            <w:pPr>
              <w:rPr>
                <w:rFonts w:ascii="Calibri" w:eastAsia="Calibri" w:hAnsi="Calibri" w:cs="Calibri"/>
                <w:b w:val="0"/>
                <w:bCs w:val="0"/>
                <w:color w:val="000000" w:themeColor="text1"/>
              </w:rPr>
            </w:pPr>
            <w:r w:rsidRPr="76A07687">
              <w:rPr>
                <w:rFonts w:ascii="Calibri" w:eastAsia="Calibri" w:hAnsi="Calibri" w:cs="Calibri"/>
                <w:b w:val="0"/>
                <w:bCs w:val="0"/>
                <w:color w:val="000000" w:themeColor="text1"/>
              </w:rPr>
              <w:t>Livingston</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928A418" w14:textId="3F29C240"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Q68,238,757.83</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04FA03D" w14:textId="74D136F3"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Q45,690,574.90</w:t>
            </w:r>
          </w:p>
        </w:tc>
        <w:tc>
          <w:tcPr>
            <w:tcW w:w="117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FFFF00"/>
            <w:tcMar>
              <w:left w:w="108" w:type="dxa"/>
              <w:right w:w="108" w:type="dxa"/>
            </w:tcMar>
            <w:vAlign w:val="bottom"/>
          </w:tcPr>
          <w:p w14:paraId="54B19C91" w14:textId="24A25304"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69.30%</w:t>
            </w:r>
          </w:p>
        </w:tc>
        <w:tc>
          <w:tcPr>
            <w:tcW w:w="12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FFFF00"/>
            <w:tcMar>
              <w:left w:w="108" w:type="dxa"/>
              <w:right w:w="108" w:type="dxa"/>
            </w:tcMar>
            <w:vAlign w:val="bottom"/>
          </w:tcPr>
          <w:p w14:paraId="1EB74437" w14:textId="04CF10C8"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66.96%</w:t>
            </w:r>
          </w:p>
        </w:tc>
      </w:tr>
      <w:tr w:rsidR="76A07687" w14:paraId="0EB67049"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2F6A038" w14:textId="7E66773B" w:rsidR="76A07687" w:rsidRDefault="76A07687" w:rsidP="76A07687">
            <w:pPr>
              <w:rPr>
                <w:rFonts w:ascii="Calibri" w:eastAsia="Calibri" w:hAnsi="Calibri" w:cs="Calibri"/>
                <w:b w:val="0"/>
                <w:bCs w:val="0"/>
                <w:color w:val="000000" w:themeColor="text1"/>
              </w:rPr>
            </w:pPr>
            <w:r w:rsidRPr="76A07687">
              <w:rPr>
                <w:rFonts w:ascii="Calibri" w:eastAsia="Calibri" w:hAnsi="Calibri" w:cs="Calibri"/>
                <w:b w:val="0"/>
                <w:bCs w:val="0"/>
                <w:color w:val="000000" w:themeColor="text1"/>
              </w:rPr>
              <w:t>Puerto Barrios</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F284277" w14:textId="0A8FD4FC"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color w:val="000000" w:themeColor="text1"/>
              </w:rPr>
              <w:t>Q142,559,441.07</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4A1F429B" w14:textId="5A914F21"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color w:val="000000" w:themeColor="text1"/>
              </w:rPr>
              <w:t>Q85,546,110.68</w:t>
            </w:r>
          </w:p>
        </w:tc>
        <w:tc>
          <w:tcPr>
            <w:tcW w:w="117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C00000"/>
            <w:tcMar>
              <w:left w:w="108" w:type="dxa"/>
              <w:right w:w="108" w:type="dxa"/>
            </w:tcMar>
            <w:vAlign w:val="bottom"/>
          </w:tcPr>
          <w:p w14:paraId="66368077" w14:textId="5A23C222"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color w:val="000000" w:themeColor="text1"/>
              </w:rPr>
              <w:t>48.06%</w:t>
            </w:r>
          </w:p>
        </w:tc>
        <w:tc>
          <w:tcPr>
            <w:tcW w:w="12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FFFF00"/>
            <w:tcMar>
              <w:left w:w="108" w:type="dxa"/>
              <w:right w:w="108" w:type="dxa"/>
            </w:tcMar>
            <w:vAlign w:val="bottom"/>
          </w:tcPr>
          <w:p w14:paraId="01A73BFB" w14:textId="1105F86F" w:rsidR="76A07687" w:rsidRDefault="76A07687" w:rsidP="76A07687">
            <w:pPr>
              <w:jc w:val="right"/>
              <w:cnfStyle w:val="000000100000" w:firstRow="0" w:lastRow="0" w:firstColumn="0" w:lastColumn="0" w:oddVBand="0" w:evenVBand="0" w:oddHBand="1" w:evenHBand="0" w:firstRowFirstColumn="0" w:firstRowLastColumn="0" w:lastRowFirstColumn="0" w:lastRowLastColumn="0"/>
            </w:pPr>
            <w:r w:rsidRPr="76A07687">
              <w:rPr>
                <w:rFonts w:ascii="Calibri" w:eastAsia="Calibri" w:hAnsi="Calibri" w:cs="Calibri"/>
                <w:color w:val="000000" w:themeColor="text1"/>
              </w:rPr>
              <w:t>60.01%</w:t>
            </w:r>
          </w:p>
        </w:tc>
      </w:tr>
      <w:tr w:rsidR="76A07687" w14:paraId="0FD7BFA4"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0024EABA" w14:textId="349EEB4F" w:rsidR="76A07687" w:rsidRDefault="76A07687" w:rsidP="76A07687">
            <w:pPr>
              <w:rPr>
                <w:rFonts w:ascii="Calibri" w:eastAsia="Calibri" w:hAnsi="Calibri" w:cs="Calibri"/>
                <w:b w:val="0"/>
                <w:bCs w:val="0"/>
                <w:color w:val="000000" w:themeColor="text1"/>
              </w:rPr>
            </w:pPr>
            <w:r w:rsidRPr="76A07687">
              <w:rPr>
                <w:rFonts w:ascii="Calibri" w:eastAsia="Calibri" w:hAnsi="Calibri" w:cs="Calibri"/>
                <w:b w:val="0"/>
                <w:bCs w:val="0"/>
                <w:color w:val="000000" w:themeColor="text1"/>
              </w:rPr>
              <w:t>Morales</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2AA78357" w14:textId="1FAD6C5C"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Q96,488,749.82</w:t>
            </w:r>
          </w:p>
        </w:tc>
        <w:tc>
          <w:tcPr>
            <w:tcW w:w="186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tcMar>
              <w:left w:w="108" w:type="dxa"/>
              <w:right w:w="108" w:type="dxa"/>
            </w:tcMar>
          </w:tcPr>
          <w:p w14:paraId="5A9CCE15" w14:textId="543A8A30"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Q95,403,234.09</w:t>
            </w:r>
          </w:p>
        </w:tc>
        <w:tc>
          <w:tcPr>
            <w:tcW w:w="117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C00000"/>
            <w:tcMar>
              <w:left w:w="108" w:type="dxa"/>
              <w:right w:w="108" w:type="dxa"/>
            </w:tcMar>
            <w:vAlign w:val="bottom"/>
          </w:tcPr>
          <w:p w14:paraId="25DC4D34" w14:textId="11B3D9C9"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29.72%</w:t>
            </w:r>
          </w:p>
        </w:tc>
        <w:tc>
          <w:tcPr>
            <w:tcW w:w="1200" w:type="dxa"/>
            <w:tcBorders>
              <w:top w:val="single" w:sz="8" w:space="0" w:color="9CC2E5" w:themeColor="accent5" w:themeTint="99"/>
              <w:left w:val="single" w:sz="8" w:space="0" w:color="9CC2E5" w:themeColor="accent5" w:themeTint="99"/>
              <w:bottom w:val="single" w:sz="8" w:space="0" w:color="9CC2E5" w:themeColor="accent5" w:themeTint="99"/>
              <w:right w:val="single" w:sz="8" w:space="0" w:color="9CC2E5" w:themeColor="accent5" w:themeTint="99"/>
            </w:tcBorders>
            <w:shd w:val="clear" w:color="auto" w:fill="92D050"/>
            <w:tcMar>
              <w:left w:w="108" w:type="dxa"/>
              <w:right w:w="108" w:type="dxa"/>
            </w:tcMar>
            <w:vAlign w:val="bottom"/>
          </w:tcPr>
          <w:p w14:paraId="37019A92" w14:textId="7C950284" w:rsidR="76A07687" w:rsidRDefault="76A07687" w:rsidP="76A07687">
            <w:pPr>
              <w:jc w:val="right"/>
              <w:cnfStyle w:val="000000000000" w:firstRow="0" w:lastRow="0" w:firstColumn="0" w:lastColumn="0" w:oddVBand="0" w:evenVBand="0" w:oddHBand="0" w:evenHBand="0" w:firstRowFirstColumn="0" w:firstRowLastColumn="0" w:lastRowFirstColumn="0" w:lastRowLastColumn="0"/>
            </w:pPr>
            <w:r w:rsidRPr="76A07687">
              <w:rPr>
                <w:rFonts w:ascii="Calibri" w:eastAsia="Calibri" w:hAnsi="Calibri" w:cs="Calibri"/>
                <w:color w:val="000000" w:themeColor="text1"/>
              </w:rPr>
              <w:t>98.87%</w:t>
            </w:r>
          </w:p>
        </w:tc>
      </w:tr>
    </w:tbl>
    <w:p w14:paraId="5236F4C6" w14:textId="2B4E4DE5" w:rsidR="00693BD9" w:rsidRPr="003051CD" w:rsidRDefault="76A07687" w:rsidP="002F4FE3">
      <w:pPr>
        <w:autoSpaceDE w:val="0"/>
        <w:autoSpaceDN w:val="0"/>
        <w:adjustRightInd w:val="0"/>
        <w:spacing w:after="120" w:line="240" w:lineRule="auto"/>
        <w:jc w:val="both"/>
        <w:rPr>
          <w:rFonts w:eastAsiaTheme="minorEastAsia"/>
          <w:sz w:val="18"/>
          <w:szCs w:val="18"/>
          <w:lang w:val="es-ES"/>
        </w:rPr>
      </w:pPr>
      <w:r w:rsidRPr="76A07687">
        <w:rPr>
          <w:rFonts w:eastAsiaTheme="minorEastAsia"/>
          <w:sz w:val="18"/>
          <w:szCs w:val="18"/>
          <w:lang w:val="es-ES"/>
        </w:rPr>
        <w:t>Fuente: Siplangl, III informe cuatrimestral y acumulado. Año 2022.</w:t>
      </w:r>
    </w:p>
    <w:p w14:paraId="480EEC9E" w14:textId="529C797E" w:rsidR="00693BD9" w:rsidRPr="00085107" w:rsidRDefault="25BD66AC" w:rsidP="002F4FE3">
      <w:pPr>
        <w:autoSpaceDE w:val="0"/>
        <w:autoSpaceDN w:val="0"/>
        <w:adjustRightInd w:val="0"/>
        <w:spacing w:after="120" w:line="240" w:lineRule="auto"/>
        <w:jc w:val="both"/>
        <w:rPr>
          <w:rFonts w:ascii="Helvetica" w:eastAsia="Times New Roman" w:hAnsi="Helvetica" w:cs="Helvetica"/>
          <w:b/>
          <w:bCs/>
          <w:color w:val="002060"/>
          <w:sz w:val="28"/>
          <w:szCs w:val="28"/>
          <w:lang w:val="es-ES"/>
        </w:rPr>
      </w:pPr>
      <w:r w:rsidRPr="25BD66AC">
        <w:rPr>
          <w:rFonts w:ascii="Helvetica" w:eastAsia="Times New Roman" w:hAnsi="Helvetica" w:cs="Helvetica"/>
          <w:b/>
          <w:bCs/>
          <w:color w:val="002060"/>
          <w:sz w:val="28"/>
          <w:szCs w:val="28"/>
          <w:lang w:val="es-ES"/>
        </w:rPr>
        <w:t>Jutiapa</w:t>
      </w:r>
    </w:p>
    <w:p w14:paraId="298F2BCB" w14:textId="06916000" w:rsidR="00693BD9" w:rsidRPr="003051CD" w:rsidRDefault="002F4FE3" w:rsidP="002F4FE3">
      <w:pPr>
        <w:autoSpaceDE w:val="0"/>
        <w:autoSpaceDN w:val="0"/>
        <w:adjustRightInd w:val="0"/>
        <w:spacing w:after="120" w:line="240" w:lineRule="auto"/>
        <w:jc w:val="both"/>
      </w:pPr>
      <w:r w:rsidRPr="008003FC">
        <w:rPr>
          <w:noProof/>
          <w:sz w:val="24"/>
        </w:rPr>
        <w:drawing>
          <wp:anchor distT="0" distB="0" distL="114300" distR="114300" simplePos="0" relativeHeight="251704832" behindDoc="1" locked="0" layoutInCell="1" allowOverlap="1" wp14:anchorId="4942494B" wp14:editId="3EFCC59E">
            <wp:simplePos x="0" y="0"/>
            <wp:positionH relativeFrom="column">
              <wp:posOffset>4445000</wp:posOffset>
            </wp:positionH>
            <wp:positionV relativeFrom="paragraph">
              <wp:posOffset>100965</wp:posOffset>
            </wp:positionV>
            <wp:extent cx="1504315" cy="1054100"/>
            <wp:effectExtent l="19050" t="19050" r="19685" b="12700"/>
            <wp:wrapTight wrapText="bothSides">
              <wp:wrapPolygon edited="0">
                <wp:start x="-274" y="-390"/>
                <wp:lineTo x="-274" y="21470"/>
                <wp:lineTo x="21609" y="21470"/>
                <wp:lineTo x="21609" y="-390"/>
                <wp:lineTo x="-274" y="-39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04315" cy="1054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25BD66AC" w:rsidRPr="25BD66AC">
        <w:rPr>
          <w:rFonts w:ascii="Calibri" w:eastAsia="Calibri" w:hAnsi="Calibri" w:cs="Calibri"/>
          <w:sz w:val="24"/>
          <w:szCs w:val="24"/>
          <w:lang w:val="es-ES"/>
        </w:rPr>
        <w:t xml:space="preserve">Al finalizar el año 2022, el departamento reportó un avance promedio del 78.12%. Los municipios que mayor ejecución física reportaron son: Asunción Mita con 100%, Comapa con 100% y El Progreso con 97.81%. </w:t>
      </w:r>
    </w:p>
    <w:p w14:paraId="4F101E62" w14:textId="529C797E" w:rsidR="00693BD9" w:rsidRPr="003051CD" w:rsidRDefault="25BD66AC" w:rsidP="002F4FE3">
      <w:pPr>
        <w:autoSpaceDE w:val="0"/>
        <w:autoSpaceDN w:val="0"/>
        <w:adjustRightInd w:val="0"/>
        <w:spacing w:after="120" w:line="240" w:lineRule="auto"/>
        <w:jc w:val="both"/>
      </w:pPr>
      <w:r w:rsidRPr="25BD66AC">
        <w:rPr>
          <w:rFonts w:ascii="Calibri" w:eastAsia="Calibri" w:hAnsi="Calibri" w:cs="Calibri"/>
          <w:sz w:val="24"/>
          <w:szCs w:val="24"/>
          <w:lang w:val="es-ES"/>
        </w:rPr>
        <w:t>Relacionado al avance financiero, el departamento reportó un 77.11% de avance. Los municipios que mayor ejecución financiera reportaron son: Asunción Mita y Comapa con el 100% cada uno y Zapotitlán con 99.64%.</w:t>
      </w:r>
    </w:p>
    <w:p w14:paraId="7C25AF06" w14:textId="529C797E" w:rsidR="00693BD9" w:rsidRPr="003051CD" w:rsidRDefault="25BD66AC" w:rsidP="002F4FE3">
      <w:pPr>
        <w:autoSpaceDE w:val="0"/>
        <w:autoSpaceDN w:val="0"/>
        <w:adjustRightInd w:val="0"/>
        <w:spacing w:after="120" w:line="240" w:lineRule="auto"/>
        <w:jc w:val="both"/>
      </w:pPr>
      <w:r w:rsidRPr="25BD66AC">
        <w:rPr>
          <w:rFonts w:ascii="Calibri" w:eastAsia="Calibri" w:hAnsi="Calibri" w:cs="Calibri"/>
          <w:sz w:val="24"/>
          <w:szCs w:val="24"/>
          <w:lang w:val="es-ES"/>
        </w:rPr>
        <w:t>Jalpatagua, no utilizó la plataforma de Siplangl durante el año 2022. Ver siguiente tabla.</w:t>
      </w:r>
    </w:p>
    <w:p w14:paraId="5EF17FFE" w14:textId="423E1D44" w:rsidR="00693BD9" w:rsidRPr="002F4FE3" w:rsidRDefault="25BD66AC" w:rsidP="00016865">
      <w:pPr>
        <w:pStyle w:val="ttulosgrficas"/>
        <w:rPr>
          <w:rFonts w:asciiTheme="minorHAnsi" w:eastAsia="Times New Roman" w:hAnsiTheme="minorHAnsi" w:cstheme="minorHAnsi"/>
          <w:color w:val="4472C4" w:themeColor="accent1"/>
          <w:lang w:val="es-ES"/>
        </w:rPr>
      </w:pPr>
      <w:bookmarkStart w:id="72" w:name="_Toc130199617"/>
      <w:r w:rsidRPr="002F4FE3">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29</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2F4FE3">
        <w:rPr>
          <w:rFonts w:asciiTheme="minorHAnsi" w:eastAsia="Times New Roman" w:hAnsiTheme="minorHAnsi" w:cstheme="minorHAnsi"/>
          <w:color w:val="4472C4" w:themeColor="accent1"/>
          <w:lang w:val="es-ES"/>
        </w:rPr>
        <w:t xml:space="preserve"> Ejecución Física y Financiera, Departamento de Jutiapa</w:t>
      </w:r>
      <w:bookmarkEnd w:id="72"/>
    </w:p>
    <w:tbl>
      <w:tblPr>
        <w:tblStyle w:val="Tabladelista4-nfasis5"/>
        <w:tblW w:w="9390"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195"/>
        <w:gridCol w:w="1875"/>
        <w:gridCol w:w="1830"/>
        <w:gridCol w:w="1215"/>
        <w:gridCol w:w="1275"/>
      </w:tblGrid>
      <w:tr w:rsidR="25AE2413" w14:paraId="4994D919" w14:textId="77777777" w:rsidTr="002F4FE3">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195" w:type="dxa"/>
            <w:tcBorders>
              <w:top w:val="none" w:sz="0" w:space="0" w:color="auto"/>
              <w:left w:val="none" w:sz="0" w:space="0" w:color="auto"/>
              <w:bottom w:val="none" w:sz="0" w:space="0" w:color="auto"/>
            </w:tcBorders>
            <w:tcMar>
              <w:left w:w="108" w:type="dxa"/>
              <w:right w:w="108" w:type="dxa"/>
            </w:tcMar>
            <w:vAlign w:val="center"/>
          </w:tcPr>
          <w:p w14:paraId="3DC7308C" w14:textId="1EF9D8AC" w:rsidR="25AE2413" w:rsidRDefault="25AE2413" w:rsidP="25AE2413">
            <w:pPr>
              <w:jc w:val="center"/>
            </w:pPr>
            <w:r w:rsidRPr="25AE2413">
              <w:rPr>
                <w:rFonts w:ascii="Calibri" w:eastAsia="Calibri" w:hAnsi="Calibri" w:cs="Calibri"/>
                <w:color w:val="000000" w:themeColor="text1"/>
              </w:rPr>
              <w:t>Municipio</w:t>
            </w:r>
          </w:p>
        </w:tc>
        <w:tc>
          <w:tcPr>
            <w:tcW w:w="1875" w:type="dxa"/>
            <w:tcBorders>
              <w:top w:val="none" w:sz="0" w:space="0" w:color="auto"/>
              <w:bottom w:val="none" w:sz="0" w:space="0" w:color="auto"/>
            </w:tcBorders>
            <w:tcMar>
              <w:left w:w="108" w:type="dxa"/>
              <w:right w:w="108" w:type="dxa"/>
            </w:tcMar>
            <w:vAlign w:val="center"/>
          </w:tcPr>
          <w:p w14:paraId="5F8E24E1" w14:textId="1BBB8AFE" w:rsidR="25AE2413" w:rsidRDefault="25AE2413" w:rsidP="25AE2413">
            <w:pPr>
              <w:jc w:val="center"/>
              <w:cnfStyle w:val="100000000000" w:firstRow="1"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Meta financiera anual Vigente</w:t>
            </w:r>
          </w:p>
        </w:tc>
        <w:tc>
          <w:tcPr>
            <w:tcW w:w="1830" w:type="dxa"/>
            <w:tcBorders>
              <w:top w:val="none" w:sz="0" w:space="0" w:color="auto"/>
              <w:bottom w:val="none" w:sz="0" w:space="0" w:color="auto"/>
            </w:tcBorders>
            <w:tcMar>
              <w:left w:w="108" w:type="dxa"/>
              <w:right w:w="108" w:type="dxa"/>
            </w:tcMar>
            <w:vAlign w:val="center"/>
          </w:tcPr>
          <w:p w14:paraId="52EAE8A1" w14:textId="3579E55C" w:rsidR="25AE2413" w:rsidRDefault="25AE2413" w:rsidP="25AE2413">
            <w:pPr>
              <w:jc w:val="center"/>
              <w:cnfStyle w:val="100000000000" w:firstRow="1"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Ejecución financiera Acumulada</w:t>
            </w:r>
          </w:p>
        </w:tc>
        <w:tc>
          <w:tcPr>
            <w:tcW w:w="1215" w:type="dxa"/>
            <w:tcBorders>
              <w:top w:val="none" w:sz="0" w:space="0" w:color="auto"/>
              <w:bottom w:val="none" w:sz="0" w:space="0" w:color="auto"/>
            </w:tcBorders>
            <w:tcMar>
              <w:left w:w="108" w:type="dxa"/>
              <w:right w:w="108" w:type="dxa"/>
            </w:tcMar>
            <w:vAlign w:val="center"/>
          </w:tcPr>
          <w:p w14:paraId="2715EEA1" w14:textId="5F164F6C" w:rsidR="25AE2413" w:rsidRDefault="25AE2413" w:rsidP="25AE2413">
            <w:pPr>
              <w:jc w:val="center"/>
              <w:cnfStyle w:val="100000000000" w:firstRow="1"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 de Ejecución Física</w:t>
            </w:r>
          </w:p>
        </w:tc>
        <w:tc>
          <w:tcPr>
            <w:tcW w:w="1275" w:type="dxa"/>
            <w:tcBorders>
              <w:top w:val="none" w:sz="0" w:space="0" w:color="auto"/>
              <w:bottom w:val="none" w:sz="0" w:space="0" w:color="auto"/>
              <w:right w:val="none" w:sz="0" w:space="0" w:color="auto"/>
            </w:tcBorders>
            <w:tcMar>
              <w:left w:w="108" w:type="dxa"/>
              <w:right w:w="108" w:type="dxa"/>
            </w:tcMar>
            <w:vAlign w:val="center"/>
          </w:tcPr>
          <w:p w14:paraId="2804C9D0" w14:textId="00FB9A8C" w:rsidR="25AE2413" w:rsidRDefault="25AE2413" w:rsidP="25AE2413">
            <w:pPr>
              <w:jc w:val="center"/>
              <w:cnfStyle w:val="100000000000" w:firstRow="1"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 de Ejecución Financiera</w:t>
            </w:r>
          </w:p>
        </w:tc>
      </w:tr>
      <w:tr w:rsidR="25AE2413" w14:paraId="582E393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05E03D23" w14:textId="3076DC37" w:rsidR="25AE2413" w:rsidRDefault="25AE2413" w:rsidP="25AE2413">
            <w:r w:rsidRPr="25AE2413">
              <w:rPr>
                <w:rFonts w:ascii="Calibri" w:eastAsia="Calibri" w:hAnsi="Calibri" w:cs="Calibri"/>
                <w:color w:val="000000" w:themeColor="text1"/>
              </w:rPr>
              <w:t xml:space="preserve"> Todo el Departamento</w:t>
            </w:r>
          </w:p>
        </w:tc>
        <w:tc>
          <w:tcPr>
            <w:tcW w:w="1875" w:type="dxa"/>
            <w:tcMar>
              <w:left w:w="108" w:type="dxa"/>
              <w:right w:w="108" w:type="dxa"/>
            </w:tcMar>
          </w:tcPr>
          <w:p w14:paraId="39AE8102" w14:textId="53ADF73A"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b/>
                <w:bCs/>
                <w:color w:val="000000" w:themeColor="text1"/>
              </w:rPr>
              <w:t>Q423,328,970.61</w:t>
            </w:r>
          </w:p>
        </w:tc>
        <w:tc>
          <w:tcPr>
            <w:tcW w:w="1830" w:type="dxa"/>
            <w:tcMar>
              <w:left w:w="108" w:type="dxa"/>
              <w:right w:w="108" w:type="dxa"/>
            </w:tcMar>
          </w:tcPr>
          <w:p w14:paraId="5FC8EB5F" w14:textId="379C1602"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b/>
                <w:bCs/>
                <w:color w:val="000000" w:themeColor="text1"/>
              </w:rPr>
              <w:t>Q326,439,149.95</w:t>
            </w:r>
          </w:p>
        </w:tc>
        <w:tc>
          <w:tcPr>
            <w:tcW w:w="1215" w:type="dxa"/>
            <w:shd w:val="clear" w:color="auto" w:fill="FFFF00"/>
            <w:tcMar>
              <w:left w:w="108" w:type="dxa"/>
              <w:right w:w="108" w:type="dxa"/>
            </w:tcMar>
            <w:vAlign w:val="bottom"/>
          </w:tcPr>
          <w:p w14:paraId="6C14A60E" w14:textId="3500CFB9"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b/>
                <w:bCs/>
                <w:color w:val="000000" w:themeColor="text1"/>
              </w:rPr>
              <w:t>78.12%</w:t>
            </w:r>
          </w:p>
        </w:tc>
        <w:tc>
          <w:tcPr>
            <w:tcW w:w="1275" w:type="dxa"/>
            <w:shd w:val="clear" w:color="auto" w:fill="FFFF00"/>
            <w:tcMar>
              <w:left w:w="108" w:type="dxa"/>
              <w:right w:w="108" w:type="dxa"/>
            </w:tcMar>
            <w:vAlign w:val="bottom"/>
          </w:tcPr>
          <w:p w14:paraId="15AF43FB" w14:textId="40B17C01"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b/>
                <w:bCs/>
                <w:color w:val="000000" w:themeColor="text1"/>
              </w:rPr>
              <w:t>77.11%</w:t>
            </w:r>
          </w:p>
        </w:tc>
      </w:tr>
      <w:tr w:rsidR="25AE2413" w14:paraId="1ABE3716"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2DEFDBB6" w14:textId="46DB43BC"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Asunción Mita</w:t>
            </w:r>
          </w:p>
        </w:tc>
        <w:tc>
          <w:tcPr>
            <w:tcW w:w="1875" w:type="dxa"/>
            <w:tcMar>
              <w:left w:w="108" w:type="dxa"/>
              <w:right w:w="108" w:type="dxa"/>
            </w:tcMar>
          </w:tcPr>
          <w:p w14:paraId="4D6F3E38" w14:textId="1B0B9E1C"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Q7,727,750.00</w:t>
            </w:r>
          </w:p>
        </w:tc>
        <w:tc>
          <w:tcPr>
            <w:tcW w:w="1830" w:type="dxa"/>
            <w:tcMar>
              <w:left w:w="108" w:type="dxa"/>
              <w:right w:w="108" w:type="dxa"/>
            </w:tcMar>
          </w:tcPr>
          <w:p w14:paraId="07F1D2E3" w14:textId="22A84B11"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Q7,727,750.00</w:t>
            </w:r>
          </w:p>
        </w:tc>
        <w:tc>
          <w:tcPr>
            <w:tcW w:w="1215" w:type="dxa"/>
            <w:shd w:val="clear" w:color="auto" w:fill="92D050"/>
            <w:tcMar>
              <w:left w:w="108" w:type="dxa"/>
              <w:right w:w="108" w:type="dxa"/>
            </w:tcMar>
            <w:vAlign w:val="bottom"/>
          </w:tcPr>
          <w:p w14:paraId="10EEA386" w14:textId="5F8DCB10"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100.00%</w:t>
            </w:r>
          </w:p>
        </w:tc>
        <w:tc>
          <w:tcPr>
            <w:tcW w:w="1275" w:type="dxa"/>
            <w:shd w:val="clear" w:color="auto" w:fill="92D050"/>
            <w:tcMar>
              <w:left w:w="108" w:type="dxa"/>
              <w:right w:w="108" w:type="dxa"/>
            </w:tcMar>
            <w:vAlign w:val="bottom"/>
          </w:tcPr>
          <w:p w14:paraId="03AD165F" w14:textId="6CE9DEF3"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100.00%</w:t>
            </w:r>
          </w:p>
        </w:tc>
      </w:tr>
      <w:tr w:rsidR="25AE2413" w14:paraId="10554AA6"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51D91B31" w14:textId="026C0454"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Comapa</w:t>
            </w:r>
          </w:p>
        </w:tc>
        <w:tc>
          <w:tcPr>
            <w:tcW w:w="1875" w:type="dxa"/>
            <w:tcMar>
              <w:left w:w="108" w:type="dxa"/>
              <w:right w:w="108" w:type="dxa"/>
            </w:tcMar>
          </w:tcPr>
          <w:p w14:paraId="0E9CE479" w14:textId="0AD20C6C"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Q8,499,421.00</w:t>
            </w:r>
          </w:p>
        </w:tc>
        <w:tc>
          <w:tcPr>
            <w:tcW w:w="1830" w:type="dxa"/>
            <w:tcMar>
              <w:left w:w="108" w:type="dxa"/>
              <w:right w:w="108" w:type="dxa"/>
            </w:tcMar>
          </w:tcPr>
          <w:p w14:paraId="0D314A02" w14:textId="295A3E2A"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Q8,499,402.00</w:t>
            </w:r>
          </w:p>
        </w:tc>
        <w:tc>
          <w:tcPr>
            <w:tcW w:w="1215" w:type="dxa"/>
            <w:shd w:val="clear" w:color="auto" w:fill="92D050"/>
            <w:tcMar>
              <w:left w:w="108" w:type="dxa"/>
              <w:right w:w="108" w:type="dxa"/>
            </w:tcMar>
            <w:vAlign w:val="bottom"/>
          </w:tcPr>
          <w:p w14:paraId="7202D338" w14:textId="67121DDB"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100.00%</w:t>
            </w:r>
          </w:p>
        </w:tc>
        <w:tc>
          <w:tcPr>
            <w:tcW w:w="1275" w:type="dxa"/>
            <w:shd w:val="clear" w:color="auto" w:fill="92D050"/>
            <w:tcMar>
              <w:left w:w="108" w:type="dxa"/>
              <w:right w:w="108" w:type="dxa"/>
            </w:tcMar>
            <w:vAlign w:val="bottom"/>
          </w:tcPr>
          <w:p w14:paraId="240EACF9" w14:textId="06BCFE1A"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100.00%</w:t>
            </w:r>
          </w:p>
        </w:tc>
      </w:tr>
      <w:tr w:rsidR="25AE2413" w14:paraId="18933B2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7E1D89BB" w14:textId="5BCC7C25"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El Progreso</w:t>
            </w:r>
          </w:p>
        </w:tc>
        <w:tc>
          <w:tcPr>
            <w:tcW w:w="1875" w:type="dxa"/>
            <w:tcMar>
              <w:left w:w="108" w:type="dxa"/>
              <w:right w:w="108" w:type="dxa"/>
            </w:tcMar>
          </w:tcPr>
          <w:p w14:paraId="71334D1F" w14:textId="5D0655BD"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Q51,596,827.55</w:t>
            </w:r>
          </w:p>
        </w:tc>
        <w:tc>
          <w:tcPr>
            <w:tcW w:w="1830" w:type="dxa"/>
            <w:tcMar>
              <w:left w:w="108" w:type="dxa"/>
              <w:right w:w="108" w:type="dxa"/>
            </w:tcMar>
          </w:tcPr>
          <w:p w14:paraId="2A8027E7" w14:textId="7E60CFF2"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Q34,984,439.09</w:t>
            </w:r>
          </w:p>
        </w:tc>
        <w:tc>
          <w:tcPr>
            <w:tcW w:w="1215" w:type="dxa"/>
            <w:shd w:val="clear" w:color="auto" w:fill="92D050"/>
            <w:tcMar>
              <w:left w:w="108" w:type="dxa"/>
              <w:right w:w="108" w:type="dxa"/>
            </w:tcMar>
            <w:vAlign w:val="bottom"/>
          </w:tcPr>
          <w:p w14:paraId="2C9E4724" w14:textId="78094D73"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97.81%</w:t>
            </w:r>
          </w:p>
        </w:tc>
        <w:tc>
          <w:tcPr>
            <w:tcW w:w="1275" w:type="dxa"/>
            <w:shd w:val="clear" w:color="auto" w:fill="FFFF00"/>
            <w:tcMar>
              <w:left w:w="108" w:type="dxa"/>
              <w:right w:w="108" w:type="dxa"/>
            </w:tcMar>
            <w:vAlign w:val="bottom"/>
          </w:tcPr>
          <w:p w14:paraId="7A00134A" w14:textId="5AF5A5A0"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67.80%</w:t>
            </w:r>
          </w:p>
        </w:tc>
      </w:tr>
      <w:tr w:rsidR="25AE2413" w14:paraId="56498DBD"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5CACB9ED" w14:textId="70DF6C02"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Jutiapa</w:t>
            </w:r>
          </w:p>
        </w:tc>
        <w:tc>
          <w:tcPr>
            <w:tcW w:w="1875" w:type="dxa"/>
            <w:tcMar>
              <w:left w:w="108" w:type="dxa"/>
              <w:right w:w="108" w:type="dxa"/>
            </w:tcMar>
          </w:tcPr>
          <w:p w14:paraId="322488F4" w14:textId="6B8428FA"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Q28,938,199.85</w:t>
            </w:r>
          </w:p>
        </w:tc>
        <w:tc>
          <w:tcPr>
            <w:tcW w:w="1830" w:type="dxa"/>
            <w:tcMar>
              <w:left w:w="108" w:type="dxa"/>
              <w:right w:w="108" w:type="dxa"/>
            </w:tcMar>
          </w:tcPr>
          <w:p w14:paraId="7FDA7441" w14:textId="121A7379"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Q12,572,349.12</w:t>
            </w:r>
          </w:p>
        </w:tc>
        <w:tc>
          <w:tcPr>
            <w:tcW w:w="1215" w:type="dxa"/>
            <w:shd w:val="clear" w:color="auto" w:fill="92D050"/>
            <w:tcMar>
              <w:left w:w="108" w:type="dxa"/>
              <w:right w:w="108" w:type="dxa"/>
            </w:tcMar>
            <w:vAlign w:val="bottom"/>
          </w:tcPr>
          <w:p w14:paraId="0C87C2C6" w14:textId="3AC4C704"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96.08%</w:t>
            </w:r>
          </w:p>
        </w:tc>
        <w:tc>
          <w:tcPr>
            <w:tcW w:w="1275" w:type="dxa"/>
            <w:shd w:val="clear" w:color="auto" w:fill="C00000"/>
            <w:tcMar>
              <w:left w:w="108" w:type="dxa"/>
              <w:right w:w="108" w:type="dxa"/>
            </w:tcMar>
            <w:vAlign w:val="bottom"/>
          </w:tcPr>
          <w:p w14:paraId="02E038F8" w14:textId="3DDEB92C"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43.45%</w:t>
            </w:r>
          </w:p>
        </w:tc>
      </w:tr>
      <w:tr w:rsidR="25AE2413" w14:paraId="1CFDA3A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48F61FB7" w14:textId="58BF7B7C"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Quesada</w:t>
            </w:r>
          </w:p>
        </w:tc>
        <w:tc>
          <w:tcPr>
            <w:tcW w:w="1875" w:type="dxa"/>
            <w:tcMar>
              <w:left w:w="108" w:type="dxa"/>
              <w:right w:w="108" w:type="dxa"/>
            </w:tcMar>
          </w:tcPr>
          <w:p w14:paraId="7D6C3A46" w14:textId="791A1E53"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Q36,769,264.41</w:t>
            </w:r>
          </w:p>
        </w:tc>
        <w:tc>
          <w:tcPr>
            <w:tcW w:w="1830" w:type="dxa"/>
            <w:tcMar>
              <w:left w:w="108" w:type="dxa"/>
              <w:right w:w="108" w:type="dxa"/>
            </w:tcMar>
          </w:tcPr>
          <w:p w14:paraId="1A49D287" w14:textId="63C97661"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Q30,583,738.58</w:t>
            </w:r>
          </w:p>
        </w:tc>
        <w:tc>
          <w:tcPr>
            <w:tcW w:w="1215" w:type="dxa"/>
            <w:shd w:val="clear" w:color="auto" w:fill="92D050"/>
            <w:tcMar>
              <w:left w:w="108" w:type="dxa"/>
              <w:right w:w="108" w:type="dxa"/>
            </w:tcMar>
            <w:vAlign w:val="bottom"/>
          </w:tcPr>
          <w:p w14:paraId="7A826230" w14:textId="00BED27C"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96.06%</w:t>
            </w:r>
          </w:p>
        </w:tc>
        <w:tc>
          <w:tcPr>
            <w:tcW w:w="1275" w:type="dxa"/>
            <w:shd w:val="clear" w:color="auto" w:fill="FFFF00"/>
            <w:tcMar>
              <w:left w:w="108" w:type="dxa"/>
              <w:right w:w="108" w:type="dxa"/>
            </w:tcMar>
            <w:vAlign w:val="bottom"/>
          </w:tcPr>
          <w:p w14:paraId="045A8CCA" w14:textId="0D18E67A"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83.18%</w:t>
            </w:r>
          </w:p>
        </w:tc>
      </w:tr>
      <w:tr w:rsidR="25AE2413" w14:paraId="51AE8436"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72B0C3D6" w14:textId="32C2FC95"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Yupiltepeque</w:t>
            </w:r>
          </w:p>
        </w:tc>
        <w:tc>
          <w:tcPr>
            <w:tcW w:w="1875" w:type="dxa"/>
            <w:tcMar>
              <w:left w:w="108" w:type="dxa"/>
              <w:right w:w="108" w:type="dxa"/>
            </w:tcMar>
          </w:tcPr>
          <w:p w14:paraId="75AAD0F2" w14:textId="7B0A5157"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Q9,657,189.25</w:t>
            </w:r>
          </w:p>
        </w:tc>
        <w:tc>
          <w:tcPr>
            <w:tcW w:w="1830" w:type="dxa"/>
            <w:tcMar>
              <w:left w:w="108" w:type="dxa"/>
              <w:right w:w="108" w:type="dxa"/>
            </w:tcMar>
          </w:tcPr>
          <w:p w14:paraId="527C11C1" w14:textId="1D8FA67B"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Q9,038,991.88</w:t>
            </w:r>
          </w:p>
        </w:tc>
        <w:tc>
          <w:tcPr>
            <w:tcW w:w="1215" w:type="dxa"/>
            <w:shd w:val="clear" w:color="auto" w:fill="92D050"/>
            <w:tcMar>
              <w:left w:w="108" w:type="dxa"/>
              <w:right w:w="108" w:type="dxa"/>
            </w:tcMar>
            <w:vAlign w:val="bottom"/>
          </w:tcPr>
          <w:p w14:paraId="257DDB46" w14:textId="7949C1C0"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91.80%</w:t>
            </w:r>
          </w:p>
        </w:tc>
        <w:tc>
          <w:tcPr>
            <w:tcW w:w="1275" w:type="dxa"/>
            <w:shd w:val="clear" w:color="auto" w:fill="92D050"/>
            <w:tcMar>
              <w:left w:w="108" w:type="dxa"/>
              <w:right w:w="108" w:type="dxa"/>
            </w:tcMar>
            <w:vAlign w:val="bottom"/>
          </w:tcPr>
          <w:p w14:paraId="04D0EE9F" w14:textId="276D9C0D"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93.60%</w:t>
            </w:r>
          </w:p>
        </w:tc>
      </w:tr>
      <w:tr w:rsidR="25AE2413" w14:paraId="7063077A"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639A0178" w14:textId="4BBBC869"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Agua Blanca</w:t>
            </w:r>
          </w:p>
        </w:tc>
        <w:tc>
          <w:tcPr>
            <w:tcW w:w="1875" w:type="dxa"/>
            <w:tcMar>
              <w:left w:w="108" w:type="dxa"/>
              <w:right w:w="108" w:type="dxa"/>
            </w:tcMar>
          </w:tcPr>
          <w:p w14:paraId="2C88A714" w14:textId="736C948A"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Q17,220,000.00</w:t>
            </w:r>
          </w:p>
        </w:tc>
        <w:tc>
          <w:tcPr>
            <w:tcW w:w="1830" w:type="dxa"/>
            <w:tcMar>
              <w:left w:w="108" w:type="dxa"/>
              <w:right w:w="108" w:type="dxa"/>
            </w:tcMar>
          </w:tcPr>
          <w:p w14:paraId="45CE004F" w14:textId="1ADEB707"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Q12,158,640.45</w:t>
            </w:r>
          </w:p>
        </w:tc>
        <w:tc>
          <w:tcPr>
            <w:tcW w:w="1215" w:type="dxa"/>
            <w:shd w:val="clear" w:color="auto" w:fill="92D050"/>
            <w:tcMar>
              <w:left w:w="108" w:type="dxa"/>
              <w:right w:w="108" w:type="dxa"/>
            </w:tcMar>
            <w:vAlign w:val="bottom"/>
          </w:tcPr>
          <w:p w14:paraId="2C6EB035" w14:textId="53893953"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90.30%</w:t>
            </w:r>
          </w:p>
        </w:tc>
        <w:tc>
          <w:tcPr>
            <w:tcW w:w="1275" w:type="dxa"/>
            <w:shd w:val="clear" w:color="auto" w:fill="FFFF00"/>
            <w:tcMar>
              <w:left w:w="108" w:type="dxa"/>
              <w:right w:w="108" w:type="dxa"/>
            </w:tcMar>
            <w:vAlign w:val="bottom"/>
          </w:tcPr>
          <w:p w14:paraId="5CEA9F43" w14:textId="10070170"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70.61%</w:t>
            </w:r>
          </w:p>
        </w:tc>
      </w:tr>
      <w:tr w:rsidR="25AE2413" w14:paraId="4E7F97D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7467C055" w14:textId="62DF66DC"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Pasaco</w:t>
            </w:r>
          </w:p>
        </w:tc>
        <w:tc>
          <w:tcPr>
            <w:tcW w:w="1875" w:type="dxa"/>
            <w:tcMar>
              <w:left w:w="108" w:type="dxa"/>
              <w:right w:w="108" w:type="dxa"/>
            </w:tcMar>
          </w:tcPr>
          <w:p w14:paraId="52E6F54A" w14:textId="329250E5"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Q20,649,701.00</w:t>
            </w:r>
          </w:p>
        </w:tc>
        <w:tc>
          <w:tcPr>
            <w:tcW w:w="1830" w:type="dxa"/>
            <w:tcMar>
              <w:left w:w="108" w:type="dxa"/>
              <w:right w:w="108" w:type="dxa"/>
            </w:tcMar>
          </w:tcPr>
          <w:p w14:paraId="0E0C1501" w14:textId="18715C76"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Q17,248,427.00</w:t>
            </w:r>
          </w:p>
        </w:tc>
        <w:tc>
          <w:tcPr>
            <w:tcW w:w="1215" w:type="dxa"/>
            <w:shd w:val="clear" w:color="auto" w:fill="FFFF00"/>
            <w:tcMar>
              <w:left w:w="108" w:type="dxa"/>
              <w:right w:w="108" w:type="dxa"/>
            </w:tcMar>
            <w:vAlign w:val="bottom"/>
          </w:tcPr>
          <w:p w14:paraId="6F103725" w14:textId="482B418D"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86.71%</w:t>
            </w:r>
          </w:p>
        </w:tc>
        <w:tc>
          <w:tcPr>
            <w:tcW w:w="1275" w:type="dxa"/>
            <w:shd w:val="clear" w:color="auto" w:fill="FFFF00"/>
            <w:tcMar>
              <w:left w:w="108" w:type="dxa"/>
              <w:right w:w="108" w:type="dxa"/>
            </w:tcMar>
            <w:vAlign w:val="bottom"/>
          </w:tcPr>
          <w:p w14:paraId="034DC4DD" w14:textId="171083F5"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83.53%</w:t>
            </w:r>
          </w:p>
        </w:tc>
      </w:tr>
      <w:tr w:rsidR="25AE2413" w14:paraId="1A0B5148"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0A512B22" w14:textId="01F4A6A3"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El Adelanto</w:t>
            </w:r>
          </w:p>
        </w:tc>
        <w:tc>
          <w:tcPr>
            <w:tcW w:w="1875" w:type="dxa"/>
            <w:tcMar>
              <w:left w:w="108" w:type="dxa"/>
              <w:right w:w="108" w:type="dxa"/>
            </w:tcMar>
          </w:tcPr>
          <w:p w14:paraId="443F4476" w14:textId="2D0B336F"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Q21,856,563.71</w:t>
            </w:r>
          </w:p>
        </w:tc>
        <w:tc>
          <w:tcPr>
            <w:tcW w:w="1830" w:type="dxa"/>
            <w:tcMar>
              <w:left w:w="108" w:type="dxa"/>
              <w:right w:w="108" w:type="dxa"/>
            </w:tcMar>
          </w:tcPr>
          <w:p w14:paraId="7C7E20ED" w14:textId="4BF749F8"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Q17,572,641.00</w:t>
            </w:r>
          </w:p>
        </w:tc>
        <w:tc>
          <w:tcPr>
            <w:tcW w:w="1215" w:type="dxa"/>
            <w:shd w:val="clear" w:color="auto" w:fill="FFFF00"/>
            <w:tcMar>
              <w:left w:w="108" w:type="dxa"/>
              <w:right w:w="108" w:type="dxa"/>
            </w:tcMar>
            <w:vAlign w:val="bottom"/>
          </w:tcPr>
          <w:p w14:paraId="0FA534BC" w14:textId="27413748"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77.86%</w:t>
            </w:r>
          </w:p>
        </w:tc>
        <w:tc>
          <w:tcPr>
            <w:tcW w:w="1275" w:type="dxa"/>
            <w:shd w:val="clear" w:color="auto" w:fill="FFFF00"/>
            <w:tcMar>
              <w:left w:w="108" w:type="dxa"/>
              <w:right w:w="108" w:type="dxa"/>
            </w:tcMar>
            <w:vAlign w:val="bottom"/>
          </w:tcPr>
          <w:p w14:paraId="4C217C60" w14:textId="54F7BCD0"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80.40%</w:t>
            </w:r>
          </w:p>
        </w:tc>
      </w:tr>
      <w:tr w:rsidR="25AE2413" w14:paraId="2E46D6F5"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3D38F842" w14:textId="6D95DA47"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San José Acatempa</w:t>
            </w:r>
          </w:p>
        </w:tc>
        <w:tc>
          <w:tcPr>
            <w:tcW w:w="1875" w:type="dxa"/>
            <w:tcMar>
              <w:left w:w="108" w:type="dxa"/>
              <w:right w:w="108" w:type="dxa"/>
            </w:tcMar>
          </w:tcPr>
          <w:p w14:paraId="7D8621BF" w14:textId="1D64D61F"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Q75,392,754.00</w:t>
            </w:r>
          </w:p>
        </w:tc>
        <w:tc>
          <w:tcPr>
            <w:tcW w:w="1830" w:type="dxa"/>
            <w:tcMar>
              <w:left w:w="108" w:type="dxa"/>
              <w:right w:w="108" w:type="dxa"/>
            </w:tcMar>
          </w:tcPr>
          <w:p w14:paraId="27204B61" w14:textId="2F0D995F"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Q61,813,110.00</w:t>
            </w:r>
          </w:p>
        </w:tc>
        <w:tc>
          <w:tcPr>
            <w:tcW w:w="1215" w:type="dxa"/>
            <w:shd w:val="clear" w:color="auto" w:fill="FFFF00"/>
            <w:tcMar>
              <w:left w:w="108" w:type="dxa"/>
              <w:right w:w="108" w:type="dxa"/>
            </w:tcMar>
            <w:vAlign w:val="bottom"/>
          </w:tcPr>
          <w:p w14:paraId="1D202D9D" w14:textId="50E4760E"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76.67%</w:t>
            </w:r>
          </w:p>
        </w:tc>
        <w:tc>
          <w:tcPr>
            <w:tcW w:w="1275" w:type="dxa"/>
            <w:shd w:val="clear" w:color="auto" w:fill="FFFF00"/>
            <w:tcMar>
              <w:left w:w="108" w:type="dxa"/>
              <w:right w:w="108" w:type="dxa"/>
            </w:tcMar>
            <w:vAlign w:val="bottom"/>
          </w:tcPr>
          <w:p w14:paraId="64424AB7" w14:textId="17A9540A"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81.99%</w:t>
            </w:r>
          </w:p>
        </w:tc>
      </w:tr>
      <w:tr w:rsidR="25AE2413" w14:paraId="668367A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4360553F" w14:textId="3A2D8E85"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Moyuta</w:t>
            </w:r>
          </w:p>
        </w:tc>
        <w:tc>
          <w:tcPr>
            <w:tcW w:w="1875" w:type="dxa"/>
            <w:tcMar>
              <w:left w:w="108" w:type="dxa"/>
              <w:right w:w="108" w:type="dxa"/>
            </w:tcMar>
          </w:tcPr>
          <w:p w14:paraId="5D95FAF4" w14:textId="161D2DEE"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Q45,504,067.92</w:t>
            </w:r>
          </w:p>
        </w:tc>
        <w:tc>
          <w:tcPr>
            <w:tcW w:w="1830" w:type="dxa"/>
            <w:tcMar>
              <w:left w:w="108" w:type="dxa"/>
              <w:right w:w="108" w:type="dxa"/>
            </w:tcMar>
          </w:tcPr>
          <w:p w14:paraId="54C58EFC" w14:textId="181DF569"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Q43,215,308.66</w:t>
            </w:r>
          </w:p>
        </w:tc>
        <w:tc>
          <w:tcPr>
            <w:tcW w:w="1215" w:type="dxa"/>
            <w:shd w:val="clear" w:color="auto" w:fill="FFFF00"/>
            <w:tcMar>
              <w:left w:w="108" w:type="dxa"/>
              <w:right w:w="108" w:type="dxa"/>
            </w:tcMar>
            <w:vAlign w:val="bottom"/>
          </w:tcPr>
          <w:p w14:paraId="080C88FB" w14:textId="4636D0FD"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75.26%</w:t>
            </w:r>
          </w:p>
        </w:tc>
        <w:tc>
          <w:tcPr>
            <w:tcW w:w="1275" w:type="dxa"/>
            <w:shd w:val="clear" w:color="auto" w:fill="92D050"/>
            <w:tcMar>
              <w:left w:w="108" w:type="dxa"/>
              <w:right w:w="108" w:type="dxa"/>
            </w:tcMar>
            <w:vAlign w:val="bottom"/>
          </w:tcPr>
          <w:p w14:paraId="28D8D54D" w14:textId="089929C1"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94.97%</w:t>
            </w:r>
          </w:p>
        </w:tc>
      </w:tr>
      <w:tr w:rsidR="25AE2413" w14:paraId="40053312"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4CBDE352" w14:textId="56725543"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Zapotitlán</w:t>
            </w:r>
          </w:p>
        </w:tc>
        <w:tc>
          <w:tcPr>
            <w:tcW w:w="1875" w:type="dxa"/>
            <w:tcMar>
              <w:left w:w="108" w:type="dxa"/>
              <w:right w:w="108" w:type="dxa"/>
            </w:tcMar>
          </w:tcPr>
          <w:p w14:paraId="52557750" w14:textId="109B3304"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Q25,582,925.69</w:t>
            </w:r>
          </w:p>
        </w:tc>
        <w:tc>
          <w:tcPr>
            <w:tcW w:w="1830" w:type="dxa"/>
            <w:tcMar>
              <w:left w:w="108" w:type="dxa"/>
              <w:right w:w="108" w:type="dxa"/>
            </w:tcMar>
          </w:tcPr>
          <w:p w14:paraId="7733329C" w14:textId="4A134E38"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Q25,490,206.69</w:t>
            </w:r>
          </w:p>
        </w:tc>
        <w:tc>
          <w:tcPr>
            <w:tcW w:w="1215" w:type="dxa"/>
            <w:shd w:val="clear" w:color="auto" w:fill="FFFF00"/>
            <w:tcMar>
              <w:left w:w="108" w:type="dxa"/>
              <w:right w:w="108" w:type="dxa"/>
            </w:tcMar>
            <w:vAlign w:val="bottom"/>
          </w:tcPr>
          <w:p w14:paraId="31120427" w14:textId="4C9990F2"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70.68%</w:t>
            </w:r>
          </w:p>
        </w:tc>
        <w:tc>
          <w:tcPr>
            <w:tcW w:w="1275" w:type="dxa"/>
            <w:shd w:val="clear" w:color="auto" w:fill="92D050"/>
            <w:tcMar>
              <w:left w:w="108" w:type="dxa"/>
              <w:right w:w="108" w:type="dxa"/>
            </w:tcMar>
            <w:vAlign w:val="bottom"/>
          </w:tcPr>
          <w:p w14:paraId="3A78A447" w14:textId="668753F2"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99.64%</w:t>
            </w:r>
          </w:p>
        </w:tc>
      </w:tr>
      <w:tr w:rsidR="25AE2413" w14:paraId="040C4446"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4E7C2941" w14:textId="52F80958"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Atescatempa</w:t>
            </w:r>
          </w:p>
        </w:tc>
        <w:tc>
          <w:tcPr>
            <w:tcW w:w="1875" w:type="dxa"/>
            <w:tcMar>
              <w:left w:w="108" w:type="dxa"/>
              <w:right w:w="108" w:type="dxa"/>
            </w:tcMar>
          </w:tcPr>
          <w:p w14:paraId="5728113C" w14:textId="2C40892D"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Q15,436,442.00</w:t>
            </w:r>
          </w:p>
        </w:tc>
        <w:tc>
          <w:tcPr>
            <w:tcW w:w="1830" w:type="dxa"/>
            <w:tcMar>
              <w:left w:w="108" w:type="dxa"/>
              <w:right w:w="108" w:type="dxa"/>
            </w:tcMar>
          </w:tcPr>
          <w:p w14:paraId="7007EB55" w14:textId="1225E107"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Q7,370,144.21</w:t>
            </w:r>
          </w:p>
        </w:tc>
        <w:tc>
          <w:tcPr>
            <w:tcW w:w="1215" w:type="dxa"/>
            <w:shd w:val="clear" w:color="auto" w:fill="FFFF00"/>
            <w:tcMar>
              <w:left w:w="108" w:type="dxa"/>
              <w:right w:w="108" w:type="dxa"/>
            </w:tcMar>
            <w:vAlign w:val="bottom"/>
          </w:tcPr>
          <w:p w14:paraId="6E0D6055" w14:textId="16E77D8A"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68.84%</w:t>
            </w:r>
          </w:p>
        </w:tc>
        <w:tc>
          <w:tcPr>
            <w:tcW w:w="1275" w:type="dxa"/>
            <w:shd w:val="clear" w:color="auto" w:fill="C00000"/>
            <w:tcMar>
              <w:left w:w="108" w:type="dxa"/>
              <w:right w:w="108" w:type="dxa"/>
            </w:tcMar>
            <w:vAlign w:val="bottom"/>
          </w:tcPr>
          <w:p w14:paraId="2A9BA3E3" w14:textId="7A8D5A3E"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47.75%</w:t>
            </w:r>
          </w:p>
        </w:tc>
      </w:tr>
      <w:tr w:rsidR="25AE2413" w14:paraId="43C46C10"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3072C239" w14:textId="52B82031"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Jerez</w:t>
            </w:r>
          </w:p>
        </w:tc>
        <w:tc>
          <w:tcPr>
            <w:tcW w:w="1875" w:type="dxa"/>
            <w:tcMar>
              <w:left w:w="108" w:type="dxa"/>
              <w:right w:w="108" w:type="dxa"/>
            </w:tcMar>
          </w:tcPr>
          <w:p w14:paraId="52BF3292" w14:textId="4CE7E547"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Q26,709,027.66</w:t>
            </w:r>
          </w:p>
        </w:tc>
        <w:tc>
          <w:tcPr>
            <w:tcW w:w="1830" w:type="dxa"/>
            <w:tcMar>
              <w:left w:w="108" w:type="dxa"/>
              <w:right w:w="108" w:type="dxa"/>
            </w:tcMar>
          </w:tcPr>
          <w:p w14:paraId="748F0587" w14:textId="3B5BCC61"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Q10,839,197.40</w:t>
            </w:r>
          </w:p>
        </w:tc>
        <w:tc>
          <w:tcPr>
            <w:tcW w:w="1215" w:type="dxa"/>
            <w:shd w:val="clear" w:color="auto" w:fill="FFFF00"/>
            <w:tcMar>
              <w:left w:w="108" w:type="dxa"/>
              <w:right w:w="108" w:type="dxa"/>
            </w:tcMar>
            <w:vAlign w:val="bottom"/>
          </w:tcPr>
          <w:p w14:paraId="2A0FC2DE" w14:textId="09265516"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56.66%</w:t>
            </w:r>
          </w:p>
        </w:tc>
        <w:tc>
          <w:tcPr>
            <w:tcW w:w="1275" w:type="dxa"/>
            <w:shd w:val="clear" w:color="auto" w:fill="C00000"/>
            <w:tcMar>
              <w:left w:w="108" w:type="dxa"/>
              <w:right w:w="108" w:type="dxa"/>
            </w:tcMar>
            <w:vAlign w:val="bottom"/>
          </w:tcPr>
          <w:p w14:paraId="305168CE" w14:textId="2FDC1777"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40.58%</w:t>
            </w:r>
          </w:p>
        </w:tc>
      </w:tr>
      <w:tr w:rsidR="25AE2413" w14:paraId="691C935D"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46540BE6" w14:textId="5FBFFFC5"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Santa Catarina Mita</w:t>
            </w:r>
          </w:p>
        </w:tc>
        <w:tc>
          <w:tcPr>
            <w:tcW w:w="1875" w:type="dxa"/>
            <w:tcMar>
              <w:left w:w="108" w:type="dxa"/>
              <w:right w:w="108" w:type="dxa"/>
            </w:tcMar>
          </w:tcPr>
          <w:p w14:paraId="0D620818" w14:textId="5CFAAEA9"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Q21,422,728.57</w:t>
            </w:r>
          </w:p>
        </w:tc>
        <w:tc>
          <w:tcPr>
            <w:tcW w:w="1830" w:type="dxa"/>
            <w:tcMar>
              <w:left w:w="108" w:type="dxa"/>
              <w:right w:w="108" w:type="dxa"/>
            </w:tcMar>
          </w:tcPr>
          <w:p w14:paraId="07D4F2B1" w14:textId="377A579D"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Q18,566,498.47</w:t>
            </w:r>
          </w:p>
        </w:tc>
        <w:tc>
          <w:tcPr>
            <w:tcW w:w="1215" w:type="dxa"/>
            <w:shd w:val="clear" w:color="auto" w:fill="FFFF00"/>
            <w:tcMar>
              <w:left w:w="108" w:type="dxa"/>
              <w:right w:w="108" w:type="dxa"/>
            </w:tcMar>
            <w:vAlign w:val="bottom"/>
          </w:tcPr>
          <w:p w14:paraId="5CA57DE5" w14:textId="7B501869"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53.18%</w:t>
            </w:r>
          </w:p>
        </w:tc>
        <w:tc>
          <w:tcPr>
            <w:tcW w:w="1275" w:type="dxa"/>
            <w:shd w:val="clear" w:color="auto" w:fill="FFFF00"/>
            <w:tcMar>
              <w:left w:w="108" w:type="dxa"/>
              <w:right w:w="108" w:type="dxa"/>
            </w:tcMar>
            <w:vAlign w:val="bottom"/>
          </w:tcPr>
          <w:p w14:paraId="04A195C1" w14:textId="522E7FC0"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86.67%</w:t>
            </w:r>
          </w:p>
        </w:tc>
      </w:tr>
      <w:tr w:rsidR="25AE2413" w14:paraId="5396F0F2"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1ADE99B8" w14:textId="5671C518"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Conguaco</w:t>
            </w:r>
          </w:p>
        </w:tc>
        <w:tc>
          <w:tcPr>
            <w:tcW w:w="1875" w:type="dxa"/>
            <w:tcMar>
              <w:left w:w="108" w:type="dxa"/>
              <w:right w:w="108" w:type="dxa"/>
            </w:tcMar>
          </w:tcPr>
          <w:p w14:paraId="6BBE13B6" w14:textId="264E3824"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Q10,366,108.00</w:t>
            </w:r>
          </w:p>
        </w:tc>
        <w:tc>
          <w:tcPr>
            <w:tcW w:w="1830" w:type="dxa"/>
            <w:tcMar>
              <w:left w:w="108" w:type="dxa"/>
              <w:right w:w="108" w:type="dxa"/>
            </w:tcMar>
          </w:tcPr>
          <w:p w14:paraId="4C186613" w14:textId="02DA8D45"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Q8,758,305.40</w:t>
            </w:r>
          </w:p>
        </w:tc>
        <w:tc>
          <w:tcPr>
            <w:tcW w:w="1215" w:type="dxa"/>
            <w:shd w:val="clear" w:color="auto" w:fill="C00000"/>
            <w:tcMar>
              <w:left w:w="108" w:type="dxa"/>
              <w:right w:w="108" w:type="dxa"/>
            </w:tcMar>
            <w:vAlign w:val="bottom"/>
          </w:tcPr>
          <w:p w14:paraId="3A2FD8D9" w14:textId="554A7EEE"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34.18%</w:t>
            </w:r>
          </w:p>
        </w:tc>
        <w:tc>
          <w:tcPr>
            <w:tcW w:w="1275" w:type="dxa"/>
            <w:shd w:val="clear" w:color="auto" w:fill="FFFF00"/>
            <w:tcMar>
              <w:left w:w="108" w:type="dxa"/>
              <w:right w:w="108" w:type="dxa"/>
            </w:tcMar>
            <w:vAlign w:val="bottom"/>
          </w:tcPr>
          <w:p w14:paraId="68F73F3F" w14:textId="65931198" w:rsidR="25AE2413" w:rsidRDefault="25AE2413" w:rsidP="25AE2413">
            <w:pPr>
              <w:jc w:val="right"/>
              <w:cnfStyle w:val="000000100000" w:firstRow="0" w:lastRow="0" w:firstColumn="0" w:lastColumn="0" w:oddVBand="0" w:evenVBand="0" w:oddHBand="1" w:evenHBand="0" w:firstRowFirstColumn="0" w:firstRowLastColumn="0" w:lastRowFirstColumn="0" w:lastRowLastColumn="0"/>
            </w:pPr>
            <w:r w:rsidRPr="25AE2413">
              <w:rPr>
                <w:rFonts w:ascii="Calibri" w:eastAsia="Calibri" w:hAnsi="Calibri" w:cs="Calibri"/>
                <w:color w:val="000000" w:themeColor="text1"/>
              </w:rPr>
              <w:t>84.49%</w:t>
            </w:r>
          </w:p>
        </w:tc>
      </w:tr>
      <w:tr w:rsidR="25AE2413" w14:paraId="0D8BDD6E"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6F182969" w14:textId="0A77F5DB" w:rsidR="25AE2413" w:rsidRDefault="25AE2413" w:rsidP="25AE2413">
            <w:pPr>
              <w:rPr>
                <w:rFonts w:ascii="Calibri" w:eastAsia="Calibri" w:hAnsi="Calibri" w:cs="Calibri"/>
                <w:b w:val="0"/>
                <w:bCs w:val="0"/>
                <w:color w:val="000000" w:themeColor="text1"/>
              </w:rPr>
            </w:pPr>
            <w:r w:rsidRPr="25AE2413">
              <w:rPr>
                <w:rFonts w:ascii="Calibri" w:eastAsia="Calibri" w:hAnsi="Calibri" w:cs="Calibri"/>
                <w:b w:val="0"/>
                <w:bCs w:val="0"/>
                <w:color w:val="000000" w:themeColor="text1"/>
              </w:rPr>
              <w:t>Jalpatagua</w:t>
            </w:r>
          </w:p>
        </w:tc>
        <w:tc>
          <w:tcPr>
            <w:tcW w:w="1875" w:type="dxa"/>
            <w:tcMar>
              <w:left w:w="108" w:type="dxa"/>
              <w:right w:w="108" w:type="dxa"/>
            </w:tcMar>
          </w:tcPr>
          <w:p w14:paraId="75014B5E" w14:textId="14FC753B"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Q0.00</w:t>
            </w:r>
          </w:p>
        </w:tc>
        <w:tc>
          <w:tcPr>
            <w:tcW w:w="1830" w:type="dxa"/>
            <w:tcMar>
              <w:left w:w="108" w:type="dxa"/>
              <w:right w:w="108" w:type="dxa"/>
            </w:tcMar>
          </w:tcPr>
          <w:p w14:paraId="6127F548" w14:textId="6506C0BF"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Q0.00</w:t>
            </w:r>
          </w:p>
        </w:tc>
        <w:tc>
          <w:tcPr>
            <w:tcW w:w="1215" w:type="dxa"/>
            <w:shd w:val="clear" w:color="auto" w:fill="C00000"/>
            <w:tcMar>
              <w:left w:w="108" w:type="dxa"/>
              <w:right w:w="108" w:type="dxa"/>
            </w:tcMar>
          </w:tcPr>
          <w:p w14:paraId="1B203CDD" w14:textId="0E319081"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0.00%</w:t>
            </w:r>
          </w:p>
        </w:tc>
        <w:tc>
          <w:tcPr>
            <w:tcW w:w="1275" w:type="dxa"/>
            <w:shd w:val="clear" w:color="auto" w:fill="C00000"/>
            <w:tcMar>
              <w:left w:w="108" w:type="dxa"/>
              <w:right w:w="108" w:type="dxa"/>
            </w:tcMar>
          </w:tcPr>
          <w:p w14:paraId="109FD1B7" w14:textId="309E2003" w:rsidR="25AE2413" w:rsidRDefault="25AE2413" w:rsidP="25AE2413">
            <w:pPr>
              <w:jc w:val="right"/>
              <w:cnfStyle w:val="000000000000" w:firstRow="0" w:lastRow="0" w:firstColumn="0" w:lastColumn="0" w:oddVBand="0" w:evenVBand="0" w:oddHBand="0" w:evenHBand="0" w:firstRowFirstColumn="0" w:firstRowLastColumn="0" w:lastRowFirstColumn="0" w:lastRowLastColumn="0"/>
            </w:pPr>
            <w:r w:rsidRPr="25AE2413">
              <w:rPr>
                <w:rFonts w:ascii="Calibri" w:eastAsia="Calibri" w:hAnsi="Calibri" w:cs="Calibri"/>
                <w:color w:val="000000" w:themeColor="text1"/>
              </w:rPr>
              <w:t>0.00%</w:t>
            </w:r>
          </w:p>
        </w:tc>
      </w:tr>
    </w:tbl>
    <w:p w14:paraId="5526443A" w14:textId="3AE97AFB" w:rsidR="00693BD9" w:rsidRPr="003051CD" w:rsidRDefault="25BD66AC" w:rsidP="002F4FE3">
      <w:pPr>
        <w:autoSpaceDE w:val="0"/>
        <w:autoSpaceDN w:val="0"/>
        <w:adjustRightInd w:val="0"/>
        <w:spacing w:after="120" w:line="240" w:lineRule="auto"/>
        <w:jc w:val="both"/>
        <w:rPr>
          <w:rFonts w:ascii="Helvetica" w:eastAsia="Times New Roman" w:hAnsi="Helvetica" w:cs="Helvetica"/>
          <w:sz w:val="18"/>
          <w:szCs w:val="18"/>
          <w:lang w:val="es-ES"/>
        </w:rPr>
      </w:pPr>
      <w:r w:rsidRPr="25BD66AC">
        <w:rPr>
          <w:rFonts w:eastAsiaTheme="minorEastAsia"/>
          <w:sz w:val="18"/>
          <w:szCs w:val="18"/>
          <w:lang w:val="es-ES"/>
        </w:rPr>
        <w:t>Fuente: Siplangl, III informe cuatrimestral y acumulado. Año 2022.</w:t>
      </w:r>
    </w:p>
    <w:p w14:paraId="7F8416DC" w14:textId="7838615B" w:rsidR="00693BD9" w:rsidRPr="002F4FE3" w:rsidRDefault="25AE2413" w:rsidP="002F4FE3">
      <w:pPr>
        <w:autoSpaceDE w:val="0"/>
        <w:autoSpaceDN w:val="0"/>
        <w:adjustRightInd w:val="0"/>
        <w:spacing w:after="120" w:line="240" w:lineRule="auto"/>
        <w:jc w:val="both"/>
        <w:rPr>
          <w:rFonts w:eastAsia="Times New Roman" w:cstheme="minorHAnsi"/>
          <w:b/>
          <w:bCs/>
          <w:color w:val="002060"/>
          <w:sz w:val="28"/>
          <w:szCs w:val="28"/>
          <w:lang w:val="es-ES"/>
        </w:rPr>
      </w:pPr>
      <w:r w:rsidRPr="002F4FE3">
        <w:rPr>
          <w:rFonts w:eastAsia="Times New Roman" w:cstheme="minorHAnsi"/>
          <w:b/>
          <w:bCs/>
          <w:color w:val="002060"/>
          <w:sz w:val="28"/>
          <w:szCs w:val="28"/>
          <w:lang w:val="es-ES"/>
        </w:rPr>
        <w:t>Guatemala</w:t>
      </w:r>
    </w:p>
    <w:p w14:paraId="41CEF1E9" w14:textId="68F173D9" w:rsidR="00693BD9" w:rsidRPr="003051CD" w:rsidRDefault="002F4FE3" w:rsidP="002F4FE3">
      <w:pPr>
        <w:autoSpaceDE w:val="0"/>
        <w:autoSpaceDN w:val="0"/>
        <w:adjustRightInd w:val="0"/>
        <w:spacing w:after="120" w:line="240" w:lineRule="auto"/>
        <w:jc w:val="both"/>
      </w:pPr>
      <w:r>
        <w:rPr>
          <w:noProof/>
        </w:rPr>
        <w:drawing>
          <wp:anchor distT="0" distB="0" distL="114300" distR="114300" simplePos="0" relativeHeight="251706880" behindDoc="1" locked="0" layoutInCell="1" allowOverlap="1" wp14:anchorId="37C63251" wp14:editId="7B2EA795">
            <wp:simplePos x="0" y="0"/>
            <wp:positionH relativeFrom="column">
              <wp:posOffset>4406900</wp:posOffset>
            </wp:positionH>
            <wp:positionV relativeFrom="paragraph">
              <wp:posOffset>75565</wp:posOffset>
            </wp:positionV>
            <wp:extent cx="1504315" cy="1034415"/>
            <wp:effectExtent l="19050" t="19050" r="19685" b="13335"/>
            <wp:wrapTight wrapText="bothSides">
              <wp:wrapPolygon edited="0">
                <wp:start x="-274" y="-398"/>
                <wp:lineTo x="-274" y="21481"/>
                <wp:lineTo x="21609" y="21481"/>
                <wp:lineTo x="21609" y="-398"/>
                <wp:lineTo x="-274" y="-398"/>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04315" cy="1034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25AE2413" w:rsidRPr="25AE2413">
        <w:rPr>
          <w:rFonts w:ascii="Calibri" w:eastAsia="Calibri" w:hAnsi="Calibri" w:cs="Calibri"/>
          <w:sz w:val="24"/>
          <w:szCs w:val="24"/>
          <w:lang w:val="es-ES"/>
        </w:rPr>
        <w:t>Al finalizar el año 2022, el departamento reportó un avance promedio de 61.98%. Solo San Pedro Sacatepéquez reportó más del 90% de ejecución física; seguido de Villa Nueva y Amatitlán quienes reportaron 86.30% y 82.33% de ejecución respectivamente.</w:t>
      </w:r>
      <w:r w:rsidR="25AE2413" w:rsidRPr="25AE2413">
        <w:rPr>
          <w:rFonts w:ascii="Calibri" w:eastAsia="Calibri" w:hAnsi="Calibri" w:cs="Calibri"/>
          <w:lang w:val="es-ES"/>
        </w:rPr>
        <w:t xml:space="preserve"> </w:t>
      </w:r>
    </w:p>
    <w:p w14:paraId="75192F65" w14:textId="409A0A1C" w:rsidR="00693BD9" w:rsidRPr="003051CD" w:rsidRDefault="25AE2413" w:rsidP="002F4FE3">
      <w:pPr>
        <w:autoSpaceDE w:val="0"/>
        <w:autoSpaceDN w:val="0"/>
        <w:adjustRightInd w:val="0"/>
        <w:spacing w:after="120" w:line="240" w:lineRule="auto"/>
        <w:jc w:val="both"/>
      </w:pPr>
      <w:r w:rsidRPr="25AE2413">
        <w:rPr>
          <w:rFonts w:ascii="Calibri" w:eastAsia="Calibri" w:hAnsi="Calibri" w:cs="Calibri"/>
          <w:sz w:val="24"/>
          <w:szCs w:val="24"/>
          <w:lang w:val="es-ES"/>
        </w:rPr>
        <w:t>En cuanto al avance financiero, el departamento reportó al finalizar al año 2022 un avance de 60.13%. Los municipios que reportaron más del 90% de ejecución son: Palencia y San Juan Sacatepéquez, seguidos de Sacatepéquez con 81.50%.</w:t>
      </w:r>
    </w:p>
    <w:p w14:paraId="76C04960" w14:textId="3F5457E8" w:rsidR="00317318" w:rsidRDefault="25AE2413" w:rsidP="002F4FE3">
      <w:pPr>
        <w:autoSpaceDE w:val="0"/>
        <w:autoSpaceDN w:val="0"/>
        <w:adjustRightInd w:val="0"/>
        <w:spacing w:after="120" w:line="240" w:lineRule="auto"/>
        <w:jc w:val="both"/>
        <w:rPr>
          <w:rFonts w:ascii="Calibri" w:eastAsia="Calibri" w:hAnsi="Calibri" w:cs="Calibri"/>
          <w:sz w:val="24"/>
          <w:szCs w:val="24"/>
          <w:lang w:val="es-ES"/>
        </w:rPr>
      </w:pPr>
      <w:r w:rsidRPr="25AE2413">
        <w:rPr>
          <w:rFonts w:ascii="Calibri" w:eastAsia="Calibri" w:hAnsi="Calibri" w:cs="Calibri"/>
          <w:sz w:val="24"/>
          <w:szCs w:val="24"/>
          <w:lang w:val="es-ES"/>
        </w:rPr>
        <w:t>Petapa presenta oficio a la delegación departamental, pero en Siplangl, no registra movimiento alguno en la ejecución. Chuarrancho, no utilizó la plataforma Siplangl en el año 2022. Ver siguiente tabla.</w:t>
      </w:r>
    </w:p>
    <w:p w14:paraId="0E7635D5" w14:textId="42EE0D97" w:rsidR="00693BD9" w:rsidRPr="002F4FE3" w:rsidRDefault="34D87270" w:rsidP="00016865">
      <w:pPr>
        <w:pStyle w:val="ttulosgrficas"/>
        <w:rPr>
          <w:rFonts w:asciiTheme="minorHAnsi" w:eastAsia="Times New Roman" w:hAnsiTheme="minorHAnsi" w:cstheme="minorHAnsi"/>
          <w:color w:val="4472C4" w:themeColor="accent1"/>
          <w:lang w:val="es-ES"/>
        </w:rPr>
      </w:pPr>
      <w:bookmarkStart w:id="73" w:name="_Toc130199618"/>
      <w:r w:rsidRPr="002F4FE3">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30</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2F4FE3">
        <w:rPr>
          <w:rFonts w:asciiTheme="minorHAnsi" w:eastAsia="Times New Roman" w:hAnsiTheme="minorHAnsi" w:cstheme="minorHAnsi"/>
          <w:color w:val="4472C4" w:themeColor="accent1"/>
          <w:lang w:val="es-ES"/>
        </w:rPr>
        <w:t xml:space="preserve"> Ejecución Física y Financiera, departamento de Guatemala</w:t>
      </w:r>
      <w:bookmarkEnd w:id="73"/>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910"/>
        <w:gridCol w:w="2025"/>
        <w:gridCol w:w="1995"/>
        <w:gridCol w:w="1185"/>
        <w:gridCol w:w="1245"/>
      </w:tblGrid>
      <w:tr w:rsidR="34D87270" w14:paraId="45E1E155" w14:textId="77777777" w:rsidTr="002F4FE3">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10" w:type="dxa"/>
            <w:tcBorders>
              <w:top w:val="none" w:sz="0" w:space="0" w:color="auto"/>
              <w:left w:val="none" w:sz="0" w:space="0" w:color="auto"/>
              <w:bottom w:val="none" w:sz="0" w:space="0" w:color="auto"/>
            </w:tcBorders>
            <w:tcMar>
              <w:left w:w="108" w:type="dxa"/>
              <w:right w:w="108" w:type="dxa"/>
            </w:tcMar>
            <w:vAlign w:val="center"/>
          </w:tcPr>
          <w:p w14:paraId="583CF0FD" w14:textId="53B9563C" w:rsidR="34D87270" w:rsidRDefault="34D87270" w:rsidP="34D87270">
            <w:pPr>
              <w:jc w:val="center"/>
            </w:pPr>
            <w:r w:rsidRPr="34D87270">
              <w:rPr>
                <w:rFonts w:ascii="Calibri" w:eastAsia="Calibri" w:hAnsi="Calibri" w:cs="Calibri"/>
                <w:color w:val="000000" w:themeColor="text1"/>
              </w:rPr>
              <w:t>Municipio</w:t>
            </w:r>
          </w:p>
        </w:tc>
        <w:tc>
          <w:tcPr>
            <w:tcW w:w="2025" w:type="dxa"/>
            <w:tcBorders>
              <w:top w:val="none" w:sz="0" w:space="0" w:color="auto"/>
              <w:bottom w:val="none" w:sz="0" w:space="0" w:color="auto"/>
            </w:tcBorders>
            <w:tcMar>
              <w:left w:w="108" w:type="dxa"/>
              <w:right w:w="108" w:type="dxa"/>
            </w:tcMar>
            <w:vAlign w:val="center"/>
          </w:tcPr>
          <w:p w14:paraId="46239F34" w14:textId="74D9458B" w:rsidR="34D87270" w:rsidRDefault="34D87270" w:rsidP="34D87270">
            <w:pPr>
              <w:jc w:val="center"/>
              <w:cnfStyle w:val="100000000000" w:firstRow="1"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Meta Financiera Anual Vigente</w:t>
            </w:r>
          </w:p>
        </w:tc>
        <w:tc>
          <w:tcPr>
            <w:tcW w:w="1995" w:type="dxa"/>
            <w:tcBorders>
              <w:top w:val="none" w:sz="0" w:space="0" w:color="auto"/>
              <w:bottom w:val="none" w:sz="0" w:space="0" w:color="auto"/>
            </w:tcBorders>
            <w:tcMar>
              <w:left w:w="108" w:type="dxa"/>
              <w:right w:w="108" w:type="dxa"/>
            </w:tcMar>
            <w:vAlign w:val="center"/>
          </w:tcPr>
          <w:p w14:paraId="7F69AE73" w14:textId="131D1BBD" w:rsidR="34D87270" w:rsidRDefault="34D87270" w:rsidP="34D87270">
            <w:pPr>
              <w:jc w:val="center"/>
              <w:cnfStyle w:val="100000000000" w:firstRow="1"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Ejecución Financiera Acumulada</w:t>
            </w:r>
          </w:p>
        </w:tc>
        <w:tc>
          <w:tcPr>
            <w:tcW w:w="1185" w:type="dxa"/>
            <w:tcBorders>
              <w:top w:val="none" w:sz="0" w:space="0" w:color="auto"/>
              <w:bottom w:val="none" w:sz="0" w:space="0" w:color="auto"/>
            </w:tcBorders>
            <w:tcMar>
              <w:left w:w="108" w:type="dxa"/>
              <w:right w:w="108" w:type="dxa"/>
            </w:tcMar>
            <w:vAlign w:val="center"/>
          </w:tcPr>
          <w:p w14:paraId="726678C2" w14:textId="1186CF87" w:rsidR="34D87270" w:rsidRDefault="34D87270" w:rsidP="34D87270">
            <w:pPr>
              <w:jc w:val="center"/>
              <w:cnfStyle w:val="100000000000" w:firstRow="1"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 de Ejecución Física</w:t>
            </w:r>
          </w:p>
        </w:tc>
        <w:tc>
          <w:tcPr>
            <w:tcW w:w="1245" w:type="dxa"/>
            <w:tcBorders>
              <w:top w:val="none" w:sz="0" w:space="0" w:color="auto"/>
              <w:bottom w:val="none" w:sz="0" w:space="0" w:color="auto"/>
              <w:right w:val="none" w:sz="0" w:space="0" w:color="auto"/>
            </w:tcBorders>
            <w:tcMar>
              <w:left w:w="108" w:type="dxa"/>
              <w:right w:w="108" w:type="dxa"/>
            </w:tcMar>
            <w:vAlign w:val="center"/>
          </w:tcPr>
          <w:p w14:paraId="4FF3BDA7" w14:textId="6968CCAE" w:rsidR="34D87270" w:rsidRDefault="34D87270" w:rsidP="34D87270">
            <w:pPr>
              <w:jc w:val="center"/>
              <w:cnfStyle w:val="100000000000" w:firstRow="1"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 de Ejecución Financiera</w:t>
            </w:r>
          </w:p>
        </w:tc>
      </w:tr>
      <w:tr w:rsidR="34D87270" w14:paraId="31A3CDC6"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3C0A7C66" w14:textId="2C46AD9B" w:rsidR="34D87270" w:rsidRDefault="34D87270" w:rsidP="34D87270">
            <w:r w:rsidRPr="34D87270">
              <w:rPr>
                <w:rFonts w:ascii="Calibri" w:eastAsia="Calibri" w:hAnsi="Calibri" w:cs="Calibri"/>
                <w:color w:val="000000" w:themeColor="text1"/>
              </w:rPr>
              <w:t xml:space="preserve"> Todo el Departamento</w:t>
            </w:r>
          </w:p>
        </w:tc>
        <w:tc>
          <w:tcPr>
            <w:tcW w:w="2025" w:type="dxa"/>
            <w:tcMar>
              <w:left w:w="108" w:type="dxa"/>
              <w:right w:w="108" w:type="dxa"/>
            </w:tcMar>
          </w:tcPr>
          <w:p w14:paraId="53423126" w14:textId="39802A0B"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b/>
                <w:bCs/>
                <w:color w:val="000000" w:themeColor="text1"/>
              </w:rPr>
              <w:t>Q4,062,890,067.35</w:t>
            </w:r>
          </w:p>
        </w:tc>
        <w:tc>
          <w:tcPr>
            <w:tcW w:w="1995" w:type="dxa"/>
            <w:tcMar>
              <w:left w:w="108" w:type="dxa"/>
              <w:right w:w="108" w:type="dxa"/>
            </w:tcMar>
          </w:tcPr>
          <w:p w14:paraId="40AE0BDE" w14:textId="4B1190C5"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b/>
                <w:bCs/>
                <w:color w:val="000000" w:themeColor="text1"/>
              </w:rPr>
              <w:t>Q2,442,947,491.20</w:t>
            </w:r>
          </w:p>
        </w:tc>
        <w:tc>
          <w:tcPr>
            <w:tcW w:w="1185" w:type="dxa"/>
            <w:shd w:val="clear" w:color="auto" w:fill="FFFF00"/>
            <w:tcMar>
              <w:left w:w="108" w:type="dxa"/>
              <w:right w:w="108" w:type="dxa"/>
            </w:tcMar>
            <w:vAlign w:val="bottom"/>
          </w:tcPr>
          <w:p w14:paraId="1994230E" w14:textId="6CD5AC9C"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b/>
                <w:bCs/>
                <w:color w:val="000000" w:themeColor="text1"/>
              </w:rPr>
              <w:t>61.98%</w:t>
            </w:r>
          </w:p>
        </w:tc>
        <w:tc>
          <w:tcPr>
            <w:tcW w:w="1245" w:type="dxa"/>
            <w:shd w:val="clear" w:color="auto" w:fill="FFFF00"/>
            <w:tcMar>
              <w:left w:w="108" w:type="dxa"/>
              <w:right w:w="108" w:type="dxa"/>
            </w:tcMar>
            <w:vAlign w:val="bottom"/>
          </w:tcPr>
          <w:p w14:paraId="20792E00" w14:textId="7A045851"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b/>
                <w:bCs/>
                <w:color w:val="000000" w:themeColor="text1"/>
              </w:rPr>
              <w:t>60.13%</w:t>
            </w:r>
          </w:p>
        </w:tc>
      </w:tr>
      <w:tr w:rsidR="34D87270" w14:paraId="2792C4A8"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4BFE7C76" w14:textId="1A09D83D"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San Pedro Sacatepéquez</w:t>
            </w:r>
          </w:p>
        </w:tc>
        <w:tc>
          <w:tcPr>
            <w:tcW w:w="2025" w:type="dxa"/>
            <w:tcMar>
              <w:left w:w="108" w:type="dxa"/>
              <w:right w:w="108" w:type="dxa"/>
            </w:tcMar>
          </w:tcPr>
          <w:p w14:paraId="499717D4" w14:textId="5A959E47"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Q37,075,856.76</w:t>
            </w:r>
          </w:p>
        </w:tc>
        <w:tc>
          <w:tcPr>
            <w:tcW w:w="1995" w:type="dxa"/>
            <w:tcMar>
              <w:left w:w="108" w:type="dxa"/>
              <w:right w:w="108" w:type="dxa"/>
            </w:tcMar>
          </w:tcPr>
          <w:p w14:paraId="3F823693" w14:textId="6F22D966"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Q30,216,195.15</w:t>
            </w:r>
          </w:p>
        </w:tc>
        <w:tc>
          <w:tcPr>
            <w:tcW w:w="1185" w:type="dxa"/>
            <w:shd w:val="clear" w:color="auto" w:fill="92D050"/>
            <w:tcMar>
              <w:left w:w="108" w:type="dxa"/>
              <w:right w:w="108" w:type="dxa"/>
            </w:tcMar>
            <w:vAlign w:val="bottom"/>
          </w:tcPr>
          <w:p w14:paraId="314F314E" w14:textId="1D830D0C"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90.05%</w:t>
            </w:r>
          </w:p>
        </w:tc>
        <w:tc>
          <w:tcPr>
            <w:tcW w:w="1245" w:type="dxa"/>
            <w:shd w:val="clear" w:color="auto" w:fill="FFFF00"/>
            <w:tcMar>
              <w:left w:w="108" w:type="dxa"/>
              <w:right w:w="108" w:type="dxa"/>
            </w:tcMar>
            <w:vAlign w:val="bottom"/>
          </w:tcPr>
          <w:p w14:paraId="216FA4A0" w14:textId="72C697AE"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81.50%</w:t>
            </w:r>
          </w:p>
        </w:tc>
      </w:tr>
      <w:tr w:rsidR="34D87270" w14:paraId="69B2F5F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480FCD26" w14:textId="32D89D70"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Villa Nueva</w:t>
            </w:r>
          </w:p>
        </w:tc>
        <w:tc>
          <w:tcPr>
            <w:tcW w:w="2025" w:type="dxa"/>
            <w:tcMar>
              <w:left w:w="108" w:type="dxa"/>
              <w:right w:w="108" w:type="dxa"/>
            </w:tcMar>
          </w:tcPr>
          <w:p w14:paraId="72798139" w14:textId="3ABA72FE"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Q122,823,918.25</w:t>
            </w:r>
          </w:p>
        </w:tc>
        <w:tc>
          <w:tcPr>
            <w:tcW w:w="1995" w:type="dxa"/>
            <w:tcMar>
              <w:left w:w="108" w:type="dxa"/>
              <w:right w:w="108" w:type="dxa"/>
            </w:tcMar>
          </w:tcPr>
          <w:p w14:paraId="6F4D3929" w14:textId="2F65B8B1"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Q91,831,045.32</w:t>
            </w:r>
          </w:p>
        </w:tc>
        <w:tc>
          <w:tcPr>
            <w:tcW w:w="1185" w:type="dxa"/>
            <w:shd w:val="clear" w:color="auto" w:fill="FFFF00"/>
            <w:tcMar>
              <w:left w:w="108" w:type="dxa"/>
              <w:right w:w="108" w:type="dxa"/>
            </w:tcMar>
            <w:vAlign w:val="bottom"/>
          </w:tcPr>
          <w:p w14:paraId="3406613D" w14:textId="1BE064E0"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86.30%</w:t>
            </w:r>
          </w:p>
        </w:tc>
        <w:tc>
          <w:tcPr>
            <w:tcW w:w="1245" w:type="dxa"/>
            <w:shd w:val="clear" w:color="auto" w:fill="FFFF00"/>
            <w:tcMar>
              <w:left w:w="108" w:type="dxa"/>
              <w:right w:w="108" w:type="dxa"/>
            </w:tcMar>
            <w:vAlign w:val="bottom"/>
          </w:tcPr>
          <w:p w14:paraId="1A08DF07" w14:textId="750B867F"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74.77%</w:t>
            </w:r>
          </w:p>
        </w:tc>
      </w:tr>
      <w:tr w:rsidR="34D87270" w14:paraId="2B7FF9CB"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74D89EC7" w14:textId="453E4939"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Amatitlán</w:t>
            </w:r>
          </w:p>
        </w:tc>
        <w:tc>
          <w:tcPr>
            <w:tcW w:w="2025" w:type="dxa"/>
            <w:tcMar>
              <w:left w:w="108" w:type="dxa"/>
              <w:right w:w="108" w:type="dxa"/>
            </w:tcMar>
          </w:tcPr>
          <w:p w14:paraId="315A9C9C" w14:textId="1302E1FC"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Q72,122,887.82</w:t>
            </w:r>
          </w:p>
        </w:tc>
        <w:tc>
          <w:tcPr>
            <w:tcW w:w="1995" w:type="dxa"/>
            <w:tcMar>
              <w:left w:w="108" w:type="dxa"/>
              <w:right w:w="108" w:type="dxa"/>
            </w:tcMar>
          </w:tcPr>
          <w:p w14:paraId="4E6F867E" w14:textId="3FC51AF8"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Q58,714,283.72</w:t>
            </w:r>
          </w:p>
        </w:tc>
        <w:tc>
          <w:tcPr>
            <w:tcW w:w="1185" w:type="dxa"/>
            <w:shd w:val="clear" w:color="auto" w:fill="FFFF00"/>
            <w:tcMar>
              <w:left w:w="108" w:type="dxa"/>
              <w:right w:w="108" w:type="dxa"/>
            </w:tcMar>
            <w:vAlign w:val="bottom"/>
          </w:tcPr>
          <w:p w14:paraId="341154AD" w14:textId="42467414"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82.33%</w:t>
            </w:r>
          </w:p>
        </w:tc>
        <w:tc>
          <w:tcPr>
            <w:tcW w:w="1245" w:type="dxa"/>
            <w:shd w:val="clear" w:color="auto" w:fill="FFFF00"/>
            <w:tcMar>
              <w:left w:w="108" w:type="dxa"/>
              <w:right w:w="108" w:type="dxa"/>
            </w:tcMar>
            <w:vAlign w:val="bottom"/>
          </w:tcPr>
          <w:p w14:paraId="7A97BDC0" w14:textId="7E448ABE"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81.41%</w:t>
            </w:r>
          </w:p>
        </w:tc>
      </w:tr>
      <w:tr w:rsidR="34D87270" w14:paraId="46825C09"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25A16596" w14:textId="0B6FD80A"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San Juan Sacatepéquez</w:t>
            </w:r>
          </w:p>
        </w:tc>
        <w:tc>
          <w:tcPr>
            <w:tcW w:w="2025" w:type="dxa"/>
            <w:tcMar>
              <w:left w:w="108" w:type="dxa"/>
              <w:right w:w="108" w:type="dxa"/>
            </w:tcMar>
          </w:tcPr>
          <w:p w14:paraId="33963135" w14:textId="2B016135"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Q132,270,727.45</w:t>
            </w:r>
          </w:p>
        </w:tc>
        <w:tc>
          <w:tcPr>
            <w:tcW w:w="1995" w:type="dxa"/>
            <w:tcMar>
              <w:left w:w="108" w:type="dxa"/>
              <w:right w:w="108" w:type="dxa"/>
            </w:tcMar>
          </w:tcPr>
          <w:p w14:paraId="3B85F608" w14:textId="028B3CD1"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Q121,400,261.45</w:t>
            </w:r>
          </w:p>
        </w:tc>
        <w:tc>
          <w:tcPr>
            <w:tcW w:w="1185" w:type="dxa"/>
            <w:shd w:val="clear" w:color="auto" w:fill="FFFF00"/>
            <w:tcMar>
              <w:left w:w="108" w:type="dxa"/>
              <w:right w:w="108" w:type="dxa"/>
            </w:tcMar>
            <w:vAlign w:val="bottom"/>
          </w:tcPr>
          <w:p w14:paraId="546DE710" w14:textId="03B13E64"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82.13%</w:t>
            </w:r>
          </w:p>
        </w:tc>
        <w:tc>
          <w:tcPr>
            <w:tcW w:w="1245" w:type="dxa"/>
            <w:shd w:val="clear" w:color="auto" w:fill="92D050"/>
            <w:tcMar>
              <w:left w:w="108" w:type="dxa"/>
              <w:right w:w="108" w:type="dxa"/>
            </w:tcMar>
            <w:vAlign w:val="bottom"/>
          </w:tcPr>
          <w:p w14:paraId="6EDFF7ED" w14:textId="2B0FF58A"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91.78%</w:t>
            </w:r>
          </w:p>
        </w:tc>
      </w:tr>
      <w:tr w:rsidR="34D87270" w14:paraId="765F2D37"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5F10B3A2" w14:textId="200637A1"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Fraijanes</w:t>
            </w:r>
          </w:p>
        </w:tc>
        <w:tc>
          <w:tcPr>
            <w:tcW w:w="2025" w:type="dxa"/>
            <w:tcMar>
              <w:left w:w="108" w:type="dxa"/>
              <w:right w:w="108" w:type="dxa"/>
            </w:tcMar>
          </w:tcPr>
          <w:p w14:paraId="089C5DE2" w14:textId="4403FA90"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Q116,462,749.47</w:t>
            </w:r>
          </w:p>
        </w:tc>
        <w:tc>
          <w:tcPr>
            <w:tcW w:w="1995" w:type="dxa"/>
            <w:tcMar>
              <w:left w:w="108" w:type="dxa"/>
              <w:right w:w="108" w:type="dxa"/>
            </w:tcMar>
          </w:tcPr>
          <w:p w14:paraId="601D2A60" w14:textId="3DBABB84"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Q86,845,668.60</w:t>
            </w:r>
          </w:p>
        </w:tc>
        <w:tc>
          <w:tcPr>
            <w:tcW w:w="1185" w:type="dxa"/>
            <w:shd w:val="clear" w:color="auto" w:fill="FFFF00"/>
            <w:tcMar>
              <w:left w:w="108" w:type="dxa"/>
              <w:right w:w="108" w:type="dxa"/>
            </w:tcMar>
            <w:vAlign w:val="bottom"/>
          </w:tcPr>
          <w:p w14:paraId="630B5163" w14:textId="5DE98F02"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77.95%</w:t>
            </w:r>
          </w:p>
        </w:tc>
        <w:tc>
          <w:tcPr>
            <w:tcW w:w="1245" w:type="dxa"/>
            <w:shd w:val="clear" w:color="auto" w:fill="FFFF00"/>
            <w:tcMar>
              <w:left w:w="108" w:type="dxa"/>
              <w:right w:w="108" w:type="dxa"/>
            </w:tcMar>
            <w:vAlign w:val="bottom"/>
          </w:tcPr>
          <w:p w14:paraId="159CBC51" w14:textId="0C01602D"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74.57%</w:t>
            </w:r>
          </w:p>
        </w:tc>
      </w:tr>
      <w:tr w:rsidR="34D87270" w14:paraId="7F7A509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4832B291" w14:textId="0CD7CE9C"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San Pedro Ayampuc</w:t>
            </w:r>
          </w:p>
        </w:tc>
        <w:tc>
          <w:tcPr>
            <w:tcW w:w="2025" w:type="dxa"/>
            <w:tcMar>
              <w:left w:w="108" w:type="dxa"/>
              <w:right w:w="108" w:type="dxa"/>
            </w:tcMar>
          </w:tcPr>
          <w:p w14:paraId="24FD5276" w14:textId="06930405"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Q76,023,164.15</w:t>
            </w:r>
          </w:p>
        </w:tc>
        <w:tc>
          <w:tcPr>
            <w:tcW w:w="1995" w:type="dxa"/>
            <w:tcMar>
              <w:left w:w="108" w:type="dxa"/>
              <w:right w:w="108" w:type="dxa"/>
            </w:tcMar>
          </w:tcPr>
          <w:p w14:paraId="7A2B1549" w14:textId="4296B2FD"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Q46,993,269.57</w:t>
            </w:r>
          </w:p>
        </w:tc>
        <w:tc>
          <w:tcPr>
            <w:tcW w:w="1185" w:type="dxa"/>
            <w:shd w:val="clear" w:color="auto" w:fill="FFFF00"/>
            <w:tcMar>
              <w:left w:w="108" w:type="dxa"/>
              <w:right w:w="108" w:type="dxa"/>
            </w:tcMar>
            <w:vAlign w:val="bottom"/>
          </w:tcPr>
          <w:p w14:paraId="07735FE2" w14:textId="3DD1486D"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76.83%</w:t>
            </w:r>
          </w:p>
        </w:tc>
        <w:tc>
          <w:tcPr>
            <w:tcW w:w="1245" w:type="dxa"/>
            <w:shd w:val="clear" w:color="auto" w:fill="FFFF00"/>
            <w:tcMar>
              <w:left w:w="108" w:type="dxa"/>
              <w:right w:w="108" w:type="dxa"/>
            </w:tcMar>
            <w:vAlign w:val="bottom"/>
          </w:tcPr>
          <w:p w14:paraId="18199BEF" w14:textId="112CF5CF"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61.81%</w:t>
            </w:r>
          </w:p>
        </w:tc>
      </w:tr>
      <w:tr w:rsidR="34D87270" w14:paraId="5B99DDA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3599A044" w14:textId="34E88286"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Villa Canales</w:t>
            </w:r>
          </w:p>
        </w:tc>
        <w:tc>
          <w:tcPr>
            <w:tcW w:w="2025" w:type="dxa"/>
            <w:tcMar>
              <w:left w:w="108" w:type="dxa"/>
              <w:right w:w="108" w:type="dxa"/>
            </w:tcMar>
          </w:tcPr>
          <w:p w14:paraId="08BB0750" w14:textId="7264C58D"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Q105,719,378.84</w:t>
            </w:r>
          </w:p>
        </w:tc>
        <w:tc>
          <w:tcPr>
            <w:tcW w:w="1995" w:type="dxa"/>
            <w:tcMar>
              <w:left w:w="108" w:type="dxa"/>
              <w:right w:w="108" w:type="dxa"/>
            </w:tcMar>
          </w:tcPr>
          <w:p w14:paraId="05DCA2F2" w14:textId="7CA333B2"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Q56,867,312.54</w:t>
            </w:r>
          </w:p>
        </w:tc>
        <w:tc>
          <w:tcPr>
            <w:tcW w:w="1185" w:type="dxa"/>
            <w:shd w:val="clear" w:color="auto" w:fill="FFFF00"/>
            <w:tcMar>
              <w:left w:w="108" w:type="dxa"/>
              <w:right w:w="108" w:type="dxa"/>
            </w:tcMar>
            <w:vAlign w:val="bottom"/>
          </w:tcPr>
          <w:p w14:paraId="45BC122B" w14:textId="424DF23F"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74.03%</w:t>
            </w:r>
          </w:p>
        </w:tc>
        <w:tc>
          <w:tcPr>
            <w:tcW w:w="1245" w:type="dxa"/>
            <w:shd w:val="clear" w:color="auto" w:fill="FFFF00"/>
            <w:tcMar>
              <w:left w:w="108" w:type="dxa"/>
              <w:right w:w="108" w:type="dxa"/>
            </w:tcMar>
            <w:vAlign w:val="bottom"/>
          </w:tcPr>
          <w:p w14:paraId="00A6A982" w14:textId="0633E159"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53.79%</w:t>
            </w:r>
          </w:p>
        </w:tc>
      </w:tr>
      <w:tr w:rsidR="34D87270" w14:paraId="5A346EFD"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32558C0E" w14:textId="7D9DDFA5"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Santa Catarina Pinula</w:t>
            </w:r>
          </w:p>
        </w:tc>
        <w:tc>
          <w:tcPr>
            <w:tcW w:w="2025" w:type="dxa"/>
            <w:tcMar>
              <w:left w:w="108" w:type="dxa"/>
              <w:right w:w="108" w:type="dxa"/>
            </w:tcMar>
          </w:tcPr>
          <w:p w14:paraId="309BA329" w14:textId="685E3CAE"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Q264,160,542.16</w:t>
            </w:r>
          </w:p>
        </w:tc>
        <w:tc>
          <w:tcPr>
            <w:tcW w:w="1995" w:type="dxa"/>
            <w:tcMar>
              <w:left w:w="108" w:type="dxa"/>
              <w:right w:w="108" w:type="dxa"/>
            </w:tcMar>
          </w:tcPr>
          <w:p w14:paraId="20A620F7" w14:textId="7BFF06E4"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Q161,236,063.36</w:t>
            </w:r>
          </w:p>
        </w:tc>
        <w:tc>
          <w:tcPr>
            <w:tcW w:w="1185" w:type="dxa"/>
            <w:shd w:val="clear" w:color="auto" w:fill="FFFF00"/>
            <w:tcMar>
              <w:left w:w="108" w:type="dxa"/>
              <w:right w:w="108" w:type="dxa"/>
            </w:tcMar>
            <w:vAlign w:val="bottom"/>
          </w:tcPr>
          <w:p w14:paraId="409AD3D5" w14:textId="2E71EB9D"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71.81%</w:t>
            </w:r>
          </w:p>
        </w:tc>
        <w:tc>
          <w:tcPr>
            <w:tcW w:w="1245" w:type="dxa"/>
            <w:shd w:val="clear" w:color="auto" w:fill="FFFF00"/>
            <w:tcMar>
              <w:left w:w="108" w:type="dxa"/>
              <w:right w:w="108" w:type="dxa"/>
            </w:tcMar>
            <w:vAlign w:val="bottom"/>
          </w:tcPr>
          <w:p w14:paraId="43324579" w14:textId="54582CF2"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61.04%</w:t>
            </w:r>
          </w:p>
        </w:tc>
      </w:tr>
      <w:tr w:rsidR="34D87270" w14:paraId="22296D47"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624F2287" w14:textId="0D887CFD"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San José Del Golfo</w:t>
            </w:r>
          </w:p>
        </w:tc>
        <w:tc>
          <w:tcPr>
            <w:tcW w:w="2025" w:type="dxa"/>
            <w:tcMar>
              <w:left w:w="108" w:type="dxa"/>
              <w:right w:w="108" w:type="dxa"/>
            </w:tcMar>
          </w:tcPr>
          <w:p w14:paraId="343EFFE7" w14:textId="7F6387A0"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Q45,950,137.96</w:t>
            </w:r>
          </w:p>
        </w:tc>
        <w:tc>
          <w:tcPr>
            <w:tcW w:w="1995" w:type="dxa"/>
            <w:tcMar>
              <w:left w:w="108" w:type="dxa"/>
              <w:right w:w="108" w:type="dxa"/>
            </w:tcMar>
          </w:tcPr>
          <w:p w14:paraId="21BCB104" w14:textId="3F14C81F"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Q36,475,397.51</w:t>
            </w:r>
          </w:p>
        </w:tc>
        <w:tc>
          <w:tcPr>
            <w:tcW w:w="1185" w:type="dxa"/>
            <w:shd w:val="clear" w:color="auto" w:fill="FFFF00"/>
            <w:tcMar>
              <w:left w:w="108" w:type="dxa"/>
              <w:right w:w="108" w:type="dxa"/>
            </w:tcMar>
            <w:vAlign w:val="bottom"/>
          </w:tcPr>
          <w:p w14:paraId="0FA91F57" w14:textId="3A67AFA4"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71.69%</w:t>
            </w:r>
          </w:p>
        </w:tc>
        <w:tc>
          <w:tcPr>
            <w:tcW w:w="1245" w:type="dxa"/>
            <w:shd w:val="clear" w:color="auto" w:fill="FFFF00"/>
            <w:tcMar>
              <w:left w:w="108" w:type="dxa"/>
              <w:right w:w="108" w:type="dxa"/>
            </w:tcMar>
            <w:vAlign w:val="bottom"/>
          </w:tcPr>
          <w:p w14:paraId="54C1C23C" w14:textId="7B7A4A47"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79.38%</w:t>
            </w:r>
          </w:p>
        </w:tc>
      </w:tr>
      <w:tr w:rsidR="34D87270" w14:paraId="5BD25247"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4CF9F837" w14:textId="5DF55FDE"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San Raymundo</w:t>
            </w:r>
          </w:p>
        </w:tc>
        <w:tc>
          <w:tcPr>
            <w:tcW w:w="2025" w:type="dxa"/>
            <w:tcMar>
              <w:left w:w="108" w:type="dxa"/>
              <w:right w:w="108" w:type="dxa"/>
            </w:tcMar>
          </w:tcPr>
          <w:p w14:paraId="5A4C56CD" w14:textId="361E7C1E"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Q46,366,450.00</w:t>
            </w:r>
          </w:p>
        </w:tc>
        <w:tc>
          <w:tcPr>
            <w:tcW w:w="1995" w:type="dxa"/>
            <w:tcMar>
              <w:left w:w="108" w:type="dxa"/>
              <w:right w:w="108" w:type="dxa"/>
            </w:tcMar>
          </w:tcPr>
          <w:p w14:paraId="4F9F34DC" w14:textId="57EB4D81"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Q28,379,074.20</w:t>
            </w:r>
          </w:p>
        </w:tc>
        <w:tc>
          <w:tcPr>
            <w:tcW w:w="1185" w:type="dxa"/>
            <w:shd w:val="clear" w:color="auto" w:fill="FFFF00"/>
            <w:tcMar>
              <w:left w:w="108" w:type="dxa"/>
              <w:right w:w="108" w:type="dxa"/>
            </w:tcMar>
            <w:vAlign w:val="bottom"/>
          </w:tcPr>
          <w:p w14:paraId="311B680B" w14:textId="5CAD3FA8"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65.43%</w:t>
            </w:r>
          </w:p>
        </w:tc>
        <w:tc>
          <w:tcPr>
            <w:tcW w:w="1245" w:type="dxa"/>
            <w:shd w:val="clear" w:color="auto" w:fill="FFFF00"/>
            <w:tcMar>
              <w:left w:w="108" w:type="dxa"/>
              <w:right w:w="108" w:type="dxa"/>
            </w:tcMar>
            <w:vAlign w:val="bottom"/>
          </w:tcPr>
          <w:p w14:paraId="1430CA7F" w14:textId="3B3E0AA7"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61.21%</w:t>
            </w:r>
          </w:p>
        </w:tc>
      </w:tr>
      <w:tr w:rsidR="34D87270" w14:paraId="4660607F"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49288142" w14:textId="2C4EECDC"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Guatemala</w:t>
            </w:r>
          </w:p>
        </w:tc>
        <w:tc>
          <w:tcPr>
            <w:tcW w:w="2025" w:type="dxa"/>
            <w:tcMar>
              <w:left w:w="108" w:type="dxa"/>
              <w:right w:w="108" w:type="dxa"/>
            </w:tcMar>
          </w:tcPr>
          <w:p w14:paraId="19D3622E" w14:textId="0ECF2C13"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Q1,938,962,423.93</w:t>
            </w:r>
          </w:p>
        </w:tc>
        <w:tc>
          <w:tcPr>
            <w:tcW w:w="1995" w:type="dxa"/>
            <w:tcMar>
              <w:left w:w="108" w:type="dxa"/>
              <w:right w:w="108" w:type="dxa"/>
            </w:tcMar>
          </w:tcPr>
          <w:p w14:paraId="3EBE1091" w14:textId="0A1D03E5"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Q1,109,503,010.49</w:t>
            </w:r>
          </w:p>
        </w:tc>
        <w:tc>
          <w:tcPr>
            <w:tcW w:w="1185" w:type="dxa"/>
            <w:shd w:val="clear" w:color="auto" w:fill="FFFF00"/>
            <w:tcMar>
              <w:left w:w="108" w:type="dxa"/>
              <w:right w:w="108" w:type="dxa"/>
            </w:tcMar>
            <w:vAlign w:val="bottom"/>
          </w:tcPr>
          <w:p w14:paraId="446E6D45" w14:textId="764DD3EC"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59.30%</w:t>
            </w:r>
          </w:p>
        </w:tc>
        <w:tc>
          <w:tcPr>
            <w:tcW w:w="1245" w:type="dxa"/>
            <w:shd w:val="clear" w:color="auto" w:fill="FFFF00"/>
            <w:tcMar>
              <w:left w:w="108" w:type="dxa"/>
              <w:right w:w="108" w:type="dxa"/>
            </w:tcMar>
            <w:vAlign w:val="bottom"/>
          </w:tcPr>
          <w:p w14:paraId="40CEBBD2" w14:textId="31BAC82A"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57.22%</w:t>
            </w:r>
          </w:p>
        </w:tc>
      </w:tr>
      <w:tr w:rsidR="34D87270" w14:paraId="5065029C"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28C553DB" w14:textId="7BD3F7B9"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Chinautla</w:t>
            </w:r>
          </w:p>
        </w:tc>
        <w:tc>
          <w:tcPr>
            <w:tcW w:w="2025" w:type="dxa"/>
            <w:tcMar>
              <w:left w:w="108" w:type="dxa"/>
              <w:right w:w="108" w:type="dxa"/>
            </w:tcMar>
          </w:tcPr>
          <w:p w14:paraId="66287BBE" w14:textId="31552008"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Q85,403,259.82</w:t>
            </w:r>
          </w:p>
        </w:tc>
        <w:tc>
          <w:tcPr>
            <w:tcW w:w="1995" w:type="dxa"/>
            <w:tcMar>
              <w:left w:w="108" w:type="dxa"/>
              <w:right w:w="108" w:type="dxa"/>
            </w:tcMar>
          </w:tcPr>
          <w:p w14:paraId="77C461E1" w14:textId="31A744AD"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Q53,784,301.32</w:t>
            </w:r>
          </w:p>
        </w:tc>
        <w:tc>
          <w:tcPr>
            <w:tcW w:w="1185" w:type="dxa"/>
            <w:shd w:val="clear" w:color="auto" w:fill="FFFF00"/>
            <w:tcMar>
              <w:left w:w="108" w:type="dxa"/>
              <w:right w:w="108" w:type="dxa"/>
            </w:tcMar>
            <w:vAlign w:val="bottom"/>
          </w:tcPr>
          <w:p w14:paraId="14EFFD4D" w14:textId="353315C0"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51.83%</w:t>
            </w:r>
          </w:p>
        </w:tc>
        <w:tc>
          <w:tcPr>
            <w:tcW w:w="1245" w:type="dxa"/>
            <w:shd w:val="clear" w:color="auto" w:fill="FFFF00"/>
            <w:tcMar>
              <w:left w:w="108" w:type="dxa"/>
              <w:right w:w="108" w:type="dxa"/>
            </w:tcMar>
            <w:vAlign w:val="bottom"/>
          </w:tcPr>
          <w:p w14:paraId="531E6D40" w14:textId="6F60E31D"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62.98%</w:t>
            </w:r>
          </w:p>
        </w:tc>
      </w:tr>
      <w:tr w:rsidR="34D87270" w14:paraId="7FAF28D3"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6AD4EF90" w14:textId="2CB9315B"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San José Pinula</w:t>
            </w:r>
          </w:p>
        </w:tc>
        <w:tc>
          <w:tcPr>
            <w:tcW w:w="2025" w:type="dxa"/>
            <w:tcMar>
              <w:left w:w="108" w:type="dxa"/>
              <w:right w:w="108" w:type="dxa"/>
            </w:tcMar>
          </w:tcPr>
          <w:p w14:paraId="7A5589E1" w14:textId="18D714A9"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Q57,773,873.85</w:t>
            </w:r>
          </w:p>
        </w:tc>
        <w:tc>
          <w:tcPr>
            <w:tcW w:w="1995" w:type="dxa"/>
            <w:tcMar>
              <w:left w:w="108" w:type="dxa"/>
              <w:right w:w="108" w:type="dxa"/>
            </w:tcMar>
          </w:tcPr>
          <w:p w14:paraId="6A90FCD9" w14:textId="3D8E7266"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Q23,772,376.28</w:t>
            </w:r>
          </w:p>
        </w:tc>
        <w:tc>
          <w:tcPr>
            <w:tcW w:w="1185" w:type="dxa"/>
            <w:shd w:val="clear" w:color="auto" w:fill="C00000"/>
            <w:tcMar>
              <w:left w:w="108" w:type="dxa"/>
              <w:right w:w="108" w:type="dxa"/>
            </w:tcMar>
            <w:vAlign w:val="bottom"/>
          </w:tcPr>
          <w:p w14:paraId="4C81876B" w14:textId="090DF709"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49.36%</w:t>
            </w:r>
          </w:p>
        </w:tc>
        <w:tc>
          <w:tcPr>
            <w:tcW w:w="1245" w:type="dxa"/>
            <w:shd w:val="clear" w:color="auto" w:fill="C00000"/>
            <w:tcMar>
              <w:left w:w="108" w:type="dxa"/>
              <w:right w:w="108" w:type="dxa"/>
            </w:tcMar>
            <w:vAlign w:val="bottom"/>
          </w:tcPr>
          <w:p w14:paraId="411A3DAE" w14:textId="08FBD7D0"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41.15%</w:t>
            </w:r>
          </w:p>
        </w:tc>
      </w:tr>
      <w:tr w:rsidR="34D87270" w14:paraId="1F75EB62"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2866CA6F" w14:textId="08B0696E"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Palencia</w:t>
            </w:r>
          </w:p>
        </w:tc>
        <w:tc>
          <w:tcPr>
            <w:tcW w:w="2025" w:type="dxa"/>
            <w:tcMar>
              <w:left w:w="108" w:type="dxa"/>
              <w:right w:w="108" w:type="dxa"/>
            </w:tcMar>
          </w:tcPr>
          <w:p w14:paraId="261E28E8" w14:textId="0FD10F82"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Q40,616,839.01</w:t>
            </w:r>
          </w:p>
        </w:tc>
        <w:tc>
          <w:tcPr>
            <w:tcW w:w="1995" w:type="dxa"/>
            <w:tcMar>
              <w:left w:w="108" w:type="dxa"/>
              <w:right w:w="108" w:type="dxa"/>
            </w:tcMar>
          </w:tcPr>
          <w:p w14:paraId="2AEBD3C9" w14:textId="74F70FDF"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Q40,253,025.77</w:t>
            </w:r>
          </w:p>
        </w:tc>
        <w:tc>
          <w:tcPr>
            <w:tcW w:w="1185" w:type="dxa"/>
            <w:shd w:val="clear" w:color="auto" w:fill="C00000"/>
            <w:tcMar>
              <w:left w:w="108" w:type="dxa"/>
              <w:right w:w="108" w:type="dxa"/>
            </w:tcMar>
            <w:vAlign w:val="bottom"/>
          </w:tcPr>
          <w:p w14:paraId="5F332B7C" w14:textId="0AD4CA90"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36.68%</w:t>
            </w:r>
          </w:p>
        </w:tc>
        <w:tc>
          <w:tcPr>
            <w:tcW w:w="1245" w:type="dxa"/>
            <w:shd w:val="clear" w:color="auto" w:fill="92D050"/>
            <w:tcMar>
              <w:left w:w="108" w:type="dxa"/>
              <w:right w:w="108" w:type="dxa"/>
            </w:tcMar>
            <w:vAlign w:val="bottom"/>
          </w:tcPr>
          <w:p w14:paraId="668E9488" w14:textId="4FFD28C8"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99.10%</w:t>
            </w:r>
          </w:p>
        </w:tc>
      </w:tr>
      <w:tr w:rsidR="34D87270" w14:paraId="52750F6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6CBF6C71" w14:textId="6B95C093"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Mixco</w:t>
            </w:r>
          </w:p>
        </w:tc>
        <w:tc>
          <w:tcPr>
            <w:tcW w:w="2025" w:type="dxa"/>
            <w:tcMar>
              <w:left w:w="108" w:type="dxa"/>
              <w:right w:w="108" w:type="dxa"/>
            </w:tcMar>
          </w:tcPr>
          <w:p w14:paraId="2DF66A00" w14:textId="59ECE528"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Q773,243,857.88</w:t>
            </w:r>
          </w:p>
        </w:tc>
        <w:tc>
          <w:tcPr>
            <w:tcW w:w="1995" w:type="dxa"/>
            <w:tcMar>
              <w:left w:w="108" w:type="dxa"/>
              <w:right w:w="108" w:type="dxa"/>
            </w:tcMar>
          </w:tcPr>
          <w:p w14:paraId="7BB6B33F" w14:textId="7EA97A09"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Q496,676,205.92</w:t>
            </w:r>
          </w:p>
        </w:tc>
        <w:tc>
          <w:tcPr>
            <w:tcW w:w="1185" w:type="dxa"/>
            <w:shd w:val="clear" w:color="auto" w:fill="C00000"/>
            <w:tcMar>
              <w:left w:w="108" w:type="dxa"/>
              <w:right w:w="108" w:type="dxa"/>
            </w:tcMar>
            <w:vAlign w:val="bottom"/>
          </w:tcPr>
          <w:p w14:paraId="5F4B5F24" w14:textId="78AF294C"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26.98%</w:t>
            </w:r>
          </w:p>
        </w:tc>
        <w:tc>
          <w:tcPr>
            <w:tcW w:w="1245" w:type="dxa"/>
            <w:shd w:val="clear" w:color="auto" w:fill="FFFF00"/>
            <w:tcMar>
              <w:left w:w="108" w:type="dxa"/>
              <w:right w:w="108" w:type="dxa"/>
            </w:tcMar>
            <w:vAlign w:val="bottom"/>
          </w:tcPr>
          <w:p w14:paraId="02DFB487" w14:textId="69C134C9"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64.23%</w:t>
            </w:r>
          </w:p>
        </w:tc>
      </w:tr>
      <w:tr w:rsidR="34D87270" w14:paraId="5FE0ED26"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603C3584" w14:textId="4C93AC31"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Petapa</w:t>
            </w:r>
          </w:p>
        </w:tc>
        <w:tc>
          <w:tcPr>
            <w:tcW w:w="2025" w:type="dxa"/>
            <w:tcMar>
              <w:left w:w="108" w:type="dxa"/>
              <w:right w:w="108" w:type="dxa"/>
            </w:tcMar>
          </w:tcPr>
          <w:p w14:paraId="7894A761" w14:textId="550D75CF"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Q147,914,000.00</w:t>
            </w:r>
          </w:p>
        </w:tc>
        <w:tc>
          <w:tcPr>
            <w:tcW w:w="1995" w:type="dxa"/>
            <w:tcMar>
              <w:left w:w="108" w:type="dxa"/>
              <w:right w:w="108" w:type="dxa"/>
            </w:tcMar>
          </w:tcPr>
          <w:p w14:paraId="0F9CDCB2" w14:textId="1E238013"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Q0.00</w:t>
            </w:r>
          </w:p>
        </w:tc>
        <w:tc>
          <w:tcPr>
            <w:tcW w:w="1185" w:type="dxa"/>
            <w:shd w:val="clear" w:color="auto" w:fill="C00000"/>
            <w:tcMar>
              <w:left w:w="108" w:type="dxa"/>
              <w:right w:w="108" w:type="dxa"/>
            </w:tcMar>
            <w:vAlign w:val="bottom"/>
          </w:tcPr>
          <w:p w14:paraId="49D426BB" w14:textId="6E4C4577"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0.00%</w:t>
            </w:r>
          </w:p>
        </w:tc>
        <w:tc>
          <w:tcPr>
            <w:tcW w:w="1245" w:type="dxa"/>
            <w:shd w:val="clear" w:color="auto" w:fill="C00000"/>
            <w:tcMar>
              <w:left w:w="108" w:type="dxa"/>
              <w:right w:w="108" w:type="dxa"/>
            </w:tcMar>
            <w:vAlign w:val="bottom"/>
          </w:tcPr>
          <w:p w14:paraId="4FD92C77" w14:textId="19EB5A6C" w:rsidR="34D87270" w:rsidRDefault="34D87270" w:rsidP="34D87270">
            <w:pPr>
              <w:jc w:val="right"/>
              <w:cnfStyle w:val="000000100000" w:firstRow="0" w:lastRow="0" w:firstColumn="0" w:lastColumn="0" w:oddVBand="0" w:evenVBand="0" w:oddHBand="1" w:evenHBand="0" w:firstRowFirstColumn="0" w:firstRowLastColumn="0" w:lastRowFirstColumn="0" w:lastRowLastColumn="0"/>
            </w:pPr>
            <w:r w:rsidRPr="34D87270">
              <w:rPr>
                <w:rFonts w:ascii="Calibri" w:eastAsia="Calibri" w:hAnsi="Calibri" w:cs="Calibri"/>
                <w:color w:val="000000" w:themeColor="text1"/>
              </w:rPr>
              <w:t>0.00%</w:t>
            </w:r>
          </w:p>
        </w:tc>
      </w:tr>
      <w:tr w:rsidR="34D87270" w14:paraId="27DF4D5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10" w:type="dxa"/>
            <w:tcMar>
              <w:left w:w="108" w:type="dxa"/>
              <w:right w:w="108" w:type="dxa"/>
            </w:tcMar>
          </w:tcPr>
          <w:p w14:paraId="1C914C86" w14:textId="2F983DEA" w:rsidR="34D87270" w:rsidRDefault="34D87270" w:rsidP="34D87270">
            <w:pPr>
              <w:rPr>
                <w:rFonts w:ascii="Calibri" w:eastAsia="Calibri" w:hAnsi="Calibri" w:cs="Calibri"/>
                <w:b w:val="0"/>
                <w:bCs w:val="0"/>
                <w:color w:val="000000" w:themeColor="text1"/>
              </w:rPr>
            </w:pPr>
            <w:r w:rsidRPr="34D87270">
              <w:rPr>
                <w:rFonts w:ascii="Calibri" w:eastAsia="Calibri" w:hAnsi="Calibri" w:cs="Calibri"/>
                <w:b w:val="0"/>
                <w:bCs w:val="0"/>
                <w:color w:val="000000" w:themeColor="text1"/>
              </w:rPr>
              <w:t>Chuarrancho</w:t>
            </w:r>
          </w:p>
        </w:tc>
        <w:tc>
          <w:tcPr>
            <w:tcW w:w="2025" w:type="dxa"/>
            <w:tcMar>
              <w:left w:w="108" w:type="dxa"/>
              <w:right w:w="108" w:type="dxa"/>
            </w:tcMar>
          </w:tcPr>
          <w:p w14:paraId="08976620" w14:textId="17E13D87"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Q0.00</w:t>
            </w:r>
          </w:p>
        </w:tc>
        <w:tc>
          <w:tcPr>
            <w:tcW w:w="1995" w:type="dxa"/>
            <w:tcMar>
              <w:left w:w="108" w:type="dxa"/>
              <w:right w:w="108" w:type="dxa"/>
            </w:tcMar>
          </w:tcPr>
          <w:p w14:paraId="500A2789" w14:textId="61633114"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Q0.00</w:t>
            </w:r>
          </w:p>
        </w:tc>
        <w:tc>
          <w:tcPr>
            <w:tcW w:w="1185" w:type="dxa"/>
            <w:shd w:val="clear" w:color="auto" w:fill="C00000"/>
            <w:tcMar>
              <w:left w:w="108" w:type="dxa"/>
              <w:right w:w="108" w:type="dxa"/>
            </w:tcMar>
          </w:tcPr>
          <w:p w14:paraId="4A17E4F0" w14:textId="6982F5C9"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0.00%</w:t>
            </w:r>
          </w:p>
        </w:tc>
        <w:tc>
          <w:tcPr>
            <w:tcW w:w="1245" w:type="dxa"/>
            <w:shd w:val="clear" w:color="auto" w:fill="C00000"/>
            <w:tcMar>
              <w:left w:w="108" w:type="dxa"/>
              <w:right w:w="108" w:type="dxa"/>
            </w:tcMar>
          </w:tcPr>
          <w:p w14:paraId="3EA6A2B0" w14:textId="21927F99" w:rsidR="34D87270" w:rsidRDefault="34D87270" w:rsidP="34D87270">
            <w:pPr>
              <w:jc w:val="right"/>
              <w:cnfStyle w:val="000000000000" w:firstRow="0" w:lastRow="0" w:firstColumn="0" w:lastColumn="0" w:oddVBand="0" w:evenVBand="0" w:oddHBand="0" w:evenHBand="0" w:firstRowFirstColumn="0" w:firstRowLastColumn="0" w:lastRowFirstColumn="0" w:lastRowLastColumn="0"/>
            </w:pPr>
            <w:r w:rsidRPr="34D87270">
              <w:rPr>
                <w:rFonts w:ascii="Calibri" w:eastAsia="Calibri" w:hAnsi="Calibri" w:cs="Calibri"/>
                <w:color w:val="000000" w:themeColor="text1"/>
              </w:rPr>
              <w:t>0.00%</w:t>
            </w:r>
          </w:p>
        </w:tc>
      </w:tr>
    </w:tbl>
    <w:p w14:paraId="4FEF63C6" w14:textId="0302F8E7" w:rsidR="00693BD9" w:rsidRPr="003051CD" w:rsidRDefault="34D87270" w:rsidP="34D87270">
      <w:pPr>
        <w:autoSpaceDE w:val="0"/>
        <w:autoSpaceDN w:val="0"/>
        <w:adjustRightInd w:val="0"/>
        <w:spacing w:after="0" w:line="240" w:lineRule="auto"/>
        <w:jc w:val="both"/>
        <w:rPr>
          <w:rFonts w:eastAsiaTheme="minorEastAsia"/>
          <w:sz w:val="18"/>
          <w:szCs w:val="18"/>
          <w:lang w:val="es-ES"/>
        </w:rPr>
      </w:pPr>
      <w:r w:rsidRPr="34D87270">
        <w:rPr>
          <w:rFonts w:eastAsiaTheme="minorEastAsia"/>
          <w:sz w:val="18"/>
          <w:szCs w:val="18"/>
          <w:lang w:val="es-ES"/>
        </w:rPr>
        <w:t>Fuente: Siplangl, III informe cuatrimestral y acumulado. Año 2022.</w:t>
      </w:r>
    </w:p>
    <w:p w14:paraId="165CDF01" w14:textId="77777777" w:rsidR="00E15871" w:rsidRDefault="00E15871" w:rsidP="002F4FE3">
      <w:pPr>
        <w:autoSpaceDE w:val="0"/>
        <w:autoSpaceDN w:val="0"/>
        <w:adjustRightInd w:val="0"/>
        <w:spacing w:after="120" w:line="240" w:lineRule="auto"/>
        <w:jc w:val="both"/>
        <w:rPr>
          <w:rFonts w:eastAsia="Times New Roman" w:cstheme="minorHAnsi"/>
          <w:b/>
          <w:bCs/>
          <w:color w:val="002060"/>
          <w:sz w:val="28"/>
          <w:szCs w:val="28"/>
          <w:lang w:val="es-ES"/>
        </w:rPr>
      </w:pPr>
    </w:p>
    <w:p w14:paraId="57A1B584" w14:textId="77777777" w:rsidR="00E15871" w:rsidRDefault="00E15871" w:rsidP="002F4FE3">
      <w:pPr>
        <w:autoSpaceDE w:val="0"/>
        <w:autoSpaceDN w:val="0"/>
        <w:adjustRightInd w:val="0"/>
        <w:spacing w:after="120" w:line="240" w:lineRule="auto"/>
        <w:jc w:val="both"/>
        <w:rPr>
          <w:rFonts w:eastAsia="Times New Roman" w:cstheme="minorHAnsi"/>
          <w:b/>
          <w:bCs/>
          <w:color w:val="002060"/>
          <w:sz w:val="28"/>
          <w:szCs w:val="28"/>
          <w:lang w:val="es-ES"/>
        </w:rPr>
      </w:pPr>
    </w:p>
    <w:p w14:paraId="28FB59FC" w14:textId="03E3DCFE" w:rsidR="00693BD9" w:rsidRPr="002F4FE3" w:rsidRDefault="34D87270" w:rsidP="002F4FE3">
      <w:pPr>
        <w:autoSpaceDE w:val="0"/>
        <w:autoSpaceDN w:val="0"/>
        <w:adjustRightInd w:val="0"/>
        <w:spacing w:after="120" w:line="240" w:lineRule="auto"/>
        <w:jc w:val="both"/>
        <w:rPr>
          <w:rFonts w:eastAsia="Times New Roman" w:cstheme="minorHAnsi"/>
          <w:b/>
          <w:color w:val="002060"/>
          <w:sz w:val="28"/>
          <w:szCs w:val="28"/>
          <w:lang w:val="es-ES"/>
        </w:rPr>
      </w:pPr>
      <w:r w:rsidRPr="002F4FE3">
        <w:rPr>
          <w:rFonts w:eastAsia="Times New Roman" w:cstheme="minorHAnsi"/>
          <w:b/>
          <w:bCs/>
          <w:color w:val="002060"/>
          <w:sz w:val="28"/>
          <w:szCs w:val="28"/>
          <w:lang w:val="es-ES"/>
        </w:rPr>
        <w:t>Retalhuleu</w:t>
      </w:r>
    </w:p>
    <w:p w14:paraId="6B1AD089" w14:textId="1CBCA847" w:rsidR="00693BD9" w:rsidRPr="003051CD" w:rsidRDefault="002F4FE3" w:rsidP="002F4FE3">
      <w:pPr>
        <w:autoSpaceDE w:val="0"/>
        <w:autoSpaceDN w:val="0"/>
        <w:adjustRightInd w:val="0"/>
        <w:spacing w:after="120" w:line="240" w:lineRule="auto"/>
        <w:jc w:val="both"/>
      </w:pPr>
      <w:r>
        <w:rPr>
          <w:noProof/>
        </w:rPr>
        <w:drawing>
          <wp:anchor distT="0" distB="0" distL="114300" distR="114300" simplePos="0" relativeHeight="251708928" behindDoc="1" locked="0" layoutInCell="1" allowOverlap="1" wp14:anchorId="196E0C21" wp14:editId="465EE9CD">
            <wp:simplePos x="0" y="0"/>
            <wp:positionH relativeFrom="column">
              <wp:posOffset>4381500</wp:posOffset>
            </wp:positionH>
            <wp:positionV relativeFrom="paragraph">
              <wp:posOffset>81915</wp:posOffset>
            </wp:positionV>
            <wp:extent cx="1504315" cy="1047115"/>
            <wp:effectExtent l="19050" t="19050" r="19685" b="19685"/>
            <wp:wrapTight wrapText="bothSides">
              <wp:wrapPolygon edited="0">
                <wp:start x="-274" y="-393"/>
                <wp:lineTo x="-274" y="21613"/>
                <wp:lineTo x="21609" y="21613"/>
                <wp:lineTo x="21609" y="-393"/>
                <wp:lineTo x="-274" y="-393"/>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04315" cy="1047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34D87270" w:rsidRPr="34D87270">
        <w:rPr>
          <w:rFonts w:ascii="Calibri" w:eastAsia="Calibri" w:hAnsi="Calibri" w:cs="Calibri"/>
          <w:sz w:val="24"/>
          <w:szCs w:val="24"/>
          <w:lang w:val="es-ES"/>
        </w:rPr>
        <w:t>Es el departamento que mayor ejecución física presentó en el año 2022; el promedio de avance de ejecución departamental fue de 81.72 %. Tres de los municipios, presentaron avance de más del 95%, siendo estos: Santa Cruz Muluá, San Felipe y San Andrés Villa Seca.</w:t>
      </w:r>
      <w:r w:rsidR="34D87270" w:rsidRPr="34D87270">
        <w:rPr>
          <w:rFonts w:ascii="Calibri" w:eastAsia="Calibri" w:hAnsi="Calibri" w:cs="Calibri"/>
          <w:lang w:val="es-ES"/>
        </w:rPr>
        <w:t xml:space="preserve"> </w:t>
      </w:r>
    </w:p>
    <w:p w14:paraId="59C39D06" w14:textId="77777777" w:rsidR="002F4FE3" w:rsidRDefault="34D87270" w:rsidP="002F4FE3">
      <w:pPr>
        <w:autoSpaceDE w:val="0"/>
        <w:autoSpaceDN w:val="0"/>
        <w:adjustRightInd w:val="0"/>
        <w:spacing w:after="120" w:line="240" w:lineRule="auto"/>
        <w:jc w:val="both"/>
        <w:rPr>
          <w:rFonts w:ascii="Calibri" w:eastAsia="Calibri" w:hAnsi="Calibri" w:cs="Calibri"/>
          <w:sz w:val="24"/>
          <w:szCs w:val="24"/>
          <w:lang w:val="es-ES"/>
        </w:rPr>
      </w:pPr>
      <w:r w:rsidRPr="34D87270">
        <w:rPr>
          <w:rFonts w:ascii="Calibri" w:eastAsia="Calibri" w:hAnsi="Calibri" w:cs="Calibri"/>
          <w:sz w:val="24"/>
          <w:szCs w:val="24"/>
          <w:lang w:val="es-ES"/>
        </w:rPr>
        <w:t>En relación al avance financiero, el departamento reportó un 86.27% de avance. Así mismo, tres de los municipios presentaron avance mayor al 93%, siendo éstos: Santa Cruz Muluá, San Andrés Villa Seca y Champerico. Ver siguiente tabla.</w:t>
      </w:r>
    </w:p>
    <w:p w14:paraId="7498F31E" w14:textId="0FF324CF" w:rsidR="00216644" w:rsidRPr="007A6B50" w:rsidRDefault="34D87270" w:rsidP="007A6B50">
      <w:pPr>
        <w:pStyle w:val="ttulosgrficas"/>
        <w:rPr>
          <w:rFonts w:asciiTheme="minorHAnsi" w:eastAsia="Times New Roman" w:hAnsiTheme="minorHAnsi" w:cstheme="minorHAnsi"/>
          <w:color w:val="4472C4" w:themeColor="accent1"/>
          <w:lang w:val="es-ES"/>
        </w:rPr>
      </w:pPr>
      <w:bookmarkStart w:id="74" w:name="_Toc130199619"/>
      <w:r w:rsidRPr="007A6B50">
        <w:rPr>
          <w:rFonts w:asciiTheme="minorHAnsi" w:eastAsia="Times New Roman" w:hAnsiTheme="minorHAnsi" w:cstheme="minorHAnsi"/>
          <w:color w:val="4472C4" w:themeColor="accent1"/>
          <w:lang w:val="es-ES"/>
        </w:rPr>
        <w:t xml:space="preserve">Tabla </w:t>
      </w:r>
      <w:r w:rsidR="006E5E0A" w:rsidRPr="007A6B50">
        <w:rPr>
          <w:rFonts w:asciiTheme="minorHAnsi" w:eastAsia="Times New Roman" w:hAnsiTheme="minorHAnsi" w:cstheme="minorHAnsi"/>
          <w:color w:val="4472C4" w:themeColor="accent1"/>
          <w:lang w:val="es-ES"/>
        </w:rPr>
        <w:fldChar w:fldCharType="begin"/>
      </w:r>
      <w:r w:rsidR="006E5E0A" w:rsidRPr="007A6B50">
        <w:rPr>
          <w:rFonts w:asciiTheme="minorHAnsi" w:eastAsia="Times New Roman" w:hAnsiTheme="minorHAnsi" w:cstheme="minorHAnsi"/>
          <w:color w:val="4472C4" w:themeColor="accent1"/>
          <w:lang w:val="es-ES"/>
        </w:rPr>
        <w:instrText xml:space="preserve"> SEQ Tabla \* ARABIC </w:instrText>
      </w:r>
      <w:r w:rsidR="006E5E0A" w:rsidRPr="007A6B50">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31</w:t>
      </w:r>
      <w:r w:rsidR="006E5E0A" w:rsidRPr="007A6B50">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7A6B50">
        <w:rPr>
          <w:rFonts w:asciiTheme="minorHAnsi" w:eastAsia="Times New Roman" w:hAnsiTheme="minorHAnsi" w:cstheme="minorHAnsi"/>
          <w:color w:val="4472C4" w:themeColor="accent1"/>
          <w:lang w:val="es-ES"/>
        </w:rPr>
        <w:t xml:space="preserve"> Ejecución Física y Financiera, departamento de Retalhuleu</w:t>
      </w:r>
      <w:bookmarkEnd w:id="74"/>
    </w:p>
    <w:tbl>
      <w:tblPr>
        <w:tblStyle w:val="Tabladelista4-nfasis5"/>
        <w:tblW w:w="9405" w:type="dxa"/>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270"/>
        <w:gridCol w:w="1845"/>
        <w:gridCol w:w="1845"/>
        <w:gridCol w:w="1185"/>
        <w:gridCol w:w="1260"/>
      </w:tblGrid>
      <w:tr w:rsidR="193EFB2E" w14:paraId="10E58C38" w14:textId="77777777" w:rsidTr="00EA3448">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70" w:type="dxa"/>
            <w:tcBorders>
              <w:top w:val="none" w:sz="0" w:space="0" w:color="auto"/>
              <w:left w:val="none" w:sz="0" w:space="0" w:color="auto"/>
              <w:bottom w:val="none" w:sz="0" w:space="0" w:color="auto"/>
            </w:tcBorders>
            <w:tcMar>
              <w:left w:w="108" w:type="dxa"/>
              <w:right w:w="108" w:type="dxa"/>
            </w:tcMar>
            <w:vAlign w:val="center"/>
          </w:tcPr>
          <w:p w14:paraId="1CBC53F3" w14:textId="43518139" w:rsidR="193EFB2E" w:rsidRDefault="193EFB2E" w:rsidP="00EA3448">
            <w:pPr>
              <w:jc w:val="center"/>
            </w:pPr>
            <w:r w:rsidRPr="193EFB2E">
              <w:rPr>
                <w:rFonts w:ascii="Calibri" w:eastAsia="Calibri" w:hAnsi="Calibri" w:cs="Calibri"/>
                <w:color w:val="000000" w:themeColor="text1"/>
              </w:rPr>
              <w:t>Municipio</w:t>
            </w:r>
          </w:p>
        </w:tc>
        <w:tc>
          <w:tcPr>
            <w:tcW w:w="1845" w:type="dxa"/>
            <w:tcBorders>
              <w:top w:val="none" w:sz="0" w:space="0" w:color="auto"/>
              <w:bottom w:val="none" w:sz="0" w:space="0" w:color="auto"/>
            </w:tcBorders>
            <w:tcMar>
              <w:left w:w="108" w:type="dxa"/>
              <w:right w:w="108" w:type="dxa"/>
            </w:tcMar>
            <w:vAlign w:val="center"/>
          </w:tcPr>
          <w:p w14:paraId="6DF24549" w14:textId="71F8CA05" w:rsidR="193EFB2E" w:rsidRDefault="193EFB2E" w:rsidP="00EA3448">
            <w:pPr>
              <w:jc w:val="center"/>
              <w:cnfStyle w:val="100000000000" w:firstRow="1"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Meta Financiera Anual Vigente</w:t>
            </w:r>
          </w:p>
        </w:tc>
        <w:tc>
          <w:tcPr>
            <w:tcW w:w="1845" w:type="dxa"/>
            <w:tcBorders>
              <w:top w:val="none" w:sz="0" w:space="0" w:color="auto"/>
              <w:bottom w:val="none" w:sz="0" w:space="0" w:color="auto"/>
            </w:tcBorders>
            <w:tcMar>
              <w:left w:w="108" w:type="dxa"/>
              <w:right w:w="108" w:type="dxa"/>
            </w:tcMar>
            <w:vAlign w:val="center"/>
          </w:tcPr>
          <w:p w14:paraId="5BD24DB9" w14:textId="484BBDEC" w:rsidR="193EFB2E" w:rsidRDefault="193EFB2E" w:rsidP="00EA3448">
            <w:pPr>
              <w:jc w:val="center"/>
              <w:cnfStyle w:val="100000000000" w:firstRow="1"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Ejecución Financiera Acumulada</w:t>
            </w:r>
          </w:p>
        </w:tc>
        <w:tc>
          <w:tcPr>
            <w:tcW w:w="1185" w:type="dxa"/>
            <w:tcBorders>
              <w:top w:val="none" w:sz="0" w:space="0" w:color="auto"/>
              <w:bottom w:val="none" w:sz="0" w:space="0" w:color="auto"/>
            </w:tcBorders>
            <w:tcMar>
              <w:left w:w="108" w:type="dxa"/>
              <w:right w:w="108" w:type="dxa"/>
            </w:tcMar>
            <w:vAlign w:val="center"/>
          </w:tcPr>
          <w:p w14:paraId="47480DAF" w14:textId="05595741" w:rsidR="193EFB2E" w:rsidRDefault="193EFB2E" w:rsidP="00EA3448">
            <w:pPr>
              <w:jc w:val="center"/>
              <w:cnfStyle w:val="100000000000" w:firstRow="1"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 de Ejecución Física</w:t>
            </w:r>
          </w:p>
        </w:tc>
        <w:tc>
          <w:tcPr>
            <w:tcW w:w="1260" w:type="dxa"/>
            <w:tcBorders>
              <w:top w:val="none" w:sz="0" w:space="0" w:color="auto"/>
              <w:bottom w:val="none" w:sz="0" w:space="0" w:color="auto"/>
              <w:right w:val="none" w:sz="0" w:space="0" w:color="auto"/>
            </w:tcBorders>
            <w:tcMar>
              <w:left w:w="108" w:type="dxa"/>
              <w:right w:w="108" w:type="dxa"/>
            </w:tcMar>
            <w:vAlign w:val="center"/>
          </w:tcPr>
          <w:p w14:paraId="180E129A" w14:textId="2DB96767" w:rsidR="193EFB2E" w:rsidRDefault="193EFB2E" w:rsidP="00EA3448">
            <w:pPr>
              <w:jc w:val="center"/>
              <w:cnfStyle w:val="100000000000" w:firstRow="1"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 de Ejecución Financiera</w:t>
            </w:r>
          </w:p>
        </w:tc>
      </w:tr>
      <w:tr w:rsidR="193EFB2E" w14:paraId="579520A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15B6C6E9" w14:textId="59F204ED" w:rsidR="193EFB2E" w:rsidRDefault="193EFB2E" w:rsidP="193EFB2E">
            <w:r w:rsidRPr="193EFB2E">
              <w:rPr>
                <w:rFonts w:ascii="Calibri" w:eastAsia="Calibri" w:hAnsi="Calibri" w:cs="Calibri"/>
                <w:color w:val="000000" w:themeColor="text1"/>
              </w:rPr>
              <w:t xml:space="preserve"> Todo el Departamento</w:t>
            </w:r>
          </w:p>
        </w:tc>
        <w:tc>
          <w:tcPr>
            <w:tcW w:w="1845" w:type="dxa"/>
            <w:tcMar>
              <w:left w:w="108" w:type="dxa"/>
              <w:right w:w="108" w:type="dxa"/>
            </w:tcMar>
          </w:tcPr>
          <w:p w14:paraId="04B5798E" w14:textId="3F5807C4"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b/>
                <w:bCs/>
                <w:color w:val="000000" w:themeColor="text1"/>
              </w:rPr>
              <w:t>Q253,263,631.99</w:t>
            </w:r>
          </w:p>
        </w:tc>
        <w:tc>
          <w:tcPr>
            <w:tcW w:w="1845" w:type="dxa"/>
            <w:tcMar>
              <w:left w:w="108" w:type="dxa"/>
              <w:right w:w="108" w:type="dxa"/>
            </w:tcMar>
          </w:tcPr>
          <w:p w14:paraId="0F3227F9" w14:textId="1171AF32"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b/>
                <w:bCs/>
                <w:color w:val="000000" w:themeColor="text1"/>
              </w:rPr>
              <w:t>Q218,483,726.34</w:t>
            </w:r>
          </w:p>
        </w:tc>
        <w:tc>
          <w:tcPr>
            <w:tcW w:w="1185" w:type="dxa"/>
            <w:shd w:val="clear" w:color="auto" w:fill="FFFF00"/>
            <w:tcMar>
              <w:left w:w="108" w:type="dxa"/>
              <w:right w:w="108" w:type="dxa"/>
            </w:tcMar>
            <w:vAlign w:val="bottom"/>
          </w:tcPr>
          <w:p w14:paraId="54335FEC" w14:textId="1229E591"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b/>
                <w:bCs/>
                <w:color w:val="000000" w:themeColor="text1"/>
              </w:rPr>
              <w:t>81.72%</w:t>
            </w:r>
          </w:p>
        </w:tc>
        <w:tc>
          <w:tcPr>
            <w:tcW w:w="1260" w:type="dxa"/>
            <w:shd w:val="clear" w:color="auto" w:fill="FFFF00"/>
            <w:tcMar>
              <w:left w:w="108" w:type="dxa"/>
              <w:right w:w="108" w:type="dxa"/>
            </w:tcMar>
            <w:vAlign w:val="bottom"/>
          </w:tcPr>
          <w:p w14:paraId="1161B1E6" w14:textId="5F642B19"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b/>
                <w:bCs/>
                <w:color w:val="000000" w:themeColor="text1"/>
              </w:rPr>
              <w:t>86.27%</w:t>
            </w:r>
          </w:p>
        </w:tc>
      </w:tr>
      <w:tr w:rsidR="193EFB2E" w14:paraId="50BF2A2F"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185AAB5F" w14:textId="28B89C10" w:rsidR="193EFB2E" w:rsidRDefault="193EFB2E" w:rsidP="193EFB2E">
            <w:pPr>
              <w:rPr>
                <w:rFonts w:ascii="Calibri" w:eastAsia="Calibri" w:hAnsi="Calibri" w:cs="Calibri"/>
                <w:b w:val="0"/>
                <w:bCs w:val="0"/>
                <w:color w:val="000000" w:themeColor="text1"/>
              </w:rPr>
            </w:pPr>
            <w:r w:rsidRPr="193EFB2E">
              <w:rPr>
                <w:rFonts w:ascii="Calibri" w:eastAsia="Calibri" w:hAnsi="Calibri" w:cs="Calibri"/>
                <w:b w:val="0"/>
                <w:bCs w:val="0"/>
                <w:color w:val="000000" w:themeColor="text1"/>
              </w:rPr>
              <w:t>Santa Cruz Muluá</w:t>
            </w:r>
          </w:p>
        </w:tc>
        <w:tc>
          <w:tcPr>
            <w:tcW w:w="1845" w:type="dxa"/>
            <w:tcMar>
              <w:left w:w="108" w:type="dxa"/>
              <w:right w:w="108" w:type="dxa"/>
            </w:tcMar>
          </w:tcPr>
          <w:p w14:paraId="363326B5" w14:textId="5C8B0270"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Q24,030,931.00</w:t>
            </w:r>
          </w:p>
        </w:tc>
        <w:tc>
          <w:tcPr>
            <w:tcW w:w="1845" w:type="dxa"/>
            <w:tcMar>
              <w:left w:w="108" w:type="dxa"/>
              <w:right w:w="108" w:type="dxa"/>
            </w:tcMar>
          </w:tcPr>
          <w:p w14:paraId="70B47E30" w14:textId="7179E40A"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Q24,030,931.00</w:t>
            </w:r>
          </w:p>
        </w:tc>
        <w:tc>
          <w:tcPr>
            <w:tcW w:w="1185" w:type="dxa"/>
            <w:shd w:val="clear" w:color="auto" w:fill="92D050"/>
            <w:tcMar>
              <w:left w:w="108" w:type="dxa"/>
              <w:right w:w="108" w:type="dxa"/>
            </w:tcMar>
            <w:vAlign w:val="bottom"/>
          </w:tcPr>
          <w:p w14:paraId="76CB1075" w14:textId="5D60AA95"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100.00%</w:t>
            </w:r>
          </w:p>
        </w:tc>
        <w:tc>
          <w:tcPr>
            <w:tcW w:w="1260" w:type="dxa"/>
            <w:shd w:val="clear" w:color="auto" w:fill="92D050"/>
            <w:tcMar>
              <w:left w:w="108" w:type="dxa"/>
              <w:right w:w="108" w:type="dxa"/>
            </w:tcMar>
            <w:vAlign w:val="bottom"/>
          </w:tcPr>
          <w:p w14:paraId="081A3179" w14:textId="299861BC"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100.00%</w:t>
            </w:r>
          </w:p>
        </w:tc>
      </w:tr>
      <w:tr w:rsidR="193EFB2E" w14:paraId="237B9249"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15553CAC" w14:textId="581098D1" w:rsidR="193EFB2E" w:rsidRDefault="193EFB2E" w:rsidP="193EFB2E">
            <w:pPr>
              <w:rPr>
                <w:rFonts w:ascii="Calibri" w:eastAsia="Calibri" w:hAnsi="Calibri" w:cs="Calibri"/>
                <w:b w:val="0"/>
                <w:bCs w:val="0"/>
                <w:color w:val="000000" w:themeColor="text1"/>
              </w:rPr>
            </w:pPr>
            <w:r w:rsidRPr="193EFB2E">
              <w:rPr>
                <w:rFonts w:ascii="Calibri" w:eastAsia="Calibri" w:hAnsi="Calibri" w:cs="Calibri"/>
                <w:b w:val="0"/>
                <w:bCs w:val="0"/>
                <w:color w:val="000000" w:themeColor="text1"/>
              </w:rPr>
              <w:t>San Felipe</w:t>
            </w:r>
          </w:p>
        </w:tc>
        <w:tc>
          <w:tcPr>
            <w:tcW w:w="1845" w:type="dxa"/>
            <w:tcMar>
              <w:left w:w="108" w:type="dxa"/>
              <w:right w:w="108" w:type="dxa"/>
            </w:tcMar>
          </w:tcPr>
          <w:p w14:paraId="1095DFDF" w14:textId="4EAA9020"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Q23,121,779.00</w:t>
            </w:r>
          </w:p>
        </w:tc>
        <w:tc>
          <w:tcPr>
            <w:tcW w:w="1845" w:type="dxa"/>
            <w:tcMar>
              <w:left w:w="108" w:type="dxa"/>
              <w:right w:w="108" w:type="dxa"/>
            </w:tcMar>
          </w:tcPr>
          <w:p w14:paraId="5C2A5EF4" w14:textId="522E4DAD"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Q21,131,584.13</w:t>
            </w:r>
          </w:p>
        </w:tc>
        <w:tc>
          <w:tcPr>
            <w:tcW w:w="1185" w:type="dxa"/>
            <w:shd w:val="clear" w:color="auto" w:fill="92D050"/>
            <w:tcMar>
              <w:left w:w="108" w:type="dxa"/>
              <w:right w:w="108" w:type="dxa"/>
            </w:tcMar>
            <w:vAlign w:val="bottom"/>
          </w:tcPr>
          <w:p w14:paraId="788BB7BE" w14:textId="634A6B62"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95.87%</w:t>
            </w:r>
          </w:p>
        </w:tc>
        <w:tc>
          <w:tcPr>
            <w:tcW w:w="1260" w:type="dxa"/>
            <w:shd w:val="clear" w:color="auto" w:fill="92D050"/>
            <w:tcMar>
              <w:left w:w="108" w:type="dxa"/>
              <w:right w:w="108" w:type="dxa"/>
            </w:tcMar>
            <w:vAlign w:val="bottom"/>
          </w:tcPr>
          <w:p w14:paraId="31BA12EB" w14:textId="25CBF75D"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91.39%</w:t>
            </w:r>
          </w:p>
        </w:tc>
      </w:tr>
      <w:tr w:rsidR="193EFB2E" w14:paraId="0C5D8F00"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36152619" w14:textId="6A53C833" w:rsidR="193EFB2E" w:rsidRDefault="193EFB2E" w:rsidP="193EFB2E">
            <w:pPr>
              <w:rPr>
                <w:rFonts w:ascii="Calibri" w:eastAsia="Calibri" w:hAnsi="Calibri" w:cs="Calibri"/>
                <w:b w:val="0"/>
                <w:bCs w:val="0"/>
                <w:color w:val="000000" w:themeColor="text1"/>
              </w:rPr>
            </w:pPr>
            <w:r w:rsidRPr="193EFB2E">
              <w:rPr>
                <w:rFonts w:ascii="Calibri" w:eastAsia="Calibri" w:hAnsi="Calibri" w:cs="Calibri"/>
                <w:b w:val="0"/>
                <w:bCs w:val="0"/>
                <w:color w:val="000000" w:themeColor="text1"/>
              </w:rPr>
              <w:t>San Andrés Villa Seca</w:t>
            </w:r>
          </w:p>
        </w:tc>
        <w:tc>
          <w:tcPr>
            <w:tcW w:w="1845" w:type="dxa"/>
            <w:tcMar>
              <w:left w:w="108" w:type="dxa"/>
              <w:right w:w="108" w:type="dxa"/>
            </w:tcMar>
          </w:tcPr>
          <w:p w14:paraId="10FC439E" w14:textId="11ECFB8C"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Q22,474,566.95</w:t>
            </w:r>
          </w:p>
        </w:tc>
        <w:tc>
          <w:tcPr>
            <w:tcW w:w="1845" w:type="dxa"/>
            <w:tcMar>
              <w:left w:w="108" w:type="dxa"/>
              <w:right w:w="108" w:type="dxa"/>
            </w:tcMar>
          </w:tcPr>
          <w:p w14:paraId="19D37B11" w14:textId="1C3493F5"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Q21,374,566.95</w:t>
            </w:r>
          </w:p>
        </w:tc>
        <w:tc>
          <w:tcPr>
            <w:tcW w:w="1185" w:type="dxa"/>
            <w:shd w:val="clear" w:color="auto" w:fill="92D050"/>
            <w:tcMar>
              <w:left w:w="108" w:type="dxa"/>
              <w:right w:w="108" w:type="dxa"/>
            </w:tcMar>
            <w:vAlign w:val="bottom"/>
          </w:tcPr>
          <w:p w14:paraId="746EAF52" w14:textId="5F165EA1"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95.81%</w:t>
            </w:r>
          </w:p>
        </w:tc>
        <w:tc>
          <w:tcPr>
            <w:tcW w:w="1260" w:type="dxa"/>
            <w:shd w:val="clear" w:color="auto" w:fill="92D050"/>
            <w:tcMar>
              <w:left w:w="108" w:type="dxa"/>
              <w:right w:w="108" w:type="dxa"/>
            </w:tcMar>
            <w:vAlign w:val="bottom"/>
          </w:tcPr>
          <w:p w14:paraId="77B87327" w14:textId="5F87157C"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95.11%</w:t>
            </w:r>
          </w:p>
        </w:tc>
      </w:tr>
      <w:tr w:rsidR="193EFB2E" w14:paraId="3E9F6723"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361D1386" w14:textId="21264915" w:rsidR="193EFB2E" w:rsidRDefault="193EFB2E" w:rsidP="193EFB2E">
            <w:pPr>
              <w:rPr>
                <w:rFonts w:ascii="Calibri" w:eastAsia="Calibri" w:hAnsi="Calibri" w:cs="Calibri"/>
                <w:b w:val="0"/>
                <w:bCs w:val="0"/>
                <w:color w:val="000000" w:themeColor="text1"/>
              </w:rPr>
            </w:pPr>
            <w:r w:rsidRPr="193EFB2E">
              <w:rPr>
                <w:rFonts w:ascii="Calibri" w:eastAsia="Calibri" w:hAnsi="Calibri" w:cs="Calibri"/>
                <w:b w:val="0"/>
                <w:bCs w:val="0"/>
                <w:color w:val="000000" w:themeColor="text1"/>
              </w:rPr>
              <w:t>Champerico</w:t>
            </w:r>
          </w:p>
        </w:tc>
        <w:tc>
          <w:tcPr>
            <w:tcW w:w="1845" w:type="dxa"/>
            <w:tcMar>
              <w:left w:w="108" w:type="dxa"/>
              <w:right w:w="108" w:type="dxa"/>
            </w:tcMar>
          </w:tcPr>
          <w:p w14:paraId="5715C896" w14:textId="70E140D7"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Q38,107,207.11</w:t>
            </w:r>
          </w:p>
        </w:tc>
        <w:tc>
          <w:tcPr>
            <w:tcW w:w="1845" w:type="dxa"/>
            <w:tcMar>
              <w:left w:w="108" w:type="dxa"/>
              <w:right w:w="108" w:type="dxa"/>
            </w:tcMar>
          </w:tcPr>
          <w:p w14:paraId="2499C3A0" w14:textId="6083BA57"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Q35,803,491.03</w:t>
            </w:r>
          </w:p>
        </w:tc>
        <w:tc>
          <w:tcPr>
            <w:tcW w:w="1185" w:type="dxa"/>
            <w:shd w:val="clear" w:color="auto" w:fill="92D050"/>
            <w:tcMar>
              <w:left w:w="108" w:type="dxa"/>
              <w:right w:w="108" w:type="dxa"/>
            </w:tcMar>
            <w:vAlign w:val="bottom"/>
          </w:tcPr>
          <w:p w14:paraId="08E5A4E9" w14:textId="52024110"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92.90%</w:t>
            </w:r>
          </w:p>
        </w:tc>
        <w:tc>
          <w:tcPr>
            <w:tcW w:w="1260" w:type="dxa"/>
            <w:shd w:val="clear" w:color="auto" w:fill="92D050"/>
            <w:tcMar>
              <w:left w:w="108" w:type="dxa"/>
              <w:right w:w="108" w:type="dxa"/>
            </w:tcMar>
            <w:vAlign w:val="bottom"/>
          </w:tcPr>
          <w:p w14:paraId="3FEEC53A" w14:textId="256A152F"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93.95%</w:t>
            </w:r>
          </w:p>
        </w:tc>
      </w:tr>
      <w:tr w:rsidR="193EFB2E" w14:paraId="71621387"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33EF5FD0" w14:textId="37CEB50E" w:rsidR="193EFB2E" w:rsidRDefault="193EFB2E" w:rsidP="193EFB2E">
            <w:pPr>
              <w:rPr>
                <w:rFonts w:ascii="Calibri" w:eastAsia="Calibri" w:hAnsi="Calibri" w:cs="Calibri"/>
                <w:b w:val="0"/>
                <w:bCs w:val="0"/>
                <w:color w:val="000000" w:themeColor="text1"/>
              </w:rPr>
            </w:pPr>
            <w:r w:rsidRPr="193EFB2E">
              <w:rPr>
                <w:rFonts w:ascii="Calibri" w:eastAsia="Calibri" w:hAnsi="Calibri" w:cs="Calibri"/>
                <w:b w:val="0"/>
                <w:bCs w:val="0"/>
                <w:color w:val="000000" w:themeColor="text1"/>
              </w:rPr>
              <w:t>El Asintal</w:t>
            </w:r>
          </w:p>
        </w:tc>
        <w:tc>
          <w:tcPr>
            <w:tcW w:w="1845" w:type="dxa"/>
            <w:tcMar>
              <w:left w:w="108" w:type="dxa"/>
              <w:right w:w="108" w:type="dxa"/>
            </w:tcMar>
          </w:tcPr>
          <w:p w14:paraId="6A6BCCF2" w14:textId="77E6FEA4"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Q26,101,872.47</w:t>
            </w:r>
          </w:p>
        </w:tc>
        <w:tc>
          <w:tcPr>
            <w:tcW w:w="1845" w:type="dxa"/>
            <w:tcMar>
              <w:left w:w="108" w:type="dxa"/>
              <w:right w:w="108" w:type="dxa"/>
            </w:tcMar>
          </w:tcPr>
          <w:p w14:paraId="1B5CA7AF" w14:textId="047DE1E6"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Q24,140,607.17</w:t>
            </w:r>
          </w:p>
        </w:tc>
        <w:tc>
          <w:tcPr>
            <w:tcW w:w="1185" w:type="dxa"/>
            <w:shd w:val="clear" w:color="auto" w:fill="92D050"/>
            <w:tcMar>
              <w:left w:w="108" w:type="dxa"/>
              <w:right w:w="108" w:type="dxa"/>
            </w:tcMar>
            <w:vAlign w:val="bottom"/>
          </w:tcPr>
          <w:p w14:paraId="518F19A4" w14:textId="5E1A2AEC"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90.31%</w:t>
            </w:r>
          </w:p>
        </w:tc>
        <w:tc>
          <w:tcPr>
            <w:tcW w:w="1260" w:type="dxa"/>
            <w:shd w:val="clear" w:color="auto" w:fill="92D050"/>
            <w:tcMar>
              <w:left w:w="108" w:type="dxa"/>
              <w:right w:w="108" w:type="dxa"/>
            </w:tcMar>
            <w:vAlign w:val="bottom"/>
          </w:tcPr>
          <w:p w14:paraId="1839B4CB" w14:textId="28318CB5"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92.49%</w:t>
            </w:r>
          </w:p>
        </w:tc>
      </w:tr>
      <w:tr w:rsidR="193EFB2E" w14:paraId="1438AFB8"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596CB9AE" w14:textId="5A434D78" w:rsidR="193EFB2E" w:rsidRDefault="193EFB2E" w:rsidP="193EFB2E">
            <w:pPr>
              <w:rPr>
                <w:rFonts w:ascii="Calibri" w:eastAsia="Calibri" w:hAnsi="Calibri" w:cs="Calibri"/>
                <w:b w:val="0"/>
                <w:bCs w:val="0"/>
                <w:color w:val="000000" w:themeColor="text1"/>
              </w:rPr>
            </w:pPr>
            <w:r w:rsidRPr="193EFB2E">
              <w:rPr>
                <w:rFonts w:ascii="Calibri" w:eastAsia="Calibri" w:hAnsi="Calibri" w:cs="Calibri"/>
                <w:b w:val="0"/>
                <w:bCs w:val="0"/>
                <w:color w:val="000000" w:themeColor="text1"/>
              </w:rPr>
              <w:t>Nuevo San Carlos</w:t>
            </w:r>
          </w:p>
        </w:tc>
        <w:tc>
          <w:tcPr>
            <w:tcW w:w="1845" w:type="dxa"/>
            <w:tcMar>
              <w:left w:w="108" w:type="dxa"/>
              <w:right w:w="108" w:type="dxa"/>
            </w:tcMar>
          </w:tcPr>
          <w:p w14:paraId="4C834984" w14:textId="060CCDC8"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Q37,546,411.17</w:t>
            </w:r>
          </w:p>
        </w:tc>
        <w:tc>
          <w:tcPr>
            <w:tcW w:w="1845" w:type="dxa"/>
            <w:tcMar>
              <w:left w:w="108" w:type="dxa"/>
              <w:right w:w="108" w:type="dxa"/>
            </w:tcMar>
          </w:tcPr>
          <w:p w14:paraId="6303A83A" w14:textId="57006C46"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Q34,273,425.34</w:t>
            </w:r>
          </w:p>
        </w:tc>
        <w:tc>
          <w:tcPr>
            <w:tcW w:w="1185" w:type="dxa"/>
            <w:shd w:val="clear" w:color="auto" w:fill="FFFF00"/>
            <w:tcMar>
              <w:left w:w="108" w:type="dxa"/>
              <w:right w:w="108" w:type="dxa"/>
            </w:tcMar>
            <w:vAlign w:val="bottom"/>
          </w:tcPr>
          <w:p w14:paraId="1ED9612D" w14:textId="57CC4D9E"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85.53%</w:t>
            </w:r>
          </w:p>
        </w:tc>
        <w:tc>
          <w:tcPr>
            <w:tcW w:w="1260" w:type="dxa"/>
            <w:shd w:val="clear" w:color="auto" w:fill="92D050"/>
            <w:tcMar>
              <w:left w:w="108" w:type="dxa"/>
              <w:right w:w="108" w:type="dxa"/>
            </w:tcMar>
            <w:vAlign w:val="bottom"/>
          </w:tcPr>
          <w:p w14:paraId="0C095AF5" w14:textId="3D98A689"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91.28%</w:t>
            </w:r>
          </w:p>
        </w:tc>
      </w:tr>
      <w:tr w:rsidR="193EFB2E" w14:paraId="2043228A"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0FB4E081" w14:textId="34CBAB9E" w:rsidR="193EFB2E" w:rsidRDefault="193EFB2E" w:rsidP="193EFB2E">
            <w:pPr>
              <w:rPr>
                <w:rFonts w:ascii="Calibri" w:eastAsia="Calibri" w:hAnsi="Calibri" w:cs="Calibri"/>
                <w:b w:val="0"/>
                <w:bCs w:val="0"/>
                <w:color w:val="000000" w:themeColor="text1"/>
              </w:rPr>
            </w:pPr>
            <w:r w:rsidRPr="193EFB2E">
              <w:rPr>
                <w:rFonts w:ascii="Calibri" w:eastAsia="Calibri" w:hAnsi="Calibri" w:cs="Calibri"/>
                <w:b w:val="0"/>
                <w:bCs w:val="0"/>
                <w:color w:val="000000" w:themeColor="text1"/>
              </w:rPr>
              <w:t>San Martin Zapotitlán</w:t>
            </w:r>
          </w:p>
        </w:tc>
        <w:tc>
          <w:tcPr>
            <w:tcW w:w="1845" w:type="dxa"/>
            <w:tcMar>
              <w:left w:w="108" w:type="dxa"/>
              <w:right w:w="108" w:type="dxa"/>
            </w:tcMar>
          </w:tcPr>
          <w:p w14:paraId="7E78E95E" w14:textId="5104AFA1"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Q19,628,895.50</w:t>
            </w:r>
          </w:p>
        </w:tc>
        <w:tc>
          <w:tcPr>
            <w:tcW w:w="1845" w:type="dxa"/>
            <w:tcMar>
              <w:left w:w="108" w:type="dxa"/>
              <w:right w:w="108" w:type="dxa"/>
            </w:tcMar>
          </w:tcPr>
          <w:p w14:paraId="17197276" w14:textId="7C5C79E9"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Q16,812,808.98</w:t>
            </w:r>
          </w:p>
        </w:tc>
        <w:tc>
          <w:tcPr>
            <w:tcW w:w="1185" w:type="dxa"/>
            <w:shd w:val="clear" w:color="auto" w:fill="FFFF00"/>
            <w:tcMar>
              <w:left w:w="108" w:type="dxa"/>
              <w:right w:w="108" w:type="dxa"/>
            </w:tcMar>
            <w:vAlign w:val="bottom"/>
          </w:tcPr>
          <w:p w14:paraId="5C8BBA9F" w14:textId="5FA1E5A7"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68.37%</w:t>
            </w:r>
          </w:p>
        </w:tc>
        <w:tc>
          <w:tcPr>
            <w:tcW w:w="1260" w:type="dxa"/>
            <w:shd w:val="clear" w:color="auto" w:fill="FFFF00"/>
            <w:tcMar>
              <w:left w:w="108" w:type="dxa"/>
              <w:right w:w="108" w:type="dxa"/>
            </w:tcMar>
            <w:vAlign w:val="bottom"/>
          </w:tcPr>
          <w:p w14:paraId="758351D4" w14:textId="74D4B154"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85.65%</w:t>
            </w:r>
          </w:p>
        </w:tc>
      </w:tr>
      <w:tr w:rsidR="193EFB2E" w14:paraId="049535B8"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6591D199" w14:textId="5C709834" w:rsidR="193EFB2E" w:rsidRDefault="193EFB2E" w:rsidP="193EFB2E">
            <w:pPr>
              <w:rPr>
                <w:rFonts w:ascii="Calibri" w:eastAsia="Calibri" w:hAnsi="Calibri" w:cs="Calibri"/>
                <w:b w:val="0"/>
                <w:bCs w:val="0"/>
                <w:color w:val="000000" w:themeColor="text1"/>
              </w:rPr>
            </w:pPr>
            <w:r w:rsidRPr="193EFB2E">
              <w:rPr>
                <w:rFonts w:ascii="Calibri" w:eastAsia="Calibri" w:hAnsi="Calibri" w:cs="Calibri"/>
                <w:b w:val="0"/>
                <w:bCs w:val="0"/>
                <w:color w:val="000000" w:themeColor="text1"/>
              </w:rPr>
              <w:t>San Sebastián</w:t>
            </w:r>
          </w:p>
        </w:tc>
        <w:tc>
          <w:tcPr>
            <w:tcW w:w="1845" w:type="dxa"/>
            <w:tcMar>
              <w:left w:w="108" w:type="dxa"/>
              <w:right w:w="108" w:type="dxa"/>
            </w:tcMar>
          </w:tcPr>
          <w:p w14:paraId="2A9FD896" w14:textId="647032DE"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Q25,164,968.79</w:t>
            </w:r>
          </w:p>
        </w:tc>
        <w:tc>
          <w:tcPr>
            <w:tcW w:w="1845" w:type="dxa"/>
            <w:tcMar>
              <w:left w:w="108" w:type="dxa"/>
              <w:right w:w="108" w:type="dxa"/>
            </w:tcMar>
          </w:tcPr>
          <w:p w14:paraId="59776827" w14:textId="3AE8D318"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Q16,088,005.48</w:t>
            </w:r>
          </w:p>
        </w:tc>
        <w:tc>
          <w:tcPr>
            <w:tcW w:w="1185" w:type="dxa"/>
            <w:shd w:val="clear" w:color="auto" w:fill="FFFF00"/>
            <w:tcMar>
              <w:left w:w="108" w:type="dxa"/>
              <w:right w:w="108" w:type="dxa"/>
            </w:tcMar>
            <w:vAlign w:val="bottom"/>
          </w:tcPr>
          <w:p w14:paraId="2B665533" w14:textId="744BFFEA"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65.13%</w:t>
            </w:r>
          </w:p>
        </w:tc>
        <w:tc>
          <w:tcPr>
            <w:tcW w:w="1260" w:type="dxa"/>
            <w:shd w:val="clear" w:color="auto" w:fill="FFFF00"/>
            <w:tcMar>
              <w:left w:w="108" w:type="dxa"/>
              <w:right w:w="108" w:type="dxa"/>
            </w:tcMar>
            <w:vAlign w:val="bottom"/>
          </w:tcPr>
          <w:p w14:paraId="4DE5CB89" w14:textId="1C208D99" w:rsidR="193EFB2E" w:rsidRDefault="193EFB2E" w:rsidP="193EFB2E">
            <w:pPr>
              <w:jc w:val="right"/>
              <w:cnfStyle w:val="000000100000" w:firstRow="0" w:lastRow="0" w:firstColumn="0" w:lastColumn="0" w:oddVBand="0" w:evenVBand="0" w:oddHBand="1" w:evenHBand="0" w:firstRowFirstColumn="0" w:firstRowLastColumn="0" w:lastRowFirstColumn="0" w:lastRowLastColumn="0"/>
            </w:pPr>
            <w:r w:rsidRPr="193EFB2E">
              <w:rPr>
                <w:rFonts w:ascii="Calibri" w:eastAsia="Calibri" w:hAnsi="Calibri" w:cs="Calibri"/>
                <w:color w:val="000000" w:themeColor="text1"/>
              </w:rPr>
              <w:t>63.93%</w:t>
            </w:r>
          </w:p>
        </w:tc>
      </w:tr>
      <w:tr w:rsidR="193EFB2E" w14:paraId="23F24E7C"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70" w:type="dxa"/>
            <w:tcMar>
              <w:left w:w="108" w:type="dxa"/>
              <w:right w:w="108" w:type="dxa"/>
            </w:tcMar>
          </w:tcPr>
          <w:p w14:paraId="6345CB66" w14:textId="051877BB" w:rsidR="193EFB2E" w:rsidRDefault="193EFB2E" w:rsidP="193EFB2E">
            <w:pPr>
              <w:rPr>
                <w:rFonts w:ascii="Calibri" w:eastAsia="Calibri" w:hAnsi="Calibri" w:cs="Calibri"/>
                <w:b w:val="0"/>
                <w:bCs w:val="0"/>
                <w:color w:val="000000" w:themeColor="text1"/>
              </w:rPr>
            </w:pPr>
            <w:r w:rsidRPr="193EFB2E">
              <w:rPr>
                <w:rFonts w:ascii="Calibri" w:eastAsia="Calibri" w:hAnsi="Calibri" w:cs="Calibri"/>
                <w:b w:val="0"/>
                <w:bCs w:val="0"/>
                <w:color w:val="000000" w:themeColor="text1"/>
              </w:rPr>
              <w:t>Retalhuleu</w:t>
            </w:r>
          </w:p>
        </w:tc>
        <w:tc>
          <w:tcPr>
            <w:tcW w:w="1845" w:type="dxa"/>
            <w:tcMar>
              <w:left w:w="108" w:type="dxa"/>
              <w:right w:w="108" w:type="dxa"/>
            </w:tcMar>
          </w:tcPr>
          <w:p w14:paraId="7FCEFD93" w14:textId="32DD15E8"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Q37,087,000.00</w:t>
            </w:r>
          </w:p>
        </w:tc>
        <w:tc>
          <w:tcPr>
            <w:tcW w:w="1845" w:type="dxa"/>
            <w:tcMar>
              <w:left w:w="108" w:type="dxa"/>
              <w:right w:w="108" w:type="dxa"/>
            </w:tcMar>
          </w:tcPr>
          <w:p w14:paraId="512622A7" w14:textId="15A8AB89"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Q24,828,306.26</w:t>
            </w:r>
          </w:p>
        </w:tc>
        <w:tc>
          <w:tcPr>
            <w:tcW w:w="1185" w:type="dxa"/>
            <w:shd w:val="clear" w:color="auto" w:fill="C00000"/>
            <w:tcMar>
              <w:left w:w="108" w:type="dxa"/>
              <w:right w:w="108" w:type="dxa"/>
            </w:tcMar>
            <w:vAlign w:val="bottom"/>
          </w:tcPr>
          <w:p w14:paraId="40D4170D" w14:textId="6BEDBFBD"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35.64%</w:t>
            </w:r>
          </w:p>
        </w:tc>
        <w:tc>
          <w:tcPr>
            <w:tcW w:w="1260" w:type="dxa"/>
            <w:shd w:val="clear" w:color="auto" w:fill="FFFF00"/>
            <w:tcMar>
              <w:left w:w="108" w:type="dxa"/>
              <w:right w:w="108" w:type="dxa"/>
            </w:tcMar>
            <w:vAlign w:val="bottom"/>
          </w:tcPr>
          <w:p w14:paraId="0176B5DE" w14:textId="5616FEAD" w:rsidR="193EFB2E" w:rsidRDefault="193EFB2E" w:rsidP="193EFB2E">
            <w:pPr>
              <w:jc w:val="right"/>
              <w:cnfStyle w:val="000000000000" w:firstRow="0" w:lastRow="0" w:firstColumn="0" w:lastColumn="0" w:oddVBand="0" w:evenVBand="0" w:oddHBand="0" w:evenHBand="0" w:firstRowFirstColumn="0" w:firstRowLastColumn="0" w:lastRowFirstColumn="0" w:lastRowLastColumn="0"/>
            </w:pPr>
            <w:r w:rsidRPr="193EFB2E">
              <w:rPr>
                <w:rFonts w:ascii="Calibri" w:eastAsia="Calibri" w:hAnsi="Calibri" w:cs="Calibri"/>
                <w:color w:val="000000" w:themeColor="text1"/>
              </w:rPr>
              <w:t>66.95%</w:t>
            </w:r>
          </w:p>
        </w:tc>
      </w:tr>
    </w:tbl>
    <w:p w14:paraId="27A79658" w14:textId="1304AB4D" w:rsidR="00693BD9" w:rsidRPr="003051CD" w:rsidRDefault="193EFB2E" w:rsidP="002F4FE3">
      <w:pPr>
        <w:autoSpaceDE w:val="0"/>
        <w:autoSpaceDN w:val="0"/>
        <w:adjustRightInd w:val="0"/>
        <w:spacing w:after="120" w:line="240" w:lineRule="auto"/>
        <w:jc w:val="both"/>
        <w:rPr>
          <w:rFonts w:ascii="Helvetica" w:eastAsia="Times New Roman" w:hAnsi="Helvetica" w:cs="Helvetica"/>
          <w:sz w:val="18"/>
          <w:szCs w:val="18"/>
          <w:lang w:val="es-ES"/>
        </w:rPr>
      </w:pPr>
      <w:r w:rsidRPr="193EFB2E">
        <w:rPr>
          <w:rFonts w:eastAsiaTheme="minorEastAsia"/>
          <w:sz w:val="18"/>
          <w:szCs w:val="18"/>
          <w:lang w:val="es-ES"/>
        </w:rPr>
        <w:t>Fuente: Siplangl, III informe cuatrimestral y acumulado. Año 202</w:t>
      </w:r>
      <w:r w:rsidRPr="193EFB2E">
        <w:rPr>
          <w:rFonts w:ascii="Helvetica" w:eastAsia="Times New Roman" w:hAnsi="Helvetica" w:cs="Helvetica"/>
          <w:sz w:val="18"/>
          <w:szCs w:val="18"/>
          <w:lang w:val="es-ES"/>
        </w:rPr>
        <w:t>2.</w:t>
      </w:r>
    </w:p>
    <w:p w14:paraId="16C2C7F4" w14:textId="332D04E9" w:rsidR="00693BD9" w:rsidRPr="002F4FE3" w:rsidRDefault="00693BD9" w:rsidP="002F4FE3">
      <w:pPr>
        <w:autoSpaceDE w:val="0"/>
        <w:autoSpaceDN w:val="0"/>
        <w:adjustRightInd w:val="0"/>
        <w:spacing w:after="120" w:line="240" w:lineRule="auto"/>
        <w:jc w:val="both"/>
        <w:rPr>
          <w:rFonts w:eastAsia="Times New Roman" w:cstheme="minorHAnsi"/>
          <w:b/>
          <w:color w:val="002060"/>
          <w:sz w:val="28"/>
          <w:szCs w:val="28"/>
          <w:lang w:val="es-ES"/>
        </w:rPr>
      </w:pPr>
      <w:r w:rsidRPr="002F4FE3">
        <w:rPr>
          <w:rFonts w:eastAsia="Times New Roman" w:cstheme="minorHAnsi"/>
          <w:b/>
          <w:color w:val="002060"/>
          <w:sz w:val="28"/>
          <w:szCs w:val="28"/>
          <w:lang w:val="es-ES"/>
        </w:rPr>
        <w:t>Sacatepéquez</w:t>
      </w:r>
    </w:p>
    <w:p w14:paraId="6AC86F81" w14:textId="64D7B18D" w:rsidR="193EFB2E" w:rsidRDefault="002F4FE3" w:rsidP="002F4FE3">
      <w:pPr>
        <w:autoSpaceDE w:val="0"/>
        <w:autoSpaceDN w:val="0"/>
        <w:adjustRightInd w:val="0"/>
        <w:spacing w:after="120" w:line="240" w:lineRule="auto"/>
        <w:jc w:val="both"/>
      </w:pPr>
      <w:r>
        <w:rPr>
          <w:noProof/>
        </w:rPr>
        <w:drawing>
          <wp:anchor distT="0" distB="0" distL="114300" distR="114300" simplePos="0" relativeHeight="251710976" behindDoc="1" locked="0" layoutInCell="1" allowOverlap="1" wp14:anchorId="131AE469" wp14:editId="37121F5C">
            <wp:simplePos x="0" y="0"/>
            <wp:positionH relativeFrom="column">
              <wp:posOffset>4267200</wp:posOffset>
            </wp:positionH>
            <wp:positionV relativeFrom="paragraph">
              <wp:posOffset>126365</wp:posOffset>
            </wp:positionV>
            <wp:extent cx="1504315" cy="1068070"/>
            <wp:effectExtent l="19050" t="19050" r="19685" b="17780"/>
            <wp:wrapTight wrapText="bothSides">
              <wp:wrapPolygon edited="0">
                <wp:start x="-274" y="-385"/>
                <wp:lineTo x="-274" y="21574"/>
                <wp:lineTo x="21609" y="21574"/>
                <wp:lineTo x="21609" y="-385"/>
                <wp:lineTo x="-274" y="-385"/>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504315" cy="1068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193EFB2E" w:rsidRPr="193EFB2E">
        <w:rPr>
          <w:rFonts w:ascii="Calibri" w:eastAsia="Calibri" w:hAnsi="Calibri" w:cs="Calibri"/>
          <w:lang w:val="es-ES"/>
        </w:rPr>
        <w:t xml:space="preserve">Al finalizar el año 2022, el departamento reportó un avance físico promedio del 53.60%. Solo tres municipios estuvieron arriba del 80% de avance, siendo estos: Ciudad Vieja con 92.88%, Santiago Sacatepéquez con 84.20% y San Domingo Xenacoj con 81.82%. </w:t>
      </w:r>
    </w:p>
    <w:p w14:paraId="46467811" w14:textId="3CAFA588" w:rsidR="00FF671F" w:rsidRDefault="193EFB2E" w:rsidP="002F4FE3">
      <w:pPr>
        <w:autoSpaceDE w:val="0"/>
        <w:autoSpaceDN w:val="0"/>
        <w:adjustRightInd w:val="0"/>
        <w:spacing w:after="120" w:line="240" w:lineRule="auto"/>
        <w:jc w:val="both"/>
        <w:rPr>
          <w:rFonts w:ascii="Helvetica" w:eastAsia="Times New Roman" w:hAnsi="Helvetica" w:cs="Helvetica"/>
          <w:sz w:val="24"/>
          <w:szCs w:val="24"/>
          <w:lang w:val="es-ES"/>
        </w:rPr>
      </w:pPr>
      <w:r w:rsidRPr="193EFB2E">
        <w:rPr>
          <w:rFonts w:ascii="Calibri" w:eastAsia="Calibri" w:hAnsi="Calibri" w:cs="Calibri"/>
          <w:lang w:val="es-ES"/>
        </w:rPr>
        <w:t>Así mismo, con el avance financiero, el departamento reportó un 69.65% de avance; solo tres municipios estuvieron arriba del 89%, siendo estos: Santa Catarina Barahona con 99.91%, Jocotenango con 93.24% y Ciudad Vieja con 89.41%. Ver siguiente tabla.</w:t>
      </w:r>
    </w:p>
    <w:p w14:paraId="06F5E89D" w14:textId="5A193D31" w:rsidR="00216644" w:rsidRPr="002F4FE3" w:rsidRDefault="1E5698F7" w:rsidP="00826276">
      <w:pPr>
        <w:pStyle w:val="ttulosgrficas"/>
        <w:rPr>
          <w:rFonts w:asciiTheme="minorHAnsi" w:eastAsia="Times New Roman" w:hAnsiTheme="minorHAnsi" w:cstheme="minorHAnsi"/>
          <w:b w:val="0"/>
          <w:lang w:val="es-ES"/>
        </w:rPr>
      </w:pPr>
      <w:bookmarkStart w:id="75" w:name="_Toc130199620"/>
      <w:r w:rsidRPr="002F4FE3">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32</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2F4FE3">
        <w:rPr>
          <w:rFonts w:asciiTheme="minorHAnsi" w:eastAsia="Times New Roman" w:hAnsiTheme="minorHAnsi" w:cstheme="minorHAnsi"/>
          <w:color w:val="4472C4" w:themeColor="accent1"/>
          <w:lang w:val="es-ES"/>
        </w:rPr>
        <w:t xml:space="preserve"> Ejecución Física y Financiera, departamento de Sacatepéquez</w:t>
      </w:r>
      <w:bookmarkEnd w:id="75"/>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2970"/>
        <w:gridCol w:w="1890"/>
        <w:gridCol w:w="1845"/>
        <w:gridCol w:w="1260"/>
        <w:gridCol w:w="1260"/>
      </w:tblGrid>
      <w:tr w:rsidR="1E5698F7" w14:paraId="19F3EE83" w14:textId="77777777" w:rsidTr="002F4FE3">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70" w:type="dxa"/>
            <w:tcBorders>
              <w:top w:val="none" w:sz="0" w:space="0" w:color="auto"/>
              <w:left w:val="none" w:sz="0" w:space="0" w:color="auto"/>
              <w:bottom w:val="none" w:sz="0" w:space="0" w:color="auto"/>
            </w:tcBorders>
            <w:tcMar>
              <w:left w:w="108" w:type="dxa"/>
              <w:right w:w="108" w:type="dxa"/>
            </w:tcMar>
            <w:vAlign w:val="center"/>
          </w:tcPr>
          <w:p w14:paraId="24556779" w14:textId="328729C6" w:rsidR="1E5698F7" w:rsidRDefault="1E5698F7" w:rsidP="1E5698F7">
            <w:pPr>
              <w:jc w:val="center"/>
            </w:pPr>
            <w:r w:rsidRPr="1E5698F7">
              <w:rPr>
                <w:rFonts w:ascii="Calibri" w:eastAsia="Calibri" w:hAnsi="Calibri" w:cs="Calibri"/>
                <w:color w:val="000000" w:themeColor="text1"/>
              </w:rPr>
              <w:t>Municipio</w:t>
            </w:r>
          </w:p>
        </w:tc>
        <w:tc>
          <w:tcPr>
            <w:tcW w:w="1890" w:type="dxa"/>
            <w:tcBorders>
              <w:top w:val="none" w:sz="0" w:space="0" w:color="auto"/>
              <w:bottom w:val="none" w:sz="0" w:space="0" w:color="auto"/>
            </w:tcBorders>
            <w:tcMar>
              <w:left w:w="108" w:type="dxa"/>
              <w:right w:w="108" w:type="dxa"/>
            </w:tcMar>
            <w:vAlign w:val="center"/>
          </w:tcPr>
          <w:p w14:paraId="0FD0E6E8" w14:textId="5F8EF879" w:rsidR="1E5698F7" w:rsidRDefault="1E5698F7" w:rsidP="1E5698F7">
            <w:pPr>
              <w:jc w:val="center"/>
              <w:cnfStyle w:val="100000000000" w:firstRow="1"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Meta Financiera Anual Vigente</w:t>
            </w:r>
          </w:p>
        </w:tc>
        <w:tc>
          <w:tcPr>
            <w:tcW w:w="1845" w:type="dxa"/>
            <w:tcBorders>
              <w:top w:val="none" w:sz="0" w:space="0" w:color="auto"/>
              <w:bottom w:val="none" w:sz="0" w:space="0" w:color="auto"/>
            </w:tcBorders>
            <w:tcMar>
              <w:left w:w="108" w:type="dxa"/>
              <w:right w:w="108" w:type="dxa"/>
            </w:tcMar>
            <w:vAlign w:val="center"/>
          </w:tcPr>
          <w:p w14:paraId="6D3A3A3E" w14:textId="16BAB3EA" w:rsidR="1E5698F7" w:rsidRDefault="1E5698F7" w:rsidP="1E5698F7">
            <w:pPr>
              <w:jc w:val="center"/>
              <w:cnfStyle w:val="100000000000" w:firstRow="1"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Ejecución Financiera Acumulada</w:t>
            </w:r>
          </w:p>
        </w:tc>
        <w:tc>
          <w:tcPr>
            <w:tcW w:w="1260" w:type="dxa"/>
            <w:tcBorders>
              <w:top w:val="none" w:sz="0" w:space="0" w:color="auto"/>
              <w:bottom w:val="none" w:sz="0" w:space="0" w:color="auto"/>
            </w:tcBorders>
            <w:tcMar>
              <w:left w:w="108" w:type="dxa"/>
              <w:right w:w="108" w:type="dxa"/>
            </w:tcMar>
            <w:vAlign w:val="center"/>
          </w:tcPr>
          <w:p w14:paraId="610013DB" w14:textId="761A7333" w:rsidR="1E5698F7" w:rsidRDefault="1E5698F7" w:rsidP="1E5698F7">
            <w:pPr>
              <w:jc w:val="center"/>
              <w:cnfStyle w:val="100000000000" w:firstRow="1"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 de Ejecución Física</w:t>
            </w:r>
          </w:p>
        </w:tc>
        <w:tc>
          <w:tcPr>
            <w:tcW w:w="1260" w:type="dxa"/>
            <w:tcBorders>
              <w:top w:val="none" w:sz="0" w:space="0" w:color="auto"/>
              <w:bottom w:val="none" w:sz="0" w:space="0" w:color="auto"/>
              <w:right w:val="none" w:sz="0" w:space="0" w:color="auto"/>
            </w:tcBorders>
            <w:tcMar>
              <w:left w:w="108" w:type="dxa"/>
              <w:right w:w="108" w:type="dxa"/>
            </w:tcMar>
            <w:vAlign w:val="center"/>
          </w:tcPr>
          <w:p w14:paraId="350282EA" w14:textId="0FE1E2DC" w:rsidR="1E5698F7" w:rsidRDefault="1E5698F7" w:rsidP="1E5698F7">
            <w:pPr>
              <w:jc w:val="center"/>
              <w:cnfStyle w:val="100000000000" w:firstRow="1"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 de Ejecución Financiera</w:t>
            </w:r>
          </w:p>
        </w:tc>
      </w:tr>
      <w:tr w:rsidR="1E5698F7" w14:paraId="413D0B0B"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2C712FEE" w14:textId="60EED573" w:rsidR="1E5698F7" w:rsidRDefault="1E5698F7" w:rsidP="1E5698F7">
            <w:r w:rsidRPr="1E5698F7">
              <w:rPr>
                <w:rFonts w:ascii="Calibri" w:eastAsia="Calibri" w:hAnsi="Calibri" w:cs="Calibri"/>
                <w:color w:val="000000" w:themeColor="text1"/>
              </w:rPr>
              <w:t xml:space="preserve"> Todo el Departamento</w:t>
            </w:r>
          </w:p>
        </w:tc>
        <w:tc>
          <w:tcPr>
            <w:tcW w:w="1890" w:type="dxa"/>
            <w:tcMar>
              <w:left w:w="108" w:type="dxa"/>
              <w:right w:w="108" w:type="dxa"/>
            </w:tcMar>
          </w:tcPr>
          <w:p w14:paraId="6FAA38DA" w14:textId="21ADB1A5"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b/>
                <w:bCs/>
                <w:color w:val="000000" w:themeColor="text1"/>
              </w:rPr>
              <w:t>Q719,406,415.49</w:t>
            </w:r>
          </w:p>
        </w:tc>
        <w:tc>
          <w:tcPr>
            <w:tcW w:w="1845" w:type="dxa"/>
            <w:tcMar>
              <w:left w:w="108" w:type="dxa"/>
              <w:right w:w="108" w:type="dxa"/>
            </w:tcMar>
          </w:tcPr>
          <w:p w14:paraId="7DEF1065" w14:textId="001145D5"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b/>
                <w:bCs/>
                <w:color w:val="000000" w:themeColor="text1"/>
              </w:rPr>
              <w:t>Q501,088,715.66</w:t>
            </w:r>
          </w:p>
        </w:tc>
        <w:tc>
          <w:tcPr>
            <w:tcW w:w="1260" w:type="dxa"/>
            <w:shd w:val="clear" w:color="auto" w:fill="FFFF00"/>
            <w:tcMar>
              <w:left w:w="108" w:type="dxa"/>
              <w:right w:w="108" w:type="dxa"/>
            </w:tcMar>
            <w:vAlign w:val="bottom"/>
          </w:tcPr>
          <w:p w14:paraId="2775062E" w14:textId="4AC0609B"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b/>
                <w:bCs/>
                <w:color w:val="000000" w:themeColor="text1"/>
              </w:rPr>
              <w:t>53.60%</w:t>
            </w:r>
          </w:p>
        </w:tc>
        <w:tc>
          <w:tcPr>
            <w:tcW w:w="1260" w:type="dxa"/>
            <w:shd w:val="clear" w:color="auto" w:fill="FFFF00"/>
            <w:tcMar>
              <w:left w:w="108" w:type="dxa"/>
              <w:right w:w="108" w:type="dxa"/>
            </w:tcMar>
            <w:vAlign w:val="bottom"/>
          </w:tcPr>
          <w:p w14:paraId="61DDB6F0" w14:textId="21C18FD8"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b/>
                <w:bCs/>
                <w:color w:val="000000" w:themeColor="text1"/>
              </w:rPr>
              <w:t>69.65%</w:t>
            </w:r>
          </w:p>
        </w:tc>
      </w:tr>
      <w:tr w:rsidR="1E5698F7" w14:paraId="6DC3A06A"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79C6B56A" w14:textId="3AE8839C"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Ciudad Vieja</w:t>
            </w:r>
          </w:p>
        </w:tc>
        <w:tc>
          <w:tcPr>
            <w:tcW w:w="1890" w:type="dxa"/>
            <w:tcMar>
              <w:left w:w="108" w:type="dxa"/>
              <w:right w:w="108" w:type="dxa"/>
            </w:tcMar>
          </w:tcPr>
          <w:p w14:paraId="49DFB1AE" w14:textId="0C55A08C"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Q56,164,956.18</w:t>
            </w:r>
          </w:p>
        </w:tc>
        <w:tc>
          <w:tcPr>
            <w:tcW w:w="1845" w:type="dxa"/>
            <w:tcMar>
              <w:left w:w="108" w:type="dxa"/>
              <w:right w:w="108" w:type="dxa"/>
            </w:tcMar>
          </w:tcPr>
          <w:p w14:paraId="3F82EFC3" w14:textId="36A1464A"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Q50,217,404.47</w:t>
            </w:r>
          </w:p>
        </w:tc>
        <w:tc>
          <w:tcPr>
            <w:tcW w:w="1260" w:type="dxa"/>
            <w:shd w:val="clear" w:color="auto" w:fill="92D050"/>
            <w:tcMar>
              <w:left w:w="108" w:type="dxa"/>
              <w:right w:w="108" w:type="dxa"/>
            </w:tcMar>
            <w:vAlign w:val="bottom"/>
          </w:tcPr>
          <w:p w14:paraId="35CDAFEF" w14:textId="6179C070"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92.88%</w:t>
            </w:r>
          </w:p>
        </w:tc>
        <w:tc>
          <w:tcPr>
            <w:tcW w:w="1260" w:type="dxa"/>
            <w:shd w:val="clear" w:color="auto" w:fill="FFFF00"/>
            <w:tcMar>
              <w:left w:w="108" w:type="dxa"/>
              <w:right w:w="108" w:type="dxa"/>
            </w:tcMar>
            <w:vAlign w:val="bottom"/>
          </w:tcPr>
          <w:p w14:paraId="4E16AA2A" w14:textId="709F0497"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89.41%</w:t>
            </w:r>
          </w:p>
        </w:tc>
      </w:tr>
      <w:tr w:rsidR="1E5698F7" w14:paraId="6B53458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2D6E006F" w14:textId="689AB916"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Santiago Sacatepéquez</w:t>
            </w:r>
          </w:p>
        </w:tc>
        <w:tc>
          <w:tcPr>
            <w:tcW w:w="1890" w:type="dxa"/>
            <w:tcMar>
              <w:left w:w="108" w:type="dxa"/>
              <w:right w:w="108" w:type="dxa"/>
            </w:tcMar>
          </w:tcPr>
          <w:p w14:paraId="20203675" w14:textId="5F18127A"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Q33,361,673.11</w:t>
            </w:r>
          </w:p>
        </w:tc>
        <w:tc>
          <w:tcPr>
            <w:tcW w:w="1845" w:type="dxa"/>
            <w:tcMar>
              <w:left w:w="108" w:type="dxa"/>
              <w:right w:w="108" w:type="dxa"/>
            </w:tcMar>
          </w:tcPr>
          <w:p w14:paraId="151764DA" w14:textId="4D92EB81"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Q26,659,874.48</w:t>
            </w:r>
          </w:p>
        </w:tc>
        <w:tc>
          <w:tcPr>
            <w:tcW w:w="1260" w:type="dxa"/>
            <w:shd w:val="clear" w:color="auto" w:fill="FFFF00"/>
            <w:tcMar>
              <w:left w:w="108" w:type="dxa"/>
              <w:right w:w="108" w:type="dxa"/>
            </w:tcMar>
            <w:vAlign w:val="bottom"/>
          </w:tcPr>
          <w:p w14:paraId="0A042D59" w14:textId="607E4008"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84.20%</w:t>
            </w:r>
          </w:p>
        </w:tc>
        <w:tc>
          <w:tcPr>
            <w:tcW w:w="1260" w:type="dxa"/>
            <w:shd w:val="clear" w:color="auto" w:fill="FFFF00"/>
            <w:tcMar>
              <w:left w:w="108" w:type="dxa"/>
              <w:right w:w="108" w:type="dxa"/>
            </w:tcMar>
            <w:vAlign w:val="bottom"/>
          </w:tcPr>
          <w:p w14:paraId="08D61693" w14:textId="4D6AC3AB"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79.91%</w:t>
            </w:r>
          </w:p>
        </w:tc>
      </w:tr>
      <w:tr w:rsidR="1E5698F7" w14:paraId="76F952E0"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47318FB8" w14:textId="402913C6"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Santo Domingo Xenacoj</w:t>
            </w:r>
          </w:p>
        </w:tc>
        <w:tc>
          <w:tcPr>
            <w:tcW w:w="1890" w:type="dxa"/>
            <w:tcMar>
              <w:left w:w="108" w:type="dxa"/>
              <w:right w:w="108" w:type="dxa"/>
            </w:tcMar>
          </w:tcPr>
          <w:p w14:paraId="669A6652" w14:textId="47507078"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Q18,114,912.40</w:t>
            </w:r>
          </w:p>
        </w:tc>
        <w:tc>
          <w:tcPr>
            <w:tcW w:w="1845" w:type="dxa"/>
            <w:tcMar>
              <w:left w:w="108" w:type="dxa"/>
              <w:right w:w="108" w:type="dxa"/>
            </w:tcMar>
          </w:tcPr>
          <w:p w14:paraId="568BD558" w14:textId="5B36C7CC"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Q16,036,966.40</w:t>
            </w:r>
          </w:p>
        </w:tc>
        <w:tc>
          <w:tcPr>
            <w:tcW w:w="1260" w:type="dxa"/>
            <w:shd w:val="clear" w:color="auto" w:fill="FFFF00"/>
            <w:tcMar>
              <w:left w:w="108" w:type="dxa"/>
              <w:right w:w="108" w:type="dxa"/>
            </w:tcMar>
            <w:vAlign w:val="bottom"/>
          </w:tcPr>
          <w:p w14:paraId="134F57CD" w14:textId="44242B30"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81.82%</w:t>
            </w:r>
          </w:p>
        </w:tc>
        <w:tc>
          <w:tcPr>
            <w:tcW w:w="1260" w:type="dxa"/>
            <w:shd w:val="clear" w:color="auto" w:fill="FFFF00"/>
            <w:tcMar>
              <w:left w:w="108" w:type="dxa"/>
              <w:right w:w="108" w:type="dxa"/>
            </w:tcMar>
            <w:vAlign w:val="bottom"/>
          </w:tcPr>
          <w:p w14:paraId="314947EA" w14:textId="54A2C6F9"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88.53%</w:t>
            </w:r>
          </w:p>
        </w:tc>
      </w:tr>
      <w:tr w:rsidR="1E5698F7" w14:paraId="69ECB6E8"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4A45ABC3" w14:textId="6FD089DA"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Santa Catarina Barahona</w:t>
            </w:r>
          </w:p>
        </w:tc>
        <w:tc>
          <w:tcPr>
            <w:tcW w:w="1890" w:type="dxa"/>
            <w:tcMar>
              <w:left w:w="108" w:type="dxa"/>
              <w:right w:w="108" w:type="dxa"/>
            </w:tcMar>
          </w:tcPr>
          <w:p w14:paraId="12DE8C58" w14:textId="39495B0B"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Q19,302,208.70</w:t>
            </w:r>
          </w:p>
        </w:tc>
        <w:tc>
          <w:tcPr>
            <w:tcW w:w="1845" w:type="dxa"/>
            <w:tcMar>
              <w:left w:w="108" w:type="dxa"/>
              <w:right w:w="108" w:type="dxa"/>
            </w:tcMar>
          </w:tcPr>
          <w:p w14:paraId="2F4EBA8C" w14:textId="21F41217"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Q19,285,661.51</w:t>
            </w:r>
          </w:p>
        </w:tc>
        <w:tc>
          <w:tcPr>
            <w:tcW w:w="1260" w:type="dxa"/>
            <w:shd w:val="clear" w:color="auto" w:fill="FFFF00"/>
            <w:tcMar>
              <w:left w:w="108" w:type="dxa"/>
              <w:right w:w="108" w:type="dxa"/>
            </w:tcMar>
            <w:vAlign w:val="bottom"/>
          </w:tcPr>
          <w:p w14:paraId="4D053AC7" w14:textId="11227D3B"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80.36%</w:t>
            </w:r>
          </w:p>
        </w:tc>
        <w:tc>
          <w:tcPr>
            <w:tcW w:w="1260" w:type="dxa"/>
            <w:shd w:val="clear" w:color="auto" w:fill="92D050"/>
            <w:tcMar>
              <w:left w:w="108" w:type="dxa"/>
              <w:right w:w="108" w:type="dxa"/>
            </w:tcMar>
            <w:vAlign w:val="bottom"/>
          </w:tcPr>
          <w:p w14:paraId="6C1339F8" w14:textId="26C381ED"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99.91%</w:t>
            </w:r>
          </w:p>
        </w:tc>
      </w:tr>
      <w:tr w:rsidR="1E5698F7" w14:paraId="2BAEE06A"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2CB7ED79" w14:textId="762679D3"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Santa María De Jesús</w:t>
            </w:r>
          </w:p>
        </w:tc>
        <w:tc>
          <w:tcPr>
            <w:tcW w:w="1890" w:type="dxa"/>
            <w:tcMar>
              <w:left w:w="108" w:type="dxa"/>
              <w:right w:w="108" w:type="dxa"/>
            </w:tcMar>
          </w:tcPr>
          <w:p w14:paraId="65CDB830" w14:textId="7F8E3C2D"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Q30,850,173.01</w:t>
            </w:r>
          </w:p>
        </w:tc>
        <w:tc>
          <w:tcPr>
            <w:tcW w:w="1845" w:type="dxa"/>
            <w:tcMar>
              <w:left w:w="108" w:type="dxa"/>
              <w:right w:w="108" w:type="dxa"/>
            </w:tcMar>
          </w:tcPr>
          <w:p w14:paraId="4671DA4D" w14:textId="269CF314"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Q19,290,944.82</w:t>
            </w:r>
          </w:p>
        </w:tc>
        <w:tc>
          <w:tcPr>
            <w:tcW w:w="1260" w:type="dxa"/>
            <w:shd w:val="clear" w:color="auto" w:fill="FFFF00"/>
            <w:tcMar>
              <w:left w:w="108" w:type="dxa"/>
              <w:right w:w="108" w:type="dxa"/>
            </w:tcMar>
            <w:vAlign w:val="bottom"/>
          </w:tcPr>
          <w:p w14:paraId="0CB87047" w14:textId="0C84623D"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68.79%</w:t>
            </w:r>
          </w:p>
        </w:tc>
        <w:tc>
          <w:tcPr>
            <w:tcW w:w="1260" w:type="dxa"/>
            <w:shd w:val="clear" w:color="auto" w:fill="FFFF00"/>
            <w:tcMar>
              <w:left w:w="108" w:type="dxa"/>
              <w:right w:w="108" w:type="dxa"/>
            </w:tcMar>
            <w:vAlign w:val="bottom"/>
          </w:tcPr>
          <w:p w14:paraId="6A9ABAC8" w14:textId="03289C2A"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62.53%</w:t>
            </w:r>
          </w:p>
        </w:tc>
      </w:tr>
      <w:tr w:rsidR="1E5698F7" w14:paraId="0BACC594"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52C7773D" w14:textId="7FF92C2B"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Santa Lucia Milpas Altas</w:t>
            </w:r>
          </w:p>
        </w:tc>
        <w:tc>
          <w:tcPr>
            <w:tcW w:w="1890" w:type="dxa"/>
            <w:tcMar>
              <w:left w:w="108" w:type="dxa"/>
              <w:right w:w="108" w:type="dxa"/>
            </w:tcMar>
          </w:tcPr>
          <w:p w14:paraId="2236F2AD" w14:textId="79060AC1"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Q24,645,193.74</w:t>
            </w:r>
          </w:p>
        </w:tc>
        <w:tc>
          <w:tcPr>
            <w:tcW w:w="1845" w:type="dxa"/>
            <w:tcMar>
              <w:left w:w="108" w:type="dxa"/>
              <w:right w:w="108" w:type="dxa"/>
            </w:tcMar>
          </w:tcPr>
          <w:p w14:paraId="0773B156" w14:textId="2D4639C1"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Q20,625,496.57</w:t>
            </w:r>
          </w:p>
        </w:tc>
        <w:tc>
          <w:tcPr>
            <w:tcW w:w="1260" w:type="dxa"/>
            <w:shd w:val="clear" w:color="auto" w:fill="FFFF00"/>
            <w:tcMar>
              <w:left w:w="108" w:type="dxa"/>
              <w:right w:w="108" w:type="dxa"/>
            </w:tcMar>
            <w:vAlign w:val="bottom"/>
          </w:tcPr>
          <w:p w14:paraId="261F130C" w14:textId="41FE30B5"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68.48%</w:t>
            </w:r>
          </w:p>
        </w:tc>
        <w:tc>
          <w:tcPr>
            <w:tcW w:w="1260" w:type="dxa"/>
            <w:shd w:val="clear" w:color="auto" w:fill="FFFF00"/>
            <w:tcMar>
              <w:left w:w="108" w:type="dxa"/>
              <w:right w:w="108" w:type="dxa"/>
            </w:tcMar>
            <w:vAlign w:val="bottom"/>
          </w:tcPr>
          <w:p w14:paraId="655040F6" w14:textId="0B853954"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83.69%</w:t>
            </w:r>
          </w:p>
        </w:tc>
      </w:tr>
      <w:tr w:rsidR="1E5698F7" w14:paraId="4AED2AD6"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3B0EFADF" w14:textId="7F45308B"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Jocotenango</w:t>
            </w:r>
          </w:p>
        </w:tc>
        <w:tc>
          <w:tcPr>
            <w:tcW w:w="1890" w:type="dxa"/>
            <w:tcMar>
              <w:left w:w="108" w:type="dxa"/>
              <w:right w:w="108" w:type="dxa"/>
            </w:tcMar>
          </w:tcPr>
          <w:p w14:paraId="0DB3A19B" w14:textId="05B4E5A6"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Q33,006,687.13</w:t>
            </w:r>
          </w:p>
        </w:tc>
        <w:tc>
          <w:tcPr>
            <w:tcW w:w="1845" w:type="dxa"/>
            <w:tcMar>
              <w:left w:w="108" w:type="dxa"/>
              <w:right w:w="108" w:type="dxa"/>
            </w:tcMar>
          </w:tcPr>
          <w:p w14:paraId="773A3D60" w14:textId="7435DEC8"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Q30,776,196.64</w:t>
            </w:r>
          </w:p>
        </w:tc>
        <w:tc>
          <w:tcPr>
            <w:tcW w:w="1260" w:type="dxa"/>
            <w:shd w:val="clear" w:color="auto" w:fill="FFFF00"/>
            <w:tcMar>
              <w:left w:w="108" w:type="dxa"/>
              <w:right w:w="108" w:type="dxa"/>
            </w:tcMar>
            <w:vAlign w:val="bottom"/>
          </w:tcPr>
          <w:p w14:paraId="1524CE64" w14:textId="1328CCEC"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59.73%</w:t>
            </w:r>
          </w:p>
        </w:tc>
        <w:tc>
          <w:tcPr>
            <w:tcW w:w="1260" w:type="dxa"/>
            <w:shd w:val="clear" w:color="auto" w:fill="92D050"/>
            <w:tcMar>
              <w:left w:w="108" w:type="dxa"/>
              <w:right w:w="108" w:type="dxa"/>
            </w:tcMar>
            <w:vAlign w:val="bottom"/>
          </w:tcPr>
          <w:p w14:paraId="428B55B1" w14:textId="720CC098"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93.24%</w:t>
            </w:r>
          </w:p>
        </w:tc>
      </w:tr>
      <w:tr w:rsidR="1E5698F7" w14:paraId="1777FAAD"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5D79F88A" w14:textId="1C050AC7"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San Bartolomé Milpas Altas</w:t>
            </w:r>
          </w:p>
        </w:tc>
        <w:tc>
          <w:tcPr>
            <w:tcW w:w="1890" w:type="dxa"/>
            <w:tcMar>
              <w:left w:w="108" w:type="dxa"/>
              <w:right w:w="108" w:type="dxa"/>
            </w:tcMar>
          </w:tcPr>
          <w:p w14:paraId="0B9F806E" w14:textId="7E242325"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Q18,735,744.29</w:t>
            </w:r>
          </w:p>
        </w:tc>
        <w:tc>
          <w:tcPr>
            <w:tcW w:w="1845" w:type="dxa"/>
            <w:tcMar>
              <w:left w:w="108" w:type="dxa"/>
              <w:right w:w="108" w:type="dxa"/>
            </w:tcMar>
          </w:tcPr>
          <w:p w14:paraId="28AC9D96" w14:textId="7B05E4EC"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Q11,748,082.82</w:t>
            </w:r>
          </w:p>
        </w:tc>
        <w:tc>
          <w:tcPr>
            <w:tcW w:w="1260" w:type="dxa"/>
            <w:shd w:val="clear" w:color="auto" w:fill="FFFF00"/>
            <w:tcMar>
              <w:left w:w="108" w:type="dxa"/>
              <w:right w:w="108" w:type="dxa"/>
            </w:tcMar>
            <w:vAlign w:val="bottom"/>
          </w:tcPr>
          <w:p w14:paraId="059C839B" w14:textId="1513BEFB"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57.21%</w:t>
            </w:r>
          </w:p>
        </w:tc>
        <w:tc>
          <w:tcPr>
            <w:tcW w:w="1260" w:type="dxa"/>
            <w:shd w:val="clear" w:color="auto" w:fill="FFFF00"/>
            <w:tcMar>
              <w:left w:w="108" w:type="dxa"/>
              <w:right w:w="108" w:type="dxa"/>
            </w:tcMar>
            <w:vAlign w:val="bottom"/>
          </w:tcPr>
          <w:p w14:paraId="7237AFCC" w14:textId="567132F9"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62.70%</w:t>
            </w:r>
          </w:p>
        </w:tc>
      </w:tr>
      <w:tr w:rsidR="1E5698F7" w14:paraId="379187D4"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7C62E65C" w14:textId="7BD86D48"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Sumpango</w:t>
            </w:r>
          </w:p>
        </w:tc>
        <w:tc>
          <w:tcPr>
            <w:tcW w:w="1890" w:type="dxa"/>
            <w:tcMar>
              <w:left w:w="108" w:type="dxa"/>
              <w:right w:w="108" w:type="dxa"/>
            </w:tcMar>
          </w:tcPr>
          <w:p w14:paraId="54C558A2" w14:textId="7CFDAB11"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Q38,811,366.23</w:t>
            </w:r>
          </w:p>
        </w:tc>
        <w:tc>
          <w:tcPr>
            <w:tcW w:w="1845" w:type="dxa"/>
            <w:tcMar>
              <w:left w:w="108" w:type="dxa"/>
              <w:right w:w="108" w:type="dxa"/>
            </w:tcMar>
          </w:tcPr>
          <w:p w14:paraId="31B37D99" w14:textId="793F57DA"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Q32,097,145.39</w:t>
            </w:r>
          </w:p>
        </w:tc>
        <w:tc>
          <w:tcPr>
            <w:tcW w:w="1260" w:type="dxa"/>
            <w:shd w:val="clear" w:color="auto" w:fill="FFFF00"/>
            <w:tcMar>
              <w:left w:w="108" w:type="dxa"/>
              <w:right w:w="108" w:type="dxa"/>
            </w:tcMar>
            <w:vAlign w:val="bottom"/>
          </w:tcPr>
          <w:p w14:paraId="4856DE27" w14:textId="4B7EDCDD"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54.49%</w:t>
            </w:r>
          </w:p>
        </w:tc>
        <w:tc>
          <w:tcPr>
            <w:tcW w:w="1260" w:type="dxa"/>
            <w:shd w:val="clear" w:color="auto" w:fill="FFFF00"/>
            <w:tcMar>
              <w:left w:w="108" w:type="dxa"/>
              <w:right w:w="108" w:type="dxa"/>
            </w:tcMar>
            <w:vAlign w:val="bottom"/>
          </w:tcPr>
          <w:p w14:paraId="19F3DA5E" w14:textId="70232B86"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82.70%</w:t>
            </w:r>
          </w:p>
        </w:tc>
      </w:tr>
      <w:tr w:rsidR="1E5698F7" w14:paraId="1566B06B"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77CAF5BA" w14:textId="6AC32A84"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San Antonio Aguas Calientes</w:t>
            </w:r>
          </w:p>
        </w:tc>
        <w:tc>
          <w:tcPr>
            <w:tcW w:w="1890" w:type="dxa"/>
            <w:tcMar>
              <w:left w:w="108" w:type="dxa"/>
              <w:right w:w="108" w:type="dxa"/>
            </w:tcMar>
          </w:tcPr>
          <w:p w14:paraId="21EFC4E0" w14:textId="62DFF19E"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Q17,073,678.52</w:t>
            </w:r>
          </w:p>
        </w:tc>
        <w:tc>
          <w:tcPr>
            <w:tcW w:w="1845" w:type="dxa"/>
            <w:tcMar>
              <w:left w:w="108" w:type="dxa"/>
              <w:right w:w="108" w:type="dxa"/>
            </w:tcMar>
          </w:tcPr>
          <w:p w14:paraId="0FCE0584" w14:textId="5167A235"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Q9,971,728.55</w:t>
            </w:r>
          </w:p>
        </w:tc>
        <w:tc>
          <w:tcPr>
            <w:tcW w:w="1260" w:type="dxa"/>
            <w:shd w:val="clear" w:color="auto" w:fill="FFFF00"/>
            <w:tcMar>
              <w:left w:w="108" w:type="dxa"/>
              <w:right w:w="108" w:type="dxa"/>
            </w:tcMar>
            <w:vAlign w:val="bottom"/>
          </w:tcPr>
          <w:p w14:paraId="13C790A6" w14:textId="6588D345"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50.04%</w:t>
            </w:r>
          </w:p>
        </w:tc>
        <w:tc>
          <w:tcPr>
            <w:tcW w:w="1260" w:type="dxa"/>
            <w:shd w:val="clear" w:color="auto" w:fill="FFFF00"/>
            <w:tcMar>
              <w:left w:w="108" w:type="dxa"/>
              <w:right w:w="108" w:type="dxa"/>
            </w:tcMar>
            <w:vAlign w:val="bottom"/>
          </w:tcPr>
          <w:p w14:paraId="1E545D99" w14:textId="59433616"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58.40%</w:t>
            </w:r>
          </w:p>
        </w:tc>
      </w:tr>
      <w:tr w:rsidR="1E5698F7" w14:paraId="7B4E84B3"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133B0935" w14:textId="217E5D88"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Antigua Guatemala</w:t>
            </w:r>
          </w:p>
        </w:tc>
        <w:tc>
          <w:tcPr>
            <w:tcW w:w="1890" w:type="dxa"/>
            <w:tcMar>
              <w:left w:w="108" w:type="dxa"/>
              <w:right w:w="108" w:type="dxa"/>
            </w:tcMar>
          </w:tcPr>
          <w:p w14:paraId="076B2BE9" w14:textId="53B6153F"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Q237,347,074.78</w:t>
            </w:r>
          </w:p>
        </w:tc>
        <w:tc>
          <w:tcPr>
            <w:tcW w:w="1845" w:type="dxa"/>
            <w:tcMar>
              <w:left w:w="108" w:type="dxa"/>
              <w:right w:w="108" w:type="dxa"/>
            </w:tcMar>
          </w:tcPr>
          <w:p w14:paraId="394C24CA" w14:textId="66B0C6B5"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Q152,895,477.21</w:t>
            </w:r>
          </w:p>
        </w:tc>
        <w:tc>
          <w:tcPr>
            <w:tcW w:w="1260" w:type="dxa"/>
            <w:shd w:val="clear" w:color="auto" w:fill="C00000"/>
            <w:tcMar>
              <w:left w:w="108" w:type="dxa"/>
              <w:right w:w="108" w:type="dxa"/>
            </w:tcMar>
            <w:vAlign w:val="bottom"/>
          </w:tcPr>
          <w:p w14:paraId="77341F2D" w14:textId="62E39845"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45.07%</w:t>
            </w:r>
          </w:p>
        </w:tc>
        <w:tc>
          <w:tcPr>
            <w:tcW w:w="1260" w:type="dxa"/>
            <w:shd w:val="clear" w:color="auto" w:fill="FFFF00"/>
            <w:tcMar>
              <w:left w:w="108" w:type="dxa"/>
              <w:right w:w="108" w:type="dxa"/>
            </w:tcMar>
            <w:vAlign w:val="bottom"/>
          </w:tcPr>
          <w:p w14:paraId="20E45E38" w14:textId="7F092BC8"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64.42%</w:t>
            </w:r>
          </w:p>
        </w:tc>
      </w:tr>
      <w:tr w:rsidR="1E5698F7" w14:paraId="17DA38F4"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43C659A4" w14:textId="0F9C75DF"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Pastores</w:t>
            </w:r>
          </w:p>
        </w:tc>
        <w:tc>
          <w:tcPr>
            <w:tcW w:w="1890" w:type="dxa"/>
            <w:tcMar>
              <w:left w:w="108" w:type="dxa"/>
              <w:right w:w="108" w:type="dxa"/>
            </w:tcMar>
          </w:tcPr>
          <w:p w14:paraId="580FE046" w14:textId="4445D80F"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Q19,543,500.00</w:t>
            </w:r>
          </w:p>
        </w:tc>
        <w:tc>
          <w:tcPr>
            <w:tcW w:w="1845" w:type="dxa"/>
            <w:tcMar>
              <w:left w:w="108" w:type="dxa"/>
              <w:right w:w="108" w:type="dxa"/>
            </w:tcMar>
          </w:tcPr>
          <w:p w14:paraId="15C880F4" w14:textId="49BEC5DC"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Q16,718,499.00</w:t>
            </w:r>
          </w:p>
        </w:tc>
        <w:tc>
          <w:tcPr>
            <w:tcW w:w="1260" w:type="dxa"/>
            <w:shd w:val="clear" w:color="auto" w:fill="C00000"/>
            <w:tcMar>
              <w:left w:w="108" w:type="dxa"/>
              <w:right w:w="108" w:type="dxa"/>
            </w:tcMar>
            <w:vAlign w:val="bottom"/>
          </w:tcPr>
          <w:p w14:paraId="2A14DFAF" w14:textId="658AF48A"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44.83%</w:t>
            </w:r>
          </w:p>
        </w:tc>
        <w:tc>
          <w:tcPr>
            <w:tcW w:w="1260" w:type="dxa"/>
            <w:shd w:val="clear" w:color="auto" w:fill="FFFF00"/>
            <w:tcMar>
              <w:left w:w="108" w:type="dxa"/>
              <w:right w:w="108" w:type="dxa"/>
            </w:tcMar>
            <w:vAlign w:val="bottom"/>
          </w:tcPr>
          <w:p w14:paraId="7E3542A3" w14:textId="5973B9E6"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85.55%</w:t>
            </w:r>
          </w:p>
        </w:tc>
      </w:tr>
      <w:tr w:rsidR="1E5698F7" w14:paraId="295AF78C"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4C5F066F" w14:textId="6D6CED5C"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San Lucas Sacatepéquez</w:t>
            </w:r>
          </w:p>
        </w:tc>
        <w:tc>
          <w:tcPr>
            <w:tcW w:w="1890" w:type="dxa"/>
            <w:tcMar>
              <w:left w:w="108" w:type="dxa"/>
              <w:right w:w="108" w:type="dxa"/>
            </w:tcMar>
          </w:tcPr>
          <w:p w14:paraId="2D75DE7F" w14:textId="3D22159B"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Q108,369,252.60</w:t>
            </w:r>
          </w:p>
        </w:tc>
        <w:tc>
          <w:tcPr>
            <w:tcW w:w="1845" w:type="dxa"/>
            <w:tcMar>
              <w:left w:w="108" w:type="dxa"/>
              <w:right w:w="108" w:type="dxa"/>
            </w:tcMar>
          </w:tcPr>
          <w:p w14:paraId="27B43D6F" w14:textId="233350A4"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Q59,412,547.26</w:t>
            </w:r>
          </w:p>
        </w:tc>
        <w:tc>
          <w:tcPr>
            <w:tcW w:w="1260" w:type="dxa"/>
            <w:shd w:val="clear" w:color="auto" w:fill="C00000"/>
            <w:tcMar>
              <w:left w:w="108" w:type="dxa"/>
              <w:right w:w="108" w:type="dxa"/>
            </w:tcMar>
            <w:vAlign w:val="bottom"/>
          </w:tcPr>
          <w:p w14:paraId="1C416518" w14:textId="3BF6A7D5"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37.11%</w:t>
            </w:r>
          </w:p>
        </w:tc>
        <w:tc>
          <w:tcPr>
            <w:tcW w:w="1260" w:type="dxa"/>
            <w:shd w:val="clear" w:color="auto" w:fill="FFFF00"/>
            <w:tcMar>
              <w:left w:w="108" w:type="dxa"/>
              <w:right w:w="108" w:type="dxa"/>
            </w:tcMar>
            <w:vAlign w:val="bottom"/>
          </w:tcPr>
          <w:p w14:paraId="5462F63A" w14:textId="6EAAAE53"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54.82%</w:t>
            </w:r>
          </w:p>
        </w:tc>
      </w:tr>
      <w:tr w:rsidR="1E5698F7" w14:paraId="452164F7"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470348E7" w14:textId="42090C5D"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Alotenango</w:t>
            </w:r>
          </w:p>
        </w:tc>
        <w:tc>
          <w:tcPr>
            <w:tcW w:w="1890" w:type="dxa"/>
            <w:tcMar>
              <w:left w:w="108" w:type="dxa"/>
              <w:right w:w="108" w:type="dxa"/>
            </w:tcMar>
          </w:tcPr>
          <w:p w14:paraId="64D2453F" w14:textId="06C63600"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Q17,440,869.13</w:t>
            </w:r>
          </w:p>
        </w:tc>
        <w:tc>
          <w:tcPr>
            <w:tcW w:w="1845" w:type="dxa"/>
            <w:tcMar>
              <w:left w:w="108" w:type="dxa"/>
              <w:right w:w="108" w:type="dxa"/>
            </w:tcMar>
          </w:tcPr>
          <w:p w14:paraId="4AD0C804" w14:textId="24D49E8C"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Q7,856,378.74</w:t>
            </w:r>
          </w:p>
        </w:tc>
        <w:tc>
          <w:tcPr>
            <w:tcW w:w="1260" w:type="dxa"/>
            <w:shd w:val="clear" w:color="auto" w:fill="C00000"/>
            <w:tcMar>
              <w:left w:w="108" w:type="dxa"/>
              <w:right w:w="108" w:type="dxa"/>
            </w:tcMar>
            <w:vAlign w:val="bottom"/>
          </w:tcPr>
          <w:p w14:paraId="38C2BCD0" w14:textId="0D3E71F1"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10.75%</w:t>
            </w:r>
          </w:p>
        </w:tc>
        <w:tc>
          <w:tcPr>
            <w:tcW w:w="1260" w:type="dxa"/>
            <w:shd w:val="clear" w:color="auto" w:fill="C00000"/>
            <w:tcMar>
              <w:left w:w="108" w:type="dxa"/>
              <w:right w:w="108" w:type="dxa"/>
            </w:tcMar>
            <w:vAlign w:val="bottom"/>
          </w:tcPr>
          <w:p w14:paraId="5EF4D89A" w14:textId="1FB9634D"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45.05%</w:t>
            </w:r>
          </w:p>
        </w:tc>
      </w:tr>
      <w:tr w:rsidR="1E5698F7" w14:paraId="235FD49F"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2BBFFC1D" w14:textId="3D242019"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San Miguel Dueñas</w:t>
            </w:r>
          </w:p>
        </w:tc>
        <w:tc>
          <w:tcPr>
            <w:tcW w:w="1890" w:type="dxa"/>
            <w:tcMar>
              <w:left w:w="108" w:type="dxa"/>
              <w:right w:w="108" w:type="dxa"/>
            </w:tcMar>
          </w:tcPr>
          <w:p w14:paraId="4B88D9E1" w14:textId="5F9759B3"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Q35,534,735.97</w:t>
            </w:r>
          </w:p>
        </w:tc>
        <w:tc>
          <w:tcPr>
            <w:tcW w:w="1845" w:type="dxa"/>
            <w:tcMar>
              <w:left w:w="108" w:type="dxa"/>
              <w:right w:w="108" w:type="dxa"/>
            </w:tcMar>
          </w:tcPr>
          <w:p w14:paraId="4481E0C9" w14:textId="51E6A480"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Q20,928,904.52</w:t>
            </w:r>
          </w:p>
        </w:tc>
        <w:tc>
          <w:tcPr>
            <w:tcW w:w="1260" w:type="dxa"/>
            <w:shd w:val="clear" w:color="auto" w:fill="C00000"/>
            <w:tcMar>
              <w:left w:w="108" w:type="dxa"/>
              <w:right w:w="108" w:type="dxa"/>
            </w:tcMar>
            <w:vAlign w:val="bottom"/>
          </w:tcPr>
          <w:p w14:paraId="4B455714" w14:textId="6DFA5EAE"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2.27%</w:t>
            </w:r>
          </w:p>
        </w:tc>
        <w:tc>
          <w:tcPr>
            <w:tcW w:w="1260" w:type="dxa"/>
            <w:shd w:val="clear" w:color="auto" w:fill="FFFF00"/>
            <w:tcMar>
              <w:left w:w="108" w:type="dxa"/>
              <w:right w:w="108" w:type="dxa"/>
            </w:tcMar>
            <w:vAlign w:val="bottom"/>
          </w:tcPr>
          <w:p w14:paraId="6551A3CA" w14:textId="6C8774EC" w:rsidR="1E5698F7" w:rsidRDefault="1E5698F7" w:rsidP="1E5698F7">
            <w:pPr>
              <w:jc w:val="right"/>
              <w:cnfStyle w:val="000000000000" w:firstRow="0" w:lastRow="0" w:firstColumn="0" w:lastColumn="0" w:oddVBand="0" w:evenVBand="0" w:oddHBand="0" w:evenHBand="0" w:firstRowFirstColumn="0" w:firstRowLastColumn="0" w:lastRowFirstColumn="0" w:lastRowLastColumn="0"/>
            </w:pPr>
            <w:r w:rsidRPr="1E5698F7">
              <w:rPr>
                <w:rFonts w:ascii="Calibri" w:eastAsia="Calibri" w:hAnsi="Calibri" w:cs="Calibri"/>
                <w:color w:val="000000" w:themeColor="text1"/>
              </w:rPr>
              <w:t>58.90%</w:t>
            </w:r>
          </w:p>
        </w:tc>
      </w:tr>
      <w:tr w:rsidR="1E5698F7" w14:paraId="56EA8B61"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tcMar>
              <w:left w:w="108" w:type="dxa"/>
              <w:right w:w="108" w:type="dxa"/>
            </w:tcMar>
          </w:tcPr>
          <w:p w14:paraId="3FA5CAE6" w14:textId="3D2C900A" w:rsidR="1E5698F7" w:rsidRDefault="1E5698F7" w:rsidP="1E5698F7">
            <w:pPr>
              <w:rPr>
                <w:rFonts w:ascii="Calibri" w:eastAsia="Calibri" w:hAnsi="Calibri" w:cs="Calibri"/>
                <w:b w:val="0"/>
                <w:bCs w:val="0"/>
                <w:color w:val="000000" w:themeColor="text1"/>
              </w:rPr>
            </w:pPr>
            <w:r w:rsidRPr="1E5698F7">
              <w:rPr>
                <w:rFonts w:ascii="Calibri" w:eastAsia="Calibri" w:hAnsi="Calibri" w:cs="Calibri"/>
                <w:b w:val="0"/>
                <w:bCs w:val="0"/>
                <w:color w:val="000000" w:themeColor="text1"/>
              </w:rPr>
              <w:t>Magdalena Milpas Altas</w:t>
            </w:r>
          </w:p>
        </w:tc>
        <w:tc>
          <w:tcPr>
            <w:tcW w:w="1890" w:type="dxa"/>
            <w:tcMar>
              <w:left w:w="108" w:type="dxa"/>
              <w:right w:w="108" w:type="dxa"/>
            </w:tcMar>
          </w:tcPr>
          <w:p w14:paraId="543C6E72" w14:textId="2A95F7CB"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Q11,104,389.70</w:t>
            </w:r>
          </w:p>
        </w:tc>
        <w:tc>
          <w:tcPr>
            <w:tcW w:w="1845" w:type="dxa"/>
            <w:tcMar>
              <w:left w:w="108" w:type="dxa"/>
              <w:right w:w="108" w:type="dxa"/>
            </w:tcMar>
          </w:tcPr>
          <w:p w14:paraId="6AB0272B" w14:textId="7E92FFC8"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Q6,567,407.28</w:t>
            </w:r>
          </w:p>
        </w:tc>
        <w:tc>
          <w:tcPr>
            <w:tcW w:w="1260" w:type="dxa"/>
            <w:shd w:val="clear" w:color="auto" w:fill="C00000"/>
            <w:tcMar>
              <w:left w:w="108" w:type="dxa"/>
              <w:right w:w="108" w:type="dxa"/>
            </w:tcMar>
            <w:vAlign w:val="bottom"/>
          </w:tcPr>
          <w:p w14:paraId="02692A96" w14:textId="31F10C42"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0.82%</w:t>
            </w:r>
          </w:p>
        </w:tc>
        <w:tc>
          <w:tcPr>
            <w:tcW w:w="1260" w:type="dxa"/>
            <w:shd w:val="clear" w:color="auto" w:fill="FFFF00"/>
            <w:tcMar>
              <w:left w:w="108" w:type="dxa"/>
              <w:right w:w="108" w:type="dxa"/>
            </w:tcMar>
            <w:vAlign w:val="bottom"/>
          </w:tcPr>
          <w:p w14:paraId="7CF45B4B" w14:textId="05CEAA88" w:rsidR="1E5698F7" w:rsidRDefault="1E5698F7" w:rsidP="1E5698F7">
            <w:pPr>
              <w:jc w:val="right"/>
              <w:cnfStyle w:val="000000100000" w:firstRow="0" w:lastRow="0" w:firstColumn="0" w:lastColumn="0" w:oddVBand="0" w:evenVBand="0" w:oddHBand="1" w:evenHBand="0" w:firstRowFirstColumn="0" w:firstRowLastColumn="0" w:lastRowFirstColumn="0" w:lastRowLastColumn="0"/>
            </w:pPr>
            <w:r w:rsidRPr="1E5698F7">
              <w:rPr>
                <w:rFonts w:ascii="Calibri" w:eastAsia="Calibri" w:hAnsi="Calibri" w:cs="Calibri"/>
                <w:color w:val="000000" w:themeColor="text1"/>
              </w:rPr>
              <w:t>59.14%</w:t>
            </w:r>
          </w:p>
        </w:tc>
      </w:tr>
    </w:tbl>
    <w:p w14:paraId="50F75E68" w14:textId="280873E8" w:rsidR="00693BD9" w:rsidRDefault="1E5698F7" w:rsidP="002F4FE3">
      <w:pPr>
        <w:autoSpaceDE w:val="0"/>
        <w:autoSpaceDN w:val="0"/>
        <w:adjustRightInd w:val="0"/>
        <w:spacing w:after="120" w:line="240" w:lineRule="auto"/>
        <w:jc w:val="both"/>
        <w:rPr>
          <w:rFonts w:eastAsiaTheme="minorEastAsia"/>
          <w:sz w:val="18"/>
          <w:szCs w:val="18"/>
          <w:lang w:val="es-ES"/>
        </w:rPr>
      </w:pPr>
      <w:r w:rsidRPr="1E5698F7">
        <w:rPr>
          <w:rFonts w:eastAsiaTheme="minorEastAsia"/>
          <w:sz w:val="18"/>
          <w:szCs w:val="18"/>
          <w:lang w:val="es-ES"/>
        </w:rPr>
        <w:t>Fuente: Siplangl, III informe cuatrimestral y acumulado. Año 2022.</w:t>
      </w:r>
    </w:p>
    <w:p w14:paraId="052C7CED" w14:textId="69CBB9A3" w:rsidR="00693BD9" w:rsidRPr="002F4FE3" w:rsidRDefault="00693BD9" w:rsidP="002F4FE3">
      <w:pPr>
        <w:autoSpaceDE w:val="0"/>
        <w:autoSpaceDN w:val="0"/>
        <w:adjustRightInd w:val="0"/>
        <w:spacing w:after="120" w:line="240" w:lineRule="auto"/>
        <w:jc w:val="both"/>
        <w:rPr>
          <w:rFonts w:eastAsia="Times New Roman" w:cstheme="minorHAnsi"/>
          <w:b/>
          <w:color w:val="002060"/>
          <w:sz w:val="28"/>
          <w:szCs w:val="28"/>
          <w:lang w:val="es-ES"/>
        </w:rPr>
      </w:pPr>
      <w:r w:rsidRPr="002F4FE3">
        <w:rPr>
          <w:rFonts w:eastAsia="Times New Roman" w:cstheme="minorHAnsi"/>
          <w:b/>
          <w:color w:val="002060"/>
          <w:sz w:val="28"/>
          <w:szCs w:val="28"/>
          <w:lang w:val="es-ES"/>
        </w:rPr>
        <w:t>San Marcos</w:t>
      </w:r>
    </w:p>
    <w:p w14:paraId="7D14ECC0" w14:textId="1E0E0BFF" w:rsidR="00E91099" w:rsidRPr="00777D1C" w:rsidRDefault="002F4FE3" w:rsidP="002F4FE3">
      <w:pPr>
        <w:autoSpaceDE w:val="0"/>
        <w:autoSpaceDN w:val="0"/>
        <w:adjustRightInd w:val="0"/>
        <w:spacing w:after="120" w:line="240" w:lineRule="auto"/>
        <w:jc w:val="both"/>
      </w:pPr>
      <w:r>
        <w:rPr>
          <w:noProof/>
        </w:rPr>
        <w:drawing>
          <wp:anchor distT="0" distB="0" distL="114300" distR="114300" simplePos="0" relativeHeight="251713024" behindDoc="1" locked="0" layoutInCell="1" allowOverlap="1" wp14:anchorId="027B6309" wp14:editId="291FC63F">
            <wp:simplePos x="0" y="0"/>
            <wp:positionH relativeFrom="column">
              <wp:posOffset>4394200</wp:posOffset>
            </wp:positionH>
            <wp:positionV relativeFrom="paragraph">
              <wp:posOffset>62865</wp:posOffset>
            </wp:positionV>
            <wp:extent cx="1504315" cy="1046480"/>
            <wp:effectExtent l="19050" t="19050" r="19685" b="20320"/>
            <wp:wrapTight wrapText="bothSides">
              <wp:wrapPolygon edited="0">
                <wp:start x="-274" y="-393"/>
                <wp:lineTo x="-274" y="21626"/>
                <wp:lineTo x="21609" y="21626"/>
                <wp:lineTo x="21609" y="-393"/>
                <wp:lineTo x="-274" y="-393"/>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504315" cy="1046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1E5698F7" w:rsidRPr="1E5698F7">
        <w:rPr>
          <w:rFonts w:ascii="Calibri" w:eastAsia="Calibri" w:hAnsi="Calibri" w:cs="Calibri"/>
          <w:sz w:val="24"/>
          <w:szCs w:val="24"/>
          <w:lang w:val="es-ES"/>
        </w:rPr>
        <w:t>Con 30 municipios, el departamento reportó al finalizar el año 2022, un avance físico promedio de 58.92%; A pesar de ser un promedio bajo, tres municipios reportaron más del 88.5% de avance, siendo éstos: La Reforma con 100%, Ocós con 98.25% y San Rafael Pie de la Cuesta con 88.89%.</w:t>
      </w:r>
      <w:r w:rsidR="1E5698F7" w:rsidRPr="1E5698F7">
        <w:rPr>
          <w:rFonts w:ascii="Calibri" w:eastAsia="Calibri" w:hAnsi="Calibri" w:cs="Calibri"/>
          <w:lang w:val="es-ES"/>
        </w:rPr>
        <w:t xml:space="preserve"> </w:t>
      </w:r>
    </w:p>
    <w:p w14:paraId="3D28896E" w14:textId="78740683" w:rsidR="00E91099" w:rsidRPr="00777D1C" w:rsidRDefault="1E5698F7" w:rsidP="002F4FE3">
      <w:pPr>
        <w:autoSpaceDE w:val="0"/>
        <w:autoSpaceDN w:val="0"/>
        <w:adjustRightInd w:val="0"/>
        <w:spacing w:after="120" w:line="240" w:lineRule="auto"/>
        <w:jc w:val="both"/>
      </w:pPr>
      <w:r w:rsidRPr="1E5698F7">
        <w:rPr>
          <w:rFonts w:ascii="Calibri" w:eastAsia="Calibri" w:hAnsi="Calibri" w:cs="Calibri"/>
          <w:sz w:val="24"/>
          <w:szCs w:val="24"/>
          <w:lang w:val="es-ES"/>
        </w:rPr>
        <w:t>En relación al avance financiero, el departamento reportó un 64.27 % de avance; tres municipios presentaron avances de más del 95%, siendo éstos: La Reforma con 100%, El Quetzal con 96.03% y San Cristóbal Cucho con 95.66%. Ver siguiente tabla.</w:t>
      </w:r>
    </w:p>
    <w:p w14:paraId="5A5167C7" w14:textId="6072D22A" w:rsidR="00E91099" w:rsidRPr="00777D1C" w:rsidRDefault="1E5698F7" w:rsidP="002F4FE3">
      <w:pPr>
        <w:autoSpaceDE w:val="0"/>
        <w:autoSpaceDN w:val="0"/>
        <w:adjustRightInd w:val="0"/>
        <w:spacing w:after="120" w:line="240" w:lineRule="auto"/>
        <w:jc w:val="both"/>
        <w:rPr>
          <w:rFonts w:ascii="Helvetica" w:eastAsia="Times New Roman" w:hAnsi="Helvetica" w:cs="Helvetica"/>
          <w:sz w:val="24"/>
          <w:szCs w:val="24"/>
          <w:lang w:val="es-ES"/>
        </w:rPr>
      </w:pPr>
      <w:r w:rsidRPr="1E5698F7">
        <w:rPr>
          <w:rFonts w:ascii="Calibri" w:eastAsia="Calibri" w:hAnsi="Calibri" w:cs="Calibri"/>
          <w:sz w:val="24"/>
          <w:szCs w:val="24"/>
          <w:lang w:val="es-ES"/>
        </w:rPr>
        <w:t>Sipacapa, sí presentó avances en Siplangl, reportando un 78.33% en avance físico, sin embargo, no fue incluido en la tabla al reportar avances mayores a la meta financiera vigente.</w:t>
      </w:r>
    </w:p>
    <w:p w14:paraId="07772A9A" w14:textId="0CD31096" w:rsidR="00693BD9" w:rsidRPr="002F4FE3" w:rsidRDefault="322BED81" w:rsidP="00016865">
      <w:pPr>
        <w:pStyle w:val="ttulosgrficas"/>
        <w:rPr>
          <w:rFonts w:asciiTheme="minorHAnsi" w:eastAsia="Times New Roman" w:hAnsiTheme="minorHAnsi" w:cstheme="minorHAnsi"/>
          <w:color w:val="4472C4" w:themeColor="accent1"/>
          <w:lang w:val="es-ES"/>
        </w:rPr>
      </w:pPr>
      <w:bookmarkStart w:id="76" w:name="_Toc130199621"/>
      <w:r w:rsidRPr="002F4FE3">
        <w:rPr>
          <w:rFonts w:asciiTheme="minorHAnsi" w:eastAsia="Times New Roman" w:hAnsiTheme="minorHAnsi" w:cstheme="minorHAnsi"/>
          <w:color w:val="4471C4"/>
          <w:lang w:val="es-ES"/>
        </w:rPr>
        <w:t xml:space="preserve">Tabla </w:t>
      </w:r>
      <w:r w:rsidR="006E5E0A">
        <w:rPr>
          <w:rFonts w:asciiTheme="minorHAnsi" w:eastAsia="Times New Roman" w:hAnsiTheme="minorHAnsi" w:cstheme="minorHAnsi"/>
          <w:color w:val="4471C4"/>
          <w:lang w:val="es-ES"/>
        </w:rPr>
        <w:fldChar w:fldCharType="begin"/>
      </w:r>
      <w:r w:rsidR="006E5E0A">
        <w:rPr>
          <w:rFonts w:asciiTheme="minorHAnsi" w:eastAsia="Times New Roman" w:hAnsiTheme="minorHAnsi" w:cstheme="minorHAnsi"/>
          <w:color w:val="4471C4"/>
          <w:lang w:val="es-ES"/>
        </w:rPr>
        <w:instrText xml:space="preserve"> SEQ Tabla \* ARABIC </w:instrText>
      </w:r>
      <w:r w:rsidR="006E5E0A">
        <w:rPr>
          <w:rFonts w:asciiTheme="minorHAnsi" w:eastAsia="Times New Roman" w:hAnsiTheme="minorHAnsi" w:cstheme="minorHAnsi"/>
          <w:color w:val="4471C4"/>
          <w:lang w:val="es-ES"/>
        </w:rPr>
        <w:fldChar w:fldCharType="separate"/>
      </w:r>
      <w:r w:rsidR="00777974">
        <w:rPr>
          <w:rFonts w:asciiTheme="minorHAnsi" w:eastAsia="Times New Roman" w:hAnsiTheme="minorHAnsi" w:cstheme="minorHAnsi"/>
          <w:noProof/>
          <w:color w:val="4471C4"/>
          <w:lang w:val="es-ES"/>
        </w:rPr>
        <w:t>33</w:t>
      </w:r>
      <w:r w:rsidR="006E5E0A">
        <w:rPr>
          <w:rFonts w:asciiTheme="minorHAnsi" w:eastAsia="Times New Roman" w:hAnsiTheme="minorHAnsi" w:cstheme="minorHAnsi"/>
          <w:color w:val="4471C4"/>
          <w:lang w:val="es-ES"/>
        </w:rPr>
        <w:fldChar w:fldCharType="end"/>
      </w:r>
      <w:r w:rsidR="007A6B50">
        <w:rPr>
          <w:rFonts w:asciiTheme="minorHAnsi" w:eastAsia="Times New Roman" w:hAnsiTheme="minorHAnsi" w:cstheme="minorHAnsi"/>
          <w:color w:val="4471C4"/>
          <w:lang w:val="es-ES"/>
        </w:rPr>
        <w:t xml:space="preserve">. </w:t>
      </w:r>
      <w:r w:rsidRPr="002F4FE3">
        <w:rPr>
          <w:rFonts w:asciiTheme="minorHAnsi" w:eastAsia="Times New Roman" w:hAnsiTheme="minorHAnsi" w:cstheme="minorHAnsi"/>
          <w:color w:val="4471C4"/>
          <w:lang w:val="es-ES"/>
        </w:rPr>
        <w:t>Ejecución Física y Financiera, departamento de San Marcos</w:t>
      </w:r>
      <w:bookmarkEnd w:id="76"/>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195"/>
        <w:gridCol w:w="2010"/>
        <w:gridCol w:w="1860"/>
        <w:gridCol w:w="1110"/>
        <w:gridCol w:w="1245"/>
      </w:tblGrid>
      <w:tr w:rsidR="322BED81" w14:paraId="646B31DF" w14:textId="77777777" w:rsidTr="002F4FE3">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195" w:type="dxa"/>
            <w:tcBorders>
              <w:top w:val="none" w:sz="0" w:space="0" w:color="auto"/>
              <w:left w:val="none" w:sz="0" w:space="0" w:color="auto"/>
              <w:bottom w:val="none" w:sz="0" w:space="0" w:color="auto"/>
            </w:tcBorders>
            <w:tcMar>
              <w:left w:w="108" w:type="dxa"/>
              <w:right w:w="108" w:type="dxa"/>
            </w:tcMar>
            <w:vAlign w:val="center"/>
          </w:tcPr>
          <w:p w14:paraId="3AB0E00B" w14:textId="0B56EAEE" w:rsidR="322BED81" w:rsidRDefault="322BED81" w:rsidP="322BED81">
            <w:pPr>
              <w:jc w:val="center"/>
            </w:pPr>
            <w:r w:rsidRPr="322BED81">
              <w:rPr>
                <w:rFonts w:ascii="Calibri" w:eastAsia="Calibri" w:hAnsi="Calibri" w:cs="Calibri"/>
                <w:color w:val="000000" w:themeColor="text1"/>
              </w:rPr>
              <w:t>Municipio</w:t>
            </w:r>
          </w:p>
        </w:tc>
        <w:tc>
          <w:tcPr>
            <w:tcW w:w="2010" w:type="dxa"/>
            <w:tcBorders>
              <w:top w:val="none" w:sz="0" w:space="0" w:color="auto"/>
              <w:bottom w:val="none" w:sz="0" w:space="0" w:color="auto"/>
            </w:tcBorders>
            <w:tcMar>
              <w:left w:w="108" w:type="dxa"/>
              <w:right w:w="108" w:type="dxa"/>
            </w:tcMar>
            <w:vAlign w:val="center"/>
          </w:tcPr>
          <w:p w14:paraId="6DABA3EB" w14:textId="480331F3" w:rsidR="322BED81" w:rsidRDefault="3AD7B7C1" w:rsidP="322BED81">
            <w:pPr>
              <w:jc w:val="center"/>
              <w:cnfStyle w:val="100000000000" w:firstRow="1"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Meta Financiera Anual Vigente</w:t>
            </w:r>
          </w:p>
        </w:tc>
        <w:tc>
          <w:tcPr>
            <w:tcW w:w="1860" w:type="dxa"/>
            <w:tcBorders>
              <w:top w:val="none" w:sz="0" w:space="0" w:color="auto"/>
              <w:bottom w:val="none" w:sz="0" w:space="0" w:color="auto"/>
            </w:tcBorders>
            <w:tcMar>
              <w:left w:w="108" w:type="dxa"/>
              <w:right w:w="108" w:type="dxa"/>
            </w:tcMar>
            <w:vAlign w:val="center"/>
          </w:tcPr>
          <w:p w14:paraId="7D7D36C4" w14:textId="542599A9" w:rsidR="322BED81" w:rsidRDefault="3AD7B7C1" w:rsidP="322BED81">
            <w:pPr>
              <w:jc w:val="center"/>
              <w:cnfStyle w:val="100000000000" w:firstRow="1"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Ejecución Financiera Acumulada</w:t>
            </w:r>
          </w:p>
        </w:tc>
        <w:tc>
          <w:tcPr>
            <w:tcW w:w="1110" w:type="dxa"/>
            <w:tcBorders>
              <w:top w:val="none" w:sz="0" w:space="0" w:color="auto"/>
              <w:bottom w:val="none" w:sz="0" w:space="0" w:color="auto"/>
            </w:tcBorders>
            <w:tcMar>
              <w:left w:w="108" w:type="dxa"/>
              <w:right w:w="108" w:type="dxa"/>
            </w:tcMar>
            <w:vAlign w:val="center"/>
          </w:tcPr>
          <w:p w14:paraId="3A982833" w14:textId="4952E5DE" w:rsidR="322BED81" w:rsidRDefault="322BED81" w:rsidP="322BED81">
            <w:pPr>
              <w:jc w:val="center"/>
              <w:cnfStyle w:val="100000000000" w:firstRow="1"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 de Ejecución Física</w:t>
            </w:r>
          </w:p>
        </w:tc>
        <w:tc>
          <w:tcPr>
            <w:tcW w:w="1245" w:type="dxa"/>
            <w:tcBorders>
              <w:top w:val="none" w:sz="0" w:space="0" w:color="auto"/>
              <w:bottom w:val="none" w:sz="0" w:space="0" w:color="auto"/>
              <w:right w:val="none" w:sz="0" w:space="0" w:color="auto"/>
            </w:tcBorders>
            <w:tcMar>
              <w:left w:w="108" w:type="dxa"/>
              <w:right w:w="108" w:type="dxa"/>
            </w:tcMar>
            <w:vAlign w:val="center"/>
          </w:tcPr>
          <w:p w14:paraId="10266018" w14:textId="631202FA" w:rsidR="322BED81" w:rsidRDefault="322BED81" w:rsidP="322BED81">
            <w:pPr>
              <w:jc w:val="center"/>
              <w:cnfStyle w:val="100000000000" w:firstRow="1"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 de Ejecución Financiera</w:t>
            </w:r>
          </w:p>
        </w:tc>
      </w:tr>
      <w:tr w:rsidR="322BED81" w14:paraId="3846A967"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38B05E47" w14:textId="15D3780A" w:rsidR="322BED81" w:rsidRDefault="322BED81" w:rsidP="322BED81">
            <w:r w:rsidRPr="322BED81">
              <w:rPr>
                <w:rFonts w:ascii="Calibri" w:eastAsia="Calibri" w:hAnsi="Calibri" w:cs="Calibri"/>
                <w:color w:val="000000" w:themeColor="text1"/>
              </w:rPr>
              <w:t xml:space="preserve"> Todo el Departamento</w:t>
            </w:r>
          </w:p>
        </w:tc>
        <w:tc>
          <w:tcPr>
            <w:tcW w:w="2010" w:type="dxa"/>
            <w:tcMar>
              <w:left w:w="108" w:type="dxa"/>
              <w:right w:w="108" w:type="dxa"/>
            </w:tcMar>
          </w:tcPr>
          <w:p w14:paraId="1C8A2807" w14:textId="48464D53"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b/>
                <w:bCs/>
                <w:color w:val="000000" w:themeColor="text1"/>
              </w:rPr>
              <w:t>Q1,008,057,726.36</w:t>
            </w:r>
          </w:p>
        </w:tc>
        <w:tc>
          <w:tcPr>
            <w:tcW w:w="1860" w:type="dxa"/>
            <w:tcMar>
              <w:left w:w="108" w:type="dxa"/>
              <w:right w:w="108" w:type="dxa"/>
            </w:tcMar>
          </w:tcPr>
          <w:p w14:paraId="6CD2EDF2" w14:textId="05144D14"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b/>
                <w:bCs/>
                <w:color w:val="000000" w:themeColor="text1"/>
              </w:rPr>
              <w:t>Q647,928,077.23</w:t>
            </w:r>
          </w:p>
        </w:tc>
        <w:tc>
          <w:tcPr>
            <w:tcW w:w="1110" w:type="dxa"/>
            <w:shd w:val="clear" w:color="auto" w:fill="FFFF00"/>
            <w:tcMar>
              <w:left w:w="108" w:type="dxa"/>
              <w:right w:w="108" w:type="dxa"/>
            </w:tcMar>
            <w:vAlign w:val="bottom"/>
          </w:tcPr>
          <w:p w14:paraId="64F33E52" w14:textId="427D5DD1"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b/>
                <w:bCs/>
                <w:color w:val="000000" w:themeColor="text1"/>
              </w:rPr>
              <w:t>58.92%</w:t>
            </w:r>
          </w:p>
        </w:tc>
        <w:tc>
          <w:tcPr>
            <w:tcW w:w="1245" w:type="dxa"/>
            <w:shd w:val="clear" w:color="auto" w:fill="FFFF00"/>
            <w:tcMar>
              <w:left w:w="108" w:type="dxa"/>
              <w:right w:w="108" w:type="dxa"/>
            </w:tcMar>
            <w:vAlign w:val="bottom"/>
          </w:tcPr>
          <w:p w14:paraId="0A17DDB1" w14:textId="637074A4"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b/>
                <w:bCs/>
                <w:color w:val="000000" w:themeColor="text1"/>
              </w:rPr>
              <w:t>64.27%</w:t>
            </w:r>
          </w:p>
        </w:tc>
      </w:tr>
      <w:tr w:rsidR="322BED81" w14:paraId="287F12E9"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3877C171" w14:textId="67D35F2E"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La Reforma</w:t>
            </w:r>
          </w:p>
        </w:tc>
        <w:tc>
          <w:tcPr>
            <w:tcW w:w="2010" w:type="dxa"/>
            <w:tcMar>
              <w:left w:w="108" w:type="dxa"/>
              <w:right w:w="108" w:type="dxa"/>
            </w:tcMar>
          </w:tcPr>
          <w:p w14:paraId="109F7F7C" w14:textId="306F774D"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Q15,769,991.00</w:t>
            </w:r>
          </w:p>
        </w:tc>
        <w:tc>
          <w:tcPr>
            <w:tcW w:w="1860" w:type="dxa"/>
            <w:tcMar>
              <w:left w:w="108" w:type="dxa"/>
              <w:right w:w="108" w:type="dxa"/>
            </w:tcMar>
          </w:tcPr>
          <w:p w14:paraId="4B6D41B5" w14:textId="76AFA0B7"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Q15,769,991.00</w:t>
            </w:r>
          </w:p>
        </w:tc>
        <w:tc>
          <w:tcPr>
            <w:tcW w:w="1110" w:type="dxa"/>
            <w:shd w:val="clear" w:color="auto" w:fill="92D050"/>
            <w:tcMar>
              <w:left w:w="108" w:type="dxa"/>
              <w:right w:w="108" w:type="dxa"/>
            </w:tcMar>
            <w:vAlign w:val="bottom"/>
          </w:tcPr>
          <w:p w14:paraId="3822BA2C" w14:textId="1BF8A72A"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100.00%</w:t>
            </w:r>
          </w:p>
        </w:tc>
        <w:tc>
          <w:tcPr>
            <w:tcW w:w="1245" w:type="dxa"/>
            <w:shd w:val="clear" w:color="auto" w:fill="92D050"/>
            <w:tcMar>
              <w:left w:w="108" w:type="dxa"/>
              <w:right w:w="108" w:type="dxa"/>
            </w:tcMar>
            <w:vAlign w:val="bottom"/>
          </w:tcPr>
          <w:p w14:paraId="64538BB4" w14:textId="18E90E07"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100.00%</w:t>
            </w:r>
          </w:p>
        </w:tc>
      </w:tr>
      <w:tr w:rsidR="322BED81" w14:paraId="020C2125"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1C379268" w14:textId="4F29D3A3"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Ocós</w:t>
            </w:r>
          </w:p>
        </w:tc>
        <w:tc>
          <w:tcPr>
            <w:tcW w:w="2010" w:type="dxa"/>
            <w:tcMar>
              <w:left w:w="108" w:type="dxa"/>
              <w:right w:w="108" w:type="dxa"/>
            </w:tcMar>
          </w:tcPr>
          <w:p w14:paraId="13D8A07E" w14:textId="54DC0E07"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Q17,006,691.98</w:t>
            </w:r>
          </w:p>
        </w:tc>
        <w:tc>
          <w:tcPr>
            <w:tcW w:w="1860" w:type="dxa"/>
            <w:tcMar>
              <w:left w:w="108" w:type="dxa"/>
              <w:right w:w="108" w:type="dxa"/>
            </w:tcMar>
          </w:tcPr>
          <w:p w14:paraId="3B7CA58E" w14:textId="751103A3"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Q13,443,360.76</w:t>
            </w:r>
          </w:p>
        </w:tc>
        <w:tc>
          <w:tcPr>
            <w:tcW w:w="1110" w:type="dxa"/>
            <w:shd w:val="clear" w:color="auto" w:fill="92D050"/>
            <w:tcMar>
              <w:left w:w="108" w:type="dxa"/>
              <w:right w:w="108" w:type="dxa"/>
            </w:tcMar>
            <w:vAlign w:val="bottom"/>
          </w:tcPr>
          <w:p w14:paraId="54E772D2" w14:textId="3284BF43"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98.25%</w:t>
            </w:r>
          </w:p>
        </w:tc>
        <w:tc>
          <w:tcPr>
            <w:tcW w:w="1245" w:type="dxa"/>
            <w:shd w:val="clear" w:color="auto" w:fill="FFFF00"/>
            <w:tcMar>
              <w:left w:w="108" w:type="dxa"/>
              <w:right w:w="108" w:type="dxa"/>
            </w:tcMar>
            <w:vAlign w:val="bottom"/>
          </w:tcPr>
          <w:p w14:paraId="1787B69B" w14:textId="641D6681"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79.05%</w:t>
            </w:r>
          </w:p>
        </w:tc>
      </w:tr>
      <w:tr w:rsidR="322BED81" w14:paraId="038DE954"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38069896" w14:textId="34CC9B5B"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San Rafael Pie de la Cuesta</w:t>
            </w:r>
          </w:p>
        </w:tc>
        <w:tc>
          <w:tcPr>
            <w:tcW w:w="2010" w:type="dxa"/>
            <w:tcMar>
              <w:left w:w="108" w:type="dxa"/>
              <w:right w:w="108" w:type="dxa"/>
            </w:tcMar>
          </w:tcPr>
          <w:p w14:paraId="4567CD3E" w14:textId="0A54CC61"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Q32,983,460.10</w:t>
            </w:r>
          </w:p>
        </w:tc>
        <w:tc>
          <w:tcPr>
            <w:tcW w:w="1860" w:type="dxa"/>
            <w:tcMar>
              <w:left w:w="108" w:type="dxa"/>
              <w:right w:w="108" w:type="dxa"/>
            </w:tcMar>
          </w:tcPr>
          <w:p w14:paraId="5F7082AB" w14:textId="2BF10699"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Q29,985,460.12</w:t>
            </w:r>
          </w:p>
        </w:tc>
        <w:tc>
          <w:tcPr>
            <w:tcW w:w="1110" w:type="dxa"/>
            <w:shd w:val="clear" w:color="auto" w:fill="FFFF00"/>
            <w:tcMar>
              <w:left w:w="108" w:type="dxa"/>
              <w:right w:w="108" w:type="dxa"/>
            </w:tcMar>
            <w:vAlign w:val="bottom"/>
          </w:tcPr>
          <w:p w14:paraId="05D3EEF5" w14:textId="7B8B2A74"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88.89%</w:t>
            </w:r>
          </w:p>
        </w:tc>
        <w:tc>
          <w:tcPr>
            <w:tcW w:w="1245" w:type="dxa"/>
            <w:shd w:val="clear" w:color="auto" w:fill="92D050"/>
            <w:tcMar>
              <w:left w:w="108" w:type="dxa"/>
              <w:right w:w="108" w:type="dxa"/>
            </w:tcMar>
            <w:vAlign w:val="bottom"/>
          </w:tcPr>
          <w:p w14:paraId="64206077" w14:textId="1106584B"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90.91%</w:t>
            </w:r>
          </w:p>
        </w:tc>
      </w:tr>
      <w:tr w:rsidR="322BED81" w14:paraId="30DDA563"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5BB4DB0B" w14:textId="616ED031"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El Quetzal</w:t>
            </w:r>
          </w:p>
        </w:tc>
        <w:tc>
          <w:tcPr>
            <w:tcW w:w="2010" w:type="dxa"/>
            <w:tcMar>
              <w:left w:w="108" w:type="dxa"/>
              <w:right w:w="108" w:type="dxa"/>
            </w:tcMar>
          </w:tcPr>
          <w:p w14:paraId="3AD0F5DD" w14:textId="2A699A82"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Q19,309,542.52</w:t>
            </w:r>
          </w:p>
        </w:tc>
        <w:tc>
          <w:tcPr>
            <w:tcW w:w="1860" w:type="dxa"/>
            <w:tcMar>
              <w:left w:w="108" w:type="dxa"/>
              <w:right w:w="108" w:type="dxa"/>
            </w:tcMar>
          </w:tcPr>
          <w:p w14:paraId="70453D27" w14:textId="30D002CC"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Q18,542,524.64</w:t>
            </w:r>
          </w:p>
        </w:tc>
        <w:tc>
          <w:tcPr>
            <w:tcW w:w="1110" w:type="dxa"/>
            <w:shd w:val="clear" w:color="auto" w:fill="FFFF00"/>
            <w:tcMar>
              <w:left w:w="108" w:type="dxa"/>
              <w:right w:w="108" w:type="dxa"/>
            </w:tcMar>
            <w:vAlign w:val="bottom"/>
          </w:tcPr>
          <w:p w14:paraId="051A1931" w14:textId="24DAE1EF"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85.71%</w:t>
            </w:r>
          </w:p>
        </w:tc>
        <w:tc>
          <w:tcPr>
            <w:tcW w:w="1245" w:type="dxa"/>
            <w:shd w:val="clear" w:color="auto" w:fill="92D050"/>
            <w:tcMar>
              <w:left w:w="108" w:type="dxa"/>
              <w:right w:w="108" w:type="dxa"/>
            </w:tcMar>
            <w:vAlign w:val="bottom"/>
          </w:tcPr>
          <w:p w14:paraId="4745F6B5" w14:textId="1C275FB9"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96.03%</w:t>
            </w:r>
          </w:p>
        </w:tc>
      </w:tr>
      <w:tr w:rsidR="322BED81" w14:paraId="3D4E261C"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2ED5E923" w14:textId="4C5CD04F"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San José Ojetenam</w:t>
            </w:r>
          </w:p>
        </w:tc>
        <w:tc>
          <w:tcPr>
            <w:tcW w:w="2010" w:type="dxa"/>
            <w:tcMar>
              <w:left w:w="108" w:type="dxa"/>
              <w:right w:w="108" w:type="dxa"/>
            </w:tcMar>
          </w:tcPr>
          <w:p w14:paraId="555216A1" w14:textId="672F0C45"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Q16,995,817.00</w:t>
            </w:r>
          </w:p>
        </w:tc>
        <w:tc>
          <w:tcPr>
            <w:tcW w:w="1860" w:type="dxa"/>
            <w:tcMar>
              <w:left w:w="108" w:type="dxa"/>
              <w:right w:w="108" w:type="dxa"/>
            </w:tcMar>
          </w:tcPr>
          <w:p w14:paraId="5EA928E8" w14:textId="7D5FF15F"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Q13,857,973.69</w:t>
            </w:r>
          </w:p>
        </w:tc>
        <w:tc>
          <w:tcPr>
            <w:tcW w:w="1110" w:type="dxa"/>
            <w:shd w:val="clear" w:color="auto" w:fill="FFFF00"/>
            <w:tcMar>
              <w:left w:w="108" w:type="dxa"/>
              <w:right w:w="108" w:type="dxa"/>
            </w:tcMar>
            <w:vAlign w:val="bottom"/>
          </w:tcPr>
          <w:p w14:paraId="4A696EF2" w14:textId="66BB0E2C"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82.20%</w:t>
            </w:r>
          </w:p>
        </w:tc>
        <w:tc>
          <w:tcPr>
            <w:tcW w:w="1245" w:type="dxa"/>
            <w:shd w:val="clear" w:color="auto" w:fill="FFFF00"/>
            <w:tcMar>
              <w:left w:w="108" w:type="dxa"/>
              <w:right w:w="108" w:type="dxa"/>
            </w:tcMar>
            <w:vAlign w:val="bottom"/>
          </w:tcPr>
          <w:p w14:paraId="1E7EF348" w14:textId="5E36D175"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81.54%</w:t>
            </w:r>
          </w:p>
        </w:tc>
      </w:tr>
      <w:tr w:rsidR="322BED81" w14:paraId="1CD17123"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2A78B582" w14:textId="39FF3D15"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San Pablo</w:t>
            </w:r>
          </w:p>
        </w:tc>
        <w:tc>
          <w:tcPr>
            <w:tcW w:w="2010" w:type="dxa"/>
            <w:tcMar>
              <w:left w:w="108" w:type="dxa"/>
              <w:right w:w="108" w:type="dxa"/>
            </w:tcMar>
          </w:tcPr>
          <w:p w14:paraId="791EE9E7" w14:textId="744D30A0"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Q19,076,105.80</w:t>
            </w:r>
          </w:p>
        </w:tc>
        <w:tc>
          <w:tcPr>
            <w:tcW w:w="1860" w:type="dxa"/>
            <w:tcMar>
              <w:left w:w="108" w:type="dxa"/>
              <w:right w:w="108" w:type="dxa"/>
            </w:tcMar>
          </w:tcPr>
          <w:p w14:paraId="5EF6A9EE" w14:textId="089CC8D8"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Q15,632,014.32</w:t>
            </w:r>
          </w:p>
        </w:tc>
        <w:tc>
          <w:tcPr>
            <w:tcW w:w="1110" w:type="dxa"/>
            <w:shd w:val="clear" w:color="auto" w:fill="FFFF00"/>
            <w:tcMar>
              <w:left w:w="108" w:type="dxa"/>
              <w:right w:w="108" w:type="dxa"/>
            </w:tcMar>
            <w:vAlign w:val="bottom"/>
          </w:tcPr>
          <w:p w14:paraId="3C4C9297" w14:textId="175F70C5"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81.56%</w:t>
            </w:r>
          </w:p>
        </w:tc>
        <w:tc>
          <w:tcPr>
            <w:tcW w:w="1245" w:type="dxa"/>
            <w:shd w:val="clear" w:color="auto" w:fill="FFFF00"/>
            <w:tcMar>
              <w:left w:w="108" w:type="dxa"/>
              <w:right w:w="108" w:type="dxa"/>
            </w:tcMar>
            <w:vAlign w:val="bottom"/>
          </w:tcPr>
          <w:p w14:paraId="5EA8F727" w14:textId="6E97171F"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81.95%</w:t>
            </w:r>
          </w:p>
        </w:tc>
      </w:tr>
      <w:tr w:rsidR="322BED81" w14:paraId="048F334B"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211C04C4" w14:textId="5A3317C8"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Ixchiguán</w:t>
            </w:r>
          </w:p>
        </w:tc>
        <w:tc>
          <w:tcPr>
            <w:tcW w:w="2010" w:type="dxa"/>
            <w:tcMar>
              <w:left w:w="108" w:type="dxa"/>
              <w:right w:w="108" w:type="dxa"/>
            </w:tcMar>
          </w:tcPr>
          <w:p w14:paraId="32CE82D9" w14:textId="3D10259A"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Q29,046,778.00</w:t>
            </w:r>
          </w:p>
        </w:tc>
        <w:tc>
          <w:tcPr>
            <w:tcW w:w="1860" w:type="dxa"/>
            <w:tcMar>
              <w:left w:w="108" w:type="dxa"/>
              <w:right w:w="108" w:type="dxa"/>
            </w:tcMar>
          </w:tcPr>
          <w:p w14:paraId="4FC8312D" w14:textId="3728915B"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Q18,654,351.74</w:t>
            </w:r>
          </w:p>
        </w:tc>
        <w:tc>
          <w:tcPr>
            <w:tcW w:w="1110" w:type="dxa"/>
            <w:shd w:val="clear" w:color="auto" w:fill="FFFF00"/>
            <w:tcMar>
              <w:left w:w="108" w:type="dxa"/>
              <w:right w:w="108" w:type="dxa"/>
            </w:tcMar>
            <w:vAlign w:val="bottom"/>
          </w:tcPr>
          <w:p w14:paraId="78B6D8F5" w14:textId="5EE38919"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80.86%</w:t>
            </w:r>
          </w:p>
        </w:tc>
        <w:tc>
          <w:tcPr>
            <w:tcW w:w="1245" w:type="dxa"/>
            <w:shd w:val="clear" w:color="auto" w:fill="FFFF00"/>
            <w:tcMar>
              <w:left w:w="108" w:type="dxa"/>
              <w:right w:w="108" w:type="dxa"/>
            </w:tcMar>
            <w:vAlign w:val="bottom"/>
          </w:tcPr>
          <w:p w14:paraId="35A35F4A" w14:textId="596531E1"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64.22%</w:t>
            </w:r>
          </w:p>
        </w:tc>
      </w:tr>
      <w:tr w:rsidR="322BED81" w14:paraId="48DE39A1"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1BDD251A" w14:textId="2628A7C7"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Pajapita</w:t>
            </w:r>
          </w:p>
        </w:tc>
        <w:tc>
          <w:tcPr>
            <w:tcW w:w="2010" w:type="dxa"/>
            <w:tcMar>
              <w:left w:w="108" w:type="dxa"/>
              <w:right w:w="108" w:type="dxa"/>
            </w:tcMar>
          </w:tcPr>
          <w:p w14:paraId="4BD40F36" w14:textId="09711D03"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Q31,824,871.99</w:t>
            </w:r>
          </w:p>
        </w:tc>
        <w:tc>
          <w:tcPr>
            <w:tcW w:w="1860" w:type="dxa"/>
            <w:tcMar>
              <w:left w:w="108" w:type="dxa"/>
              <w:right w:w="108" w:type="dxa"/>
            </w:tcMar>
          </w:tcPr>
          <w:p w14:paraId="39075741" w14:textId="432F96EE"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Q18,065,361.78</w:t>
            </w:r>
          </w:p>
        </w:tc>
        <w:tc>
          <w:tcPr>
            <w:tcW w:w="1110" w:type="dxa"/>
            <w:shd w:val="clear" w:color="auto" w:fill="FFFF00"/>
            <w:tcMar>
              <w:left w:w="108" w:type="dxa"/>
              <w:right w:w="108" w:type="dxa"/>
            </w:tcMar>
            <w:vAlign w:val="bottom"/>
          </w:tcPr>
          <w:p w14:paraId="3B6E24A9" w14:textId="76284725"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80.46%</w:t>
            </w:r>
          </w:p>
        </w:tc>
        <w:tc>
          <w:tcPr>
            <w:tcW w:w="1245" w:type="dxa"/>
            <w:shd w:val="clear" w:color="auto" w:fill="FFFF00"/>
            <w:tcMar>
              <w:left w:w="108" w:type="dxa"/>
              <w:right w:w="108" w:type="dxa"/>
            </w:tcMar>
            <w:vAlign w:val="bottom"/>
          </w:tcPr>
          <w:p w14:paraId="704F2D8D" w14:textId="6A0956AB"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56.76%</w:t>
            </w:r>
          </w:p>
        </w:tc>
      </w:tr>
      <w:tr w:rsidR="322BED81" w14:paraId="236A7CDF"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66BE7D37" w14:textId="40A676A8"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Esquipulas Palo Gordo</w:t>
            </w:r>
          </w:p>
        </w:tc>
        <w:tc>
          <w:tcPr>
            <w:tcW w:w="2010" w:type="dxa"/>
            <w:tcMar>
              <w:left w:w="108" w:type="dxa"/>
              <w:right w:w="108" w:type="dxa"/>
            </w:tcMar>
          </w:tcPr>
          <w:p w14:paraId="6BDA50E8" w14:textId="42C74649"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Q32,825,565.73</w:t>
            </w:r>
          </w:p>
        </w:tc>
        <w:tc>
          <w:tcPr>
            <w:tcW w:w="1860" w:type="dxa"/>
            <w:tcMar>
              <w:left w:w="108" w:type="dxa"/>
              <w:right w:w="108" w:type="dxa"/>
            </w:tcMar>
          </w:tcPr>
          <w:p w14:paraId="1861F933" w14:textId="14F3E134"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Q29,777,317.14</w:t>
            </w:r>
          </w:p>
        </w:tc>
        <w:tc>
          <w:tcPr>
            <w:tcW w:w="1110" w:type="dxa"/>
            <w:shd w:val="clear" w:color="auto" w:fill="FFFF00"/>
            <w:tcMar>
              <w:left w:w="108" w:type="dxa"/>
              <w:right w:w="108" w:type="dxa"/>
            </w:tcMar>
            <w:vAlign w:val="bottom"/>
          </w:tcPr>
          <w:p w14:paraId="0D8195BE" w14:textId="0D2EC75D"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79.55%</w:t>
            </w:r>
          </w:p>
        </w:tc>
        <w:tc>
          <w:tcPr>
            <w:tcW w:w="1245" w:type="dxa"/>
            <w:shd w:val="clear" w:color="auto" w:fill="92D050"/>
            <w:tcMar>
              <w:left w:w="108" w:type="dxa"/>
              <w:right w:w="108" w:type="dxa"/>
            </w:tcMar>
            <w:vAlign w:val="bottom"/>
          </w:tcPr>
          <w:p w14:paraId="423E73CF" w14:textId="6B1B4FC8"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90.71%</w:t>
            </w:r>
          </w:p>
        </w:tc>
      </w:tr>
      <w:tr w:rsidR="322BED81" w14:paraId="3622B3BB"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5C4446C7" w14:textId="1CF6E39F"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San Cristóbal Cucho</w:t>
            </w:r>
          </w:p>
        </w:tc>
        <w:tc>
          <w:tcPr>
            <w:tcW w:w="2010" w:type="dxa"/>
            <w:tcMar>
              <w:left w:w="108" w:type="dxa"/>
              <w:right w:w="108" w:type="dxa"/>
            </w:tcMar>
          </w:tcPr>
          <w:p w14:paraId="7A4E8002" w14:textId="261B7FB5"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Q25,873,179.07</w:t>
            </w:r>
          </w:p>
        </w:tc>
        <w:tc>
          <w:tcPr>
            <w:tcW w:w="1860" w:type="dxa"/>
            <w:tcMar>
              <w:left w:w="108" w:type="dxa"/>
              <w:right w:w="108" w:type="dxa"/>
            </w:tcMar>
          </w:tcPr>
          <w:p w14:paraId="2973A91D" w14:textId="54F07BA9"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Q24,749,515.57</w:t>
            </w:r>
          </w:p>
        </w:tc>
        <w:tc>
          <w:tcPr>
            <w:tcW w:w="1110" w:type="dxa"/>
            <w:shd w:val="clear" w:color="auto" w:fill="FFFF00"/>
            <w:tcMar>
              <w:left w:w="108" w:type="dxa"/>
              <w:right w:w="108" w:type="dxa"/>
            </w:tcMar>
            <w:vAlign w:val="bottom"/>
          </w:tcPr>
          <w:p w14:paraId="78B89369" w14:textId="5025AE91"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76.22%</w:t>
            </w:r>
          </w:p>
        </w:tc>
        <w:tc>
          <w:tcPr>
            <w:tcW w:w="1245" w:type="dxa"/>
            <w:shd w:val="clear" w:color="auto" w:fill="92D050"/>
            <w:tcMar>
              <w:left w:w="108" w:type="dxa"/>
              <w:right w:w="108" w:type="dxa"/>
            </w:tcMar>
            <w:vAlign w:val="bottom"/>
          </w:tcPr>
          <w:p w14:paraId="069538B6" w14:textId="66CE585F"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95.66%</w:t>
            </w:r>
          </w:p>
        </w:tc>
      </w:tr>
      <w:tr w:rsidR="322BED81" w14:paraId="5228138F"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07F76A61" w14:textId="3D9ED0E4"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El Rodeo</w:t>
            </w:r>
          </w:p>
        </w:tc>
        <w:tc>
          <w:tcPr>
            <w:tcW w:w="2010" w:type="dxa"/>
            <w:tcMar>
              <w:left w:w="108" w:type="dxa"/>
              <w:right w:w="108" w:type="dxa"/>
            </w:tcMar>
          </w:tcPr>
          <w:p w14:paraId="24D7ABB6" w14:textId="5EBF62F1"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Q18,680,439.99</w:t>
            </w:r>
          </w:p>
        </w:tc>
        <w:tc>
          <w:tcPr>
            <w:tcW w:w="1860" w:type="dxa"/>
            <w:tcMar>
              <w:left w:w="108" w:type="dxa"/>
              <w:right w:w="108" w:type="dxa"/>
            </w:tcMar>
          </w:tcPr>
          <w:p w14:paraId="680EBA2E" w14:textId="15058B12"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Q15,267,899.49</w:t>
            </w:r>
          </w:p>
        </w:tc>
        <w:tc>
          <w:tcPr>
            <w:tcW w:w="1110" w:type="dxa"/>
            <w:shd w:val="clear" w:color="auto" w:fill="FFFF00"/>
            <w:tcMar>
              <w:left w:w="108" w:type="dxa"/>
              <w:right w:w="108" w:type="dxa"/>
            </w:tcMar>
            <w:vAlign w:val="bottom"/>
          </w:tcPr>
          <w:p w14:paraId="7BA042BF" w14:textId="1551613F"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75.86%</w:t>
            </w:r>
          </w:p>
        </w:tc>
        <w:tc>
          <w:tcPr>
            <w:tcW w:w="1245" w:type="dxa"/>
            <w:shd w:val="clear" w:color="auto" w:fill="FFFF00"/>
            <w:tcMar>
              <w:left w:w="108" w:type="dxa"/>
              <w:right w:w="108" w:type="dxa"/>
            </w:tcMar>
            <w:vAlign w:val="bottom"/>
          </w:tcPr>
          <w:p w14:paraId="5857AF34" w14:textId="0A369B31"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81.73%</w:t>
            </w:r>
          </w:p>
        </w:tc>
      </w:tr>
      <w:tr w:rsidR="322BED81" w14:paraId="61726C0B"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0091734E" w14:textId="4767B473"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Tejutla</w:t>
            </w:r>
          </w:p>
        </w:tc>
        <w:tc>
          <w:tcPr>
            <w:tcW w:w="2010" w:type="dxa"/>
            <w:tcMar>
              <w:left w:w="108" w:type="dxa"/>
              <w:right w:w="108" w:type="dxa"/>
            </w:tcMar>
          </w:tcPr>
          <w:p w14:paraId="35B2CE64" w14:textId="515F70C6"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Q26,867,939.00</w:t>
            </w:r>
          </w:p>
        </w:tc>
        <w:tc>
          <w:tcPr>
            <w:tcW w:w="1860" w:type="dxa"/>
            <w:tcMar>
              <w:left w:w="108" w:type="dxa"/>
              <w:right w:w="108" w:type="dxa"/>
            </w:tcMar>
          </w:tcPr>
          <w:p w14:paraId="308B3F66" w14:textId="375705BE"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Q20,878,243.04</w:t>
            </w:r>
          </w:p>
        </w:tc>
        <w:tc>
          <w:tcPr>
            <w:tcW w:w="1110" w:type="dxa"/>
            <w:shd w:val="clear" w:color="auto" w:fill="FFFF00"/>
            <w:tcMar>
              <w:left w:w="108" w:type="dxa"/>
              <w:right w:w="108" w:type="dxa"/>
            </w:tcMar>
            <w:vAlign w:val="bottom"/>
          </w:tcPr>
          <w:p w14:paraId="702F8F1B" w14:textId="2397F2EE"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74.86%</w:t>
            </w:r>
          </w:p>
        </w:tc>
        <w:tc>
          <w:tcPr>
            <w:tcW w:w="1245" w:type="dxa"/>
            <w:shd w:val="clear" w:color="auto" w:fill="FFFF00"/>
            <w:tcMar>
              <w:left w:w="108" w:type="dxa"/>
              <w:right w:w="108" w:type="dxa"/>
            </w:tcMar>
            <w:vAlign w:val="bottom"/>
          </w:tcPr>
          <w:p w14:paraId="331351CB" w14:textId="657BEFBC"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77.71%</w:t>
            </w:r>
          </w:p>
        </w:tc>
      </w:tr>
      <w:tr w:rsidR="322BED81" w14:paraId="76F7EF8B"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059C6D38" w14:textId="6FDD626F"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Comitancillo</w:t>
            </w:r>
          </w:p>
        </w:tc>
        <w:tc>
          <w:tcPr>
            <w:tcW w:w="2010" w:type="dxa"/>
            <w:tcMar>
              <w:left w:w="108" w:type="dxa"/>
              <w:right w:w="108" w:type="dxa"/>
            </w:tcMar>
          </w:tcPr>
          <w:p w14:paraId="3810ABCD" w14:textId="6944656C"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Q22,317,229.83</w:t>
            </w:r>
          </w:p>
        </w:tc>
        <w:tc>
          <w:tcPr>
            <w:tcW w:w="1860" w:type="dxa"/>
            <w:tcMar>
              <w:left w:w="108" w:type="dxa"/>
              <w:right w:w="108" w:type="dxa"/>
            </w:tcMar>
          </w:tcPr>
          <w:p w14:paraId="715F7401" w14:textId="29DFD324"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Q14,684,723.84</w:t>
            </w:r>
          </w:p>
        </w:tc>
        <w:tc>
          <w:tcPr>
            <w:tcW w:w="1110" w:type="dxa"/>
            <w:shd w:val="clear" w:color="auto" w:fill="FFFF00"/>
            <w:tcMar>
              <w:left w:w="108" w:type="dxa"/>
              <w:right w:w="108" w:type="dxa"/>
            </w:tcMar>
            <w:vAlign w:val="bottom"/>
          </w:tcPr>
          <w:p w14:paraId="7F3C0C57" w14:textId="5C6AA64A"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70.96%</w:t>
            </w:r>
          </w:p>
        </w:tc>
        <w:tc>
          <w:tcPr>
            <w:tcW w:w="1245" w:type="dxa"/>
            <w:shd w:val="clear" w:color="auto" w:fill="FFFF00"/>
            <w:tcMar>
              <w:left w:w="108" w:type="dxa"/>
              <w:right w:w="108" w:type="dxa"/>
            </w:tcMar>
            <w:vAlign w:val="bottom"/>
          </w:tcPr>
          <w:p w14:paraId="72FE1F95" w14:textId="4D299EA5"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65.80%</w:t>
            </w:r>
          </w:p>
        </w:tc>
      </w:tr>
      <w:tr w:rsidR="322BED81" w14:paraId="5053D590"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26D77334" w14:textId="5EED09C0"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El Tumbador</w:t>
            </w:r>
          </w:p>
        </w:tc>
        <w:tc>
          <w:tcPr>
            <w:tcW w:w="2010" w:type="dxa"/>
            <w:tcMar>
              <w:left w:w="108" w:type="dxa"/>
              <w:right w:w="108" w:type="dxa"/>
            </w:tcMar>
          </w:tcPr>
          <w:p w14:paraId="6F7C6344" w14:textId="62AF2AA1"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Q35,421,753.55</w:t>
            </w:r>
          </w:p>
        </w:tc>
        <w:tc>
          <w:tcPr>
            <w:tcW w:w="1860" w:type="dxa"/>
            <w:tcMar>
              <w:left w:w="108" w:type="dxa"/>
              <w:right w:w="108" w:type="dxa"/>
            </w:tcMar>
          </w:tcPr>
          <w:p w14:paraId="482903A1" w14:textId="3858DA9F"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Q24,981,315.67</w:t>
            </w:r>
          </w:p>
        </w:tc>
        <w:tc>
          <w:tcPr>
            <w:tcW w:w="1110" w:type="dxa"/>
            <w:shd w:val="clear" w:color="auto" w:fill="FFFF00"/>
            <w:tcMar>
              <w:left w:w="108" w:type="dxa"/>
              <w:right w:w="108" w:type="dxa"/>
            </w:tcMar>
            <w:vAlign w:val="bottom"/>
          </w:tcPr>
          <w:p w14:paraId="4237B339" w14:textId="70746F06"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69.12%</w:t>
            </w:r>
          </w:p>
        </w:tc>
        <w:tc>
          <w:tcPr>
            <w:tcW w:w="1245" w:type="dxa"/>
            <w:shd w:val="clear" w:color="auto" w:fill="FFFF00"/>
            <w:tcMar>
              <w:left w:w="108" w:type="dxa"/>
              <w:right w:w="108" w:type="dxa"/>
            </w:tcMar>
            <w:vAlign w:val="bottom"/>
          </w:tcPr>
          <w:p w14:paraId="3D0077C8" w14:textId="5936ED3F"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70.53%</w:t>
            </w:r>
          </w:p>
        </w:tc>
      </w:tr>
      <w:tr w:rsidR="322BED81" w14:paraId="34673726"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697CCB86" w14:textId="10C29B64"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Malacatán</w:t>
            </w:r>
          </w:p>
        </w:tc>
        <w:tc>
          <w:tcPr>
            <w:tcW w:w="2010" w:type="dxa"/>
            <w:tcMar>
              <w:left w:w="108" w:type="dxa"/>
              <w:right w:w="108" w:type="dxa"/>
            </w:tcMar>
          </w:tcPr>
          <w:p w14:paraId="3D7D8108" w14:textId="710D6B68"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Q76,870,407.49</w:t>
            </w:r>
          </w:p>
        </w:tc>
        <w:tc>
          <w:tcPr>
            <w:tcW w:w="1860" w:type="dxa"/>
            <w:tcMar>
              <w:left w:w="108" w:type="dxa"/>
              <w:right w:w="108" w:type="dxa"/>
            </w:tcMar>
          </w:tcPr>
          <w:p w14:paraId="76A8AEE3" w14:textId="7F696410"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Q45,120,757.75</w:t>
            </w:r>
          </w:p>
        </w:tc>
        <w:tc>
          <w:tcPr>
            <w:tcW w:w="1110" w:type="dxa"/>
            <w:shd w:val="clear" w:color="auto" w:fill="FFFF00"/>
            <w:tcMar>
              <w:left w:w="108" w:type="dxa"/>
              <w:right w:w="108" w:type="dxa"/>
            </w:tcMar>
            <w:vAlign w:val="bottom"/>
          </w:tcPr>
          <w:p w14:paraId="358A165D" w14:textId="2898B4D0"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65.69%</w:t>
            </w:r>
          </w:p>
        </w:tc>
        <w:tc>
          <w:tcPr>
            <w:tcW w:w="1245" w:type="dxa"/>
            <w:shd w:val="clear" w:color="auto" w:fill="FFFF00"/>
            <w:tcMar>
              <w:left w:w="108" w:type="dxa"/>
              <w:right w:w="108" w:type="dxa"/>
            </w:tcMar>
            <w:vAlign w:val="bottom"/>
          </w:tcPr>
          <w:p w14:paraId="58D1353F" w14:textId="0398745B"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58.70%</w:t>
            </w:r>
          </w:p>
        </w:tc>
      </w:tr>
      <w:tr w:rsidR="322BED81" w14:paraId="38A49AB9"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12C4DE9F" w14:textId="53E0C050"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Sibinal</w:t>
            </w:r>
          </w:p>
        </w:tc>
        <w:tc>
          <w:tcPr>
            <w:tcW w:w="2010" w:type="dxa"/>
            <w:tcMar>
              <w:left w:w="108" w:type="dxa"/>
              <w:right w:w="108" w:type="dxa"/>
            </w:tcMar>
          </w:tcPr>
          <w:p w14:paraId="1BF86067" w14:textId="7D0A9D5D"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Q10,156,406.00</w:t>
            </w:r>
          </w:p>
        </w:tc>
        <w:tc>
          <w:tcPr>
            <w:tcW w:w="1860" w:type="dxa"/>
            <w:tcMar>
              <w:left w:w="108" w:type="dxa"/>
              <w:right w:w="108" w:type="dxa"/>
            </w:tcMar>
          </w:tcPr>
          <w:p w14:paraId="42BB4C94" w14:textId="1968E712"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Q6,159,587.10</w:t>
            </w:r>
          </w:p>
        </w:tc>
        <w:tc>
          <w:tcPr>
            <w:tcW w:w="1110" w:type="dxa"/>
            <w:shd w:val="clear" w:color="auto" w:fill="FFFF00"/>
            <w:tcMar>
              <w:left w:w="108" w:type="dxa"/>
              <w:right w:w="108" w:type="dxa"/>
            </w:tcMar>
            <w:vAlign w:val="bottom"/>
          </w:tcPr>
          <w:p w14:paraId="26D05130" w14:textId="3378A0A5"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65.29%</w:t>
            </w:r>
          </w:p>
        </w:tc>
        <w:tc>
          <w:tcPr>
            <w:tcW w:w="1245" w:type="dxa"/>
            <w:shd w:val="clear" w:color="auto" w:fill="FFFF00"/>
            <w:tcMar>
              <w:left w:w="108" w:type="dxa"/>
              <w:right w:w="108" w:type="dxa"/>
            </w:tcMar>
            <w:vAlign w:val="bottom"/>
          </w:tcPr>
          <w:p w14:paraId="1FD7BDC0" w14:textId="7271A9D0"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60.65%</w:t>
            </w:r>
          </w:p>
        </w:tc>
      </w:tr>
      <w:tr w:rsidR="322BED81" w14:paraId="04375012"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6B1C841C" w14:textId="17F84C10"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Ayutla</w:t>
            </w:r>
          </w:p>
        </w:tc>
        <w:tc>
          <w:tcPr>
            <w:tcW w:w="2010" w:type="dxa"/>
            <w:tcMar>
              <w:left w:w="108" w:type="dxa"/>
              <w:right w:w="108" w:type="dxa"/>
            </w:tcMar>
          </w:tcPr>
          <w:p w14:paraId="5B366193" w14:textId="30EBE047"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Q37,305,591.39</w:t>
            </w:r>
          </w:p>
        </w:tc>
        <w:tc>
          <w:tcPr>
            <w:tcW w:w="1860" w:type="dxa"/>
            <w:tcMar>
              <w:left w:w="108" w:type="dxa"/>
              <w:right w:w="108" w:type="dxa"/>
            </w:tcMar>
          </w:tcPr>
          <w:p w14:paraId="105ABFBC" w14:textId="06DFB690"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Q16,312,315.91</w:t>
            </w:r>
          </w:p>
        </w:tc>
        <w:tc>
          <w:tcPr>
            <w:tcW w:w="1110" w:type="dxa"/>
            <w:shd w:val="clear" w:color="auto" w:fill="FFFF00"/>
            <w:tcMar>
              <w:left w:w="108" w:type="dxa"/>
              <w:right w:w="108" w:type="dxa"/>
            </w:tcMar>
            <w:vAlign w:val="bottom"/>
          </w:tcPr>
          <w:p w14:paraId="56C7BBAD" w14:textId="0333ADC5"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63.16%</w:t>
            </w:r>
          </w:p>
        </w:tc>
        <w:tc>
          <w:tcPr>
            <w:tcW w:w="1245" w:type="dxa"/>
            <w:shd w:val="clear" w:color="auto" w:fill="C00000"/>
            <w:tcMar>
              <w:left w:w="108" w:type="dxa"/>
              <w:right w:w="108" w:type="dxa"/>
            </w:tcMar>
            <w:vAlign w:val="bottom"/>
          </w:tcPr>
          <w:p w14:paraId="671C60E3" w14:textId="2A0D560A"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43.73%</w:t>
            </w:r>
          </w:p>
        </w:tc>
      </w:tr>
      <w:tr w:rsidR="322BED81" w14:paraId="3B26D70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77214D2C" w14:textId="41B7C87A"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Nuevo Progreso</w:t>
            </w:r>
          </w:p>
        </w:tc>
        <w:tc>
          <w:tcPr>
            <w:tcW w:w="2010" w:type="dxa"/>
            <w:tcMar>
              <w:left w:w="108" w:type="dxa"/>
              <w:right w:w="108" w:type="dxa"/>
            </w:tcMar>
          </w:tcPr>
          <w:p w14:paraId="0FFAC383" w14:textId="4859DD2F"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Q24,709,628.85</w:t>
            </w:r>
          </w:p>
        </w:tc>
        <w:tc>
          <w:tcPr>
            <w:tcW w:w="1860" w:type="dxa"/>
            <w:tcMar>
              <w:left w:w="108" w:type="dxa"/>
              <w:right w:w="108" w:type="dxa"/>
            </w:tcMar>
          </w:tcPr>
          <w:p w14:paraId="47BDB522" w14:textId="69A3AA7E"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Q16,120,630.06</w:t>
            </w:r>
          </w:p>
        </w:tc>
        <w:tc>
          <w:tcPr>
            <w:tcW w:w="1110" w:type="dxa"/>
            <w:shd w:val="clear" w:color="auto" w:fill="FFFF00"/>
            <w:tcMar>
              <w:left w:w="108" w:type="dxa"/>
              <w:right w:w="108" w:type="dxa"/>
            </w:tcMar>
            <w:vAlign w:val="bottom"/>
          </w:tcPr>
          <w:p w14:paraId="7AA99AC7" w14:textId="3C24BA29"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62.86%</w:t>
            </w:r>
          </w:p>
        </w:tc>
        <w:tc>
          <w:tcPr>
            <w:tcW w:w="1245" w:type="dxa"/>
            <w:shd w:val="clear" w:color="auto" w:fill="FFFF00"/>
            <w:tcMar>
              <w:left w:w="108" w:type="dxa"/>
              <w:right w:w="108" w:type="dxa"/>
            </w:tcMar>
            <w:vAlign w:val="bottom"/>
          </w:tcPr>
          <w:p w14:paraId="1A474EAD" w14:textId="37DBF8E2"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65.24%</w:t>
            </w:r>
          </w:p>
        </w:tc>
      </w:tr>
      <w:tr w:rsidR="322BED81" w14:paraId="159EBC5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03CB4D0F" w14:textId="6A425AD7"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Tacana</w:t>
            </w:r>
          </w:p>
        </w:tc>
        <w:tc>
          <w:tcPr>
            <w:tcW w:w="2010" w:type="dxa"/>
            <w:tcMar>
              <w:left w:w="108" w:type="dxa"/>
              <w:right w:w="108" w:type="dxa"/>
            </w:tcMar>
          </w:tcPr>
          <w:p w14:paraId="00416473" w14:textId="709103EA"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Q56,394,871.73</w:t>
            </w:r>
          </w:p>
        </w:tc>
        <w:tc>
          <w:tcPr>
            <w:tcW w:w="1860" w:type="dxa"/>
            <w:tcMar>
              <w:left w:w="108" w:type="dxa"/>
              <w:right w:w="108" w:type="dxa"/>
            </w:tcMar>
          </w:tcPr>
          <w:p w14:paraId="2E834B9D" w14:textId="2D3EC3CF"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Q39,362,010.88</w:t>
            </w:r>
          </w:p>
        </w:tc>
        <w:tc>
          <w:tcPr>
            <w:tcW w:w="1110" w:type="dxa"/>
            <w:shd w:val="clear" w:color="auto" w:fill="FFFF00"/>
            <w:tcMar>
              <w:left w:w="108" w:type="dxa"/>
              <w:right w:w="108" w:type="dxa"/>
            </w:tcMar>
            <w:vAlign w:val="bottom"/>
          </w:tcPr>
          <w:p w14:paraId="5C3A6D1B" w14:textId="1AC0993B"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60.75%</w:t>
            </w:r>
          </w:p>
        </w:tc>
        <w:tc>
          <w:tcPr>
            <w:tcW w:w="1245" w:type="dxa"/>
            <w:shd w:val="clear" w:color="auto" w:fill="FFFF00"/>
            <w:tcMar>
              <w:left w:w="108" w:type="dxa"/>
              <w:right w:w="108" w:type="dxa"/>
            </w:tcMar>
            <w:vAlign w:val="bottom"/>
          </w:tcPr>
          <w:p w14:paraId="3499D35F" w14:textId="77E2F601"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69.80%</w:t>
            </w:r>
          </w:p>
        </w:tc>
      </w:tr>
      <w:tr w:rsidR="322BED81" w14:paraId="1EAD2C60"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7DA81570" w14:textId="6D5A1051"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Catarina</w:t>
            </w:r>
          </w:p>
        </w:tc>
        <w:tc>
          <w:tcPr>
            <w:tcW w:w="2010" w:type="dxa"/>
            <w:tcMar>
              <w:left w:w="108" w:type="dxa"/>
              <w:right w:w="108" w:type="dxa"/>
            </w:tcMar>
          </w:tcPr>
          <w:p w14:paraId="5A205601" w14:textId="12874A03"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Q18,431,998.22</w:t>
            </w:r>
          </w:p>
        </w:tc>
        <w:tc>
          <w:tcPr>
            <w:tcW w:w="1860" w:type="dxa"/>
            <w:tcMar>
              <w:left w:w="108" w:type="dxa"/>
              <w:right w:w="108" w:type="dxa"/>
            </w:tcMar>
          </w:tcPr>
          <w:p w14:paraId="7D53861E" w14:textId="6BEB7071"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Q14,825,542.79</w:t>
            </w:r>
          </w:p>
        </w:tc>
        <w:tc>
          <w:tcPr>
            <w:tcW w:w="1110" w:type="dxa"/>
            <w:shd w:val="clear" w:color="auto" w:fill="FFFF00"/>
            <w:tcMar>
              <w:left w:w="108" w:type="dxa"/>
              <w:right w:w="108" w:type="dxa"/>
            </w:tcMar>
            <w:vAlign w:val="bottom"/>
          </w:tcPr>
          <w:p w14:paraId="4B65A439" w14:textId="13698FA5"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60.38%</w:t>
            </w:r>
          </w:p>
        </w:tc>
        <w:tc>
          <w:tcPr>
            <w:tcW w:w="1245" w:type="dxa"/>
            <w:shd w:val="clear" w:color="auto" w:fill="FFFF00"/>
            <w:tcMar>
              <w:left w:w="108" w:type="dxa"/>
              <w:right w:w="108" w:type="dxa"/>
            </w:tcMar>
            <w:vAlign w:val="bottom"/>
          </w:tcPr>
          <w:p w14:paraId="02C3E880" w14:textId="2DD02561"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80.43%</w:t>
            </w:r>
          </w:p>
        </w:tc>
      </w:tr>
      <w:tr w:rsidR="322BED81" w14:paraId="257AEE5D"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07A90917" w14:textId="30C029AC"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San Miguel Ixtahuacán</w:t>
            </w:r>
          </w:p>
        </w:tc>
        <w:tc>
          <w:tcPr>
            <w:tcW w:w="2010" w:type="dxa"/>
            <w:tcMar>
              <w:left w:w="108" w:type="dxa"/>
              <w:right w:w="108" w:type="dxa"/>
            </w:tcMar>
          </w:tcPr>
          <w:p w14:paraId="69642A6A" w14:textId="58A7AEA3"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Q44,239,774.88</w:t>
            </w:r>
          </w:p>
        </w:tc>
        <w:tc>
          <w:tcPr>
            <w:tcW w:w="1860" w:type="dxa"/>
            <w:tcMar>
              <w:left w:w="108" w:type="dxa"/>
              <w:right w:w="108" w:type="dxa"/>
            </w:tcMar>
          </w:tcPr>
          <w:p w14:paraId="797CE05D" w14:textId="375B5989"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Q34,979,906.62</w:t>
            </w:r>
          </w:p>
        </w:tc>
        <w:tc>
          <w:tcPr>
            <w:tcW w:w="1110" w:type="dxa"/>
            <w:shd w:val="clear" w:color="auto" w:fill="FFFF00"/>
            <w:tcMar>
              <w:left w:w="108" w:type="dxa"/>
              <w:right w:w="108" w:type="dxa"/>
            </w:tcMar>
            <w:vAlign w:val="bottom"/>
          </w:tcPr>
          <w:p w14:paraId="2DAD5172" w14:textId="1CB027BB"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60.18%</w:t>
            </w:r>
          </w:p>
        </w:tc>
        <w:tc>
          <w:tcPr>
            <w:tcW w:w="1245" w:type="dxa"/>
            <w:shd w:val="clear" w:color="auto" w:fill="FFFF00"/>
            <w:tcMar>
              <w:left w:w="108" w:type="dxa"/>
              <w:right w:w="108" w:type="dxa"/>
            </w:tcMar>
            <w:vAlign w:val="bottom"/>
          </w:tcPr>
          <w:p w14:paraId="5CDF6501" w14:textId="6071E925"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79.07%</w:t>
            </w:r>
          </w:p>
        </w:tc>
      </w:tr>
      <w:tr w:rsidR="322BED81" w14:paraId="3A5A7E03"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1370D761" w14:textId="0021C516"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San Marcos</w:t>
            </w:r>
          </w:p>
        </w:tc>
        <w:tc>
          <w:tcPr>
            <w:tcW w:w="2010" w:type="dxa"/>
            <w:tcMar>
              <w:left w:w="108" w:type="dxa"/>
              <w:right w:w="108" w:type="dxa"/>
            </w:tcMar>
          </w:tcPr>
          <w:p w14:paraId="7A324736" w14:textId="5AC1DB99"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Q75,998,215.07</w:t>
            </w:r>
          </w:p>
        </w:tc>
        <w:tc>
          <w:tcPr>
            <w:tcW w:w="1860" w:type="dxa"/>
            <w:tcMar>
              <w:left w:w="108" w:type="dxa"/>
              <w:right w:w="108" w:type="dxa"/>
            </w:tcMar>
          </w:tcPr>
          <w:p w14:paraId="72F0EE99" w14:textId="3A307AFF"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Q35,264,384.01</w:t>
            </w:r>
          </w:p>
        </w:tc>
        <w:tc>
          <w:tcPr>
            <w:tcW w:w="1110" w:type="dxa"/>
            <w:shd w:val="clear" w:color="auto" w:fill="FFFF00"/>
            <w:tcMar>
              <w:left w:w="108" w:type="dxa"/>
              <w:right w:w="108" w:type="dxa"/>
            </w:tcMar>
            <w:vAlign w:val="bottom"/>
          </w:tcPr>
          <w:p w14:paraId="19D247DF" w14:textId="3D70AA90"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53.52%</w:t>
            </w:r>
          </w:p>
        </w:tc>
        <w:tc>
          <w:tcPr>
            <w:tcW w:w="1245" w:type="dxa"/>
            <w:shd w:val="clear" w:color="auto" w:fill="C00000"/>
            <w:tcMar>
              <w:left w:w="108" w:type="dxa"/>
              <w:right w:w="108" w:type="dxa"/>
            </w:tcMar>
            <w:vAlign w:val="bottom"/>
          </w:tcPr>
          <w:p w14:paraId="1AD96279" w14:textId="1D26D89A"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46.40%</w:t>
            </w:r>
          </w:p>
        </w:tc>
      </w:tr>
      <w:tr w:rsidR="322BED81" w14:paraId="20CADA80"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6DAEC8D1" w14:textId="7BBFADFB"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Tajumulco</w:t>
            </w:r>
          </w:p>
        </w:tc>
        <w:tc>
          <w:tcPr>
            <w:tcW w:w="2010" w:type="dxa"/>
            <w:tcMar>
              <w:left w:w="108" w:type="dxa"/>
              <w:right w:w="108" w:type="dxa"/>
            </w:tcMar>
          </w:tcPr>
          <w:p w14:paraId="3C12F0F9" w14:textId="2ACAA28A"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Q70,281,540.94</w:t>
            </w:r>
          </w:p>
        </w:tc>
        <w:tc>
          <w:tcPr>
            <w:tcW w:w="1860" w:type="dxa"/>
            <w:tcMar>
              <w:left w:w="108" w:type="dxa"/>
              <w:right w:w="108" w:type="dxa"/>
            </w:tcMar>
          </w:tcPr>
          <w:p w14:paraId="52AD1FAD" w14:textId="2C97014A"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Q36,976,847.23</w:t>
            </w:r>
          </w:p>
        </w:tc>
        <w:tc>
          <w:tcPr>
            <w:tcW w:w="1110" w:type="dxa"/>
            <w:shd w:val="clear" w:color="auto" w:fill="C00000"/>
            <w:tcMar>
              <w:left w:w="108" w:type="dxa"/>
              <w:right w:w="108" w:type="dxa"/>
            </w:tcMar>
            <w:vAlign w:val="bottom"/>
          </w:tcPr>
          <w:p w14:paraId="2B28B053" w14:textId="75BB7EAF"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46.90%</w:t>
            </w:r>
          </w:p>
        </w:tc>
        <w:tc>
          <w:tcPr>
            <w:tcW w:w="1245" w:type="dxa"/>
            <w:shd w:val="clear" w:color="auto" w:fill="FFFF00"/>
            <w:tcMar>
              <w:left w:w="108" w:type="dxa"/>
              <w:right w:w="108" w:type="dxa"/>
            </w:tcMar>
            <w:vAlign w:val="bottom"/>
          </w:tcPr>
          <w:p w14:paraId="3B9E3666" w14:textId="24CE6D1F"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52.61%</w:t>
            </w:r>
          </w:p>
        </w:tc>
      </w:tr>
      <w:tr w:rsidR="322BED81" w14:paraId="07CE193B"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0F576857" w14:textId="25E8FBD0"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San Pedro Sacatepéquez</w:t>
            </w:r>
          </w:p>
        </w:tc>
        <w:tc>
          <w:tcPr>
            <w:tcW w:w="2010" w:type="dxa"/>
            <w:tcMar>
              <w:left w:w="108" w:type="dxa"/>
              <w:right w:w="108" w:type="dxa"/>
            </w:tcMar>
          </w:tcPr>
          <w:p w14:paraId="3D8BB200" w14:textId="4B137D94"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Q69,683,231.16</w:t>
            </w:r>
          </w:p>
        </w:tc>
        <w:tc>
          <w:tcPr>
            <w:tcW w:w="1860" w:type="dxa"/>
            <w:tcMar>
              <w:left w:w="108" w:type="dxa"/>
              <w:right w:w="108" w:type="dxa"/>
            </w:tcMar>
          </w:tcPr>
          <w:p w14:paraId="736F6206" w14:textId="7B1C4CC4"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Q23,773,913.47</w:t>
            </w:r>
          </w:p>
        </w:tc>
        <w:tc>
          <w:tcPr>
            <w:tcW w:w="1110" w:type="dxa"/>
            <w:shd w:val="clear" w:color="auto" w:fill="C00000"/>
            <w:tcMar>
              <w:left w:w="108" w:type="dxa"/>
              <w:right w:w="108" w:type="dxa"/>
            </w:tcMar>
            <w:vAlign w:val="bottom"/>
          </w:tcPr>
          <w:p w14:paraId="0EB42A90" w14:textId="112DBE6D"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45.58%</w:t>
            </w:r>
          </w:p>
        </w:tc>
        <w:tc>
          <w:tcPr>
            <w:tcW w:w="1245" w:type="dxa"/>
            <w:shd w:val="clear" w:color="auto" w:fill="C00000"/>
            <w:tcMar>
              <w:left w:w="108" w:type="dxa"/>
              <w:right w:w="108" w:type="dxa"/>
            </w:tcMar>
            <w:vAlign w:val="bottom"/>
          </w:tcPr>
          <w:p w14:paraId="15DA0EEF" w14:textId="7488F9C6"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34.12%</w:t>
            </w:r>
          </w:p>
        </w:tc>
      </w:tr>
      <w:tr w:rsidR="322BED81" w14:paraId="55DFB7E6"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7272F95A" w14:textId="6266D4A4"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Concepción Tutuapa</w:t>
            </w:r>
          </w:p>
        </w:tc>
        <w:tc>
          <w:tcPr>
            <w:tcW w:w="2010" w:type="dxa"/>
            <w:tcMar>
              <w:left w:w="108" w:type="dxa"/>
              <w:right w:w="108" w:type="dxa"/>
            </w:tcMar>
          </w:tcPr>
          <w:p w14:paraId="41AF55FD" w14:textId="3844D11D"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Q31,920,418.73</w:t>
            </w:r>
          </w:p>
        </w:tc>
        <w:tc>
          <w:tcPr>
            <w:tcW w:w="1860" w:type="dxa"/>
            <w:tcMar>
              <w:left w:w="108" w:type="dxa"/>
              <w:right w:w="108" w:type="dxa"/>
            </w:tcMar>
          </w:tcPr>
          <w:p w14:paraId="3A17F9D6" w14:textId="2C2844C1"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Q26,507,825.57</w:t>
            </w:r>
          </w:p>
        </w:tc>
        <w:tc>
          <w:tcPr>
            <w:tcW w:w="1110" w:type="dxa"/>
            <w:shd w:val="clear" w:color="auto" w:fill="C00000"/>
            <w:tcMar>
              <w:left w:w="108" w:type="dxa"/>
              <w:right w:w="108" w:type="dxa"/>
            </w:tcMar>
            <w:vAlign w:val="bottom"/>
          </w:tcPr>
          <w:p w14:paraId="25E0898C" w14:textId="01958628"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39.49%</w:t>
            </w:r>
          </w:p>
        </w:tc>
        <w:tc>
          <w:tcPr>
            <w:tcW w:w="1245" w:type="dxa"/>
            <w:shd w:val="clear" w:color="auto" w:fill="FFFF00"/>
            <w:tcMar>
              <w:left w:w="108" w:type="dxa"/>
              <w:right w:w="108" w:type="dxa"/>
            </w:tcMar>
            <w:vAlign w:val="bottom"/>
          </w:tcPr>
          <w:p w14:paraId="11D056B4" w14:textId="35647190"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83.04%</w:t>
            </w:r>
          </w:p>
        </w:tc>
      </w:tr>
      <w:tr w:rsidR="322BED81" w14:paraId="084956B5"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584A7FFA" w14:textId="5260F6FF"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San Antonio Sacatepéquez</w:t>
            </w:r>
          </w:p>
        </w:tc>
        <w:tc>
          <w:tcPr>
            <w:tcW w:w="2010" w:type="dxa"/>
            <w:tcMar>
              <w:left w:w="108" w:type="dxa"/>
              <w:right w:w="108" w:type="dxa"/>
            </w:tcMar>
          </w:tcPr>
          <w:p w14:paraId="6F436032" w14:textId="008D2AEE"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Q23,160,940.87</w:t>
            </w:r>
          </w:p>
        </w:tc>
        <w:tc>
          <w:tcPr>
            <w:tcW w:w="1860" w:type="dxa"/>
            <w:tcMar>
              <w:left w:w="108" w:type="dxa"/>
              <w:right w:w="108" w:type="dxa"/>
            </w:tcMar>
          </w:tcPr>
          <w:p w14:paraId="772DFECA" w14:textId="6634E3EC"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Q8,076,878.08</w:t>
            </w:r>
          </w:p>
        </w:tc>
        <w:tc>
          <w:tcPr>
            <w:tcW w:w="1110" w:type="dxa"/>
            <w:shd w:val="clear" w:color="auto" w:fill="C00000"/>
            <w:tcMar>
              <w:left w:w="108" w:type="dxa"/>
              <w:right w:w="108" w:type="dxa"/>
            </w:tcMar>
            <w:vAlign w:val="bottom"/>
          </w:tcPr>
          <w:p w14:paraId="76B7E918" w14:textId="49188700"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35.18%</w:t>
            </w:r>
          </w:p>
        </w:tc>
        <w:tc>
          <w:tcPr>
            <w:tcW w:w="1245" w:type="dxa"/>
            <w:shd w:val="clear" w:color="auto" w:fill="C00000"/>
            <w:tcMar>
              <w:left w:w="108" w:type="dxa"/>
              <w:right w:w="108" w:type="dxa"/>
            </w:tcMar>
            <w:vAlign w:val="bottom"/>
          </w:tcPr>
          <w:p w14:paraId="166E6B3D" w14:textId="661DDC83"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34.87%</w:t>
            </w:r>
          </w:p>
        </w:tc>
      </w:tr>
      <w:tr w:rsidR="322BED81" w14:paraId="5E1F7507"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56FEFD7F" w14:textId="6471675A"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Río Blanco</w:t>
            </w:r>
          </w:p>
        </w:tc>
        <w:tc>
          <w:tcPr>
            <w:tcW w:w="2010" w:type="dxa"/>
            <w:tcMar>
              <w:left w:w="108" w:type="dxa"/>
              <w:right w:w="108" w:type="dxa"/>
            </w:tcMar>
          </w:tcPr>
          <w:p w14:paraId="0FFD5AE4" w14:textId="2F8E2D7A"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Q38,770,848.35</w:t>
            </w:r>
          </w:p>
        </w:tc>
        <w:tc>
          <w:tcPr>
            <w:tcW w:w="1860" w:type="dxa"/>
            <w:tcMar>
              <w:left w:w="108" w:type="dxa"/>
              <w:right w:w="108" w:type="dxa"/>
            </w:tcMar>
          </w:tcPr>
          <w:p w14:paraId="4900CE9F" w14:textId="010E7792"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Q12,125,879.50</w:t>
            </w:r>
          </w:p>
        </w:tc>
        <w:tc>
          <w:tcPr>
            <w:tcW w:w="1110" w:type="dxa"/>
            <w:shd w:val="clear" w:color="auto" w:fill="C00000"/>
            <w:tcMar>
              <w:left w:w="108" w:type="dxa"/>
              <w:right w:w="108" w:type="dxa"/>
            </w:tcMar>
            <w:vAlign w:val="bottom"/>
          </w:tcPr>
          <w:p w14:paraId="68D423DD" w14:textId="67554FF0"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32.91%</w:t>
            </w:r>
          </w:p>
        </w:tc>
        <w:tc>
          <w:tcPr>
            <w:tcW w:w="1245" w:type="dxa"/>
            <w:shd w:val="clear" w:color="auto" w:fill="C00000"/>
            <w:tcMar>
              <w:left w:w="108" w:type="dxa"/>
              <w:right w:w="108" w:type="dxa"/>
            </w:tcMar>
            <w:vAlign w:val="bottom"/>
          </w:tcPr>
          <w:p w14:paraId="38BAB32E" w14:textId="6EEB92B4"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31.28%</w:t>
            </w:r>
          </w:p>
        </w:tc>
      </w:tr>
      <w:tr w:rsidR="322BED81" w14:paraId="5129EE0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03ABE693" w14:textId="1FF9F4DF"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La Blanca</w:t>
            </w:r>
          </w:p>
        </w:tc>
        <w:tc>
          <w:tcPr>
            <w:tcW w:w="2010" w:type="dxa"/>
            <w:tcMar>
              <w:left w:w="108" w:type="dxa"/>
              <w:right w:w="108" w:type="dxa"/>
            </w:tcMar>
          </w:tcPr>
          <w:p w14:paraId="0A6CF5B8" w14:textId="4C0DB8C9"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Q36,885,771.00</w:t>
            </w:r>
          </w:p>
        </w:tc>
        <w:tc>
          <w:tcPr>
            <w:tcW w:w="1860" w:type="dxa"/>
            <w:tcMar>
              <w:left w:w="108" w:type="dxa"/>
              <w:right w:w="108" w:type="dxa"/>
            </w:tcMar>
          </w:tcPr>
          <w:p w14:paraId="6A643234" w14:textId="12F34B0E"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Q27,954,682.86</w:t>
            </w:r>
          </w:p>
        </w:tc>
        <w:tc>
          <w:tcPr>
            <w:tcW w:w="1110" w:type="dxa"/>
            <w:shd w:val="clear" w:color="auto" w:fill="C00000"/>
            <w:tcMar>
              <w:left w:w="108" w:type="dxa"/>
              <w:right w:w="108" w:type="dxa"/>
            </w:tcMar>
            <w:vAlign w:val="bottom"/>
          </w:tcPr>
          <w:p w14:paraId="52285AFB" w14:textId="08B5A5A8"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30.63%</w:t>
            </w:r>
          </w:p>
        </w:tc>
        <w:tc>
          <w:tcPr>
            <w:tcW w:w="1245" w:type="dxa"/>
            <w:shd w:val="clear" w:color="auto" w:fill="FFFF00"/>
            <w:tcMar>
              <w:left w:w="108" w:type="dxa"/>
              <w:right w:w="108" w:type="dxa"/>
            </w:tcMar>
            <w:vAlign w:val="bottom"/>
          </w:tcPr>
          <w:p w14:paraId="49E4F4A3" w14:textId="7CC83493" w:rsidR="322BED81" w:rsidRDefault="322BED81" w:rsidP="322BED81">
            <w:pPr>
              <w:jc w:val="right"/>
              <w:cnfStyle w:val="000000100000" w:firstRow="0" w:lastRow="0" w:firstColumn="0" w:lastColumn="0" w:oddVBand="0" w:evenVBand="0" w:oddHBand="1" w:evenHBand="0" w:firstRowFirstColumn="0" w:firstRowLastColumn="0" w:lastRowFirstColumn="0" w:lastRowLastColumn="0"/>
            </w:pPr>
            <w:r w:rsidRPr="322BED81">
              <w:rPr>
                <w:rFonts w:ascii="Calibri" w:eastAsia="Calibri" w:hAnsi="Calibri" w:cs="Calibri"/>
                <w:color w:val="000000" w:themeColor="text1"/>
              </w:rPr>
              <w:t>75.79%</w:t>
            </w:r>
          </w:p>
        </w:tc>
      </w:tr>
      <w:tr w:rsidR="322BED81" w14:paraId="7EE2BCE3"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195" w:type="dxa"/>
            <w:tcMar>
              <w:left w:w="108" w:type="dxa"/>
              <w:right w:w="108" w:type="dxa"/>
            </w:tcMar>
          </w:tcPr>
          <w:p w14:paraId="2A7CA4C6" w14:textId="52128955" w:rsidR="322BED81" w:rsidRDefault="322BED81" w:rsidP="322BED81">
            <w:pPr>
              <w:rPr>
                <w:rFonts w:ascii="Calibri" w:eastAsia="Calibri" w:hAnsi="Calibri" w:cs="Calibri"/>
                <w:b w:val="0"/>
                <w:bCs w:val="0"/>
                <w:color w:val="000000" w:themeColor="text1"/>
              </w:rPr>
            </w:pPr>
            <w:r w:rsidRPr="322BED81">
              <w:rPr>
                <w:rFonts w:ascii="Calibri" w:eastAsia="Calibri" w:hAnsi="Calibri" w:cs="Calibri"/>
                <w:b w:val="0"/>
                <w:bCs w:val="0"/>
                <w:color w:val="000000" w:themeColor="text1"/>
              </w:rPr>
              <w:t>San Lorenzo</w:t>
            </w:r>
          </w:p>
        </w:tc>
        <w:tc>
          <w:tcPr>
            <w:tcW w:w="2010" w:type="dxa"/>
            <w:tcMar>
              <w:left w:w="108" w:type="dxa"/>
              <w:right w:w="108" w:type="dxa"/>
            </w:tcMar>
          </w:tcPr>
          <w:p w14:paraId="11EC8D7A" w14:textId="143AD656"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Q25,357,892.44</w:t>
            </w:r>
          </w:p>
        </w:tc>
        <w:tc>
          <w:tcPr>
            <w:tcW w:w="1860" w:type="dxa"/>
            <w:tcMar>
              <w:left w:w="108" w:type="dxa"/>
              <w:right w:w="108" w:type="dxa"/>
            </w:tcMar>
          </w:tcPr>
          <w:p w14:paraId="6B9F2188" w14:textId="09B5E34F"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Q6,667,459.24</w:t>
            </w:r>
          </w:p>
        </w:tc>
        <w:tc>
          <w:tcPr>
            <w:tcW w:w="1110" w:type="dxa"/>
            <w:shd w:val="clear" w:color="auto" w:fill="C00000"/>
            <w:tcMar>
              <w:left w:w="108" w:type="dxa"/>
              <w:right w:w="108" w:type="dxa"/>
            </w:tcMar>
            <w:vAlign w:val="bottom"/>
          </w:tcPr>
          <w:p w14:paraId="3F588137" w14:textId="6E313507"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24.74%</w:t>
            </w:r>
          </w:p>
        </w:tc>
        <w:tc>
          <w:tcPr>
            <w:tcW w:w="1245" w:type="dxa"/>
            <w:shd w:val="clear" w:color="auto" w:fill="C00000"/>
            <w:tcMar>
              <w:left w:w="108" w:type="dxa"/>
              <w:right w:w="108" w:type="dxa"/>
            </w:tcMar>
            <w:vAlign w:val="bottom"/>
          </w:tcPr>
          <w:p w14:paraId="61497A64" w14:textId="4426CEDF" w:rsidR="322BED81" w:rsidRDefault="322BED81" w:rsidP="322BED81">
            <w:pPr>
              <w:jc w:val="right"/>
              <w:cnfStyle w:val="000000000000" w:firstRow="0" w:lastRow="0" w:firstColumn="0" w:lastColumn="0" w:oddVBand="0" w:evenVBand="0" w:oddHBand="0" w:evenHBand="0" w:firstRowFirstColumn="0" w:firstRowLastColumn="0" w:lastRowFirstColumn="0" w:lastRowLastColumn="0"/>
            </w:pPr>
            <w:r w:rsidRPr="322BED81">
              <w:rPr>
                <w:rFonts w:ascii="Calibri" w:eastAsia="Calibri" w:hAnsi="Calibri" w:cs="Calibri"/>
                <w:color w:val="000000" w:themeColor="text1"/>
              </w:rPr>
              <w:t>26.29%</w:t>
            </w:r>
          </w:p>
        </w:tc>
      </w:tr>
    </w:tbl>
    <w:p w14:paraId="2286616E" w14:textId="68DD3620" w:rsidR="00693BD9" w:rsidRPr="003051CD" w:rsidRDefault="1E5698F7" w:rsidP="002F4FE3">
      <w:pPr>
        <w:autoSpaceDE w:val="0"/>
        <w:autoSpaceDN w:val="0"/>
        <w:adjustRightInd w:val="0"/>
        <w:spacing w:after="120" w:line="240" w:lineRule="auto"/>
        <w:jc w:val="both"/>
        <w:rPr>
          <w:rFonts w:ascii="Helvetica" w:eastAsia="Times New Roman" w:hAnsi="Helvetica" w:cs="Helvetica"/>
          <w:sz w:val="18"/>
          <w:szCs w:val="18"/>
          <w:lang w:val="es-ES"/>
        </w:rPr>
      </w:pPr>
      <w:r w:rsidRPr="1E5698F7">
        <w:rPr>
          <w:rFonts w:eastAsiaTheme="minorEastAsia"/>
          <w:sz w:val="18"/>
          <w:szCs w:val="18"/>
          <w:lang w:val="es-ES"/>
        </w:rPr>
        <w:t>Fuente: Siplangl, III informe cuatrimestral y acumulado. Año 2022.</w:t>
      </w:r>
    </w:p>
    <w:p w14:paraId="7F1219D5" w14:textId="7D2C0B41" w:rsidR="00693BD9" w:rsidRPr="002F4FE3" w:rsidRDefault="322BED81" w:rsidP="002F4FE3">
      <w:pPr>
        <w:autoSpaceDE w:val="0"/>
        <w:autoSpaceDN w:val="0"/>
        <w:adjustRightInd w:val="0"/>
        <w:spacing w:after="120" w:line="240" w:lineRule="auto"/>
        <w:jc w:val="both"/>
        <w:rPr>
          <w:rFonts w:eastAsia="Times New Roman" w:cstheme="minorHAnsi"/>
          <w:b/>
          <w:color w:val="002060"/>
          <w:sz w:val="28"/>
          <w:szCs w:val="28"/>
          <w:lang w:val="es-ES"/>
        </w:rPr>
      </w:pPr>
      <w:r w:rsidRPr="002F4FE3">
        <w:rPr>
          <w:rFonts w:eastAsia="Times New Roman" w:cstheme="minorHAnsi"/>
          <w:b/>
          <w:bCs/>
          <w:color w:val="002060"/>
          <w:sz w:val="28"/>
          <w:szCs w:val="28"/>
          <w:lang w:val="es-ES"/>
        </w:rPr>
        <w:t>Sololá</w:t>
      </w:r>
    </w:p>
    <w:p w14:paraId="00FDA83D" w14:textId="3286E104" w:rsidR="00F407CB" w:rsidRPr="003051CD" w:rsidRDefault="002F4FE3" w:rsidP="002F4FE3">
      <w:pPr>
        <w:autoSpaceDE w:val="0"/>
        <w:autoSpaceDN w:val="0"/>
        <w:adjustRightInd w:val="0"/>
        <w:spacing w:after="120" w:line="240" w:lineRule="auto"/>
        <w:jc w:val="both"/>
      </w:pPr>
      <w:r w:rsidRPr="002D4A08">
        <w:rPr>
          <w:noProof/>
          <w:sz w:val="24"/>
        </w:rPr>
        <w:drawing>
          <wp:anchor distT="0" distB="0" distL="114300" distR="114300" simplePos="0" relativeHeight="251715072" behindDoc="1" locked="0" layoutInCell="1" allowOverlap="1" wp14:anchorId="1E71BFCB" wp14:editId="4C28FB08">
            <wp:simplePos x="0" y="0"/>
            <wp:positionH relativeFrom="column">
              <wp:posOffset>4438650</wp:posOffset>
            </wp:positionH>
            <wp:positionV relativeFrom="paragraph">
              <wp:posOffset>75565</wp:posOffset>
            </wp:positionV>
            <wp:extent cx="1504315" cy="989965"/>
            <wp:effectExtent l="19050" t="19050" r="19685" b="19685"/>
            <wp:wrapTight wrapText="bothSides">
              <wp:wrapPolygon edited="0">
                <wp:start x="-274" y="-416"/>
                <wp:lineTo x="-274" y="21614"/>
                <wp:lineTo x="21609" y="21614"/>
                <wp:lineTo x="21609" y="-416"/>
                <wp:lineTo x="-274" y="-416"/>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504315" cy="989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322BED81" w:rsidRPr="322BED81">
        <w:rPr>
          <w:rFonts w:ascii="Calibri" w:eastAsia="Calibri" w:hAnsi="Calibri" w:cs="Calibri"/>
          <w:sz w:val="24"/>
          <w:szCs w:val="24"/>
          <w:lang w:val="es-ES"/>
        </w:rPr>
        <w:t xml:space="preserve">Al finalizar el año 2022, el departamento reportó un promedio de avance físico de 72.29%, tres municipios reportaron más del 88% de ejecución física, siendo éstos: Sololá con 100%, Santa Cruz La Laguna con 93.74% y San Juan La Laguna con 88.36%. </w:t>
      </w:r>
    </w:p>
    <w:p w14:paraId="3E827538" w14:textId="0A953B81" w:rsidR="322BED81" w:rsidRDefault="322BED81" w:rsidP="002F4FE3">
      <w:pPr>
        <w:autoSpaceDE w:val="0"/>
        <w:autoSpaceDN w:val="0"/>
        <w:adjustRightInd w:val="0"/>
        <w:spacing w:after="120" w:line="240" w:lineRule="auto"/>
        <w:jc w:val="both"/>
        <w:rPr>
          <w:rFonts w:ascii="Helvetica" w:eastAsia="Times New Roman" w:hAnsi="Helvetica" w:cs="Helvetica"/>
          <w:sz w:val="24"/>
          <w:szCs w:val="24"/>
          <w:lang w:val="es-ES"/>
        </w:rPr>
      </w:pPr>
      <w:r w:rsidRPr="322BED81">
        <w:rPr>
          <w:rFonts w:ascii="Calibri" w:eastAsia="Calibri" w:hAnsi="Calibri" w:cs="Calibri"/>
          <w:sz w:val="24"/>
          <w:szCs w:val="24"/>
          <w:lang w:val="es-ES"/>
        </w:rPr>
        <w:t>En relación al avance financiero, el departamento reportó un 75.62%, para esta ocasión tres municipios reportaron más del 92% de ejecución financiera, siendo éstos: Sololá con 100%, Santa Cruz La laguna con 92.74% y Santiago Atitlán con 92.54%. Ver siguiente tabla.</w:t>
      </w:r>
    </w:p>
    <w:p w14:paraId="508232BE" w14:textId="195B2F03" w:rsidR="00693BD9" w:rsidRPr="002F4FE3" w:rsidRDefault="3AD7B7C1" w:rsidP="00016865">
      <w:pPr>
        <w:pStyle w:val="ttulosgrficas"/>
        <w:rPr>
          <w:rFonts w:asciiTheme="minorHAnsi" w:eastAsia="Times New Roman" w:hAnsiTheme="minorHAnsi" w:cstheme="minorHAnsi"/>
          <w:color w:val="4472C4" w:themeColor="accent1"/>
          <w:lang w:val="es-ES"/>
        </w:rPr>
      </w:pPr>
      <w:bookmarkStart w:id="77" w:name="_Toc130199622"/>
      <w:r w:rsidRPr="002F4FE3">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34</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2F4FE3">
        <w:rPr>
          <w:rFonts w:asciiTheme="minorHAnsi" w:eastAsia="Times New Roman" w:hAnsiTheme="minorHAnsi" w:cstheme="minorHAnsi"/>
          <w:color w:val="4472C4" w:themeColor="accent1"/>
          <w:lang w:val="es-ES"/>
        </w:rPr>
        <w:t xml:space="preserve"> Ejecución Física y Financiera, departamento de Sololá</w:t>
      </w:r>
      <w:bookmarkEnd w:id="77"/>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225"/>
        <w:gridCol w:w="1845"/>
        <w:gridCol w:w="1830"/>
        <w:gridCol w:w="1200"/>
        <w:gridCol w:w="1245"/>
      </w:tblGrid>
      <w:tr w:rsidR="3AD7B7C1" w14:paraId="25BE1BAB" w14:textId="77777777" w:rsidTr="002F4FE3">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225" w:type="dxa"/>
            <w:tcBorders>
              <w:top w:val="none" w:sz="0" w:space="0" w:color="auto"/>
              <w:left w:val="none" w:sz="0" w:space="0" w:color="auto"/>
              <w:bottom w:val="none" w:sz="0" w:space="0" w:color="auto"/>
            </w:tcBorders>
            <w:tcMar>
              <w:left w:w="108" w:type="dxa"/>
              <w:right w:w="108" w:type="dxa"/>
            </w:tcMar>
            <w:vAlign w:val="center"/>
          </w:tcPr>
          <w:p w14:paraId="7D77F100" w14:textId="04D8A4B7" w:rsidR="3AD7B7C1" w:rsidRDefault="3AD7B7C1" w:rsidP="3AD7B7C1">
            <w:pPr>
              <w:jc w:val="center"/>
            </w:pPr>
            <w:r w:rsidRPr="3AD7B7C1">
              <w:rPr>
                <w:rFonts w:ascii="Calibri" w:eastAsia="Calibri" w:hAnsi="Calibri" w:cs="Calibri"/>
                <w:color w:val="000000" w:themeColor="text1"/>
              </w:rPr>
              <w:t>Municipio</w:t>
            </w:r>
          </w:p>
        </w:tc>
        <w:tc>
          <w:tcPr>
            <w:tcW w:w="1845" w:type="dxa"/>
            <w:tcBorders>
              <w:top w:val="none" w:sz="0" w:space="0" w:color="auto"/>
              <w:bottom w:val="none" w:sz="0" w:space="0" w:color="auto"/>
            </w:tcBorders>
            <w:tcMar>
              <w:left w:w="108" w:type="dxa"/>
              <w:right w:w="108" w:type="dxa"/>
            </w:tcMar>
            <w:vAlign w:val="center"/>
          </w:tcPr>
          <w:p w14:paraId="7FE615CB" w14:textId="36DEE658" w:rsidR="3AD7B7C1" w:rsidRDefault="3AD7B7C1" w:rsidP="3AD7B7C1">
            <w:pPr>
              <w:jc w:val="center"/>
              <w:cnfStyle w:val="100000000000" w:firstRow="1"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Meta Financiera Anual Vigente</w:t>
            </w:r>
          </w:p>
        </w:tc>
        <w:tc>
          <w:tcPr>
            <w:tcW w:w="1830" w:type="dxa"/>
            <w:tcBorders>
              <w:top w:val="none" w:sz="0" w:space="0" w:color="auto"/>
              <w:bottom w:val="none" w:sz="0" w:space="0" w:color="auto"/>
            </w:tcBorders>
            <w:tcMar>
              <w:left w:w="108" w:type="dxa"/>
              <w:right w:w="108" w:type="dxa"/>
            </w:tcMar>
            <w:vAlign w:val="center"/>
          </w:tcPr>
          <w:p w14:paraId="7ED77B5C" w14:textId="0A2BD9AD" w:rsidR="3AD7B7C1" w:rsidRDefault="3AD7B7C1" w:rsidP="3AD7B7C1">
            <w:pPr>
              <w:jc w:val="center"/>
              <w:cnfStyle w:val="100000000000" w:firstRow="1"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Ejecución Financiera Acumulada</w:t>
            </w:r>
          </w:p>
        </w:tc>
        <w:tc>
          <w:tcPr>
            <w:tcW w:w="1200" w:type="dxa"/>
            <w:tcBorders>
              <w:top w:val="none" w:sz="0" w:space="0" w:color="auto"/>
              <w:bottom w:val="none" w:sz="0" w:space="0" w:color="auto"/>
            </w:tcBorders>
            <w:tcMar>
              <w:left w:w="108" w:type="dxa"/>
              <w:right w:w="108" w:type="dxa"/>
            </w:tcMar>
            <w:vAlign w:val="center"/>
          </w:tcPr>
          <w:p w14:paraId="59D47D62" w14:textId="44FA1AA2" w:rsidR="3AD7B7C1" w:rsidRDefault="3AD7B7C1" w:rsidP="3AD7B7C1">
            <w:pPr>
              <w:jc w:val="center"/>
              <w:cnfStyle w:val="100000000000" w:firstRow="1"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 de Ejecución Física</w:t>
            </w:r>
          </w:p>
        </w:tc>
        <w:tc>
          <w:tcPr>
            <w:tcW w:w="1245" w:type="dxa"/>
            <w:tcBorders>
              <w:top w:val="none" w:sz="0" w:space="0" w:color="auto"/>
              <w:bottom w:val="none" w:sz="0" w:space="0" w:color="auto"/>
              <w:right w:val="none" w:sz="0" w:space="0" w:color="auto"/>
            </w:tcBorders>
            <w:tcMar>
              <w:left w:w="108" w:type="dxa"/>
              <w:right w:w="108" w:type="dxa"/>
            </w:tcMar>
            <w:vAlign w:val="center"/>
          </w:tcPr>
          <w:p w14:paraId="77A1A064" w14:textId="4A58D464" w:rsidR="3AD7B7C1" w:rsidRDefault="3AD7B7C1" w:rsidP="3AD7B7C1">
            <w:pPr>
              <w:jc w:val="center"/>
              <w:cnfStyle w:val="100000000000" w:firstRow="1"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 de Ejecución Financiera</w:t>
            </w:r>
          </w:p>
        </w:tc>
      </w:tr>
      <w:tr w:rsidR="3AD7B7C1" w14:paraId="71CEAC05"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564C6C8B" w14:textId="7228136F" w:rsidR="3AD7B7C1" w:rsidRDefault="3AD7B7C1" w:rsidP="3AD7B7C1">
            <w:r w:rsidRPr="3AD7B7C1">
              <w:rPr>
                <w:rFonts w:ascii="Calibri" w:eastAsia="Calibri" w:hAnsi="Calibri" w:cs="Calibri"/>
                <w:color w:val="000000" w:themeColor="text1"/>
              </w:rPr>
              <w:t xml:space="preserve"> Todo el Departamento</w:t>
            </w:r>
          </w:p>
        </w:tc>
        <w:tc>
          <w:tcPr>
            <w:tcW w:w="1845" w:type="dxa"/>
            <w:tcMar>
              <w:left w:w="108" w:type="dxa"/>
              <w:right w:w="108" w:type="dxa"/>
            </w:tcMar>
          </w:tcPr>
          <w:p w14:paraId="1A2AF450" w14:textId="159143E5"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b/>
                <w:bCs/>
                <w:color w:val="000000" w:themeColor="text1"/>
              </w:rPr>
              <w:t>Q538,133,023.14</w:t>
            </w:r>
          </w:p>
        </w:tc>
        <w:tc>
          <w:tcPr>
            <w:tcW w:w="1830" w:type="dxa"/>
            <w:tcMar>
              <w:left w:w="108" w:type="dxa"/>
              <w:right w:w="108" w:type="dxa"/>
            </w:tcMar>
          </w:tcPr>
          <w:p w14:paraId="0657851D" w14:textId="67B16AB8"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b/>
                <w:bCs/>
                <w:color w:val="000000" w:themeColor="text1"/>
              </w:rPr>
              <w:t>Q406,913,209.78</w:t>
            </w:r>
          </w:p>
        </w:tc>
        <w:tc>
          <w:tcPr>
            <w:tcW w:w="1200" w:type="dxa"/>
            <w:shd w:val="clear" w:color="auto" w:fill="FFFF00"/>
            <w:tcMar>
              <w:left w:w="108" w:type="dxa"/>
              <w:right w:w="108" w:type="dxa"/>
            </w:tcMar>
            <w:vAlign w:val="bottom"/>
          </w:tcPr>
          <w:p w14:paraId="5157E4E1" w14:textId="73BABD03"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b/>
                <w:bCs/>
                <w:color w:val="000000" w:themeColor="text1"/>
              </w:rPr>
              <w:t>72.29%</w:t>
            </w:r>
          </w:p>
        </w:tc>
        <w:tc>
          <w:tcPr>
            <w:tcW w:w="1245" w:type="dxa"/>
            <w:shd w:val="clear" w:color="auto" w:fill="FFFF00"/>
            <w:tcMar>
              <w:left w:w="108" w:type="dxa"/>
              <w:right w:w="108" w:type="dxa"/>
            </w:tcMar>
            <w:vAlign w:val="bottom"/>
          </w:tcPr>
          <w:p w14:paraId="3CF2E534" w14:textId="6C406109"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b/>
                <w:bCs/>
                <w:color w:val="000000" w:themeColor="text1"/>
              </w:rPr>
              <w:t>75.62%</w:t>
            </w:r>
          </w:p>
        </w:tc>
      </w:tr>
      <w:tr w:rsidR="3AD7B7C1" w14:paraId="44EBBE21"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2F1DE77F" w14:textId="27878194"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Sololá</w:t>
            </w:r>
          </w:p>
        </w:tc>
        <w:tc>
          <w:tcPr>
            <w:tcW w:w="1845" w:type="dxa"/>
            <w:tcMar>
              <w:left w:w="108" w:type="dxa"/>
              <w:right w:w="108" w:type="dxa"/>
            </w:tcMar>
          </w:tcPr>
          <w:p w14:paraId="5569EDEB" w14:textId="7138FC6F"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Q60,060,759.50</w:t>
            </w:r>
          </w:p>
        </w:tc>
        <w:tc>
          <w:tcPr>
            <w:tcW w:w="1830" w:type="dxa"/>
            <w:tcMar>
              <w:left w:w="108" w:type="dxa"/>
              <w:right w:w="108" w:type="dxa"/>
            </w:tcMar>
          </w:tcPr>
          <w:p w14:paraId="67FB89BE" w14:textId="7C1E4D97"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Q60,060,759.50</w:t>
            </w:r>
          </w:p>
        </w:tc>
        <w:tc>
          <w:tcPr>
            <w:tcW w:w="1200" w:type="dxa"/>
            <w:shd w:val="clear" w:color="auto" w:fill="92D050"/>
            <w:tcMar>
              <w:left w:w="108" w:type="dxa"/>
              <w:right w:w="108" w:type="dxa"/>
            </w:tcMar>
            <w:vAlign w:val="bottom"/>
          </w:tcPr>
          <w:p w14:paraId="508DA5C0" w14:textId="00C9EACD"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100.00%</w:t>
            </w:r>
          </w:p>
        </w:tc>
        <w:tc>
          <w:tcPr>
            <w:tcW w:w="1245" w:type="dxa"/>
            <w:shd w:val="clear" w:color="auto" w:fill="92D050"/>
            <w:tcMar>
              <w:left w:w="108" w:type="dxa"/>
              <w:right w:w="108" w:type="dxa"/>
            </w:tcMar>
            <w:vAlign w:val="bottom"/>
          </w:tcPr>
          <w:p w14:paraId="3060AC12" w14:textId="19648E84"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100.00%</w:t>
            </w:r>
          </w:p>
        </w:tc>
      </w:tr>
      <w:tr w:rsidR="3AD7B7C1" w14:paraId="50BBA1CB"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4EFDD3FA" w14:textId="5E94B51E"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Santa Cruz La Laguna</w:t>
            </w:r>
          </w:p>
        </w:tc>
        <w:tc>
          <w:tcPr>
            <w:tcW w:w="1845" w:type="dxa"/>
            <w:tcMar>
              <w:left w:w="108" w:type="dxa"/>
              <w:right w:w="108" w:type="dxa"/>
            </w:tcMar>
          </w:tcPr>
          <w:p w14:paraId="6F080CCB" w14:textId="35DFA6FE"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Q20,214,368.52</w:t>
            </w:r>
          </w:p>
        </w:tc>
        <w:tc>
          <w:tcPr>
            <w:tcW w:w="1830" w:type="dxa"/>
            <w:tcMar>
              <w:left w:w="108" w:type="dxa"/>
              <w:right w:w="108" w:type="dxa"/>
            </w:tcMar>
          </w:tcPr>
          <w:p w14:paraId="11F95AE0" w14:textId="4A8FBA70"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Q18,746,325.09</w:t>
            </w:r>
          </w:p>
        </w:tc>
        <w:tc>
          <w:tcPr>
            <w:tcW w:w="1200" w:type="dxa"/>
            <w:shd w:val="clear" w:color="auto" w:fill="92D050"/>
            <w:tcMar>
              <w:left w:w="108" w:type="dxa"/>
              <w:right w:w="108" w:type="dxa"/>
            </w:tcMar>
            <w:vAlign w:val="bottom"/>
          </w:tcPr>
          <w:p w14:paraId="3C59C57E" w14:textId="6D43D81E"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93.74%</w:t>
            </w:r>
          </w:p>
        </w:tc>
        <w:tc>
          <w:tcPr>
            <w:tcW w:w="1245" w:type="dxa"/>
            <w:shd w:val="clear" w:color="auto" w:fill="92D050"/>
            <w:tcMar>
              <w:left w:w="108" w:type="dxa"/>
              <w:right w:w="108" w:type="dxa"/>
            </w:tcMar>
            <w:vAlign w:val="bottom"/>
          </w:tcPr>
          <w:p w14:paraId="54CC08BB" w14:textId="6153F516"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92.74%</w:t>
            </w:r>
          </w:p>
        </w:tc>
      </w:tr>
      <w:tr w:rsidR="3AD7B7C1" w14:paraId="4565FEA2"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0194242F" w14:textId="256B2B88"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 Juan La Laguna</w:t>
            </w:r>
          </w:p>
        </w:tc>
        <w:tc>
          <w:tcPr>
            <w:tcW w:w="1845" w:type="dxa"/>
            <w:tcMar>
              <w:left w:w="108" w:type="dxa"/>
              <w:right w:w="108" w:type="dxa"/>
            </w:tcMar>
          </w:tcPr>
          <w:p w14:paraId="5B95A0CA" w14:textId="592E22C7"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Q28,824,609.02</w:t>
            </w:r>
          </w:p>
        </w:tc>
        <w:tc>
          <w:tcPr>
            <w:tcW w:w="1830" w:type="dxa"/>
            <w:tcMar>
              <w:left w:w="108" w:type="dxa"/>
              <w:right w:w="108" w:type="dxa"/>
            </w:tcMar>
          </w:tcPr>
          <w:p w14:paraId="5E9F9354" w14:textId="201E66A4"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Q21,689,018.18</w:t>
            </w:r>
          </w:p>
        </w:tc>
        <w:tc>
          <w:tcPr>
            <w:tcW w:w="1200" w:type="dxa"/>
            <w:shd w:val="clear" w:color="auto" w:fill="FFFF00"/>
            <w:tcMar>
              <w:left w:w="108" w:type="dxa"/>
              <w:right w:w="108" w:type="dxa"/>
            </w:tcMar>
            <w:vAlign w:val="bottom"/>
          </w:tcPr>
          <w:p w14:paraId="67B8B7C8" w14:textId="30870C40"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88.36%</w:t>
            </w:r>
          </w:p>
        </w:tc>
        <w:tc>
          <w:tcPr>
            <w:tcW w:w="1245" w:type="dxa"/>
            <w:shd w:val="clear" w:color="auto" w:fill="FFFF00"/>
            <w:tcMar>
              <w:left w:w="108" w:type="dxa"/>
              <w:right w:w="108" w:type="dxa"/>
            </w:tcMar>
            <w:vAlign w:val="bottom"/>
          </w:tcPr>
          <w:p w14:paraId="3E3F5681" w14:textId="4B6DBB5D"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75.24%</w:t>
            </w:r>
          </w:p>
        </w:tc>
      </w:tr>
      <w:tr w:rsidR="3AD7B7C1" w14:paraId="5C858D92"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20DD465C" w14:textId="5BD7FF27"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Santa Catarina Palopó</w:t>
            </w:r>
          </w:p>
        </w:tc>
        <w:tc>
          <w:tcPr>
            <w:tcW w:w="1845" w:type="dxa"/>
            <w:tcMar>
              <w:left w:w="108" w:type="dxa"/>
              <w:right w:w="108" w:type="dxa"/>
            </w:tcMar>
          </w:tcPr>
          <w:p w14:paraId="0F2299B2" w14:textId="649D7FE1"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Q26,763,215.46</w:t>
            </w:r>
          </w:p>
        </w:tc>
        <w:tc>
          <w:tcPr>
            <w:tcW w:w="1830" w:type="dxa"/>
            <w:tcMar>
              <w:left w:w="108" w:type="dxa"/>
              <w:right w:w="108" w:type="dxa"/>
            </w:tcMar>
          </w:tcPr>
          <w:p w14:paraId="477E5F7E" w14:textId="568A5DB4"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Q21,917,085.94</w:t>
            </w:r>
          </w:p>
        </w:tc>
        <w:tc>
          <w:tcPr>
            <w:tcW w:w="1200" w:type="dxa"/>
            <w:shd w:val="clear" w:color="auto" w:fill="FFFF00"/>
            <w:tcMar>
              <w:left w:w="108" w:type="dxa"/>
              <w:right w:w="108" w:type="dxa"/>
            </w:tcMar>
            <w:vAlign w:val="bottom"/>
          </w:tcPr>
          <w:p w14:paraId="28DA490A" w14:textId="0514D353"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87.27%</w:t>
            </w:r>
          </w:p>
        </w:tc>
        <w:tc>
          <w:tcPr>
            <w:tcW w:w="1245" w:type="dxa"/>
            <w:shd w:val="clear" w:color="auto" w:fill="FFFF00"/>
            <w:tcMar>
              <w:left w:w="108" w:type="dxa"/>
              <w:right w:w="108" w:type="dxa"/>
            </w:tcMar>
            <w:vAlign w:val="bottom"/>
          </w:tcPr>
          <w:p w14:paraId="2C479E41" w14:textId="0EFC323A"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81.89%</w:t>
            </w:r>
          </w:p>
        </w:tc>
      </w:tr>
      <w:tr w:rsidR="3AD7B7C1" w14:paraId="6B9C88E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09C361F3" w14:textId="1148E7DF"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Santa Catarina Ixtahuacán</w:t>
            </w:r>
          </w:p>
        </w:tc>
        <w:tc>
          <w:tcPr>
            <w:tcW w:w="1845" w:type="dxa"/>
            <w:tcMar>
              <w:left w:w="108" w:type="dxa"/>
              <w:right w:w="108" w:type="dxa"/>
            </w:tcMar>
          </w:tcPr>
          <w:p w14:paraId="4739D0BB" w14:textId="11FD06F2"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Q32,403,799.48</w:t>
            </w:r>
          </w:p>
        </w:tc>
        <w:tc>
          <w:tcPr>
            <w:tcW w:w="1830" w:type="dxa"/>
            <w:tcMar>
              <w:left w:w="108" w:type="dxa"/>
              <w:right w:w="108" w:type="dxa"/>
            </w:tcMar>
          </w:tcPr>
          <w:p w14:paraId="747986DE" w14:textId="2330411B"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Q26,208,263.57</w:t>
            </w:r>
          </w:p>
        </w:tc>
        <w:tc>
          <w:tcPr>
            <w:tcW w:w="1200" w:type="dxa"/>
            <w:shd w:val="clear" w:color="auto" w:fill="FFFF00"/>
            <w:tcMar>
              <w:left w:w="108" w:type="dxa"/>
              <w:right w:w="108" w:type="dxa"/>
            </w:tcMar>
            <w:vAlign w:val="bottom"/>
          </w:tcPr>
          <w:p w14:paraId="277E3015" w14:textId="5C41CEE4"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87.10%</w:t>
            </w:r>
          </w:p>
        </w:tc>
        <w:tc>
          <w:tcPr>
            <w:tcW w:w="1245" w:type="dxa"/>
            <w:shd w:val="clear" w:color="auto" w:fill="FFFF00"/>
            <w:tcMar>
              <w:left w:w="108" w:type="dxa"/>
              <w:right w:w="108" w:type="dxa"/>
            </w:tcMar>
            <w:vAlign w:val="bottom"/>
          </w:tcPr>
          <w:p w14:paraId="3FC53FBC" w14:textId="3ED6EC69"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80.88%</w:t>
            </w:r>
          </w:p>
        </w:tc>
      </w:tr>
      <w:tr w:rsidR="3AD7B7C1" w14:paraId="56D0D8C3"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47E56369" w14:textId="0D82F263"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Santa María Visitación</w:t>
            </w:r>
          </w:p>
        </w:tc>
        <w:tc>
          <w:tcPr>
            <w:tcW w:w="1845" w:type="dxa"/>
            <w:tcMar>
              <w:left w:w="108" w:type="dxa"/>
              <w:right w:w="108" w:type="dxa"/>
            </w:tcMar>
          </w:tcPr>
          <w:p w14:paraId="5B1B1E6E" w14:textId="2CBD176E"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Q18,914,438.29</w:t>
            </w:r>
          </w:p>
        </w:tc>
        <w:tc>
          <w:tcPr>
            <w:tcW w:w="1830" w:type="dxa"/>
            <w:tcMar>
              <w:left w:w="108" w:type="dxa"/>
              <w:right w:w="108" w:type="dxa"/>
            </w:tcMar>
          </w:tcPr>
          <w:p w14:paraId="768CAD4D" w14:textId="28C34155"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Q15,382,532.00</w:t>
            </w:r>
          </w:p>
        </w:tc>
        <w:tc>
          <w:tcPr>
            <w:tcW w:w="1200" w:type="dxa"/>
            <w:shd w:val="clear" w:color="auto" w:fill="FFFF00"/>
            <w:tcMar>
              <w:left w:w="108" w:type="dxa"/>
              <w:right w:w="108" w:type="dxa"/>
            </w:tcMar>
            <w:vAlign w:val="bottom"/>
          </w:tcPr>
          <w:p w14:paraId="006B4318" w14:textId="4D83C27A"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80.04%</w:t>
            </w:r>
          </w:p>
        </w:tc>
        <w:tc>
          <w:tcPr>
            <w:tcW w:w="1245" w:type="dxa"/>
            <w:shd w:val="clear" w:color="auto" w:fill="FFFF00"/>
            <w:tcMar>
              <w:left w:w="108" w:type="dxa"/>
              <w:right w:w="108" w:type="dxa"/>
            </w:tcMar>
            <w:vAlign w:val="bottom"/>
          </w:tcPr>
          <w:p w14:paraId="050CC7E7" w14:textId="7A733CDB"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81.33%</w:t>
            </w:r>
          </w:p>
        </w:tc>
      </w:tr>
      <w:tr w:rsidR="3AD7B7C1" w14:paraId="6C6D61A2"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5454100B" w14:textId="3BA9D55B"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Concepción</w:t>
            </w:r>
          </w:p>
        </w:tc>
        <w:tc>
          <w:tcPr>
            <w:tcW w:w="1845" w:type="dxa"/>
            <w:tcMar>
              <w:left w:w="108" w:type="dxa"/>
              <w:right w:w="108" w:type="dxa"/>
            </w:tcMar>
          </w:tcPr>
          <w:p w14:paraId="536CC531" w14:textId="04AD8060"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Q17,797,218.16</w:t>
            </w:r>
          </w:p>
        </w:tc>
        <w:tc>
          <w:tcPr>
            <w:tcW w:w="1830" w:type="dxa"/>
            <w:tcMar>
              <w:left w:w="108" w:type="dxa"/>
              <w:right w:w="108" w:type="dxa"/>
            </w:tcMar>
          </w:tcPr>
          <w:p w14:paraId="3FB5F58E" w14:textId="755E55AA"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Q13,244,730.93</w:t>
            </w:r>
          </w:p>
        </w:tc>
        <w:tc>
          <w:tcPr>
            <w:tcW w:w="1200" w:type="dxa"/>
            <w:shd w:val="clear" w:color="auto" w:fill="FFFF00"/>
            <w:tcMar>
              <w:left w:w="108" w:type="dxa"/>
              <w:right w:w="108" w:type="dxa"/>
            </w:tcMar>
            <w:vAlign w:val="bottom"/>
          </w:tcPr>
          <w:p w14:paraId="62F0D26E" w14:textId="17ED620F"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78.38%</w:t>
            </w:r>
          </w:p>
        </w:tc>
        <w:tc>
          <w:tcPr>
            <w:tcW w:w="1245" w:type="dxa"/>
            <w:shd w:val="clear" w:color="auto" w:fill="FFFF00"/>
            <w:tcMar>
              <w:left w:w="108" w:type="dxa"/>
              <w:right w:w="108" w:type="dxa"/>
            </w:tcMar>
            <w:vAlign w:val="bottom"/>
          </w:tcPr>
          <w:p w14:paraId="6F75C09C" w14:textId="04F416D3"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74.42%</w:t>
            </w:r>
          </w:p>
        </w:tc>
      </w:tr>
      <w:tr w:rsidR="3AD7B7C1" w14:paraId="3B01A804"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5823321A" w14:textId="4AAAAB22"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Santiago Atitlán</w:t>
            </w:r>
          </w:p>
        </w:tc>
        <w:tc>
          <w:tcPr>
            <w:tcW w:w="1845" w:type="dxa"/>
            <w:tcMar>
              <w:left w:w="108" w:type="dxa"/>
              <w:right w:w="108" w:type="dxa"/>
            </w:tcMar>
          </w:tcPr>
          <w:p w14:paraId="67993C2C" w14:textId="7CEAF1AC"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Q34,794,579.59</w:t>
            </w:r>
          </w:p>
        </w:tc>
        <w:tc>
          <w:tcPr>
            <w:tcW w:w="1830" w:type="dxa"/>
            <w:tcMar>
              <w:left w:w="108" w:type="dxa"/>
              <w:right w:w="108" w:type="dxa"/>
            </w:tcMar>
          </w:tcPr>
          <w:p w14:paraId="41FB30A6" w14:textId="349573F0"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Q32,199,049.22</w:t>
            </w:r>
          </w:p>
        </w:tc>
        <w:tc>
          <w:tcPr>
            <w:tcW w:w="1200" w:type="dxa"/>
            <w:shd w:val="clear" w:color="auto" w:fill="FFFF00"/>
            <w:tcMar>
              <w:left w:w="108" w:type="dxa"/>
              <w:right w:w="108" w:type="dxa"/>
            </w:tcMar>
            <w:vAlign w:val="bottom"/>
          </w:tcPr>
          <w:p w14:paraId="0EF0B7D4" w14:textId="222DE382"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77.70%</w:t>
            </w:r>
          </w:p>
        </w:tc>
        <w:tc>
          <w:tcPr>
            <w:tcW w:w="1245" w:type="dxa"/>
            <w:shd w:val="clear" w:color="auto" w:fill="92D050"/>
            <w:tcMar>
              <w:left w:w="108" w:type="dxa"/>
              <w:right w:w="108" w:type="dxa"/>
            </w:tcMar>
            <w:vAlign w:val="bottom"/>
          </w:tcPr>
          <w:p w14:paraId="1CEBCECD" w14:textId="373E3544"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92.54%</w:t>
            </w:r>
          </w:p>
        </w:tc>
      </w:tr>
      <w:tr w:rsidR="3AD7B7C1" w14:paraId="6217126B"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33994810" w14:textId="77C6DF5F"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 Pedro La Laguna</w:t>
            </w:r>
          </w:p>
        </w:tc>
        <w:tc>
          <w:tcPr>
            <w:tcW w:w="1845" w:type="dxa"/>
            <w:tcMar>
              <w:left w:w="108" w:type="dxa"/>
              <w:right w:w="108" w:type="dxa"/>
            </w:tcMar>
          </w:tcPr>
          <w:p w14:paraId="2911BED9" w14:textId="2CCE9DAF"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Q22,810,105.76</w:t>
            </w:r>
          </w:p>
        </w:tc>
        <w:tc>
          <w:tcPr>
            <w:tcW w:w="1830" w:type="dxa"/>
            <w:tcMar>
              <w:left w:w="108" w:type="dxa"/>
              <w:right w:w="108" w:type="dxa"/>
            </w:tcMar>
          </w:tcPr>
          <w:p w14:paraId="5417CE82" w14:textId="73610B69"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Q20,699,521.07</w:t>
            </w:r>
          </w:p>
        </w:tc>
        <w:tc>
          <w:tcPr>
            <w:tcW w:w="1200" w:type="dxa"/>
            <w:shd w:val="clear" w:color="auto" w:fill="FFFF00"/>
            <w:tcMar>
              <w:left w:w="108" w:type="dxa"/>
              <w:right w:w="108" w:type="dxa"/>
            </w:tcMar>
            <w:vAlign w:val="bottom"/>
          </w:tcPr>
          <w:p w14:paraId="351C19CA" w14:textId="3F52455E"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76.77%</w:t>
            </w:r>
          </w:p>
        </w:tc>
        <w:tc>
          <w:tcPr>
            <w:tcW w:w="1245" w:type="dxa"/>
            <w:shd w:val="clear" w:color="auto" w:fill="92D050"/>
            <w:tcMar>
              <w:left w:w="108" w:type="dxa"/>
              <w:right w:w="108" w:type="dxa"/>
            </w:tcMar>
            <w:vAlign w:val="bottom"/>
          </w:tcPr>
          <w:p w14:paraId="6CA30A8E" w14:textId="564FFE8D"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90.75%</w:t>
            </w:r>
          </w:p>
        </w:tc>
      </w:tr>
      <w:tr w:rsidR="3AD7B7C1" w14:paraId="60BF5673"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54D8E1FC" w14:textId="2CF9BBB2"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 Pablo La Laguna</w:t>
            </w:r>
          </w:p>
        </w:tc>
        <w:tc>
          <w:tcPr>
            <w:tcW w:w="1845" w:type="dxa"/>
            <w:tcMar>
              <w:left w:w="108" w:type="dxa"/>
              <w:right w:w="108" w:type="dxa"/>
            </w:tcMar>
          </w:tcPr>
          <w:p w14:paraId="4896CA5A" w14:textId="06420F59"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Q25,622,470.39</w:t>
            </w:r>
          </w:p>
        </w:tc>
        <w:tc>
          <w:tcPr>
            <w:tcW w:w="1830" w:type="dxa"/>
            <w:tcMar>
              <w:left w:w="108" w:type="dxa"/>
              <w:right w:w="108" w:type="dxa"/>
            </w:tcMar>
          </w:tcPr>
          <w:p w14:paraId="31804820" w14:textId="3EDAEE41"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Q19,366,265.87</w:t>
            </w:r>
          </w:p>
        </w:tc>
        <w:tc>
          <w:tcPr>
            <w:tcW w:w="1200" w:type="dxa"/>
            <w:shd w:val="clear" w:color="auto" w:fill="FFFF00"/>
            <w:tcMar>
              <w:left w:w="108" w:type="dxa"/>
              <w:right w:w="108" w:type="dxa"/>
            </w:tcMar>
            <w:vAlign w:val="bottom"/>
          </w:tcPr>
          <w:p w14:paraId="60A62E78" w14:textId="0F0ACDF9"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76.19%</w:t>
            </w:r>
          </w:p>
        </w:tc>
        <w:tc>
          <w:tcPr>
            <w:tcW w:w="1245" w:type="dxa"/>
            <w:shd w:val="clear" w:color="auto" w:fill="FFFF00"/>
            <w:tcMar>
              <w:left w:w="108" w:type="dxa"/>
              <w:right w:w="108" w:type="dxa"/>
            </w:tcMar>
            <w:vAlign w:val="bottom"/>
          </w:tcPr>
          <w:p w14:paraId="6BC443B0" w14:textId="054E9CC7"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75.58%</w:t>
            </w:r>
          </w:p>
        </w:tc>
      </w:tr>
      <w:tr w:rsidR="3AD7B7C1" w14:paraId="075D2A0C"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5C382967" w14:textId="7705EA03"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Santa Lucia Utatlán</w:t>
            </w:r>
          </w:p>
        </w:tc>
        <w:tc>
          <w:tcPr>
            <w:tcW w:w="1845" w:type="dxa"/>
            <w:tcMar>
              <w:left w:w="108" w:type="dxa"/>
              <w:right w:w="108" w:type="dxa"/>
            </w:tcMar>
          </w:tcPr>
          <w:p w14:paraId="564BCC3B" w14:textId="71A16E20"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Q17,758,507.05</w:t>
            </w:r>
          </w:p>
        </w:tc>
        <w:tc>
          <w:tcPr>
            <w:tcW w:w="1830" w:type="dxa"/>
            <w:tcMar>
              <w:left w:w="108" w:type="dxa"/>
              <w:right w:w="108" w:type="dxa"/>
            </w:tcMar>
          </w:tcPr>
          <w:p w14:paraId="72765981" w14:textId="00CA1E40"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Q13,600,277.37</w:t>
            </w:r>
          </w:p>
        </w:tc>
        <w:tc>
          <w:tcPr>
            <w:tcW w:w="1200" w:type="dxa"/>
            <w:shd w:val="clear" w:color="auto" w:fill="FFFF00"/>
            <w:tcMar>
              <w:left w:w="108" w:type="dxa"/>
              <w:right w:w="108" w:type="dxa"/>
            </w:tcMar>
            <w:vAlign w:val="bottom"/>
          </w:tcPr>
          <w:p w14:paraId="1DBCC8C5" w14:textId="68212C0D"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71.87%</w:t>
            </w:r>
          </w:p>
        </w:tc>
        <w:tc>
          <w:tcPr>
            <w:tcW w:w="1245" w:type="dxa"/>
            <w:shd w:val="clear" w:color="auto" w:fill="FFFF00"/>
            <w:tcMar>
              <w:left w:w="108" w:type="dxa"/>
              <w:right w:w="108" w:type="dxa"/>
            </w:tcMar>
            <w:vAlign w:val="bottom"/>
          </w:tcPr>
          <w:p w14:paraId="74B22627" w14:textId="0091E6CE"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76.58%</w:t>
            </w:r>
          </w:p>
        </w:tc>
      </w:tr>
      <w:tr w:rsidR="3AD7B7C1" w14:paraId="61EAA70C"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0323A1EE" w14:textId="59ABC622"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 Antonio Palopó</w:t>
            </w:r>
          </w:p>
        </w:tc>
        <w:tc>
          <w:tcPr>
            <w:tcW w:w="1845" w:type="dxa"/>
            <w:tcMar>
              <w:left w:w="108" w:type="dxa"/>
              <w:right w:w="108" w:type="dxa"/>
            </w:tcMar>
          </w:tcPr>
          <w:p w14:paraId="345EBEC7" w14:textId="576F4118"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Q15,078,094.00</w:t>
            </w:r>
          </w:p>
        </w:tc>
        <w:tc>
          <w:tcPr>
            <w:tcW w:w="1830" w:type="dxa"/>
            <w:tcMar>
              <w:left w:w="108" w:type="dxa"/>
              <w:right w:w="108" w:type="dxa"/>
            </w:tcMar>
          </w:tcPr>
          <w:p w14:paraId="0A594E53" w14:textId="31E2C64C"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Q10,600,197.13</w:t>
            </w:r>
          </w:p>
        </w:tc>
        <w:tc>
          <w:tcPr>
            <w:tcW w:w="1200" w:type="dxa"/>
            <w:shd w:val="clear" w:color="auto" w:fill="FFFF00"/>
            <w:tcMar>
              <w:left w:w="108" w:type="dxa"/>
              <w:right w:w="108" w:type="dxa"/>
            </w:tcMar>
            <w:vAlign w:val="bottom"/>
          </w:tcPr>
          <w:p w14:paraId="38E471BD" w14:textId="5DC827B6"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71.06%</w:t>
            </w:r>
          </w:p>
        </w:tc>
        <w:tc>
          <w:tcPr>
            <w:tcW w:w="1245" w:type="dxa"/>
            <w:shd w:val="clear" w:color="auto" w:fill="FFFF00"/>
            <w:tcMar>
              <w:left w:w="108" w:type="dxa"/>
              <w:right w:w="108" w:type="dxa"/>
            </w:tcMar>
            <w:vAlign w:val="bottom"/>
          </w:tcPr>
          <w:p w14:paraId="2E1478F8" w14:textId="62787CA8"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70.30%</w:t>
            </w:r>
          </w:p>
        </w:tc>
      </w:tr>
      <w:tr w:rsidR="3AD7B7C1" w14:paraId="52849C68"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259930D1" w14:textId="5998D4BE"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 José Chacayá</w:t>
            </w:r>
          </w:p>
        </w:tc>
        <w:tc>
          <w:tcPr>
            <w:tcW w:w="1845" w:type="dxa"/>
            <w:tcMar>
              <w:left w:w="108" w:type="dxa"/>
              <w:right w:w="108" w:type="dxa"/>
            </w:tcMar>
          </w:tcPr>
          <w:p w14:paraId="110E7419" w14:textId="4DF62246"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Q29,854,052.31</w:t>
            </w:r>
          </w:p>
        </w:tc>
        <w:tc>
          <w:tcPr>
            <w:tcW w:w="1830" w:type="dxa"/>
            <w:tcMar>
              <w:left w:w="108" w:type="dxa"/>
              <w:right w:w="108" w:type="dxa"/>
            </w:tcMar>
          </w:tcPr>
          <w:p w14:paraId="0B771435" w14:textId="547538BA"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Q21,861,227.54</w:t>
            </w:r>
          </w:p>
        </w:tc>
        <w:tc>
          <w:tcPr>
            <w:tcW w:w="1200" w:type="dxa"/>
            <w:shd w:val="clear" w:color="auto" w:fill="FFFF00"/>
            <w:tcMar>
              <w:left w:w="108" w:type="dxa"/>
              <w:right w:w="108" w:type="dxa"/>
            </w:tcMar>
            <w:vAlign w:val="bottom"/>
          </w:tcPr>
          <w:p w14:paraId="3DD0E8E9" w14:textId="56FB1CAC"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65.77%</w:t>
            </w:r>
          </w:p>
        </w:tc>
        <w:tc>
          <w:tcPr>
            <w:tcW w:w="1245" w:type="dxa"/>
            <w:shd w:val="clear" w:color="auto" w:fill="FFFF00"/>
            <w:tcMar>
              <w:left w:w="108" w:type="dxa"/>
              <w:right w:w="108" w:type="dxa"/>
            </w:tcMar>
            <w:vAlign w:val="bottom"/>
          </w:tcPr>
          <w:p w14:paraId="1C8F527F" w14:textId="688B0E30"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73.23%</w:t>
            </w:r>
          </w:p>
        </w:tc>
      </w:tr>
      <w:tr w:rsidR="3AD7B7C1" w14:paraId="3AC1EA13"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23ED32B3" w14:textId="4B041C94"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Santa Clara La Laguna</w:t>
            </w:r>
          </w:p>
        </w:tc>
        <w:tc>
          <w:tcPr>
            <w:tcW w:w="1845" w:type="dxa"/>
            <w:tcMar>
              <w:left w:w="108" w:type="dxa"/>
              <w:right w:w="108" w:type="dxa"/>
            </w:tcMar>
          </w:tcPr>
          <w:p w14:paraId="7CED3827" w14:textId="0FCBA887"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Q22,230,980.16</w:t>
            </w:r>
          </w:p>
        </w:tc>
        <w:tc>
          <w:tcPr>
            <w:tcW w:w="1830" w:type="dxa"/>
            <w:tcMar>
              <w:left w:w="108" w:type="dxa"/>
              <w:right w:w="108" w:type="dxa"/>
            </w:tcMar>
          </w:tcPr>
          <w:p w14:paraId="5F9A18F8" w14:textId="4DBDD705"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Q17,654,545.44</w:t>
            </w:r>
          </w:p>
        </w:tc>
        <w:tc>
          <w:tcPr>
            <w:tcW w:w="1200" w:type="dxa"/>
            <w:shd w:val="clear" w:color="auto" w:fill="FFFF00"/>
            <w:tcMar>
              <w:left w:w="108" w:type="dxa"/>
              <w:right w:w="108" w:type="dxa"/>
            </w:tcMar>
            <w:vAlign w:val="bottom"/>
          </w:tcPr>
          <w:p w14:paraId="0950F65B" w14:textId="122052E4"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58.82%</w:t>
            </w:r>
          </w:p>
        </w:tc>
        <w:tc>
          <w:tcPr>
            <w:tcW w:w="1245" w:type="dxa"/>
            <w:shd w:val="clear" w:color="auto" w:fill="FFFF00"/>
            <w:tcMar>
              <w:left w:w="108" w:type="dxa"/>
              <w:right w:w="108" w:type="dxa"/>
            </w:tcMar>
            <w:vAlign w:val="bottom"/>
          </w:tcPr>
          <w:p w14:paraId="224B7734" w14:textId="3086A7D4"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79.41%</w:t>
            </w:r>
          </w:p>
        </w:tc>
      </w:tr>
      <w:tr w:rsidR="3AD7B7C1" w14:paraId="7BA42027"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460E9765" w14:textId="5E16D410"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Panajachel</w:t>
            </w:r>
          </w:p>
        </w:tc>
        <w:tc>
          <w:tcPr>
            <w:tcW w:w="1845" w:type="dxa"/>
            <w:tcMar>
              <w:left w:w="108" w:type="dxa"/>
              <w:right w:w="108" w:type="dxa"/>
            </w:tcMar>
          </w:tcPr>
          <w:p w14:paraId="40CF7175" w14:textId="640FE70B"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Q29,948,889.54</w:t>
            </w:r>
          </w:p>
        </w:tc>
        <w:tc>
          <w:tcPr>
            <w:tcW w:w="1830" w:type="dxa"/>
            <w:tcMar>
              <w:left w:w="108" w:type="dxa"/>
              <w:right w:w="108" w:type="dxa"/>
            </w:tcMar>
          </w:tcPr>
          <w:p w14:paraId="13B28411" w14:textId="0DFBBD31"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Q23,023,831.03</w:t>
            </w:r>
          </w:p>
        </w:tc>
        <w:tc>
          <w:tcPr>
            <w:tcW w:w="1200" w:type="dxa"/>
            <w:shd w:val="clear" w:color="auto" w:fill="FFFF00"/>
            <w:tcMar>
              <w:left w:w="108" w:type="dxa"/>
              <w:right w:w="108" w:type="dxa"/>
            </w:tcMar>
            <w:vAlign w:val="bottom"/>
          </w:tcPr>
          <w:p w14:paraId="52AEB560" w14:textId="3C5FDF4C"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50.46%</w:t>
            </w:r>
          </w:p>
        </w:tc>
        <w:tc>
          <w:tcPr>
            <w:tcW w:w="1245" w:type="dxa"/>
            <w:shd w:val="clear" w:color="auto" w:fill="FFFF00"/>
            <w:tcMar>
              <w:left w:w="108" w:type="dxa"/>
              <w:right w:w="108" w:type="dxa"/>
            </w:tcMar>
            <w:vAlign w:val="bottom"/>
          </w:tcPr>
          <w:p w14:paraId="7570021C" w14:textId="583FC204"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76.88%</w:t>
            </w:r>
          </w:p>
        </w:tc>
      </w:tr>
      <w:tr w:rsidR="3AD7B7C1" w14:paraId="4D426218"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7BE1B2C1" w14:textId="0798A4BD"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 Marcos La Laguna</w:t>
            </w:r>
          </w:p>
        </w:tc>
        <w:tc>
          <w:tcPr>
            <w:tcW w:w="1845" w:type="dxa"/>
            <w:tcMar>
              <w:left w:w="108" w:type="dxa"/>
              <w:right w:w="108" w:type="dxa"/>
            </w:tcMar>
          </w:tcPr>
          <w:p w14:paraId="1CD9C754" w14:textId="1DAEC7D8"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Q32,933,335.58</w:t>
            </w:r>
          </w:p>
        </w:tc>
        <w:tc>
          <w:tcPr>
            <w:tcW w:w="1830" w:type="dxa"/>
            <w:tcMar>
              <w:left w:w="108" w:type="dxa"/>
              <w:right w:w="108" w:type="dxa"/>
            </w:tcMar>
          </w:tcPr>
          <w:p w14:paraId="4A3C1460" w14:textId="035DD611"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Q23,021,025.27</w:t>
            </w:r>
          </w:p>
        </w:tc>
        <w:tc>
          <w:tcPr>
            <w:tcW w:w="1200" w:type="dxa"/>
            <w:shd w:val="clear" w:color="auto" w:fill="C00000"/>
            <w:tcMar>
              <w:left w:w="108" w:type="dxa"/>
              <w:right w:w="108" w:type="dxa"/>
            </w:tcMar>
            <w:vAlign w:val="bottom"/>
          </w:tcPr>
          <w:p w14:paraId="4BFD58AA" w14:textId="020B7622"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45.69%</w:t>
            </w:r>
          </w:p>
        </w:tc>
        <w:tc>
          <w:tcPr>
            <w:tcW w:w="1245" w:type="dxa"/>
            <w:shd w:val="clear" w:color="auto" w:fill="FFFF00"/>
            <w:tcMar>
              <w:left w:w="108" w:type="dxa"/>
              <w:right w:w="108" w:type="dxa"/>
            </w:tcMar>
            <w:vAlign w:val="bottom"/>
          </w:tcPr>
          <w:p w14:paraId="64917142" w14:textId="37C41B65"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69.90%</w:t>
            </w:r>
          </w:p>
        </w:tc>
      </w:tr>
      <w:tr w:rsidR="3AD7B7C1" w14:paraId="3EB42811"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7F6FEDB9" w14:textId="00C5642E"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 Andrés Semetabaj</w:t>
            </w:r>
          </w:p>
        </w:tc>
        <w:tc>
          <w:tcPr>
            <w:tcW w:w="1845" w:type="dxa"/>
            <w:tcMar>
              <w:left w:w="108" w:type="dxa"/>
              <w:right w:w="108" w:type="dxa"/>
            </w:tcMar>
          </w:tcPr>
          <w:p w14:paraId="24D83461" w14:textId="1C87E3A6"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Q32,243,547.24</w:t>
            </w:r>
          </w:p>
        </w:tc>
        <w:tc>
          <w:tcPr>
            <w:tcW w:w="1830" w:type="dxa"/>
            <w:tcMar>
              <w:left w:w="108" w:type="dxa"/>
              <w:right w:w="108" w:type="dxa"/>
            </w:tcMar>
          </w:tcPr>
          <w:p w14:paraId="612D41F4" w14:textId="492B9CF3"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Q19,881,355.34</w:t>
            </w:r>
          </w:p>
        </w:tc>
        <w:tc>
          <w:tcPr>
            <w:tcW w:w="1200" w:type="dxa"/>
            <w:shd w:val="clear" w:color="auto" w:fill="C00000"/>
            <w:tcMar>
              <w:left w:w="108" w:type="dxa"/>
              <w:right w:w="108" w:type="dxa"/>
            </w:tcMar>
            <w:vAlign w:val="bottom"/>
          </w:tcPr>
          <w:p w14:paraId="756B86FA" w14:textId="312396BA"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43.12%</w:t>
            </w:r>
          </w:p>
        </w:tc>
        <w:tc>
          <w:tcPr>
            <w:tcW w:w="1245" w:type="dxa"/>
            <w:shd w:val="clear" w:color="auto" w:fill="FFFF00"/>
            <w:tcMar>
              <w:left w:w="108" w:type="dxa"/>
              <w:right w:w="108" w:type="dxa"/>
            </w:tcMar>
            <w:vAlign w:val="bottom"/>
          </w:tcPr>
          <w:p w14:paraId="604C4C7C" w14:textId="1FCC1ED9"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61.66%</w:t>
            </w:r>
          </w:p>
        </w:tc>
      </w:tr>
      <w:tr w:rsidR="3AD7B7C1" w14:paraId="64EED02E"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727E3A21" w14:textId="507F9008"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Nahualá</w:t>
            </w:r>
          </w:p>
        </w:tc>
        <w:tc>
          <w:tcPr>
            <w:tcW w:w="1845" w:type="dxa"/>
            <w:tcMar>
              <w:left w:w="108" w:type="dxa"/>
              <w:right w:w="108" w:type="dxa"/>
            </w:tcMar>
          </w:tcPr>
          <w:p w14:paraId="286C80C1" w14:textId="19A59988"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Q39,914,260.00</w:t>
            </w:r>
          </w:p>
        </w:tc>
        <w:tc>
          <w:tcPr>
            <w:tcW w:w="1830" w:type="dxa"/>
            <w:tcMar>
              <w:left w:w="108" w:type="dxa"/>
              <w:right w:w="108" w:type="dxa"/>
            </w:tcMar>
          </w:tcPr>
          <w:p w14:paraId="75FA7334" w14:textId="6032FBFF"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Q11,848,371.46</w:t>
            </w:r>
          </w:p>
        </w:tc>
        <w:tc>
          <w:tcPr>
            <w:tcW w:w="1200" w:type="dxa"/>
            <w:shd w:val="clear" w:color="auto" w:fill="C00000"/>
            <w:tcMar>
              <w:left w:w="108" w:type="dxa"/>
              <w:right w:w="108" w:type="dxa"/>
            </w:tcMar>
            <w:vAlign w:val="bottom"/>
          </w:tcPr>
          <w:p w14:paraId="3E4725B1" w14:textId="4B5D604F"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42.35%</w:t>
            </w:r>
          </w:p>
        </w:tc>
        <w:tc>
          <w:tcPr>
            <w:tcW w:w="1245" w:type="dxa"/>
            <w:shd w:val="clear" w:color="auto" w:fill="C00000"/>
            <w:tcMar>
              <w:left w:w="108" w:type="dxa"/>
              <w:right w:w="108" w:type="dxa"/>
            </w:tcMar>
            <w:vAlign w:val="bottom"/>
          </w:tcPr>
          <w:p w14:paraId="51753FBE" w14:textId="037D18CE" w:rsidR="3AD7B7C1" w:rsidRDefault="3AD7B7C1" w:rsidP="3AD7B7C1">
            <w:pPr>
              <w:jc w:val="right"/>
              <w:cnfStyle w:val="000000100000" w:firstRow="0" w:lastRow="0" w:firstColumn="0" w:lastColumn="0" w:oddVBand="0" w:evenVBand="0" w:oddHBand="1" w:evenHBand="0" w:firstRowFirstColumn="0" w:firstRowLastColumn="0" w:lastRowFirstColumn="0" w:lastRowLastColumn="0"/>
            </w:pPr>
            <w:r w:rsidRPr="3AD7B7C1">
              <w:rPr>
                <w:rFonts w:ascii="Calibri" w:eastAsia="Calibri" w:hAnsi="Calibri" w:cs="Calibri"/>
                <w:color w:val="000000" w:themeColor="text1"/>
              </w:rPr>
              <w:t>29.68%</w:t>
            </w:r>
          </w:p>
        </w:tc>
      </w:tr>
      <w:tr w:rsidR="3AD7B7C1" w14:paraId="4BC4BF23"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25" w:type="dxa"/>
            <w:tcMar>
              <w:left w:w="108" w:type="dxa"/>
              <w:right w:w="108" w:type="dxa"/>
            </w:tcMar>
          </w:tcPr>
          <w:p w14:paraId="0B4DFDB3" w14:textId="65F2B909" w:rsidR="3AD7B7C1" w:rsidRDefault="3AD7B7C1" w:rsidP="3AD7B7C1">
            <w:pPr>
              <w:rPr>
                <w:rFonts w:ascii="Calibri" w:eastAsia="Calibri" w:hAnsi="Calibri" w:cs="Calibri"/>
                <w:b w:val="0"/>
                <w:bCs w:val="0"/>
                <w:color w:val="000000" w:themeColor="text1"/>
              </w:rPr>
            </w:pPr>
            <w:r w:rsidRPr="3AD7B7C1">
              <w:rPr>
                <w:rFonts w:ascii="Calibri" w:eastAsia="Calibri" w:hAnsi="Calibri" w:cs="Calibri"/>
                <w:b w:val="0"/>
                <w:bCs w:val="0"/>
                <w:color w:val="000000" w:themeColor="text1"/>
              </w:rPr>
              <w:t>San Lucas Tolimán</w:t>
            </w:r>
          </w:p>
        </w:tc>
        <w:tc>
          <w:tcPr>
            <w:tcW w:w="1845" w:type="dxa"/>
            <w:tcMar>
              <w:left w:w="108" w:type="dxa"/>
              <w:right w:w="108" w:type="dxa"/>
            </w:tcMar>
          </w:tcPr>
          <w:p w14:paraId="39645EF3" w14:textId="09D9C14B"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Q29,965,793.09</w:t>
            </w:r>
          </w:p>
        </w:tc>
        <w:tc>
          <w:tcPr>
            <w:tcW w:w="1830" w:type="dxa"/>
            <w:tcMar>
              <w:left w:w="108" w:type="dxa"/>
              <w:right w:w="108" w:type="dxa"/>
            </w:tcMar>
          </w:tcPr>
          <w:p w14:paraId="223C21AA" w14:textId="6CAC94DE"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Q15,908,827.83</w:t>
            </w:r>
          </w:p>
        </w:tc>
        <w:tc>
          <w:tcPr>
            <w:tcW w:w="1200" w:type="dxa"/>
            <w:shd w:val="clear" w:color="auto" w:fill="C00000"/>
            <w:tcMar>
              <w:left w:w="108" w:type="dxa"/>
              <w:right w:w="108" w:type="dxa"/>
            </w:tcMar>
            <w:vAlign w:val="bottom"/>
          </w:tcPr>
          <w:p w14:paraId="28137731" w14:textId="3E837B8E"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36.11%</w:t>
            </w:r>
          </w:p>
        </w:tc>
        <w:tc>
          <w:tcPr>
            <w:tcW w:w="1245" w:type="dxa"/>
            <w:shd w:val="clear" w:color="auto" w:fill="FFFF00"/>
            <w:tcMar>
              <w:left w:w="108" w:type="dxa"/>
              <w:right w:w="108" w:type="dxa"/>
            </w:tcMar>
            <w:vAlign w:val="bottom"/>
          </w:tcPr>
          <w:p w14:paraId="2CD95CF3" w14:textId="10104BEC" w:rsidR="3AD7B7C1" w:rsidRDefault="3AD7B7C1" w:rsidP="3AD7B7C1">
            <w:pPr>
              <w:jc w:val="right"/>
              <w:cnfStyle w:val="000000000000" w:firstRow="0" w:lastRow="0" w:firstColumn="0" w:lastColumn="0" w:oddVBand="0" w:evenVBand="0" w:oddHBand="0" w:evenHBand="0" w:firstRowFirstColumn="0" w:firstRowLastColumn="0" w:lastRowFirstColumn="0" w:lastRowLastColumn="0"/>
            </w:pPr>
            <w:r w:rsidRPr="3AD7B7C1">
              <w:rPr>
                <w:rFonts w:ascii="Calibri" w:eastAsia="Calibri" w:hAnsi="Calibri" w:cs="Calibri"/>
                <w:color w:val="000000" w:themeColor="text1"/>
              </w:rPr>
              <w:t>53.09%</w:t>
            </w:r>
          </w:p>
        </w:tc>
      </w:tr>
    </w:tbl>
    <w:p w14:paraId="30F6DEFE" w14:textId="7FE09A68" w:rsidR="00693BD9" w:rsidRPr="003051CD" w:rsidRDefault="3AD7B7C1" w:rsidP="002F4FE3">
      <w:pPr>
        <w:autoSpaceDE w:val="0"/>
        <w:autoSpaceDN w:val="0"/>
        <w:adjustRightInd w:val="0"/>
        <w:spacing w:after="120" w:line="240" w:lineRule="auto"/>
        <w:jc w:val="both"/>
        <w:rPr>
          <w:rFonts w:ascii="Helvetica" w:eastAsia="Times New Roman" w:hAnsi="Helvetica" w:cs="Helvetica"/>
          <w:sz w:val="18"/>
          <w:szCs w:val="18"/>
          <w:lang w:val="es-ES"/>
        </w:rPr>
      </w:pPr>
      <w:r w:rsidRPr="3AD7B7C1">
        <w:rPr>
          <w:rFonts w:eastAsiaTheme="minorEastAsia"/>
          <w:sz w:val="18"/>
          <w:szCs w:val="18"/>
          <w:lang w:val="es-ES"/>
        </w:rPr>
        <w:t>Fuente: Siplangl, III informe cuatrimestral y acumulado. Año 2022.</w:t>
      </w:r>
    </w:p>
    <w:p w14:paraId="5E9C7603" w14:textId="60D10060" w:rsidR="00693BD9" w:rsidRPr="002F4FE3" w:rsidRDefault="3AD7B7C1" w:rsidP="002F4FE3">
      <w:pPr>
        <w:autoSpaceDE w:val="0"/>
        <w:autoSpaceDN w:val="0"/>
        <w:adjustRightInd w:val="0"/>
        <w:spacing w:after="120" w:line="240" w:lineRule="auto"/>
        <w:jc w:val="both"/>
        <w:rPr>
          <w:rFonts w:eastAsia="Times New Roman" w:cstheme="minorHAnsi"/>
          <w:b/>
          <w:color w:val="002060"/>
          <w:sz w:val="28"/>
          <w:szCs w:val="28"/>
          <w:lang w:val="es-ES"/>
        </w:rPr>
      </w:pPr>
      <w:r w:rsidRPr="002F4FE3">
        <w:rPr>
          <w:rFonts w:eastAsia="Times New Roman" w:cstheme="minorHAnsi"/>
          <w:b/>
          <w:bCs/>
          <w:color w:val="002060"/>
          <w:sz w:val="28"/>
          <w:szCs w:val="28"/>
          <w:lang w:val="es-ES"/>
        </w:rPr>
        <w:t>Suchitepéquez</w:t>
      </w:r>
    </w:p>
    <w:p w14:paraId="508EF87A" w14:textId="3348859A" w:rsidR="00E91099" w:rsidRPr="00777D1C" w:rsidRDefault="002F4FE3" w:rsidP="002F4FE3">
      <w:pPr>
        <w:autoSpaceDE w:val="0"/>
        <w:autoSpaceDN w:val="0"/>
        <w:adjustRightInd w:val="0"/>
        <w:spacing w:after="120" w:line="240" w:lineRule="auto"/>
        <w:jc w:val="both"/>
      </w:pPr>
      <w:r w:rsidRPr="002D4A08">
        <w:rPr>
          <w:noProof/>
          <w:sz w:val="24"/>
        </w:rPr>
        <w:drawing>
          <wp:anchor distT="0" distB="0" distL="114300" distR="114300" simplePos="0" relativeHeight="251717120" behindDoc="1" locked="0" layoutInCell="1" allowOverlap="1" wp14:anchorId="29178C18" wp14:editId="33D67AF2">
            <wp:simplePos x="0" y="0"/>
            <wp:positionH relativeFrom="column">
              <wp:posOffset>4406900</wp:posOffset>
            </wp:positionH>
            <wp:positionV relativeFrom="paragraph">
              <wp:posOffset>69215</wp:posOffset>
            </wp:positionV>
            <wp:extent cx="1504315" cy="1038225"/>
            <wp:effectExtent l="19050" t="19050" r="19685" b="28575"/>
            <wp:wrapTight wrapText="bothSides">
              <wp:wrapPolygon edited="0">
                <wp:start x="-274" y="-396"/>
                <wp:lineTo x="-274" y="21798"/>
                <wp:lineTo x="21609" y="21798"/>
                <wp:lineTo x="21609" y="-396"/>
                <wp:lineTo x="-274" y="-396"/>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504315" cy="1038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3AD7B7C1" w:rsidRPr="3AD7B7C1">
        <w:rPr>
          <w:rFonts w:ascii="Calibri" w:eastAsia="Calibri" w:hAnsi="Calibri" w:cs="Calibri"/>
          <w:sz w:val="24"/>
          <w:szCs w:val="24"/>
          <w:lang w:val="es-ES"/>
        </w:rPr>
        <w:t xml:space="preserve">El departamento solo alcanzó a reportar el 56.86% como promedio de avance físico al finalizar el año 2022. Los municipios que mayor ejecución reportaron son: San Pablo Jocopilas con 92.08%, San Antonio Suchitepéquez con 89.72% y San Francisco Zapotitlán con 84.28%. </w:t>
      </w:r>
    </w:p>
    <w:p w14:paraId="60D91665" w14:textId="31D7D163" w:rsidR="00E91099" w:rsidRPr="00777D1C" w:rsidRDefault="3AD7B7C1" w:rsidP="002F4FE3">
      <w:pPr>
        <w:autoSpaceDE w:val="0"/>
        <w:autoSpaceDN w:val="0"/>
        <w:adjustRightInd w:val="0"/>
        <w:spacing w:after="120" w:line="240" w:lineRule="auto"/>
        <w:jc w:val="both"/>
      </w:pPr>
      <w:r w:rsidRPr="3AD7B7C1">
        <w:rPr>
          <w:rFonts w:ascii="Calibri" w:eastAsia="Calibri" w:hAnsi="Calibri" w:cs="Calibri"/>
          <w:sz w:val="24"/>
          <w:szCs w:val="24"/>
          <w:lang w:val="es-ES"/>
        </w:rPr>
        <w:t>En cuanto al avance financiero el departamento reportó un 59.48% de avance. Los municipios que mayor ejecución reportaron son: San Antonio Suchitepéquez con 90.25%, Patulul con 82.37% y San Lorenzo con 81.95%.</w:t>
      </w:r>
    </w:p>
    <w:p w14:paraId="41CF4D99" w14:textId="003A2337" w:rsidR="005D4383" w:rsidRDefault="3AD7B7C1" w:rsidP="002F4FE3">
      <w:pPr>
        <w:autoSpaceDE w:val="0"/>
        <w:autoSpaceDN w:val="0"/>
        <w:adjustRightInd w:val="0"/>
        <w:spacing w:after="120" w:line="240" w:lineRule="auto"/>
        <w:jc w:val="both"/>
        <w:rPr>
          <w:rFonts w:ascii="Helvetica" w:eastAsia="Times New Roman" w:hAnsi="Helvetica" w:cs="Helvetica"/>
          <w:sz w:val="24"/>
          <w:szCs w:val="24"/>
          <w:lang w:val="es-ES"/>
        </w:rPr>
      </w:pPr>
      <w:r w:rsidRPr="3AD7B7C1">
        <w:rPr>
          <w:rFonts w:ascii="Calibri" w:eastAsia="Calibri" w:hAnsi="Calibri" w:cs="Calibri"/>
          <w:sz w:val="24"/>
          <w:szCs w:val="24"/>
          <w:lang w:val="es-ES"/>
        </w:rPr>
        <w:t>San José la Máquina y San José el Ídolo, durante el año 2022 no registraron avance alguno en la ejecución, en Siplangl. Santa Bárbara no utilizó durante el año 2022 la plataforma de Siplangl. Ver siguiente tabla.</w:t>
      </w:r>
    </w:p>
    <w:p w14:paraId="76532DC1" w14:textId="54836FAC" w:rsidR="00693BD9" w:rsidRPr="002F4FE3" w:rsidRDefault="5AE381E5" w:rsidP="00016865">
      <w:pPr>
        <w:pStyle w:val="ttulosgrficas"/>
        <w:rPr>
          <w:rFonts w:asciiTheme="minorHAnsi" w:eastAsia="Times New Roman" w:hAnsiTheme="minorHAnsi" w:cstheme="minorHAnsi"/>
          <w:b w:val="0"/>
          <w:color w:val="4472C4" w:themeColor="accent1"/>
          <w:lang w:val="es-ES"/>
        </w:rPr>
      </w:pPr>
      <w:bookmarkStart w:id="78" w:name="_Toc130199623"/>
      <w:r w:rsidRPr="002F4FE3">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35</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2F4FE3">
        <w:rPr>
          <w:rFonts w:asciiTheme="minorHAnsi" w:eastAsia="Times New Roman" w:hAnsiTheme="minorHAnsi" w:cstheme="minorHAnsi"/>
          <w:color w:val="4472C4" w:themeColor="accent1"/>
          <w:lang w:val="es-ES"/>
        </w:rPr>
        <w:t xml:space="preserve"> Ejecución Física y Financiera, departamento de Suchitepéquez</w:t>
      </w:r>
      <w:bookmarkEnd w:id="78"/>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330"/>
        <w:gridCol w:w="1845"/>
        <w:gridCol w:w="1830"/>
        <w:gridCol w:w="1125"/>
        <w:gridCol w:w="1245"/>
      </w:tblGrid>
      <w:tr w:rsidR="5AE381E5" w14:paraId="6B30FD37" w14:textId="77777777" w:rsidTr="002F4FE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left w:val="none" w:sz="0" w:space="0" w:color="auto"/>
              <w:bottom w:val="none" w:sz="0" w:space="0" w:color="auto"/>
            </w:tcBorders>
            <w:tcMar>
              <w:left w:w="108" w:type="dxa"/>
              <w:right w:w="108" w:type="dxa"/>
            </w:tcMar>
            <w:vAlign w:val="center"/>
          </w:tcPr>
          <w:p w14:paraId="4361E1D8" w14:textId="0DAD75DC" w:rsidR="5AE381E5" w:rsidRDefault="5AE381E5" w:rsidP="5AE381E5">
            <w:pPr>
              <w:jc w:val="center"/>
            </w:pPr>
            <w:r w:rsidRPr="5AE381E5">
              <w:rPr>
                <w:rFonts w:ascii="Calibri" w:eastAsia="Calibri" w:hAnsi="Calibri" w:cs="Calibri"/>
                <w:color w:val="000000" w:themeColor="text1"/>
              </w:rPr>
              <w:t>Municipio</w:t>
            </w:r>
          </w:p>
        </w:tc>
        <w:tc>
          <w:tcPr>
            <w:tcW w:w="1845" w:type="dxa"/>
            <w:tcBorders>
              <w:top w:val="none" w:sz="0" w:space="0" w:color="auto"/>
              <w:bottom w:val="none" w:sz="0" w:space="0" w:color="auto"/>
            </w:tcBorders>
            <w:tcMar>
              <w:left w:w="108" w:type="dxa"/>
              <w:right w:w="108" w:type="dxa"/>
            </w:tcMar>
            <w:vAlign w:val="center"/>
          </w:tcPr>
          <w:p w14:paraId="1019DDC2" w14:textId="6D0E47C6" w:rsidR="5AE381E5" w:rsidRDefault="75375A8C" w:rsidP="5AE381E5">
            <w:pPr>
              <w:jc w:val="center"/>
              <w:cnfStyle w:val="100000000000" w:firstRow="1"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Meta Financiera Anual Vigente</w:t>
            </w:r>
          </w:p>
        </w:tc>
        <w:tc>
          <w:tcPr>
            <w:tcW w:w="1830" w:type="dxa"/>
            <w:tcBorders>
              <w:top w:val="none" w:sz="0" w:space="0" w:color="auto"/>
              <w:bottom w:val="none" w:sz="0" w:space="0" w:color="auto"/>
            </w:tcBorders>
            <w:tcMar>
              <w:left w:w="108" w:type="dxa"/>
              <w:right w:w="108" w:type="dxa"/>
            </w:tcMar>
            <w:vAlign w:val="center"/>
          </w:tcPr>
          <w:p w14:paraId="194998A3" w14:textId="7272A42A" w:rsidR="5AE381E5" w:rsidRDefault="75375A8C" w:rsidP="5AE381E5">
            <w:pPr>
              <w:jc w:val="center"/>
              <w:cnfStyle w:val="100000000000" w:firstRow="1"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Ejecución Financiera Acumulada</w:t>
            </w:r>
          </w:p>
        </w:tc>
        <w:tc>
          <w:tcPr>
            <w:tcW w:w="1125" w:type="dxa"/>
            <w:tcBorders>
              <w:top w:val="none" w:sz="0" w:space="0" w:color="auto"/>
              <w:bottom w:val="none" w:sz="0" w:space="0" w:color="auto"/>
            </w:tcBorders>
            <w:tcMar>
              <w:left w:w="108" w:type="dxa"/>
              <w:right w:w="108" w:type="dxa"/>
            </w:tcMar>
            <w:vAlign w:val="center"/>
          </w:tcPr>
          <w:p w14:paraId="52A919A4" w14:textId="404FE5A5" w:rsidR="5AE381E5" w:rsidRDefault="5AE381E5" w:rsidP="5AE381E5">
            <w:pPr>
              <w:jc w:val="center"/>
              <w:cnfStyle w:val="100000000000" w:firstRow="1"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 de Ejecución Física</w:t>
            </w:r>
          </w:p>
        </w:tc>
        <w:tc>
          <w:tcPr>
            <w:tcW w:w="1245" w:type="dxa"/>
            <w:tcBorders>
              <w:top w:val="none" w:sz="0" w:space="0" w:color="auto"/>
              <w:bottom w:val="none" w:sz="0" w:space="0" w:color="auto"/>
              <w:right w:val="none" w:sz="0" w:space="0" w:color="auto"/>
            </w:tcBorders>
            <w:tcMar>
              <w:left w:w="108" w:type="dxa"/>
              <w:right w:w="108" w:type="dxa"/>
            </w:tcMar>
            <w:vAlign w:val="center"/>
          </w:tcPr>
          <w:p w14:paraId="6151F4B0" w14:textId="727479DE" w:rsidR="5AE381E5" w:rsidRDefault="5AE381E5" w:rsidP="5AE381E5">
            <w:pPr>
              <w:jc w:val="center"/>
              <w:cnfStyle w:val="100000000000" w:firstRow="1"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 de Ejecución Financiera</w:t>
            </w:r>
          </w:p>
        </w:tc>
      </w:tr>
      <w:tr w:rsidR="5AE381E5" w14:paraId="7CAAABF0"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03E5CCFE" w14:textId="633D6627" w:rsidR="5AE381E5" w:rsidRDefault="5AE381E5" w:rsidP="5AE381E5">
            <w:r w:rsidRPr="5AE381E5">
              <w:rPr>
                <w:rFonts w:ascii="Calibri" w:eastAsia="Calibri" w:hAnsi="Calibri" w:cs="Calibri"/>
                <w:color w:val="000000" w:themeColor="text1"/>
              </w:rPr>
              <w:t xml:space="preserve"> Todo el Departamento</w:t>
            </w:r>
          </w:p>
        </w:tc>
        <w:tc>
          <w:tcPr>
            <w:tcW w:w="1845" w:type="dxa"/>
            <w:tcMar>
              <w:left w:w="108" w:type="dxa"/>
              <w:right w:w="108" w:type="dxa"/>
            </w:tcMar>
          </w:tcPr>
          <w:p w14:paraId="153862D9" w14:textId="0420F4B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b/>
                <w:bCs/>
                <w:color w:val="000000" w:themeColor="text1"/>
              </w:rPr>
              <w:t>Q599,144,272.39</w:t>
            </w:r>
          </w:p>
        </w:tc>
        <w:tc>
          <w:tcPr>
            <w:tcW w:w="1830" w:type="dxa"/>
            <w:tcMar>
              <w:left w:w="108" w:type="dxa"/>
              <w:right w:w="108" w:type="dxa"/>
            </w:tcMar>
          </w:tcPr>
          <w:p w14:paraId="398ABC87" w14:textId="52F961DB"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b/>
                <w:bCs/>
                <w:color w:val="000000" w:themeColor="text1"/>
              </w:rPr>
              <w:t>Q356,360,865.05</w:t>
            </w:r>
          </w:p>
        </w:tc>
        <w:tc>
          <w:tcPr>
            <w:tcW w:w="1125" w:type="dxa"/>
            <w:shd w:val="clear" w:color="auto" w:fill="FFFF00"/>
            <w:tcMar>
              <w:left w:w="108" w:type="dxa"/>
              <w:right w:w="108" w:type="dxa"/>
            </w:tcMar>
            <w:vAlign w:val="bottom"/>
          </w:tcPr>
          <w:p w14:paraId="1FBCB2D5" w14:textId="675ED9D7"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b/>
                <w:bCs/>
                <w:color w:val="000000" w:themeColor="text1"/>
              </w:rPr>
              <w:t>56.86%</w:t>
            </w:r>
          </w:p>
        </w:tc>
        <w:tc>
          <w:tcPr>
            <w:tcW w:w="1245" w:type="dxa"/>
            <w:shd w:val="clear" w:color="auto" w:fill="FFFF00"/>
            <w:tcMar>
              <w:left w:w="108" w:type="dxa"/>
              <w:right w:w="108" w:type="dxa"/>
            </w:tcMar>
            <w:vAlign w:val="bottom"/>
          </w:tcPr>
          <w:p w14:paraId="5EA25465" w14:textId="2CB9710C"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b/>
                <w:bCs/>
                <w:color w:val="000000" w:themeColor="text1"/>
              </w:rPr>
              <w:t>59.48%</w:t>
            </w:r>
          </w:p>
        </w:tc>
      </w:tr>
      <w:tr w:rsidR="5AE381E5" w14:paraId="7D1908D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2F93979E" w14:textId="780DA242"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Pablo Jocopilas</w:t>
            </w:r>
          </w:p>
        </w:tc>
        <w:tc>
          <w:tcPr>
            <w:tcW w:w="1845" w:type="dxa"/>
            <w:tcMar>
              <w:left w:w="108" w:type="dxa"/>
              <w:right w:w="108" w:type="dxa"/>
            </w:tcMar>
          </w:tcPr>
          <w:p w14:paraId="19F8B884" w14:textId="5C3AB081"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Q13,386,550.71</w:t>
            </w:r>
          </w:p>
        </w:tc>
        <w:tc>
          <w:tcPr>
            <w:tcW w:w="1830" w:type="dxa"/>
            <w:tcMar>
              <w:left w:w="108" w:type="dxa"/>
              <w:right w:w="108" w:type="dxa"/>
            </w:tcMar>
          </w:tcPr>
          <w:p w14:paraId="5266CF6A" w14:textId="41392660"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Q10,221,277.96</w:t>
            </w:r>
          </w:p>
        </w:tc>
        <w:tc>
          <w:tcPr>
            <w:tcW w:w="1125" w:type="dxa"/>
            <w:shd w:val="clear" w:color="auto" w:fill="92D050"/>
            <w:tcMar>
              <w:left w:w="108" w:type="dxa"/>
              <w:right w:w="108" w:type="dxa"/>
            </w:tcMar>
            <w:vAlign w:val="bottom"/>
          </w:tcPr>
          <w:p w14:paraId="24A3B172" w14:textId="76425CF6"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92.08%</w:t>
            </w:r>
          </w:p>
        </w:tc>
        <w:tc>
          <w:tcPr>
            <w:tcW w:w="1245" w:type="dxa"/>
            <w:shd w:val="clear" w:color="auto" w:fill="FFFF00"/>
            <w:tcMar>
              <w:left w:w="108" w:type="dxa"/>
              <w:right w:w="108" w:type="dxa"/>
            </w:tcMar>
            <w:vAlign w:val="bottom"/>
          </w:tcPr>
          <w:p w14:paraId="62BF3DE2" w14:textId="4CEAE247"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76.35%</w:t>
            </w:r>
          </w:p>
        </w:tc>
      </w:tr>
      <w:tr w:rsidR="5AE381E5" w14:paraId="65F381C8"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54DB350D" w14:textId="0F74FA4C"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Antonio Suchitepéquez</w:t>
            </w:r>
          </w:p>
        </w:tc>
        <w:tc>
          <w:tcPr>
            <w:tcW w:w="1845" w:type="dxa"/>
            <w:tcMar>
              <w:left w:w="108" w:type="dxa"/>
              <w:right w:w="108" w:type="dxa"/>
            </w:tcMar>
          </w:tcPr>
          <w:p w14:paraId="57B9108F" w14:textId="1B14A498"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Q43,804,092.81</w:t>
            </w:r>
          </w:p>
        </w:tc>
        <w:tc>
          <w:tcPr>
            <w:tcW w:w="1830" w:type="dxa"/>
            <w:tcMar>
              <w:left w:w="108" w:type="dxa"/>
              <w:right w:w="108" w:type="dxa"/>
            </w:tcMar>
          </w:tcPr>
          <w:p w14:paraId="3D00F675" w14:textId="1384CAEC"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Q39,531,471.24</w:t>
            </w:r>
          </w:p>
        </w:tc>
        <w:tc>
          <w:tcPr>
            <w:tcW w:w="1125" w:type="dxa"/>
            <w:shd w:val="clear" w:color="auto" w:fill="FFFF00"/>
            <w:tcMar>
              <w:left w:w="108" w:type="dxa"/>
              <w:right w:w="108" w:type="dxa"/>
            </w:tcMar>
            <w:vAlign w:val="bottom"/>
          </w:tcPr>
          <w:p w14:paraId="2636E924" w14:textId="382123C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89.72%</w:t>
            </w:r>
          </w:p>
        </w:tc>
        <w:tc>
          <w:tcPr>
            <w:tcW w:w="1245" w:type="dxa"/>
            <w:shd w:val="clear" w:color="auto" w:fill="92D050"/>
            <w:tcMar>
              <w:left w:w="108" w:type="dxa"/>
              <w:right w:w="108" w:type="dxa"/>
            </w:tcMar>
            <w:vAlign w:val="bottom"/>
          </w:tcPr>
          <w:p w14:paraId="40F01C01" w14:textId="5EA827EC"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90.25%</w:t>
            </w:r>
          </w:p>
        </w:tc>
      </w:tr>
      <w:tr w:rsidR="5AE381E5" w14:paraId="7E445ECD"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5AF502EB" w14:textId="257D5ABF"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Francisco Zapotitlán</w:t>
            </w:r>
          </w:p>
        </w:tc>
        <w:tc>
          <w:tcPr>
            <w:tcW w:w="1845" w:type="dxa"/>
            <w:tcMar>
              <w:left w:w="108" w:type="dxa"/>
              <w:right w:w="108" w:type="dxa"/>
            </w:tcMar>
          </w:tcPr>
          <w:p w14:paraId="36E6043F" w14:textId="1C520D8D"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Q18,534,519.30</w:t>
            </w:r>
          </w:p>
        </w:tc>
        <w:tc>
          <w:tcPr>
            <w:tcW w:w="1830" w:type="dxa"/>
            <w:tcMar>
              <w:left w:w="108" w:type="dxa"/>
              <w:right w:w="108" w:type="dxa"/>
            </w:tcMar>
          </w:tcPr>
          <w:p w14:paraId="6E736AA8" w14:textId="299E41BD"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Q13,224,676.90</w:t>
            </w:r>
          </w:p>
        </w:tc>
        <w:tc>
          <w:tcPr>
            <w:tcW w:w="1125" w:type="dxa"/>
            <w:shd w:val="clear" w:color="auto" w:fill="FFFF00"/>
            <w:tcMar>
              <w:left w:w="108" w:type="dxa"/>
              <w:right w:w="108" w:type="dxa"/>
            </w:tcMar>
            <w:vAlign w:val="bottom"/>
          </w:tcPr>
          <w:p w14:paraId="4CB8271F" w14:textId="68659AC6"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84.28%</w:t>
            </w:r>
          </w:p>
        </w:tc>
        <w:tc>
          <w:tcPr>
            <w:tcW w:w="1245" w:type="dxa"/>
            <w:shd w:val="clear" w:color="auto" w:fill="FFFF00"/>
            <w:tcMar>
              <w:left w:w="108" w:type="dxa"/>
              <w:right w:w="108" w:type="dxa"/>
            </w:tcMar>
            <w:vAlign w:val="bottom"/>
          </w:tcPr>
          <w:p w14:paraId="51A06C2C" w14:textId="1D9AC486"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71.35%</w:t>
            </w:r>
          </w:p>
        </w:tc>
      </w:tr>
      <w:tr w:rsidR="5AE381E5" w14:paraId="68CAF0E7"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635A8252" w14:textId="016823B5"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Gabriel</w:t>
            </w:r>
          </w:p>
        </w:tc>
        <w:tc>
          <w:tcPr>
            <w:tcW w:w="1845" w:type="dxa"/>
            <w:tcMar>
              <w:left w:w="108" w:type="dxa"/>
              <w:right w:w="108" w:type="dxa"/>
            </w:tcMar>
          </w:tcPr>
          <w:p w14:paraId="3AAF32A2" w14:textId="1EE9CCE7"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Q12,926,500.00</w:t>
            </w:r>
          </w:p>
        </w:tc>
        <w:tc>
          <w:tcPr>
            <w:tcW w:w="1830" w:type="dxa"/>
            <w:tcMar>
              <w:left w:w="108" w:type="dxa"/>
              <w:right w:w="108" w:type="dxa"/>
            </w:tcMar>
          </w:tcPr>
          <w:p w14:paraId="5E21450F" w14:textId="561252E0"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Q8,457,456.72</w:t>
            </w:r>
          </w:p>
        </w:tc>
        <w:tc>
          <w:tcPr>
            <w:tcW w:w="1125" w:type="dxa"/>
            <w:shd w:val="clear" w:color="auto" w:fill="FFFF00"/>
            <w:tcMar>
              <w:left w:w="108" w:type="dxa"/>
              <w:right w:w="108" w:type="dxa"/>
            </w:tcMar>
            <w:vAlign w:val="bottom"/>
          </w:tcPr>
          <w:p w14:paraId="07821BFE" w14:textId="0A63A9DF"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84.10%</w:t>
            </w:r>
          </w:p>
        </w:tc>
        <w:tc>
          <w:tcPr>
            <w:tcW w:w="1245" w:type="dxa"/>
            <w:shd w:val="clear" w:color="auto" w:fill="FFFF00"/>
            <w:tcMar>
              <w:left w:w="108" w:type="dxa"/>
              <w:right w:w="108" w:type="dxa"/>
            </w:tcMar>
            <w:vAlign w:val="bottom"/>
          </w:tcPr>
          <w:p w14:paraId="591930A8" w14:textId="23B3D732"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65.43%</w:t>
            </w:r>
          </w:p>
        </w:tc>
      </w:tr>
      <w:tr w:rsidR="5AE381E5" w14:paraId="36A11F40"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25DF95A3" w14:textId="18A5E9C6"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Chicacao</w:t>
            </w:r>
          </w:p>
        </w:tc>
        <w:tc>
          <w:tcPr>
            <w:tcW w:w="1845" w:type="dxa"/>
            <w:tcMar>
              <w:left w:w="108" w:type="dxa"/>
              <w:right w:w="108" w:type="dxa"/>
            </w:tcMar>
          </w:tcPr>
          <w:p w14:paraId="72425E14" w14:textId="16E90933"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Q49,136,382.90</w:t>
            </w:r>
          </w:p>
        </w:tc>
        <w:tc>
          <w:tcPr>
            <w:tcW w:w="1830" w:type="dxa"/>
            <w:tcMar>
              <w:left w:w="108" w:type="dxa"/>
              <w:right w:w="108" w:type="dxa"/>
            </w:tcMar>
          </w:tcPr>
          <w:p w14:paraId="4B9D2399" w14:textId="228803F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Q31,446,610.03</w:t>
            </w:r>
          </w:p>
        </w:tc>
        <w:tc>
          <w:tcPr>
            <w:tcW w:w="1125" w:type="dxa"/>
            <w:shd w:val="clear" w:color="auto" w:fill="FFFF00"/>
            <w:tcMar>
              <w:left w:w="108" w:type="dxa"/>
              <w:right w:w="108" w:type="dxa"/>
            </w:tcMar>
            <w:vAlign w:val="bottom"/>
          </w:tcPr>
          <w:p w14:paraId="31277B79" w14:textId="280879D9"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83.33%</w:t>
            </w:r>
          </w:p>
        </w:tc>
        <w:tc>
          <w:tcPr>
            <w:tcW w:w="1245" w:type="dxa"/>
            <w:shd w:val="clear" w:color="auto" w:fill="FFFF00"/>
            <w:tcMar>
              <w:left w:w="108" w:type="dxa"/>
              <w:right w:w="108" w:type="dxa"/>
            </w:tcMar>
            <w:vAlign w:val="bottom"/>
          </w:tcPr>
          <w:p w14:paraId="701A12D1" w14:textId="4E45E35B"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64.00%</w:t>
            </w:r>
          </w:p>
        </w:tc>
      </w:tr>
      <w:tr w:rsidR="5AE381E5" w14:paraId="305C1CDD"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63036E34" w14:textId="181D31EF"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Lorenzo</w:t>
            </w:r>
          </w:p>
        </w:tc>
        <w:tc>
          <w:tcPr>
            <w:tcW w:w="1845" w:type="dxa"/>
            <w:tcMar>
              <w:left w:w="108" w:type="dxa"/>
              <w:right w:w="108" w:type="dxa"/>
            </w:tcMar>
          </w:tcPr>
          <w:p w14:paraId="6F7B110C" w14:textId="5ACFFB46"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Q26,653,595.59</w:t>
            </w:r>
          </w:p>
        </w:tc>
        <w:tc>
          <w:tcPr>
            <w:tcW w:w="1830" w:type="dxa"/>
            <w:tcMar>
              <w:left w:w="108" w:type="dxa"/>
              <w:right w:w="108" w:type="dxa"/>
            </w:tcMar>
          </w:tcPr>
          <w:p w14:paraId="7588B3DC" w14:textId="51E2F711"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Q21,843,273.39</w:t>
            </w:r>
          </w:p>
        </w:tc>
        <w:tc>
          <w:tcPr>
            <w:tcW w:w="1125" w:type="dxa"/>
            <w:shd w:val="clear" w:color="auto" w:fill="FFFF00"/>
            <w:tcMar>
              <w:left w:w="108" w:type="dxa"/>
              <w:right w:w="108" w:type="dxa"/>
            </w:tcMar>
            <w:vAlign w:val="bottom"/>
          </w:tcPr>
          <w:p w14:paraId="4C66BADC" w14:textId="5FC4E3FA"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80.96%</w:t>
            </w:r>
          </w:p>
        </w:tc>
        <w:tc>
          <w:tcPr>
            <w:tcW w:w="1245" w:type="dxa"/>
            <w:shd w:val="clear" w:color="auto" w:fill="FFFF00"/>
            <w:tcMar>
              <w:left w:w="108" w:type="dxa"/>
              <w:right w:w="108" w:type="dxa"/>
            </w:tcMar>
            <w:vAlign w:val="bottom"/>
          </w:tcPr>
          <w:p w14:paraId="1BF108E2" w14:textId="0057A70C"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81.95%</w:t>
            </w:r>
          </w:p>
        </w:tc>
      </w:tr>
      <w:tr w:rsidR="5AE381E5" w14:paraId="5292BEA9"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529C64CE" w14:textId="392A83D4"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Bernardino</w:t>
            </w:r>
          </w:p>
        </w:tc>
        <w:tc>
          <w:tcPr>
            <w:tcW w:w="1845" w:type="dxa"/>
            <w:tcMar>
              <w:left w:w="108" w:type="dxa"/>
              <w:right w:w="108" w:type="dxa"/>
            </w:tcMar>
          </w:tcPr>
          <w:p w14:paraId="452DC1D0" w14:textId="1FABA5CE"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Q38,929,157.00</w:t>
            </w:r>
          </w:p>
        </w:tc>
        <w:tc>
          <w:tcPr>
            <w:tcW w:w="1830" w:type="dxa"/>
            <w:tcMar>
              <w:left w:w="108" w:type="dxa"/>
              <w:right w:w="108" w:type="dxa"/>
            </w:tcMar>
          </w:tcPr>
          <w:p w14:paraId="66244B84" w14:textId="1F6DA3A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Q16,624,780.95</w:t>
            </w:r>
          </w:p>
        </w:tc>
        <w:tc>
          <w:tcPr>
            <w:tcW w:w="1125" w:type="dxa"/>
            <w:shd w:val="clear" w:color="auto" w:fill="FFFF00"/>
            <w:tcMar>
              <w:left w:w="108" w:type="dxa"/>
              <w:right w:w="108" w:type="dxa"/>
            </w:tcMar>
            <w:vAlign w:val="bottom"/>
          </w:tcPr>
          <w:p w14:paraId="5A0A61AA" w14:textId="1460AEFF"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80.50%</w:t>
            </w:r>
          </w:p>
        </w:tc>
        <w:tc>
          <w:tcPr>
            <w:tcW w:w="1245" w:type="dxa"/>
            <w:shd w:val="clear" w:color="auto" w:fill="C00000"/>
            <w:tcMar>
              <w:left w:w="108" w:type="dxa"/>
              <w:right w:w="108" w:type="dxa"/>
            </w:tcMar>
            <w:vAlign w:val="bottom"/>
          </w:tcPr>
          <w:p w14:paraId="28EC6CB4" w14:textId="689C8209"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42.71%</w:t>
            </w:r>
          </w:p>
        </w:tc>
      </w:tr>
      <w:tr w:rsidR="5AE381E5" w14:paraId="622DA702"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2B8EB3DD" w14:textId="13BB3A29"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Samayac</w:t>
            </w:r>
          </w:p>
        </w:tc>
        <w:tc>
          <w:tcPr>
            <w:tcW w:w="1845" w:type="dxa"/>
            <w:tcMar>
              <w:left w:w="108" w:type="dxa"/>
              <w:right w:w="108" w:type="dxa"/>
            </w:tcMar>
          </w:tcPr>
          <w:p w14:paraId="7B313F31" w14:textId="28F92B33"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Q25,333,486.23</w:t>
            </w:r>
          </w:p>
        </w:tc>
        <w:tc>
          <w:tcPr>
            <w:tcW w:w="1830" w:type="dxa"/>
            <w:tcMar>
              <w:left w:w="108" w:type="dxa"/>
              <w:right w:w="108" w:type="dxa"/>
            </w:tcMar>
          </w:tcPr>
          <w:p w14:paraId="0864CCA8" w14:textId="58ECB31C"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Q17,715,132.72</w:t>
            </w:r>
          </w:p>
        </w:tc>
        <w:tc>
          <w:tcPr>
            <w:tcW w:w="1125" w:type="dxa"/>
            <w:shd w:val="clear" w:color="auto" w:fill="FFFF00"/>
            <w:tcMar>
              <w:left w:w="108" w:type="dxa"/>
              <w:right w:w="108" w:type="dxa"/>
            </w:tcMar>
            <w:vAlign w:val="bottom"/>
          </w:tcPr>
          <w:p w14:paraId="77BC536D" w14:textId="25FD64E8"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72.64%</w:t>
            </w:r>
          </w:p>
        </w:tc>
        <w:tc>
          <w:tcPr>
            <w:tcW w:w="1245" w:type="dxa"/>
            <w:shd w:val="clear" w:color="auto" w:fill="FFFF00"/>
            <w:tcMar>
              <w:left w:w="108" w:type="dxa"/>
              <w:right w:w="108" w:type="dxa"/>
            </w:tcMar>
            <w:vAlign w:val="bottom"/>
          </w:tcPr>
          <w:p w14:paraId="5D342ED9" w14:textId="77BAEC4B"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69.93%</w:t>
            </w:r>
          </w:p>
        </w:tc>
      </w:tr>
      <w:tr w:rsidR="5AE381E5" w14:paraId="558AC4CA"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443DCF2F" w14:textId="326D4A31"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Juan Bautista</w:t>
            </w:r>
          </w:p>
        </w:tc>
        <w:tc>
          <w:tcPr>
            <w:tcW w:w="1845" w:type="dxa"/>
            <w:tcMar>
              <w:left w:w="108" w:type="dxa"/>
              <w:right w:w="108" w:type="dxa"/>
            </w:tcMar>
          </w:tcPr>
          <w:p w14:paraId="17F6386B" w14:textId="12FA90F1"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Q32,587,660.47</w:t>
            </w:r>
          </w:p>
        </w:tc>
        <w:tc>
          <w:tcPr>
            <w:tcW w:w="1830" w:type="dxa"/>
            <w:tcMar>
              <w:left w:w="108" w:type="dxa"/>
              <w:right w:w="108" w:type="dxa"/>
            </w:tcMar>
          </w:tcPr>
          <w:p w14:paraId="288CF3DC" w14:textId="07ACE47F"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Q13,755,640.21</w:t>
            </w:r>
          </w:p>
        </w:tc>
        <w:tc>
          <w:tcPr>
            <w:tcW w:w="1125" w:type="dxa"/>
            <w:shd w:val="clear" w:color="auto" w:fill="FFFF00"/>
            <w:tcMar>
              <w:left w:w="108" w:type="dxa"/>
              <w:right w:w="108" w:type="dxa"/>
            </w:tcMar>
            <w:vAlign w:val="bottom"/>
          </w:tcPr>
          <w:p w14:paraId="64CEDF25" w14:textId="48F7874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69.16%</w:t>
            </w:r>
          </w:p>
        </w:tc>
        <w:tc>
          <w:tcPr>
            <w:tcW w:w="1245" w:type="dxa"/>
            <w:shd w:val="clear" w:color="auto" w:fill="C00000"/>
            <w:tcMar>
              <w:left w:w="108" w:type="dxa"/>
              <w:right w:w="108" w:type="dxa"/>
            </w:tcMar>
            <w:vAlign w:val="bottom"/>
          </w:tcPr>
          <w:p w14:paraId="2C195BAE" w14:textId="47191BC1"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42.21%</w:t>
            </w:r>
          </w:p>
        </w:tc>
      </w:tr>
      <w:tr w:rsidR="5AE381E5" w14:paraId="42A392EA"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4B7B02D3" w14:textId="27668585"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Mazatenango</w:t>
            </w:r>
          </w:p>
        </w:tc>
        <w:tc>
          <w:tcPr>
            <w:tcW w:w="1845" w:type="dxa"/>
            <w:tcMar>
              <w:left w:w="108" w:type="dxa"/>
              <w:right w:w="108" w:type="dxa"/>
            </w:tcMar>
          </w:tcPr>
          <w:p w14:paraId="7D16D75F" w14:textId="2EB3A14A"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Q85,676,034.06</w:t>
            </w:r>
          </w:p>
        </w:tc>
        <w:tc>
          <w:tcPr>
            <w:tcW w:w="1830" w:type="dxa"/>
            <w:tcMar>
              <w:left w:w="108" w:type="dxa"/>
              <w:right w:w="108" w:type="dxa"/>
            </w:tcMar>
          </w:tcPr>
          <w:p w14:paraId="64EB54B8" w14:textId="79674F2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Q64,031,287.73</w:t>
            </w:r>
          </w:p>
        </w:tc>
        <w:tc>
          <w:tcPr>
            <w:tcW w:w="1125" w:type="dxa"/>
            <w:shd w:val="clear" w:color="auto" w:fill="FFFF00"/>
            <w:tcMar>
              <w:left w:w="108" w:type="dxa"/>
              <w:right w:w="108" w:type="dxa"/>
            </w:tcMar>
            <w:vAlign w:val="bottom"/>
          </w:tcPr>
          <w:p w14:paraId="72035840" w14:textId="526D0205"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64.79%</w:t>
            </w:r>
          </w:p>
        </w:tc>
        <w:tc>
          <w:tcPr>
            <w:tcW w:w="1245" w:type="dxa"/>
            <w:shd w:val="clear" w:color="auto" w:fill="FFFF00"/>
            <w:tcMar>
              <w:left w:w="108" w:type="dxa"/>
              <w:right w:w="108" w:type="dxa"/>
            </w:tcMar>
            <w:vAlign w:val="bottom"/>
          </w:tcPr>
          <w:p w14:paraId="5767CA30" w14:textId="2478D39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74.74%</w:t>
            </w:r>
          </w:p>
        </w:tc>
      </w:tr>
      <w:tr w:rsidR="5AE381E5" w14:paraId="06B70924"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619030AC" w14:textId="724A2A0E"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Zunilito</w:t>
            </w:r>
          </w:p>
        </w:tc>
        <w:tc>
          <w:tcPr>
            <w:tcW w:w="1845" w:type="dxa"/>
            <w:tcMar>
              <w:left w:w="108" w:type="dxa"/>
              <w:right w:w="108" w:type="dxa"/>
            </w:tcMar>
          </w:tcPr>
          <w:p w14:paraId="0F8626FF" w14:textId="5D23CBD4"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Q23,546,948.00</w:t>
            </w:r>
          </w:p>
        </w:tc>
        <w:tc>
          <w:tcPr>
            <w:tcW w:w="1830" w:type="dxa"/>
            <w:tcMar>
              <w:left w:w="108" w:type="dxa"/>
              <w:right w:w="108" w:type="dxa"/>
            </w:tcMar>
          </w:tcPr>
          <w:p w14:paraId="0DB245E8" w14:textId="30A2E540"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Q15,304,007.37</w:t>
            </w:r>
          </w:p>
        </w:tc>
        <w:tc>
          <w:tcPr>
            <w:tcW w:w="1125" w:type="dxa"/>
            <w:shd w:val="clear" w:color="auto" w:fill="FFFF00"/>
            <w:tcMar>
              <w:left w:w="108" w:type="dxa"/>
              <w:right w:w="108" w:type="dxa"/>
            </w:tcMar>
            <w:vAlign w:val="bottom"/>
          </w:tcPr>
          <w:p w14:paraId="66F7BC1B" w14:textId="1166A854"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56.58%</w:t>
            </w:r>
          </w:p>
        </w:tc>
        <w:tc>
          <w:tcPr>
            <w:tcW w:w="1245" w:type="dxa"/>
            <w:shd w:val="clear" w:color="auto" w:fill="FFFF00"/>
            <w:tcMar>
              <w:left w:w="108" w:type="dxa"/>
              <w:right w:w="108" w:type="dxa"/>
            </w:tcMar>
            <w:vAlign w:val="bottom"/>
          </w:tcPr>
          <w:p w14:paraId="356715A4" w14:textId="3CC8DB4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64.99%</w:t>
            </w:r>
          </w:p>
        </w:tc>
      </w:tr>
      <w:tr w:rsidR="5AE381E5" w14:paraId="5FDF9637"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2B59C410" w14:textId="01C10346"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Santo Tomas La Unión</w:t>
            </w:r>
          </w:p>
        </w:tc>
        <w:tc>
          <w:tcPr>
            <w:tcW w:w="1845" w:type="dxa"/>
            <w:tcMar>
              <w:left w:w="108" w:type="dxa"/>
              <w:right w:w="108" w:type="dxa"/>
            </w:tcMar>
          </w:tcPr>
          <w:p w14:paraId="23148C4B" w14:textId="19D10F1C"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Q33,059,937.05</w:t>
            </w:r>
          </w:p>
        </w:tc>
        <w:tc>
          <w:tcPr>
            <w:tcW w:w="1830" w:type="dxa"/>
            <w:tcMar>
              <w:left w:w="108" w:type="dxa"/>
              <w:right w:w="108" w:type="dxa"/>
            </w:tcMar>
          </w:tcPr>
          <w:p w14:paraId="1C779F48" w14:textId="6DB3E63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Q12,962,200.24</w:t>
            </w:r>
          </w:p>
        </w:tc>
        <w:tc>
          <w:tcPr>
            <w:tcW w:w="1125" w:type="dxa"/>
            <w:shd w:val="clear" w:color="auto" w:fill="FFFF00"/>
            <w:tcMar>
              <w:left w:w="108" w:type="dxa"/>
              <w:right w:w="108" w:type="dxa"/>
            </w:tcMar>
            <w:vAlign w:val="bottom"/>
          </w:tcPr>
          <w:p w14:paraId="61A29D39" w14:textId="78974D40"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51.03%</w:t>
            </w:r>
          </w:p>
        </w:tc>
        <w:tc>
          <w:tcPr>
            <w:tcW w:w="1245" w:type="dxa"/>
            <w:shd w:val="clear" w:color="auto" w:fill="C00000"/>
            <w:tcMar>
              <w:left w:w="108" w:type="dxa"/>
              <w:right w:w="108" w:type="dxa"/>
            </w:tcMar>
            <w:vAlign w:val="bottom"/>
          </w:tcPr>
          <w:p w14:paraId="02FF283A" w14:textId="4D86C4F6"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39.21%</w:t>
            </w:r>
          </w:p>
        </w:tc>
      </w:tr>
      <w:tr w:rsidR="5AE381E5" w14:paraId="380FD7C3"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675BDECC" w14:textId="51542C8A"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Patulul</w:t>
            </w:r>
          </w:p>
        </w:tc>
        <w:tc>
          <w:tcPr>
            <w:tcW w:w="1845" w:type="dxa"/>
            <w:tcMar>
              <w:left w:w="108" w:type="dxa"/>
              <w:right w:w="108" w:type="dxa"/>
            </w:tcMar>
          </w:tcPr>
          <w:p w14:paraId="6DC11FE5" w14:textId="5A1E20B8"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Q27,042,219.93</w:t>
            </w:r>
          </w:p>
        </w:tc>
        <w:tc>
          <w:tcPr>
            <w:tcW w:w="1830" w:type="dxa"/>
            <w:tcMar>
              <w:left w:w="108" w:type="dxa"/>
              <w:right w:w="108" w:type="dxa"/>
            </w:tcMar>
          </w:tcPr>
          <w:p w14:paraId="19007802" w14:textId="5D3B01E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Q22,275,377.27</w:t>
            </w:r>
          </w:p>
        </w:tc>
        <w:tc>
          <w:tcPr>
            <w:tcW w:w="1125" w:type="dxa"/>
            <w:shd w:val="clear" w:color="auto" w:fill="C00000"/>
            <w:tcMar>
              <w:left w:w="108" w:type="dxa"/>
              <w:right w:w="108" w:type="dxa"/>
            </w:tcMar>
            <w:vAlign w:val="bottom"/>
          </w:tcPr>
          <w:p w14:paraId="445480FE" w14:textId="384C9A48"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46.59%</w:t>
            </w:r>
          </w:p>
        </w:tc>
        <w:tc>
          <w:tcPr>
            <w:tcW w:w="1245" w:type="dxa"/>
            <w:shd w:val="clear" w:color="auto" w:fill="FFFF00"/>
            <w:tcMar>
              <w:left w:w="108" w:type="dxa"/>
              <w:right w:w="108" w:type="dxa"/>
            </w:tcMar>
            <w:vAlign w:val="bottom"/>
          </w:tcPr>
          <w:p w14:paraId="7E326AC2" w14:textId="554269C3"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82.37%</w:t>
            </w:r>
          </w:p>
        </w:tc>
      </w:tr>
      <w:tr w:rsidR="5AE381E5" w14:paraId="3E4CC7B3"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268D4D78" w14:textId="7D30DB33"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Rio Bravo</w:t>
            </w:r>
          </w:p>
        </w:tc>
        <w:tc>
          <w:tcPr>
            <w:tcW w:w="1845" w:type="dxa"/>
            <w:tcMar>
              <w:left w:w="108" w:type="dxa"/>
              <w:right w:w="108" w:type="dxa"/>
            </w:tcMar>
          </w:tcPr>
          <w:p w14:paraId="4EBE40D5" w14:textId="69DBD58A"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Q38,795,573.09</w:t>
            </w:r>
          </w:p>
        </w:tc>
        <w:tc>
          <w:tcPr>
            <w:tcW w:w="1830" w:type="dxa"/>
            <w:tcMar>
              <w:left w:w="108" w:type="dxa"/>
              <w:right w:w="108" w:type="dxa"/>
            </w:tcMar>
          </w:tcPr>
          <w:p w14:paraId="278C3334" w14:textId="3B916CAB"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Q21,502,405.77</w:t>
            </w:r>
          </w:p>
        </w:tc>
        <w:tc>
          <w:tcPr>
            <w:tcW w:w="1125" w:type="dxa"/>
            <w:shd w:val="clear" w:color="auto" w:fill="C00000"/>
            <w:tcMar>
              <w:left w:w="108" w:type="dxa"/>
              <w:right w:w="108" w:type="dxa"/>
            </w:tcMar>
            <w:vAlign w:val="bottom"/>
          </w:tcPr>
          <w:p w14:paraId="7687AA27" w14:textId="7E8A17C1"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46.53%</w:t>
            </w:r>
          </w:p>
        </w:tc>
        <w:tc>
          <w:tcPr>
            <w:tcW w:w="1245" w:type="dxa"/>
            <w:shd w:val="clear" w:color="auto" w:fill="FFFF00"/>
            <w:tcMar>
              <w:left w:w="108" w:type="dxa"/>
              <w:right w:w="108" w:type="dxa"/>
            </w:tcMar>
            <w:vAlign w:val="bottom"/>
          </w:tcPr>
          <w:p w14:paraId="3C466782" w14:textId="7A156A00"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55.42%</w:t>
            </w:r>
          </w:p>
        </w:tc>
      </w:tr>
      <w:tr w:rsidR="5AE381E5" w14:paraId="45E92D87"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5B63EBFE" w14:textId="6C160552"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Santo Domingo Suchitepéquez</w:t>
            </w:r>
          </w:p>
        </w:tc>
        <w:tc>
          <w:tcPr>
            <w:tcW w:w="1845" w:type="dxa"/>
            <w:tcMar>
              <w:left w:w="108" w:type="dxa"/>
              <w:right w:w="108" w:type="dxa"/>
            </w:tcMar>
          </w:tcPr>
          <w:p w14:paraId="6C81B750" w14:textId="6E59527D"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Q42,776,011.69</w:t>
            </w:r>
          </w:p>
        </w:tc>
        <w:tc>
          <w:tcPr>
            <w:tcW w:w="1830" w:type="dxa"/>
            <w:tcMar>
              <w:left w:w="108" w:type="dxa"/>
              <w:right w:w="108" w:type="dxa"/>
            </w:tcMar>
          </w:tcPr>
          <w:p w14:paraId="230DB298" w14:textId="28A85859"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Q25,083,867.97</w:t>
            </w:r>
          </w:p>
        </w:tc>
        <w:tc>
          <w:tcPr>
            <w:tcW w:w="1125" w:type="dxa"/>
            <w:shd w:val="clear" w:color="auto" w:fill="C00000"/>
            <w:tcMar>
              <w:left w:w="108" w:type="dxa"/>
              <w:right w:w="108" w:type="dxa"/>
            </w:tcMar>
            <w:vAlign w:val="bottom"/>
          </w:tcPr>
          <w:p w14:paraId="000F1FFB" w14:textId="6FA22F51"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42.93%</w:t>
            </w:r>
          </w:p>
        </w:tc>
        <w:tc>
          <w:tcPr>
            <w:tcW w:w="1245" w:type="dxa"/>
            <w:shd w:val="clear" w:color="auto" w:fill="FFFF00"/>
            <w:tcMar>
              <w:left w:w="108" w:type="dxa"/>
              <w:right w:w="108" w:type="dxa"/>
            </w:tcMar>
            <w:vAlign w:val="bottom"/>
          </w:tcPr>
          <w:p w14:paraId="75A39E81" w14:textId="41B8C4BF"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58.64%</w:t>
            </w:r>
          </w:p>
        </w:tc>
      </w:tr>
      <w:tr w:rsidR="5AE381E5" w14:paraId="1BCB24C1"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2B9FF34C" w14:textId="093A55BB"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Pueblo Nuevo</w:t>
            </w:r>
          </w:p>
        </w:tc>
        <w:tc>
          <w:tcPr>
            <w:tcW w:w="1845" w:type="dxa"/>
            <w:tcMar>
              <w:left w:w="108" w:type="dxa"/>
              <w:right w:w="108" w:type="dxa"/>
            </w:tcMar>
          </w:tcPr>
          <w:p w14:paraId="2F1E9E22" w14:textId="5DD3903C"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Q14,990,286.76</w:t>
            </w:r>
          </w:p>
        </w:tc>
        <w:tc>
          <w:tcPr>
            <w:tcW w:w="1830" w:type="dxa"/>
            <w:tcMar>
              <w:left w:w="108" w:type="dxa"/>
              <w:right w:w="108" w:type="dxa"/>
            </w:tcMar>
          </w:tcPr>
          <w:p w14:paraId="5837C9C7" w14:textId="53099645"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Q6,189,344.57</w:t>
            </w:r>
          </w:p>
        </w:tc>
        <w:tc>
          <w:tcPr>
            <w:tcW w:w="1125" w:type="dxa"/>
            <w:shd w:val="clear" w:color="auto" w:fill="C00000"/>
            <w:tcMar>
              <w:left w:w="108" w:type="dxa"/>
              <w:right w:w="108" w:type="dxa"/>
            </w:tcMar>
            <w:vAlign w:val="bottom"/>
          </w:tcPr>
          <w:p w14:paraId="70388ABD" w14:textId="5D21581B"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40.87%</w:t>
            </w:r>
          </w:p>
        </w:tc>
        <w:tc>
          <w:tcPr>
            <w:tcW w:w="1245" w:type="dxa"/>
            <w:shd w:val="clear" w:color="auto" w:fill="C00000"/>
            <w:tcMar>
              <w:left w:w="108" w:type="dxa"/>
              <w:right w:w="108" w:type="dxa"/>
            </w:tcMar>
            <w:vAlign w:val="bottom"/>
          </w:tcPr>
          <w:p w14:paraId="296FFC3C" w14:textId="20F77077"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41.29%</w:t>
            </w:r>
          </w:p>
        </w:tc>
      </w:tr>
      <w:tr w:rsidR="5AE381E5" w14:paraId="40D89B3E"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08665865" w14:textId="1B1C9A02"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Cuyotenango</w:t>
            </w:r>
          </w:p>
        </w:tc>
        <w:tc>
          <w:tcPr>
            <w:tcW w:w="1845" w:type="dxa"/>
            <w:tcMar>
              <w:left w:w="108" w:type="dxa"/>
              <w:right w:w="108" w:type="dxa"/>
            </w:tcMar>
          </w:tcPr>
          <w:p w14:paraId="08E7017D" w14:textId="227DBDA4"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Q22,842,316.80</w:t>
            </w:r>
          </w:p>
        </w:tc>
        <w:tc>
          <w:tcPr>
            <w:tcW w:w="1830" w:type="dxa"/>
            <w:tcMar>
              <w:left w:w="108" w:type="dxa"/>
              <w:right w:w="108" w:type="dxa"/>
            </w:tcMar>
          </w:tcPr>
          <w:p w14:paraId="5458F4CC" w14:textId="4595B525"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Q10,986,461.16</w:t>
            </w:r>
          </w:p>
        </w:tc>
        <w:tc>
          <w:tcPr>
            <w:tcW w:w="1125" w:type="dxa"/>
            <w:shd w:val="clear" w:color="auto" w:fill="C00000"/>
            <w:tcMar>
              <w:left w:w="108" w:type="dxa"/>
              <w:right w:w="108" w:type="dxa"/>
            </w:tcMar>
            <w:vAlign w:val="bottom"/>
          </w:tcPr>
          <w:p w14:paraId="0A641DF5" w14:textId="1643CAA1"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24.67%</w:t>
            </w:r>
          </w:p>
        </w:tc>
        <w:tc>
          <w:tcPr>
            <w:tcW w:w="1245" w:type="dxa"/>
            <w:shd w:val="clear" w:color="auto" w:fill="C00000"/>
            <w:tcMar>
              <w:left w:w="108" w:type="dxa"/>
              <w:right w:w="108" w:type="dxa"/>
            </w:tcMar>
            <w:vAlign w:val="bottom"/>
          </w:tcPr>
          <w:p w14:paraId="40D24A85" w14:textId="78D40C37"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48.10%</w:t>
            </w:r>
          </w:p>
        </w:tc>
      </w:tr>
      <w:tr w:rsidR="5AE381E5" w14:paraId="6D08366C"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232F0A3F" w14:textId="067AED0C"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Miguel Panan</w:t>
            </w:r>
          </w:p>
        </w:tc>
        <w:tc>
          <w:tcPr>
            <w:tcW w:w="1845" w:type="dxa"/>
            <w:tcMar>
              <w:left w:w="108" w:type="dxa"/>
              <w:right w:w="108" w:type="dxa"/>
            </w:tcMar>
          </w:tcPr>
          <w:p w14:paraId="12562A5B" w14:textId="5B359209"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Q15,004,000.00</w:t>
            </w:r>
          </w:p>
        </w:tc>
        <w:tc>
          <w:tcPr>
            <w:tcW w:w="1830" w:type="dxa"/>
            <w:tcMar>
              <w:left w:w="108" w:type="dxa"/>
              <w:right w:w="108" w:type="dxa"/>
            </w:tcMar>
          </w:tcPr>
          <w:p w14:paraId="3BD60834" w14:textId="334AD7BE"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Q5,205,592.85</w:t>
            </w:r>
          </w:p>
        </w:tc>
        <w:tc>
          <w:tcPr>
            <w:tcW w:w="1125" w:type="dxa"/>
            <w:shd w:val="clear" w:color="auto" w:fill="C00000"/>
            <w:tcMar>
              <w:left w:w="108" w:type="dxa"/>
              <w:right w:w="108" w:type="dxa"/>
            </w:tcMar>
            <w:vAlign w:val="bottom"/>
          </w:tcPr>
          <w:p w14:paraId="451B3931" w14:textId="0A9BAEFD"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19.23%</w:t>
            </w:r>
          </w:p>
        </w:tc>
        <w:tc>
          <w:tcPr>
            <w:tcW w:w="1245" w:type="dxa"/>
            <w:shd w:val="clear" w:color="auto" w:fill="C00000"/>
            <w:tcMar>
              <w:left w:w="108" w:type="dxa"/>
              <w:right w:w="108" w:type="dxa"/>
            </w:tcMar>
            <w:vAlign w:val="bottom"/>
          </w:tcPr>
          <w:p w14:paraId="51C47C82" w14:textId="7DDF8432"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34.69%</w:t>
            </w:r>
          </w:p>
        </w:tc>
      </w:tr>
      <w:tr w:rsidR="5AE381E5" w14:paraId="737E0CBD"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73D7C6CD" w14:textId="41ABC64D"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José La Máquina</w:t>
            </w:r>
          </w:p>
        </w:tc>
        <w:tc>
          <w:tcPr>
            <w:tcW w:w="1845" w:type="dxa"/>
            <w:tcMar>
              <w:left w:w="108" w:type="dxa"/>
              <w:right w:w="108" w:type="dxa"/>
            </w:tcMar>
          </w:tcPr>
          <w:p w14:paraId="40017FBA" w14:textId="484A3086"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Q18,000,000.00</w:t>
            </w:r>
          </w:p>
        </w:tc>
        <w:tc>
          <w:tcPr>
            <w:tcW w:w="1830" w:type="dxa"/>
            <w:tcMar>
              <w:left w:w="108" w:type="dxa"/>
              <w:right w:w="108" w:type="dxa"/>
            </w:tcMar>
          </w:tcPr>
          <w:p w14:paraId="4E9EBA8B" w14:textId="1D3E0A89"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Q0.00</w:t>
            </w:r>
          </w:p>
        </w:tc>
        <w:tc>
          <w:tcPr>
            <w:tcW w:w="1125" w:type="dxa"/>
            <w:shd w:val="clear" w:color="auto" w:fill="C00000"/>
            <w:tcMar>
              <w:left w:w="108" w:type="dxa"/>
              <w:right w:w="108" w:type="dxa"/>
            </w:tcMar>
            <w:vAlign w:val="bottom"/>
          </w:tcPr>
          <w:p w14:paraId="25D6CBE3" w14:textId="3291883C"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0.00%</w:t>
            </w:r>
          </w:p>
        </w:tc>
        <w:tc>
          <w:tcPr>
            <w:tcW w:w="1245" w:type="dxa"/>
            <w:shd w:val="clear" w:color="auto" w:fill="C00000"/>
            <w:tcMar>
              <w:left w:w="108" w:type="dxa"/>
              <w:right w:w="108" w:type="dxa"/>
            </w:tcMar>
            <w:vAlign w:val="bottom"/>
          </w:tcPr>
          <w:p w14:paraId="41BFEF4B" w14:textId="158FE0C0"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0.00%</w:t>
            </w:r>
          </w:p>
        </w:tc>
      </w:tr>
      <w:tr w:rsidR="5AE381E5" w14:paraId="70AFBADD"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28FF0882" w14:textId="2B85C7CE"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 José El Ídolo</w:t>
            </w:r>
          </w:p>
        </w:tc>
        <w:tc>
          <w:tcPr>
            <w:tcW w:w="1845" w:type="dxa"/>
            <w:tcMar>
              <w:left w:w="108" w:type="dxa"/>
              <w:right w:w="108" w:type="dxa"/>
            </w:tcMar>
          </w:tcPr>
          <w:p w14:paraId="3D1DAE6A" w14:textId="6D915A88"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Q16,119,000.00</w:t>
            </w:r>
          </w:p>
        </w:tc>
        <w:tc>
          <w:tcPr>
            <w:tcW w:w="1830" w:type="dxa"/>
            <w:tcMar>
              <w:left w:w="108" w:type="dxa"/>
              <w:right w:w="108" w:type="dxa"/>
            </w:tcMar>
          </w:tcPr>
          <w:p w14:paraId="4A91B044" w14:textId="73413DB5"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Q0.00</w:t>
            </w:r>
          </w:p>
        </w:tc>
        <w:tc>
          <w:tcPr>
            <w:tcW w:w="1125" w:type="dxa"/>
            <w:shd w:val="clear" w:color="auto" w:fill="C00000"/>
            <w:tcMar>
              <w:left w:w="108" w:type="dxa"/>
              <w:right w:w="108" w:type="dxa"/>
            </w:tcMar>
            <w:vAlign w:val="bottom"/>
          </w:tcPr>
          <w:p w14:paraId="0D7322AB" w14:textId="4A4E847F"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0.00%</w:t>
            </w:r>
          </w:p>
        </w:tc>
        <w:tc>
          <w:tcPr>
            <w:tcW w:w="1245" w:type="dxa"/>
            <w:shd w:val="clear" w:color="auto" w:fill="C00000"/>
            <w:tcMar>
              <w:left w:w="108" w:type="dxa"/>
              <w:right w:w="108" w:type="dxa"/>
            </w:tcMar>
            <w:vAlign w:val="bottom"/>
          </w:tcPr>
          <w:p w14:paraId="43A6E62A" w14:textId="08CF81F6" w:rsidR="5AE381E5" w:rsidRDefault="5AE381E5" w:rsidP="5AE381E5">
            <w:pPr>
              <w:jc w:val="right"/>
              <w:cnfStyle w:val="000000100000" w:firstRow="0" w:lastRow="0" w:firstColumn="0" w:lastColumn="0" w:oddVBand="0" w:evenVBand="0" w:oddHBand="1" w:evenHBand="0" w:firstRowFirstColumn="0" w:firstRowLastColumn="0" w:lastRowFirstColumn="0" w:lastRowLastColumn="0"/>
            </w:pPr>
            <w:r w:rsidRPr="5AE381E5">
              <w:rPr>
                <w:rFonts w:ascii="Calibri" w:eastAsia="Calibri" w:hAnsi="Calibri" w:cs="Calibri"/>
                <w:color w:val="000000" w:themeColor="text1"/>
              </w:rPr>
              <w:t>0.00%</w:t>
            </w:r>
          </w:p>
        </w:tc>
      </w:tr>
      <w:tr w:rsidR="5AE381E5" w14:paraId="7D815DFC"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330" w:type="dxa"/>
            <w:tcMar>
              <w:left w:w="108" w:type="dxa"/>
              <w:right w:w="108" w:type="dxa"/>
            </w:tcMar>
          </w:tcPr>
          <w:p w14:paraId="5FD391FD" w14:textId="776CDD2E" w:rsidR="5AE381E5" w:rsidRDefault="5AE381E5" w:rsidP="5AE381E5">
            <w:pPr>
              <w:rPr>
                <w:rFonts w:ascii="Calibri" w:eastAsia="Calibri" w:hAnsi="Calibri" w:cs="Calibri"/>
                <w:b w:val="0"/>
                <w:bCs w:val="0"/>
                <w:color w:val="000000" w:themeColor="text1"/>
              </w:rPr>
            </w:pPr>
            <w:r w:rsidRPr="5AE381E5">
              <w:rPr>
                <w:rFonts w:ascii="Calibri" w:eastAsia="Calibri" w:hAnsi="Calibri" w:cs="Calibri"/>
                <w:b w:val="0"/>
                <w:bCs w:val="0"/>
                <w:color w:val="000000" w:themeColor="text1"/>
              </w:rPr>
              <w:t>Santa Bárbara</w:t>
            </w:r>
          </w:p>
        </w:tc>
        <w:tc>
          <w:tcPr>
            <w:tcW w:w="1845" w:type="dxa"/>
            <w:tcMar>
              <w:left w:w="108" w:type="dxa"/>
              <w:right w:w="108" w:type="dxa"/>
            </w:tcMar>
          </w:tcPr>
          <w:p w14:paraId="60A0F34A" w14:textId="5B93DCBA"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Q0.00</w:t>
            </w:r>
          </w:p>
        </w:tc>
        <w:tc>
          <w:tcPr>
            <w:tcW w:w="1830" w:type="dxa"/>
            <w:tcMar>
              <w:left w:w="108" w:type="dxa"/>
              <w:right w:w="108" w:type="dxa"/>
            </w:tcMar>
          </w:tcPr>
          <w:p w14:paraId="26992B14" w14:textId="068D281E"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Q0.00</w:t>
            </w:r>
          </w:p>
        </w:tc>
        <w:tc>
          <w:tcPr>
            <w:tcW w:w="1125" w:type="dxa"/>
            <w:shd w:val="clear" w:color="auto" w:fill="C00000"/>
            <w:tcMar>
              <w:left w:w="108" w:type="dxa"/>
              <w:right w:w="108" w:type="dxa"/>
            </w:tcMar>
            <w:vAlign w:val="bottom"/>
          </w:tcPr>
          <w:p w14:paraId="31D9D770" w14:textId="06DF547E"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0.00%</w:t>
            </w:r>
          </w:p>
        </w:tc>
        <w:tc>
          <w:tcPr>
            <w:tcW w:w="1245" w:type="dxa"/>
            <w:shd w:val="clear" w:color="auto" w:fill="C00000"/>
            <w:tcMar>
              <w:left w:w="108" w:type="dxa"/>
              <w:right w:w="108" w:type="dxa"/>
            </w:tcMar>
            <w:vAlign w:val="bottom"/>
          </w:tcPr>
          <w:p w14:paraId="404313E5" w14:textId="37FAC0D8" w:rsidR="5AE381E5" w:rsidRDefault="5AE381E5" w:rsidP="5AE381E5">
            <w:pPr>
              <w:jc w:val="right"/>
              <w:cnfStyle w:val="000000000000" w:firstRow="0" w:lastRow="0" w:firstColumn="0" w:lastColumn="0" w:oddVBand="0" w:evenVBand="0" w:oddHBand="0" w:evenHBand="0" w:firstRowFirstColumn="0" w:firstRowLastColumn="0" w:lastRowFirstColumn="0" w:lastRowLastColumn="0"/>
            </w:pPr>
            <w:r w:rsidRPr="5AE381E5">
              <w:rPr>
                <w:rFonts w:ascii="Calibri" w:eastAsia="Calibri" w:hAnsi="Calibri" w:cs="Calibri"/>
                <w:color w:val="000000" w:themeColor="text1"/>
              </w:rPr>
              <w:t>0.00%</w:t>
            </w:r>
          </w:p>
        </w:tc>
      </w:tr>
    </w:tbl>
    <w:p w14:paraId="358035D7" w14:textId="523EFA66" w:rsidR="00693BD9" w:rsidRPr="00401936" w:rsidRDefault="5AE381E5" w:rsidP="002F4FE3">
      <w:pPr>
        <w:autoSpaceDE w:val="0"/>
        <w:autoSpaceDN w:val="0"/>
        <w:adjustRightInd w:val="0"/>
        <w:spacing w:after="120" w:line="240" w:lineRule="auto"/>
        <w:jc w:val="both"/>
        <w:rPr>
          <w:rFonts w:ascii="Helvetica" w:eastAsia="Times New Roman" w:hAnsi="Helvetica" w:cs="Helvetica"/>
          <w:sz w:val="18"/>
          <w:szCs w:val="18"/>
          <w:lang w:val="es-ES"/>
        </w:rPr>
      </w:pPr>
      <w:r w:rsidRPr="5AE381E5">
        <w:rPr>
          <w:rFonts w:eastAsiaTheme="minorEastAsia"/>
          <w:sz w:val="18"/>
          <w:szCs w:val="18"/>
          <w:lang w:val="es-ES"/>
        </w:rPr>
        <w:t>Fuente: Siplangl, III informe cuatrimestral y acumulado. Año 2022.</w:t>
      </w:r>
    </w:p>
    <w:p w14:paraId="5EAA420B" w14:textId="4A4AEAE5" w:rsidR="00693BD9" w:rsidRPr="002F4FE3" w:rsidRDefault="6B4CB047" w:rsidP="002F4FE3">
      <w:pPr>
        <w:autoSpaceDE w:val="0"/>
        <w:autoSpaceDN w:val="0"/>
        <w:adjustRightInd w:val="0"/>
        <w:spacing w:after="120" w:line="240" w:lineRule="auto"/>
        <w:jc w:val="both"/>
        <w:rPr>
          <w:rFonts w:eastAsia="Times New Roman" w:cstheme="minorHAnsi"/>
          <w:b/>
          <w:color w:val="002060"/>
          <w:sz w:val="28"/>
          <w:szCs w:val="28"/>
          <w:lang w:val="es-ES"/>
        </w:rPr>
      </w:pPr>
      <w:r w:rsidRPr="002F4FE3">
        <w:rPr>
          <w:rFonts w:eastAsia="Times New Roman" w:cstheme="minorHAnsi"/>
          <w:b/>
          <w:bCs/>
          <w:color w:val="002060"/>
          <w:sz w:val="28"/>
          <w:szCs w:val="28"/>
          <w:lang w:val="es-ES"/>
        </w:rPr>
        <w:t>Santa Rosa</w:t>
      </w:r>
    </w:p>
    <w:p w14:paraId="1A3A8F2C" w14:textId="61A2FD4F" w:rsidR="6B4CB047" w:rsidRDefault="002F4FE3" w:rsidP="002F4FE3">
      <w:pPr>
        <w:autoSpaceDE w:val="0"/>
        <w:autoSpaceDN w:val="0"/>
        <w:adjustRightInd w:val="0"/>
        <w:spacing w:after="120" w:line="240" w:lineRule="auto"/>
        <w:jc w:val="both"/>
      </w:pPr>
      <w:r w:rsidRPr="00576430">
        <w:rPr>
          <w:noProof/>
          <w:sz w:val="24"/>
        </w:rPr>
        <w:drawing>
          <wp:anchor distT="0" distB="0" distL="114300" distR="114300" simplePos="0" relativeHeight="251719168" behindDoc="1" locked="0" layoutInCell="1" allowOverlap="1" wp14:anchorId="14A9C1AE" wp14:editId="0ACA65B6">
            <wp:simplePos x="0" y="0"/>
            <wp:positionH relativeFrom="column">
              <wp:posOffset>4394200</wp:posOffset>
            </wp:positionH>
            <wp:positionV relativeFrom="paragraph">
              <wp:posOffset>50165</wp:posOffset>
            </wp:positionV>
            <wp:extent cx="1504800" cy="1020032"/>
            <wp:effectExtent l="19050" t="19050" r="19685" b="27940"/>
            <wp:wrapTight wrapText="bothSides">
              <wp:wrapPolygon edited="0">
                <wp:start x="-274" y="-403"/>
                <wp:lineTo x="-274" y="21788"/>
                <wp:lineTo x="21609" y="21788"/>
                <wp:lineTo x="21609" y="-403"/>
                <wp:lineTo x="-274" y="-403"/>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504800" cy="10200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6B4CB047" w:rsidRPr="6B4CB047">
        <w:rPr>
          <w:rFonts w:ascii="Calibri" w:eastAsia="Calibri" w:hAnsi="Calibri" w:cs="Calibri"/>
          <w:color w:val="000000" w:themeColor="text1"/>
          <w:sz w:val="24"/>
          <w:szCs w:val="24"/>
          <w:lang w:val="es"/>
        </w:rPr>
        <w:t>Al finalizar el año 2022, el departamento reportó un promedio de avance del 68.63%. Los municipios que mayor ejecución reportaron son: Guazacapán con 89.78%, Pueblo Nuevo Viñas con 86.83% y Casillas con 86.49%.</w:t>
      </w:r>
      <w:r w:rsidR="6B4CB047" w:rsidRPr="6B4CB047">
        <w:rPr>
          <w:rFonts w:ascii="Calibri" w:eastAsia="Calibri" w:hAnsi="Calibri" w:cs="Calibri"/>
          <w:sz w:val="24"/>
          <w:szCs w:val="24"/>
          <w:lang w:val="es"/>
        </w:rPr>
        <w:t xml:space="preserve"> </w:t>
      </w:r>
    </w:p>
    <w:p w14:paraId="21AE07A9" w14:textId="03F7FE2A" w:rsidR="6B4CB047" w:rsidRDefault="6B4CB047" w:rsidP="002F4FE3">
      <w:pPr>
        <w:autoSpaceDE w:val="0"/>
        <w:autoSpaceDN w:val="0"/>
        <w:adjustRightInd w:val="0"/>
        <w:spacing w:after="120" w:line="240" w:lineRule="auto"/>
        <w:jc w:val="both"/>
      </w:pPr>
      <w:r w:rsidRPr="6B4CB047">
        <w:rPr>
          <w:rFonts w:ascii="Calibri" w:eastAsia="Calibri" w:hAnsi="Calibri" w:cs="Calibri"/>
          <w:color w:val="000000" w:themeColor="text1"/>
          <w:sz w:val="24"/>
          <w:szCs w:val="24"/>
          <w:lang w:val="es"/>
        </w:rPr>
        <w:t>En relación al avance financiero, el departamento reportó al finalizar el año 2022 un avance de 71.88%. En esta ocasión, hubo dos municipios que reportaron más del 90% de avance, siendo éstos: Oratorio con 93.78% y Guazacapán con 93.37%, seguidos de Casillas con 89.17%.</w:t>
      </w:r>
    </w:p>
    <w:p w14:paraId="6F60D576" w14:textId="2743CBAF" w:rsidR="009F235F" w:rsidRDefault="6B4CB047" w:rsidP="009D6FE0">
      <w:pPr>
        <w:autoSpaceDE w:val="0"/>
        <w:autoSpaceDN w:val="0"/>
        <w:adjustRightInd w:val="0"/>
        <w:spacing w:after="120" w:line="240" w:lineRule="auto"/>
        <w:jc w:val="both"/>
        <w:rPr>
          <w:rFonts w:ascii="Helvetica" w:eastAsia="Times New Roman" w:hAnsi="Helvetica" w:cs="Helvetica"/>
          <w:sz w:val="24"/>
          <w:szCs w:val="24"/>
          <w:lang w:val="es-ES"/>
        </w:rPr>
      </w:pPr>
      <w:r w:rsidRPr="6B4CB047">
        <w:rPr>
          <w:rFonts w:ascii="Calibri" w:eastAsia="Calibri" w:hAnsi="Calibri" w:cs="Calibri"/>
          <w:color w:val="000000" w:themeColor="text1"/>
          <w:sz w:val="24"/>
          <w:szCs w:val="24"/>
          <w:lang w:val="es"/>
        </w:rPr>
        <w:t>Cuilapa, durante el año 2022, no utilizó Siplangl.</w:t>
      </w:r>
    </w:p>
    <w:p w14:paraId="7E027411" w14:textId="1A71A064" w:rsidR="00693BD9" w:rsidRPr="009D6FE0" w:rsidRDefault="75375A8C" w:rsidP="00016865">
      <w:pPr>
        <w:pStyle w:val="ttulosgrficas"/>
        <w:rPr>
          <w:rFonts w:asciiTheme="minorHAnsi" w:eastAsia="Times New Roman" w:hAnsiTheme="minorHAnsi" w:cstheme="minorHAnsi"/>
          <w:color w:val="4472C4" w:themeColor="accent1"/>
          <w:lang w:val="es-ES"/>
        </w:rPr>
      </w:pPr>
      <w:bookmarkStart w:id="79" w:name="_Toc130199624"/>
      <w:r w:rsidRPr="009D6FE0">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36</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9D6FE0">
        <w:rPr>
          <w:rFonts w:asciiTheme="minorHAnsi" w:eastAsia="Times New Roman" w:hAnsiTheme="minorHAnsi" w:cstheme="minorHAnsi"/>
          <w:color w:val="4472C4" w:themeColor="accent1"/>
          <w:lang w:val="es-ES"/>
        </w:rPr>
        <w:t xml:space="preserve"> Ejecución Física y Financiera, departamento de Santa Rosa</w:t>
      </w:r>
      <w:bookmarkEnd w:id="79"/>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285"/>
        <w:gridCol w:w="1845"/>
        <w:gridCol w:w="1860"/>
        <w:gridCol w:w="1110"/>
        <w:gridCol w:w="1260"/>
      </w:tblGrid>
      <w:tr w:rsidR="75375A8C" w14:paraId="1F5E3D0C" w14:textId="77777777" w:rsidTr="002F4FE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285" w:type="dxa"/>
            <w:tcBorders>
              <w:top w:val="none" w:sz="0" w:space="0" w:color="auto"/>
              <w:left w:val="none" w:sz="0" w:space="0" w:color="auto"/>
              <w:bottom w:val="none" w:sz="0" w:space="0" w:color="auto"/>
            </w:tcBorders>
            <w:tcMar>
              <w:left w:w="108" w:type="dxa"/>
              <w:right w:w="108" w:type="dxa"/>
            </w:tcMar>
            <w:vAlign w:val="center"/>
          </w:tcPr>
          <w:p w14:paraId="0F4A9103" w14:textId="51C07D5E" w:rsidR="75375A8C" w:rsidRDefault="75375A8C" w:rsidP="75375A8C">
            <w:pPr>
              <w:jc w:val="center"/>
            </w:pPr>
            <w:r w:rsidRPr="75375A8C">
              <w:rPr>
                <w:rFonts w:ascii="Calibri" w:eastAsia="Calibri" w:hAnsi="Calibri" w:cs="Calibri"/>
                <w:color w:val="000000" w:themeColor="text1"/>
              </w:rPr>
              <w:t>Municipio</w:t>
            </w:r>
          </w:p>
        </w:tc>
        <w:tc>
          <w:tcPr>
            <w:tcW w:w="1845" w:type="dxa"/>
            <w:tcBorders>
              <w:top w:val="none" w:sz="0" w:space="0" w:color="auto"/>
              <w:bottom w:val="none" w:sz="0" w:space="0" w:color="auto"/>
            </w:tcBorders>
            <w:tcMar>
              <w:left w:w="108" w:type="dxa"/>
              <w:right w:w="108" w:type="dxa"/>
            </w:tcMar>
            <w:vAlign w:val="center"/>
          </w:tcPr>
          <w:p w14:paraId="117EAB8A" w14:textId="662EEC79" w:rsidR="75375A8C" w:rsidRDefault="75375A8C" w:rsidP="75375A8C">
            <w:pPr>
              <w:jc w:val="center"/>
              <w:cnfStyle w:val="100000000000" w:firstRow="1"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Meta Financiera Anual Vigente</w:t>
            </w:r>
          </w:p>
        </w:tc>
        <w:tc>
          <w:tcPr>
            <w:tcW w:w="1860" w:type="dxa"/>
            <w:tcBorders>
              <w:top w:val="none" w:sz="0" w:space="0" w:color="auto"/>
              <w:bottom w:val="none" w:sz="0" w:space="0" w:color="auto"/>
            </w:tcBorders>
            <w:tcMar>
              <w:left w:w="108" w:type="dxa"/>
              <w:right w:w="108" w:type="dxa"/>
            </w:tcMar>
            <w:vAlign w:val="center"/>
          </w:tcPr>
          <w:p w14:paraId="3F067885" w14:textId="60CDE979" w:rsidR="75375A8C" w:rsidRDefault="75375A8C" w:rsidP="75375A8C">
            <w:pPr>
              <w:jc w:val="center"/>
              <w:cnfStyle w:val="100000000000" w:firstRow="1"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Ejecución Financiera Acumulada</w:t>
            </w:r>
          </w:p>
        </w:tc>
        <w:tc>
          <w:tcPr>
            <w:tcW w:w="1110" w:type="dxa"/>
            <w:tcBorders>
              <w:top w:val="none" w:sz="0" w:space="0" w:color="auto"/>
              <w:bottom w:val="none" w:sz="0" w:space="0" w:color="auto"/>
            </w:tcBorders>
            <w:tcMar>
              <w:left w:w="108" w:type="dxa"/>
              <w:right w:w="108" w:type="dxa"/>
            </w:tcMar>
            <w:vAlign w:val="center"/>
          </w:tcPr>
          <w:p w14:paraId="301CF036" w14:textId="5F96BEEA" w:rsidR="75375A8C" w:rsidRDefault="75375A8C" w:rsidP="75375A8C">
            <w:pPr>
              <w:jc w:val="center"/>
              <w:cnfStyle w:val="100000000000" w:firstRow="1"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 de Ejecución Física</w:t>
            </w:r>
          </w:p>
        </w:tc>
        <w:tc>
          <w:tcPr>
            <w:tcW w:w="1260" w:type="dxa"/>
            <w:tcBorders>
              <w:top w:val="none" w:sz="0" w:space="0" w:color="auto"/>
              <w:bottom w:val="none" w:sz="0" w:space="0" w:color="auto"/>
              <w:right w:val="none" w:sz="0" w:space="0" w:color="auto"/>
            </w:tcBorders>
            <w:tcMar>
              <w:left w:w="108" w:type="dxa"/>
              <w:right w:w="108" w:type="dxa"/>
            </w:tcMar>
            <w:vAlign w:val="center"/>
          </w:tcPr>
          <w:p w14:paraId="30508CE9" w14:textId="0545F5A5" w:rsidR="75375A8C" w:rsidRDefault="75375A8C" w:rsidP="75375A8C">
            <w:pPr>
              <w:jc w:val="center"/>
              <w:cnfStyle w:val="100000000000" w:firstRow="1"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 de Ejecución Financiera</w:t>
            </w:r>
          </w:p>
        </w:tc>
      </w:tr>
      <w:tr w:rsidR="75375A8C" w14:paraId="42E3A3EA"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4753A499" w14:textId="6EDE08CD" w:rsidR="75375A8C" w:rsidRDefault="75375A8C" w:rsidP="75375A8C">
            <w:r w:rsidRPr="75375A8C">
              <w:rPr>
                <w:rFonts w:ascii="Calibri" w:eastAsia="Calibri" w:hAnsi="Calibri" w:cs="Calibri"/>
                <w:color w:val="000000" w:themeColor="text1"/>
              </w:rPr>
              <w:t xml:space="preserve"> Todo el Departamento</w:t>
            </w:r>
          </w:p>
        </w:tc>
        <w:tc>
          <w:tcPr>
            <w:tcW w:w="1845" w:type="dxa"/>
            <w:tcMar>
              <w:left w:w="108" w:type="dxa"/>
              <w:right w:w="108" w:type="dxa"/>
            </w:tcMar>
          </w:tcPr>
          <w:p w14:paraId="591FD508" w14:textId="54768E89"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b/>
                <w:bCs/>
                <w:color w:val="000000" w:themeColor="text1"/>
              </w:rPr>
              <w:t>Q360,720,697.79</w:t>
            </w:r>
          </w:p>
        </w:tc>
        <w:tc>
          <w:tcPr>
            <w:tcW w:w="1860" w:type="dxa"/>
            <w:tcMar>
              <w:left w:w="108" w:type="dxa"/>
              <w:right w:w="108" w:type="dxa"/>
            </w:tcMar>
          </w:tcPr>
          <w:p w14:paraId="2E658C8D" w14:textId="7D4E3A55"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b/>
                <w:bCs/>
                <w:color w:val="000000" w:themeColor="text1"/>
              </w:rPr>
              <w:t>Q259,286,062.98</w:t>
            </w:r>
          </w:p>
        </w:tc>
        <w:tc>
          <w:tcPr>
            <w:tcW w:w="1110" w:type="dxa"/>
            <w:shd w:val="clear" w:color="auto" w:fill="FFFF00"/>
            <w:tcMar>
              <w:left w:w="108" w:type="dxa"/>
              <w:right w:w="108" w:type="dxa"/>
            </w:tcMar>
            <w:vAlign w:val="bottom"/>
          </w:tcPr>
          <w:p w14:paraId="191DE42D" w14:textId="4AFB96B4"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b/>
                <w:bCs/>
                <w:color w:val="000000" w:themeColor="text1"/>
              </w:rPr>
              <w:t>68.63%</w:t>
            </w:r>
          </w:p>
        </w:tc>
        <w:tc>
          <w:tcPr>
            <w:tcW w:w="1260" w:type="dxa"/>
            <w:shd w:val="clear" w:color="auto" w:fill="FFFF00"/>
            <w:tcMar>
              <w:left w:w="108" w:type="dxa"/>
              <w:right w:w="108" w:type="dxa"/>
            </w:tcMar>
            <w:vAlign w:val="bottom"/>
          </w:tcPr>
          <w:p w14:paraId="7DD06506" w14:textId="0EB383B4"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b/>
                <w:bCs/>
                <w:color w:val="000000" w:themeColor="text1"/>
              </w:rPr>
              <w:t>71.88%</w:t>
            </w:r>
          </w:p>
        </w:tc>
      </w:tr>
      <w:tr w:rsidR="75375A8C" w14:paraId="284C89EC"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56B0E445" w14:textId="75134F60"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Guazacapán</w:t>
            </w:r>
          </w:p>
        </w:tc>
        <w:tc>
          <w:tcPr>
            <w:tcW w:w="1845" w:type="dxa"/>
            <w:tcMar>
              <w:left w:w="108" w:type="dxa"/>
              <w:right w:w="108" w:type="dxa"/>
            </w:tcMar>
          </w:tcPr>
          <w:p w14:paraId="02F80BD2" w14:textId="2D58BDE9"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Q25,731,508.25</w:t>
            </w:r>
          </w:p>
        </w:tc>
        <w:tc>
          <w:tcPr>
            <w:tcW w:w="1860" w:type="dxa"/>
            <w:tcMar>
              <w:left w:w="108" w:type="dxa"/>
              <w:right w:w="108" w:type="dxa"/>
            </w:tcMar>
          </w:tcPr>
          <w:p w14:paraId="1D4A452C" w14:textId="1CE5FBC5"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Q24,024,780.75</w:t>
            </w:r>
          </w:p>
        </w:tc>
        <w:tc>
          <w:tcPr>
            <w:tcW w:w="1110" w:type="dxa"/>
            <w:shd w:val="clear" w:color="auto" w:fill="FFFF00"/>
            <w:tcMar>
              <w:left w:w="108" w:type="dxa"/>
              <w:right w:w="108" w:type="dxa"/>
            </w:tcMar>
            <w:vAlign w:val="bottom"/>
          </w:tcPr>
          <w:p w14:paraId="70C74C09" w14:textId="00C8FC7A"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89.78%</w:t>
            </w:r>
          </w:p>
        </w:tc>
        <w:tc>
          <w:tcPr>
            <w:tcW w:w="1260" w:type="dxa"/>
            <w:shd w:val="clear" w:color="auto" w:fill="92D050"/>
            <w:tcMar>
              <w:left w:w="108" w:type="dxa"/>
              <w:right w:w="108" w:type="dxa"/>
            </w:tcMar>
            <w:vAlign w:val="bottom"/>
          </w:tcPr>
          <w:p w14:paraId="23601AB4" w14:textId="25166E8D"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93.37%</w:t>
            </w:r>
          </w:p>
        </w:tc>
      </w:tr>
      <w:tr w:rsidR="75375A8C" w14:paraId="641B791D"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6579A444" w14:textId="7F2AAE71"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Pueblo Nuevo Viñas</w:t>
            </w:r>
          </w:p>
        </w:tc>
        <w:tc>
          <w:tcPr>
            <w:tcW w:w="1845" w:type="dxa"/>
            <w:tcMar>
              <w:left w:w="108" w:type="dxa"/>
              <w:right w:w="108" w:type="dxa"/>
            </w:tcMar>
          </w:tcPr>
          <w:p w14:paraId="2068F453" w14:textId="6C6C627D"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Q23,520,228.74</w:t>
            </w:r>
          </w:p>
        </w:tc>
        <w:tc>
          <w:tcPr>
            <w:tcW w:w="1860" w:type="dxa"/>
            <w:tcMar>
              <w:left w:w="108" w:type="dxa"/>
              <w:right w:w="108" w:type="dxa"/>
            </w:tcMar>
          </w:tcPr>
          <w:p w14:paraId="0D65E683" w14:textId="6F3E7707"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Q13,430,107.86</w:t>
            </w:r>
          </w:p>
        </w:tc>
        <w:tc>
          <w:tcPr>
            <w:tcW w:w="1110" w:type="dxa"/>
            <w:shd w:val="clear" w:color="auto" w:fill="FFFF00"/>
            <w:tcMar>
              <w:left w:w="108" w:type="dxa"/>
              <w:right w:w="108" w:type="dxa"/>
            </w:tcMar>
            <w:vAlign w:val="bottom"/>
          </w:tcPr>
          <w:p w14:paraId="4A1D5E58" w14:textId="4502E496"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86.83%</w:t>
            </w:r>
          </w:p>
        </w:tc>
        <w:tc>
          <w:tcPr>
            <w:tcW w:w="1260" w:type="dxa"/>
            <w:shd w:val="clear" w:color="auto" w:fill="FFFF00"/>
            <w:tcMar>
              <w:left w:w="108" w:type="dxa"/>
              <w:right w:w="108" w:type="dxa"/>
            </w:tcMar>
            <w:vAlign w:val="bottom"/>
          </w:tcPr>
          <w:p w14:paraId="74ECEA32" w14:textId="69875742"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57.10%</w:t>
            </w:r>
          </w:p>
        </w:tc>
      </w:tr>
      <w:tr w:rsidR="75375A8C" w14:paraId="71C4177B"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6F21AFA2" w14:textId="5EF4A19D"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Casillas</w:t>
            </w:r>
          </w:p>
        </w:tc>
        <w:tc>
          <w:tcPr>
            <w:tcW w:w="1845" w:type="dxa"/>
            <w:tcMar>
              <w:left w:w="108" w:type="dxa"/>
              <w:right w:w="108" w:type="dxa"/>
            </w:tcMar>
          </w:tcPr>
          <w:p w14:paraId="1EC7837F" w14:textId="270B0076"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Q29,905,737.91</w:t>
            </w:r>
          </w:p>
        </w:tc>
        <w:tc>
          <w:tcPr>
            <w:tcW w:w="1860" w:type="dxa"/>
            <w:tcMar>
              <w:left w:w="108" w:type="dxa"/>
              <w:right w:w="108" w:type="dxa"/>
            </w:tcMar>
          </w:tcPr>
          <w:p w14:paraId="0D44734D" w14:textId="044CCC8F"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Q26,665,463.51</w:t>
            </w:r>
          </w:p>
        </w:tc>
        <w:tc>
          <w:tcPr>
            <w:tcW w:w="1110" w:type="dxa"/>
            <w:shd w:val="clear" w:color="auto" w:fill="FFFF00"/>
            <w:tcMar>
              <w:left w:w="108" w:type="dxa"/>
              <w:right w:w="108" w:type="dxa"/>
            </w:tcMar>
            <w:vAlign w:val="bottom"/>
          </w:tcPr>
          <w:p w14:paraId="13A44F74" w14:textId="6CE726A9"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86.49%</w:t>
            </w:r>
          </w:p>
        </w:tc>
        <w:tc>
          <w:tcPr>
            <w:tcW w:w="1260" w:type="dxa"/>
            <w:shd w:val="clear" w:color="auto" w:fill="FFFF00"/>
            <w:tcMar>
              <w:left w:w="108" w:type="dxa"/>
              <w:right w:w="108" w:type="dxa"/>
            </w:tcMar>
            <w:vAlign w:val="bottom"/>
          </w:tcPr>
          <w:p w14:paraId="6841099C" w14:textId="2A725198"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89.17%</w:t>
            </w:r>
          </w:p>
        </w:tc>
      </w:tr>
      <w:tr w:rsidR="75375A8C" w14:paraId="662D64E8"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5250D738" w14:textId="36E031E4"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Taxisco</w:t>
            </w:r>
          </w:p>
        </w:tc>
        <w:tc>
          <w:tcPr>
            <w:tcW w:w="1845" w:type="dxa"/>
            <w:tcMar>
              <w:left w:w="108" w:type="dxa"/>
              <w:right w:w="108" w:type="dxa"/>
            </w:tcMar>
          </w:tcPr>
          <w:p w14:paraId="3AAB6961" w14:textId="2566BA5B"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Q24,009,460.17</w:t>
            </w:r>
          </w:p>
        </w:tc>
        <w:tc>
          <w:tcPr>
            <w:tcW w:w="1860" w:type="dxa"/>
            <w:tcMar>
              <w:left w:w="108" w:type="dxa"/>
              <w:right w:w="108" w:type="dxa"/>
            </w:tcMar>
          </w:tcPr>
          <w:p w14:paraId="29376615" w14:textId="40400623"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Q20,824,932.32</w:t>
            </w:r>
          </w:p>
        </w:tc>
        <w:tc>
          <w:tcPr>
            <w:tcW w:w="1110" w:type="dxa"/>
            <w:shd w:val="clear" w:color="auto" w:fill="FFFF00"/>
            <w:tcMar>
              <w:left w:w="108" w:type="dxa"/>
              <w:right w:w="108" w:type="dxa"/>
            </w:tcMar>
            <w:vAlign w:val="bottom"/>
          </w:tcPr>
          <w:p w14:paraId="5576C8AF" w14:textId="5B437304"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85.85%</w:t>
            </w:r>
          </w:p>
        </w:tc>
        <w:tc>
          <w:tcPr>
            <w:tcW w:w="1260" w:type="dxa"/>
            <w:shd w:val="clear" w:color="auto" w:fill="FFFF00"/>
            <w:tcMar>
              <w:left w:w="108" w:type="dxa"/>
              <w:right w:w="108" w:type="dxa"/>
            </w:tcMar>
            <w:vAlign w:val="bottom"/>
          </w:tcPr>
          <w:p w14:paraId="6D01C90F" w14:textId="21276433"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86.74%</w:t>
            </w:r>
          </w:p>
        </w:tc>
      </w:tr>
      <w:tr w:rsidR="75375A8C" w14:paraId="3965495D"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7C5898FC" w14:textId="33EC74A6"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Santa Cruz Naranjo</w:t>
            </w:r>
          </w:p>
        </w:tc>
        <w:tc>
          <w:tcPr>
            <w:tcW w:w="1845" w:type="dxa"/>
            <w:tcMar>
              <w:left w:w="108" w:type="dxa"/>
              <w:right w:w="108" w:type="dxa"/>
            </w:tcMar>
          </w:tcPr>
          <w:p w14:paraId="4A55BFDC" w14:textId="0F210E1B"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Q19,742,977.50</w:t>
            </w:r>
          </w:p>
        </w:tc>
        <w:tc>
          <w:tcPr>
            <w:tcW w:w="1860" w:type="dxa"/>
            <w:tcMar>
              <w:left w:w="108" w:type="dxa"/>
              <w:right w:w="108" w:type="dxa"/>
            </w:tcMar>
          </w:tcPr>
          <w:p w14:paraId="36BA390E" w14:textId="6939392A"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Q12,901,798.54</w:t>
            </w:r>
          </w:p>
        </w:tc>
        <w:tc>
          <w:tcPr>
            <w:tcW w:w="1110" w:type="dxa"/>
            <w:shd w:val="clear" w:color="auto" w:fill="FFFF00"/>
            <w:tcMar>
              <w:left w:w="108" w:type="dxa"/>
              <w:right w:w="108" w:type="dxa"/>
            </w:tcMar>
            <w:vAlign w:val="bottom"/>
          </w:tcPr>
          <w:p w14:paraId="067DC5E9" w14:textId="7857AD46"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83.56%</w:t>
            </w:r>
          </w:p>
        </w:tc>
        <w:tc>
          <w:tcPr>
            <w:tcW w:w="1260" w:type="dxa"/>
            <w:shd w:val="clear" w:color="auto" w:fill="FFFF00"/>
            <w:tcMar>
              <w:left w:w="108" w:type="dxa"/>
              <w:right w:w="108" w:type="dxa"/>
            </w:tcMar>
            <w:vAlign w:val="bottom"/>
          </w:tcPr>
          <w:p w14:paraId="6EECAB8C" w14:textId="7833A36E"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65.35%</w:t>
            </w:r>
          </w:p>
        </w:tc>
      </w:tr>
      <w:tr w:rsidR="75375A8C" w14:paraId="790EDE4C"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41B347A0" w14:textId="010A242A"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Oratorio</w:t>
            </w:r>
          </w:p>
        </w:tc>
        <w:tc>
          <w:tcPr>
            <w:tcW w:w="1845" w:type="dxa"/>
            <w:tcMar>
              <w:left w:w="108" w:type="dxa"/>
              <w:right w:w="108" w:type="dxa"/>
            </w:tcMar>
          </w:tcPr>
          <w:p w14:paraId="6C8DAE69" w14:textId="075566C9"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Q20,716,946.11</w:t>
            </w:r>
          </w:p>
        </w:tc>
        <w:tc>
          <w:tcPr>
            <w:tcW w:w="1860" w:type="dxa"/>
            <w:tcMar>
              <w:left w:w="108" w:type="dxa"/>
              <w:right w:w="108" w:type="dxa"/>
            </w:tcMar>
          </w:tcPr>
          <w:p w14:paraId="03D10C29" w14:textId="7FB568CA"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Q19,428,122.29</w:t>
            </w:r>
          </w:p>
        </w:tc>
        <w:tc>
          <w:tcPr>
            <w:tcW w:w="1110" w:type="dxa"/>
            <w:shd w:val="clear" w:color="auto" w:fill="FFFF00"/>
            <w:tcMar>
              <w:left w:w="108" w:type="dxa"/>
              <w:right w:w="108" w:type="dxa"/>
            </w:tcMar>
            <w:vAlign w:val="bottom"/>
          </w:tcPr>
          <w:p w14:paraId="509DA5A6" w14:textId="4437B40C"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83.33%</w:t>
            </w:r>
          </w:p>
        </w:tc>
        <w:tc>
          <w:tcPr>
            <w:tcW w:w="1260" w:type="dxa"/>
            <w:shd w:val="clear" w:color="auto" w:fill="92D050"/>
            <w:tcMar>
              <w:left w:w="108" w:type="dxa"/>
              <w:right w:w="108" w:type="dxa"/>
            </w:tcMar>
            <w:vAlign w:val="bottom"/>
          </w:tcPr>
          <w:p w14:paraId="7266A50A" w14:textId="7D2BD4F0"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93.78%</w:t>
            </w:r>
          </w:p>
        </w:tc>
      </w:tr>
      <w:tr w:rsidR="75375A8C" w14:paraId="40790F00"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65386641" w14:textId="44315EBB"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Nueva Santa Rosa</w:t>
            </w:r>
          </w:p>
        </w:tc>
        <w:tc>
          <w:tcPr>
            <w:tcW w:w="1845" w:type="dxa"/>
            <w:tcMar>
              <w:left w:w="108" w:type="dxa"/>
              <w:right w:w="108" w:type="dxa"/>
            </w:tcMar>
          </w:tcPr>
          <w:p w14:paraId="090D949B" w14:textId="1F391352"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Q23,265,529.00</w:t>
            </w:r>
          </w:p>
        </w:tc>
        <w:tc>
          <w:tcPr>
            <w:tcW w:w="1860" w:type="dxa"/>
            <w:tcMar>
              <w:left w:w="108" w:type="dxa"/>
              <w:right w:w="108" w:type="dxa"/>
            </w:tcMar>
          </w:tcPr>
          <w:p w14:paraId="5315BE58" w14:textId="4ED1D336"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Q17,285,069.14</w:t>
            </w:r>
          </w:p>
        </w:tc>
        <w:tc>
          <w:tcPr>
            <w:tcW w:w="1110" w:type="dxa"/>
            <w:shd w:val="clear" w:color="auto" w:fill="FFFF00"/>
            <w:tcMar>
              <w:left w:w="108" w:type="dxa"/>
              <w:right w:w="108" w:type="dxa"/>
            </w:tcMar>
            <w:vAlign w:val="bottom"/>
          </w:tcPr>
          <w:p w14:paraId="742B2D42" w14:textId="3AD4F0D6"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81.93%</w:t>
            </w:r>
          </w:p>
        </w:tc>
        <w:tc>
          <w:tcPr>
            <w:tcW w:w="1260" w:type="dxa"/>
            <w:shd w:val="clear" w:color="auto" w:fill="FFFF00"/>
            <w:tcMar>
              <w:left w:w="108" w:type="dxa"/>
              <w:right w:w="108" w:type="dxa"/>
            </w:tcMar>
            <w:vAlign w:val="bottom"/>
          </w:tcPr>
          <w:p w14:paraId="355EAC4E" w14:textId="75373EAD"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74.29%</w:t>
            </w:r>
          </w:p>
        </w:tc>
      </w:tr>
      <w:tr w:rsidR="75375A8C" w14:paraId="63D231B5"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72E9121A" w14:textId="06D5EFDC"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San Rafael Las Flores</w:t>
            </w:r>
          </w:p>
        </w:tc>
        <w:tc>
          <w:tcPr>
            <w:tcW w:w="1845" w:type="dxa"/>
            <w:tcMar>
              <w:left w:w="108" w:type="dxa"/>
              <w:right w:w="108" w:type="dxa"/>
            </w:tcMar>
          </w:tcPr>
          <w:p w14:paraId="7589B674" w14:textId="684E59C4"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Q42,348,282.49</w:t>
            </w:r>
          </w:p>
        </w:tc>
        <w:tc>
          <w:tcPr>
            <w:tcW w:w="1860" w:type="dxa"/>
            <w:tcMar>
              <w:left w:w="108" w:type="dxa"/>
              <w:right w:w="108" w:type="dxa"/>
            </w:tcMar>
          </w:tcPr>
          <w:p w14:paraId="0621B2AE" w14:textId="660A5AF9"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Q36,707,968.38</w:t>
            </w:r>
          </w:p>
        </w:tc>
        <w:tc>
          <w:tcPr>
            <w:tcW w:w="1110" w:type="dxa"/>
            <w:shd w:val="clear" w:color="auto" w:fill="FFFF00"/>
            <w:tcMar>
              <w:left w:w="108" w:type="dxa"/>
              <w:right w:w="108" w:type="dxa"/>
            </w:tcMar>
            <w:vAlign w:val="bottom"/>
          </w:tcPr>
          <w:p w14:paraId="6804226B" w14:textId="1B97AF5D"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62.81%</w:t>
            </w:r>
          </w:p>
        </w:tc>
        <w:tc>
          <w:tcPr>
            <w:tcW w:w="1260" w:type="dxa"/>
            <w:shd w:val="clear" w:color="auto" w:fill="FFFF00"/>
            <w:tcMar>
              <w:left w:w="108" w:type="dxa"/>
              <w:right w:w="108" w:type="dxa"/>
            </w:tcMar>
            <w:vAlign w:val="bottom"/>
          </w:tcPr>
          <w:p w14:paraId="56DD5D85" w14:textId="40713275"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86.68%</w:t>
            </w:r>
          </w:p>
        </w:tc>
      </w:tr>
      <w:tr w:rsidR="75375A8C" w14:paraId="3157D326"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2A39D01A" w14:textId="3AFD43F3"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Barberena</w:t>
            </w:r>
          </w:p>
        </w:tc>
        <w:tc>
          <w:tcPr>
            <w:tcW w:w="1845" w:type="dxa"/>
            <w:tcMar>
              <w:left w:w="108" w:type="dxa"/>
              <w:right w:w="108" w:type="dxa"/>
            </w:tcMar>
          </w:tcPr>
          <w:p w14:paraId="6EB5AE95" w14:textId="5A2AE61C"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Q37,900,840.00</w:t>
            </w:r>
          </w:p>
        </w:tc>
        <w:tc>
          <w:tcPr>
            <w:tcW w:w="1860" w:type="dxa"/>
            <w:tcMar>
              <w:left w:w="108" w:type="dxa"/>
              <w:right w:w="108" w:type="dxa"/>
            </w:tcMar>
          </w:tcPr>
          <w:p w14:paraId="7E4998E0" w14:textId="3A69FB90"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Q23,536,983.11</w:t>
            </w:r>
          </w:p>
        </w:tc>
        <w:tc>
          <w:tcPr>
            <w:tcW w:w="1110" w:type="dxa"/>
            <w:shd w:val="clear" w:color="auto" w:fill="FFFF00"/>
            <w:tcMar>
              <w:left w:w="108" w:type="dxa"/>
              <w:right w:w="108" w:type="dxa"/>
            </w:tcMar>
            <w:vAlign w:val="bottom"/>
          </w:tcPr>
          <w:p w14:paraId="445B4C6E" w14:textId="19F2FA20"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62.16%</w:t>
            </w:r>
          </w:p>
        </w:tc>
        <w:tc>
          <w:tcPr>
            <w:tcW w:w="1260" w:type="dxa"/>
            <w:shd w:val="clear" w:color="auto" w:fill="FFFF00"/>
            <w:tcMar>
              <w:left w:w="108" w:type="dxa"/>
              <w:right w:w="108" w:type="dxa"/>
            </w:tcMar>
            <w:vAlign w:val="bottom"/>
          </w:tcPr>
          <w:p w14:paraId="3D3347A1" w14:textId="4D43DAE3"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62.10%</w:t>
            </w:r>
          </w:p>
        </w:tc>
      </w:tr>
      <w:tr w:rsidR="75375A8C" w14:paraId="486FC636"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4F119315" w14:textId="07844957"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Chiquimulilla</w:t>
            </w:r>
          </w:p>
        </w:tc>
        <w:tc>
          <w:tcPr>
            <w:tcW w:w="1845" w:type="dxa"/>
            <w:tcMar>
              <w:left w:w="108" w:type="dxa"/>
              <w:right w:w="108" w:type="dxa"/>
            </w:tcMar>
          </w:tcPr>
          <w:p w14:paraId="458F37C3" w14:textId="234711AD"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Q43,343,350.54</w:t>
            </w:r>
          </w:p>
        </w:tc>
        <w:tc>
          <w:tcPr>
            <w:tcW w:w="1860" w:type="dxa"/>
            <w:tcMar>
              <w:left w:w="108" w:type="dxa"/>
              <w:right w:w="108" w:type="dxa"/>
            </w:tcMar>
          </w:tcPr>
          <w:p w14:paraId="69237F64" w14:textId="07298F80"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Q25,428,999.24</w:t>
            </w:r>
          </w:p>
        </w:tc>
        <w:tc>
          <w:tcPr>
            <w:tcW w:w="1110" w:type="dxa"/>
            <w:shd w:val="clear" w:color="auto" w:fill="FFFF00"/>
            <w:tcMar>
              <w:left w:w="108" w:type="dxa"/>
              <w:right w:w="108" w:type="dxa"/>
            </w:tcMar>
            <w:vAlign w:val="bottom"/>
          </w:tcPr>
          <w:p w14:paraId="2F334B7D" w14:textId="279CFEA5"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59.42%</w:t>
            </w:r>
          </w:p>
        </w:tc>
        <w:tc>
          <w:tcPr>
            <w:tcW w:w="1260" w:type="dxa"/>
            <w:shd w:val="clear" w:color="auto" w:fill="FFFF00"/>
            <w:tcMar>
              <w:left w:w="108" w:type="dxa"/>
              <w:right w:w="108" w:type="dxa"/>
            </w:tcMar>
            <w:vAlign w:val="bottom"/>
          </w:tcPr>
          <w:p w14:paraId="1CBFE9B3" w14:textId="64CE12B9"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58.67%</w:t>
            </w:r>
          </w:p>
        </w:tc>
      </w:tr>
      <w:tr w:rsidR="75375A8C" w14:paraId="4A3E8766"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643FDF69" w14:textId="5235DEAC"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San Juan Tecuaco</w:t>
            </w:r>
          </w:p>
        </w:tc>
        <w:tc>
          <w:tcPr>
            <w:tcW w:w="1845" w:type="dxa"/>
            <w:tcMar>
              <w:left w:w="108" w:type="dxa"/>
              <w:right w:w="108" w:type="dxa"/>
            </w:tcMar>
          </w:tcPr>
          <w:p w14:paraId="3D3AFD3C" w14:textId="08AF3674"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Q22,614,212.51</w:t>
            </w:r>
          </w:p>
        </w:tc>
        <w:tc>
          <w:tcPr>
            <w:tcW w:w="1860" w:type="dxa"/>
            <w:tcMar>
              <w:left w:w="108" w:type="dxa"/>
              <w:right w:w="108" w:type="dxa"/>
            </w:tcMar>
          </w:tcPr>
          <w:p w14:paraId="494D52E9" w14:textId="2C23DD6B"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Q13,904,253.90</w:t>
            </w:r>
          </w:p>
        </w:tc>
        <w:tc>
          <w:tcPr>
            <w:tcW w:w="1110" w:type="dxa"/>
            <w:shd w:val="clear" w:color="auto" w:fill="FFFF00"/>
            <w:tcMar>
              <w:left w:w="108" w:type="dxa"/>
              <w:right w:w="108" w:type="dxa"/>
            </w:tcMar>
            <w:vAlign w:val="bottom"/>
          </w:tcPr>
          <w:p w14:paraId="4517215B" w14:textId="7DD02DB6"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56.98%</w:t>
            </w:r>
          </w:p>
        </w:tc>
        <w:tc>
          <w:tcPr>
            <w:tcW w:w="1260" w:type="dxa"/>
            <w:shd w:val="clear" w:color="auto" w:fill="FFFF00"/>
            <w:tcMar>
              <w:left w:w="108" w:type="dxa"/>
              <w:right w:w="108" w:type="dxa"/>
            </w:tcMar>
            <w:vAlign w:val="bottom"/>
          </w:tcPr>
          <w:p w14:paraId="060C3FD4" w14:textId="510694CF"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61.48%</w:t>
            </w:r>
          </w:p>
        </w:tc>
      </w:tr>
      <w:tr w:rsidR="75375A8C" w14:paraId="77EC49EB"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06A54A3D" w14:textId="16016A43"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Santa María Ixhuatán</w:t>
            </w:r>
          </w:p>
        </w:tc>
        <w:tc>
          <w:tcPr>
            <w:tcW w:w="1845" w:type="dxa"/>
            <w:tcMar>
              <w:left w:w="108" w:type="dxa"/>
              <w:right w:w="108" w:type="dxa"/>
            </w:tcMar>
          </w:tcPr>
          <w:p w14:paraId="19C8454E" w14:textId="52042843"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Q21,721,704.88</w:t>
            </w:r>
          </w:p>
        </w:tc>
        <w:tc>
          <w:tcPr>
            <w:tcW w:w="1860" w:type="dxa"/>
            <w:tcMar>
              <w:left w:w="108" w:type="dxa"/>
              <w:right w:w="108" w:type="dxa"/>
            </w:tcMar>
          </w:tcPr>
          <w:p w14:paraId="6621AB59" w14:textId="72DDC44A"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Q10,154,830.95</w:t>
            </w:r>
          </w:p>
        </w:tc>
        <w:tc>
          <w:tcPr>
            <w:tcW w:w="1110" w:type="dxa"/>
            <w:shd w:val="clear" w:color="auto" w:fill="C00000"/>
            <w:tcMar>
              <w:left w:w="108" w:type="dxa"/>
              <w:right w:w="108" w:type="dxa"/>
            </w:tcMar>
            <w:vAlign w:val="bottom"/>
          </w:tcPr>
          <w:p w14:paraId="636478DE" w14:textId="568FB7B3"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49.24%</w:t>
            </w:r>
          </w:p>
        </w:tc>
        <w:tc>
          <w:tcPr>
            <w:tcW w:w="1260" w:type="dxa"/>
            <w:shd w:val="clear" w:color="auto" w:fill="C00000"/>
            <w:tcMar>
              <w:left w:w="108" w:type="dxa"/>
              <w:right w:w="108" w:type="dxa"/>
            </w:tcMar>
            <w:vAlign w:val="bottom"/>
          </w:tcPr>
          <w:p w14:paraId="22C500A4" w14:textId="2817AA3A"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46.75%</w:t>
            </w:r>
          </w:p>
        </w:tc>
      </w:tr>
      <w:tr w:rsidR="75375A8C" w14:paraId="1E4AE047"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3D73CB15" w14:textId="76BBF680" w:rsidR="75375A8C" w:rsidRDefault="75375A8C" w:rsidP="75375A8C">
            <w:pPr>
              <w:rPr>
                <w:rFonts w:ascii="Calibri" w:eastAsia="Calibri" w:hAnsi="Calibri" w:cs="Calibri"/>
                <w:b w:val="0"/>
                <w:bCs w:val="0"/>
                <w:color w:val="000000" w:themeColor="text1"/>
              </w:rPr>
            </w:pPr>
            <w:r w:rsidRPr="75375A8C">
              <w:rPr>
                <w:rFonts w:ascii="Calibri" w:eastAsia="Calibri" w:hAnsi="Calibri" w:cs="Calibri"/>
                <w:b w:val="0"/>
                <w:bCs w:val="0"/>
                <w:color w:val="000000" w:themeColor="text1"/>
              </w:rPr>
              <w:t>Santa Rosa De Lima</w:t>
            </w:r>
          </w:p>
        </w:tc>
        <w:tc>
          <w:tcPr>
            <w:tcW w:w="1845" w:type="dxa"/>
            <w:tcMar>
              <w:left w:w="108" w:type="dxa"/>
              <w:right w:w="108" w:type="dxa"/>
            </w:tcMar>
          </w:tcPr>
          <w:p w14:paraId="318E8F8B" w14:textId="2CCD3EB3"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Q25,899,919.69</w:t>
            </w:r>
          </w:p>
        </w:tc>
        <w:tc>
          <w:tcPr>
            <w:tcW w:w="1860" w:type="dxa"/>
            <w:tcMar>
              <w:left w:w="108" w:type="dxa"/>
              <w:right w:w="108" w:type="dxa"/>
            </w:tcMar>
          </w:tcPr>
          <w:p w14:paraId="6BB1AA7A" w14:textId="34153E7A"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Q14,992,752.99</w:t>
            </w:r>
          </w:p>
        </w:tc>
        <w:tc>
          <w:tcPr>
            <w:tcW w:w="1110" w:type="dxa"/>
            <w:shd w:val="clear" w:color="auto" w:fill="C00000"/>
            <w:tcMar>
              <w:left w:w="108" w:type="dxa"/>
              <w:right w:w="108" w:type="dxa"/>
            </w:tcMar>
            <w:vAlign w:val="bottom"/>
          </w:tcPr>
          <w:p w14:paraId="39BC0ECA" w14:textId="05420ACF"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48.76%</w:t>
            </w:r>
          </w:p>
        </w:tc>
        <w:tc>
          <w:tcPr>
            <w:tcW w:w="1260" w:type="dxa"/>
            <w:shd w:val="clear" w:color="auto" w:fill="FFFF00"/>
            <w:tcMar>
              <w:left w:w="108" w:type="dxa"/>
              <w:right w:w="108" w:type="dxa"/>
            </w:tcMar>
            <w:vAlign w:val="bottom"/>
          </w:tcPr>
          <w:p w14:paraId="0A7F7389" w14:textId="210ACAF9" w:rsidR="75375A8C" w:rsidRDefault="75375A8C" w:rsidP="75375A8C">
            <w:pPr>
              <w:jc w:val="right"/>
              <w:cnfStyle w:val="000000000000" w:firstRow="0" w:lastRow="0" w:firstColumn="0" w:lastColumn="0" w:oddVBand="0" w:evenVBand="0" w:oddHBand="0" w:evenHBand="0" w:firstRowFirstColumn="0" w:firstRowLastColumn="0" w:lastRowFirstColumn="0" w:lastRowLastColumn="0"/>
            </w:pPr>
            <w:r w:rsidRPr="75375A8C">
              <w:rPr>
                <w:rFonts w:ascii="Calibri" w:eastAsia="Calibri" w:hAnsi="Calibri" w:cs="Calibri"/>
                <w:color w:val="000000" w:themeColor="text1"/>
              </w:rPr>
              <w:t>57.89%</w:t>
            </w:r>
          </w:p>
        </w:tc>
      </w:tr>
      <w:tr w:rsidR="75375A8C" w14:paraId="1D7C26EA"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5" w:type="dxa"/>
            <w:tcMar>
              <w:left w:w="108" w:type="dxa"/>
              <w:right w:w="108" w:type="dxa"/>
            </w:tcMar>
          </w:tcPr>
          <w:p w14:paraId="5B1DF2C0" w14:textId="7AFF2E50" w:rsidR="75375A8C" w:rsidRDefault="75375A8C" w:rsidP="75375A8C">
            <w:r w:rsidRPr="75375A8C">
              <w:rPr>
                <w:rFonts w:ascii="Calibri" w:eastAsia="Calibri" w:hAnsi="Calibri" w:cs="Calibri"/>
                <w:color w:val="000000" w:themeColor="text1"/>
              </w:rPr>
              <w:t>Cuilapa</w:t>
            </w:r>
          </w:p>
        </w:tc>
        <w:tc>
          <w:tcPr>
            <w:tcW w:w="1845" w:type="dxa"/>
            <w:tcMar>
              <w:left w:w="108" w:type="dxa"/>
              <w:right w:w="108" w:type="dxa"/>
            </w:tcMar>
          </w:tcPr>
          <w:p w14:paraId="1F97D4DD" w14:textId="6AB1F538"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Q0.00</w:t>
            </w:r>
          </w:p>
        </w:tc>
        <w:tc>
          <w:tcPr>
            <w:tcW w:w="1860" w:type="dxa"/>
            <w:tcMar>
              <w:left w:w="108" w:type="dxa"/>
              <w:right w:w="108" w:type="dxa"/>
            </w:tcMar>
          </w:tcPr>
          <w:p w14:paraId="6F6E3BA1" w14:textId="6AE83CC6"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Q0.00</w:t>
            </w:r>
          </w:p>
        </w:tc>
        <w:tc>
          <w:tcPr>
            <w:tcW w:w="1110" w:type="dxa"/>
            <w:shd w:val="clear" w:color="auto" w:fill="C00000"/>
            <w:tcMar>
              <w:left w:w="108" w:type="dxa"/>
              <w:right w:w="108" w:type="dxa"/>
            </w:tcMar>
          </w:tcPr>
          <w:p w14:paraId="782656E7" w14:textId="394B6CA0"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0.00%</w:t>
            </w:r>
          </w:p>
        </w:tc>
        <w:tc>
          <w:tcPr>
            <w:tcW w:w="1260" w:type="dxa"/>
            <w:shd w:val="clear" w:color="auto" w:fill="C00000"/>
            <w:tcMar>
              <w:left w:w="108" w:type="dxa"/>
              <w:right w:w="108" w:type="dxa"/>
            </w:tcMar>
          </w:tcPr>
          <w:p w14:paraId="47F3A598" w14:textId="7E8E45C7" w:rsidR="75375A8C" w:rsidRDefault="75375A8C" w:rsidP="75375A8C">
            <w:pPr>
              <w:jc w:val="right"/>
              <w:cnfStyle w:val="000000100000" w:firstRow="0" w:lastRow="0" w:firstColumn="0" w:lastColumn="0" w:oddVBand="0" w:evenVBand="0" w:oddHBand="1" w:evenHBand="0" w:firstRowFirstColumn="0" w:firstRowLastColumn="0" w:lastRowFirstColumn="0" w:lastRowLastColumn="0"/>
            </w:pPr>
            <w:r w:rsidRPr="75375A8C">
              <w:rPr>
                <w:rFonts w:ascii="Calibri" w:eastAsia="Calibri" w:hAnsi="Calibri" w:cs="Calibri"/>
                <w:color w:val="000000" w:themeColor="text1"/>
              </w:rPr>
              <w:t>0.00%</w:t>
            </w:r>
          </w:p>
        </w:tc>
      </w:tr>
    </w:tbl>
    <w:p w14:paraId="5AE3963A" w14:textId="47B4E633" w:rsidR="00693BD9" w:rsidRPr="003051CD" w:rsidRDefault="75375A8C" w:rsidP="002F4FE3">
      <w:pPr>
        <w:autoSpaceDE w:val="0"/>
        <w:autoSpaceDN w:val="0"/>
        <w:adjustRightInd w:val="0"/>
        <w:spacing w:after="120" w:line="240" w:lineRule="auto"/>
        <w:jc w:val="both"/>
        <w:rPr>
          <w:rFonts w:eastAsiaTheme="minorEastAsia"/>
          <w:sz w:val="18"/>
          <w:szCs w:val="18"/>
          <w:lang w:val="es-ES"/>
        </w:rPr>
      </w:pPr>
      <w:r w:rsidRPr="75375A8C">
        <w:rPr>
          <w:rFonts w:eastAsiaTheme="minorEastAsia"/>
          <w:sz w:val="18"/>
          <w:szCs w:val="18"/>
          <w:lang w:val="es-ES"/>
        </w:rPr>
        <w:t>Fuente: Siplangl, III informe cuatrimestral y acumulado. Año 2022.</w:t>
      </w:r>
    </w:p>
    <w:p w14:paraId="725D93C3" w14:textId="77777777" w:rsidR="00693BD9" w:rsidRPr="009D6FE0" w:rsidRDefault="00693BD9" w:rsidP="002F4FE3">
      <w:pPr>
        <w:autoSpaceDE w:val="0"/>
        <w:autoSpaceDN w:val="0"/>
        <w:adjustRightInd w:val="0"/>
        <w:spacing w:after="120" w:line="240" w:lineRule="auto"/>
        <w:jc w:val="both"/>
        <w:rPr>
          <w:rFonts w:eastAsia="Times New Roman" w:cstheme="minorHAnsi"/>
          <w:b/>
          <w:color w:val="002060"/>
          <w:sz w:val="28"/>
          <w:szCs w:val="28"/>
          <w:lang w:val="es-ES"/>
        </w:rPr>
      </w:pPr>
      <w:r w:rsidRPr="009D6FE0">
        <w:rPr>
          <w:rFonts w:eastAsia="Times New Roman" w:cstheme="minorHAnsi"/>
          <w:b/>
          <w:color w:val="002060"/>
          <w:sz w:val="28"/>
          <w:szCs w:val="28"/>
          <w:lang w:val="es-ES"/>
        </w:rPr>
        <w:t>Quetzaltenango</w:t>
      </w:r>
    </w:p>
    <w:p w14:paraId="0E1C7560" w14:textId="197843DD" w:rsidR="3945CD24" w:rsidRDefault="009D6FE0" w:rsidP="002F4FE3">
      <w:pPr>
        <w:autoSpaceDE w:val="0"/>
        <w:autoSpaceDN w:val="0"/>
        <w:adjustRightInd w:val="0"/>
        <w:spacing w:after="120" w:line="240" w:lineRule="auto"/>
        <w:jc w:val="both"/>
      </w:pPr>
      <w:r w:rsidRPr="00576430">
        <w:rPr>
          <w:noProof/>
          <w:sz w:val="24"/>
        </w:rPr>
        <w:drawing>
          <wp:anchor distT="0" distB="0" distL="114300" distR="114300" simplePos="0" relativeHeight="251721216" behindDoc="1" locked="0" layoutInCell="1" allowOverlap="1" wp14:anchorId="7D90CB53" wp14:editId="3476CFF2">
            <wp:simplePos x="0" y="0"/>
            <wp:positionH relativeFrom="column">
              <wp:posOffset>4394200</wp:posOffset>
            </wp:positionH>
            <wp:positionV relativeFrom="paragraph">
              <wp:posOffset>81915</wp:posOffset>
            </wp:positionV>
            <wp:extent cx="1485265" cy="978183"/>
            <wp:effectExtent l="19050" t="19050" r="19685" b="12700"/>
            <wp:wrapTight wrapText="bothSides">
              <wp:wrapPolygon edited="0">
                <wp:start x="-277" y="-421"/>
                <wp:lineTo x="-277" y="21460"/>
                <wp:lineTo x="21609" y="21460"/>
                <wp:lineTo x="21609" y="-421"/>
                <wp:lineTo x="-277" y="-421"/>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485265" cy="9781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3945CD24" w:rsidRPr="3945CD24">
        <w:rPr>
          <w:rFonts w:ascii="Calibri" w:eastAsia="Calibri" w:hAnsi="Calibri" w:cs="Calibri"/>
          <w:sz w:val="24"/>
          <w:szCs w:val="24"/>
          <w:lang w:val="es-ES"/>
        </w:rPr>
        <w:t xml:space="preserve">Al finalizar el año 2022, el departamento reportó un promedio de avance físico del 78.36%. Los municipios que mayor avance reportaron son: La Esperanza con 99.96%, Cabricán con 95.69% y Cantel con 93.04% </w:t>
      </w:r>
    </w:p>
    <w:p w14:paraId="6A40633C" w14:textId="78DABCCE" w:rsidR="3945CD24" w:rsidRDefault="3945CD24" w:rsidP="002F4FE3">
      <w:pPr>
        <w:autoSpaceDE w:val="0"/>
        <w:autoSpaceDN w:val="0"/>
        <w:adjustRightInd w:val="0"/>
        <w:spacing w:after="120" w:line="240" w:lineRule="auto"/>
        <w:jc w:val="both"/>
      </w:pPr>
      <w:r w:rsidRPr="3945CD24">
        <w:rPr>
          <w:rFonts w:ascii="Calibri" w:eastAsia="Calibri" w:hAnsi="Calibri" w:cs="Calibri"/>
          <w:sz w:val="24"/>
          <w:szCs w:val="24"/>
          <w:lang w:val="es-ES"/>
        </w:rPr>
        <w:t>En relación al avance financiero, el departamento reportó 60.14% de avance. San Juan Ostuncalco, Cantel y Cabricán, fueron los que mayor avance reportaron con 95.29%, 89.90% y 87.05% respectivamente.</w:t>
      </w:r>
    </w:p>
    <w:p w14:paraId="5736DBEA" w14:textId="78756014" w:rsidR="3945CD24" w:rsidRDefault="3945CD24" w:rsidP="002F4FE3">
      <w:pPr>
        <w:autoSpaceDE w:val="0"/>
        <w:autoSpaceDN w:val="0"/>
        <w:adjustRightInd w:val="0"/>
        <w:spacing w:after="120" w:line="240" w:lineRule="auto"/>
        <w:jc w:val="both"/>
      </w:pPr>
      <w:r w:rsidRPr="3945CD24">
        <w:rPr>
          <w:rFonts w:ascii="Calibri" w:eastAsia="Calibri" w:hAnsi="Calibri" w:cs="Calibri"/>
          <w:sz w:val="24"/>
          <w:szCs w:val="24"/>
          <w:lang w:val="es-ES"/>
        </w:rPr>
        <w:t xml:space="preserve">Olintepeque, en relación al avance financiero reportó 77.76%. No fue incluido en la tabla, dado que presentó registros de avance superiores a la meta física vigente. </w:t>
      </w:r>
    </w:p>
    <w:p w14:paraId="3D4AC5CA" w14:textId="35D04649" w:rsidR="00F407CB" w:rsidRDefault="3945CD24" w:rsidP="009D6FE0">
      <w:pPr>
        <w:autoSpaceDE w:val="0"/>
        <w:autoSpaceDN w:val="0"/>
        <w:adjustRightInd w:val="0"/>
        <w:spacing w:after="120" w:line="240" w:lineRule="auto"/>
        <w:jc w:val="both"/>
        <w:rPr>
          <w:rFonts w:ascii="Helvetica" w:eastAsia="Times New Roman" w:hAnsi="Helvetica" w:cs="Helvetica"/>
          <w:sz w:val="24"/>
          <w:szCs w:val="24"/>
          <w:lang w:val="es-ES"/>
        </w:rPr>
      </w:pPr>
      <w:r w:rsidRPr="3945CD24">
        <w:rPr>
          <w:rFonts w:ascii="Calibri" w:eastAsia="Calibri" w:hAnsi="Calibri" w:cs="Calibri"/>
          <w:sz w:val="24"/>
          <w:szCs w:val="24"/>
          <w:lang w:val="es-ES"/>
        </w:rPr>
        <w:t>San Carlos Sija, durante el año 2022, no utilizó Siplangl para registrar los avances del POA del año correspondiente. Sibilia, durante el año 2022 nunca registro avance alguno en Siplangl. Ver tabla siguiente.</w:t>
      </w:r>
    </w:p>
    <w:p w14:paraId="462FB84F" w14:textId="2F12479A" w:rsidR="00461769" w:rsidRPr="009D6FE0" w:rsidRDefault="206F3FAC" w:rsidP="00461769">
      <w:pPr>
        <w:pStyle w:val="ttulosgrficas"/>
        <w:rPr>
          <w:rFonts w:asciiTheme="minorHAnsi" w:eastAsia="Times New Roman" w:hAnsiTheme="minorHAnsi" w:cstheme="minorHAnsi"/>
          <w:color w:val="4472C4" w:themeColor="accent1"/>
          <w:lang w:val="es-ES"/>
        </w:rPr>
      </w:pPr>
      <w:bookmarkStart w:id="80" w:name="_Toc130199625"/>
      <w:r w:rsidRPr="009D6FE0">
        <w:rPr>
          <w:rFonts w:asciiTheme="minorHAnsi" w:eastAsia="Times New Roman" w:hAnsiTheme="minorHAnsi" w:cstheme="minorHAnsi"/>
          <w:color w:val="4472C4" w:themeColor="accent1"/>
          <w:lang w:val="es-ES"/>
        </w:rPr>
        <w:t xml:space="preserve">Tabla </w:t>
      </w:r>
      <w:r w:rsidR="006E5E0A">
        <w:rPr>
          <w:rFonts w:asciiTheme="minorHAnsi" w:eastAsia="Times New Roman" w:hAnsiTheme="minorHAnsi" w:cstheme="minorHAnsi"/>
          <w:color w:val="4472C4" w:themeColor="accent1"/>
          <w:lang w:val="es-ES"/>
        </w:rPr>
        <w:fldChar w:fldCharType="begin"/>
      </w:r>
      <w:r w:rsidR="006E5E0A">
        <w:rPr>
          <w:rFonts w:asciiTheme="minorHAnsi" w:eastAsia="Times New Roman" w:hAnsiTheme="minorHAnsi" w:cstheme="minorHAnsi"/>
          <w:color w:val="4472C4" w:themeColor="accent1"/>
          <w:lang w:val="es-ES"/>
        </w:rPr>
        <w:instrText xml:space="preserve"> SEQ Tabla \* ARABIC </w:instrText>
      </w:r>
      <w:r w:rsidR="006E5E0A">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37</w:t>
      </w:r>
      <w:r w:rsidR="006E5E0A">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9D6FE0">
        <w:rPr>
          <w:rFonts w:asciiTheme="minorHAnsi" w:eastAsia="Times New Roman" w:hAnsiTheme="minorHAnsi" w:cstheme="minorHAnsi"/>
          <w:color w:val="4472C4" w:themeColor="accent1"/>
          <w:lang w:val="es-ES"/>
        </w:rPr>
        <w:t xml:space="preserve"> Ejecución Física y Financiera, Departamento de Quetzaltenango</w:t>
      </w:r>
      <w:bookmarkEnd w:id="80"/>
    </w:p>
    <w:tbl>
      <w:tblPr>
        <w:tblStyle w:val="Tabladelista4-nfasis5"/>
        <w:tblW w:w="0" w:type="auto"/>
        <w:tblBorders>
          <w:top w:val="single" w:sz="6" w:space="0" w:color="BDD6EE" w:themeColor="accent5" w:themeTint="66"/>
          <w:left w:val="single" w:sz="6" w:space="0" w:color="BDD6EE" w:themeColor="accent5" w:themeTint="66"/>
          <w:bottom w:val="single" w:sz="6" w:space="0" w:color="BDD6EE" w:themeColor="accent5" w:themeTint="66"/>
          <w:right w:val="single" w:sz="6" w:space="0" w:color="BDD6EE" w:themeColor="accent5" w:themeTint="66"/>
          <w:insideH w:val="single" w:sz="6" w:space="0" w:color="BDD6EE" w:themeColor="accent5" w:themeTint="66"/>
          <w:insideV w:val="single" w:sz="6" w:space="0" w:color="BDD6EE" w:themeColor="accent5" w:themeTint="66"/>
        </w:tblBorders>
        <w:tblLayout w:type="fixed"/>
        <w:tblLook w:val="04A0" w:firstRow="1" w:lastRow="0" w:firstColumn="1" w:lastColumn="0" w:noHBand="0" w:noVBand="1"/>
      </w:tblPr>
      <w:tblGrid>
        <w:gridCol w:w="3240"/>
        <w:gridCol w:w="1890"/>
        <w:gridCol w:w="1860"/>
        <w:gridCol w:w="1125"/>
        <w:gridCol w:w="1275"/>
      </w:tblGrid>
      <w:tr w:rsidR="206F3FAC" w14:paraId="5D687662" w14:textId="77777777" w:rsidTr="002F4FE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240" w:type="dxa"/>
            <w:tcBorders>
              <w:top w:val="none" w:sz="0" w:space="0" w:color="auto"/>
              <w:left w:val="none" w:sz="0" w:space="0" w:color="auto"/>
              <w:bottom w:val="none" w:sz="0" w:space="0" w:color="auto"/>
            </w:tcBorders>
            <w:tcMar>
              <w:left w:w="108" w:type="dxa"/>
              <w:right w:w="108" w:type="dxa"/>
            </w:tcMar>
            <w:vAlign w:val="center"/>
          </w:tcPr>
          <w:p w14:paraId="02F2B0DB" w14:textId="1B3A29DE" w:rsidR="206F3FAC" w:rsidRDefault="206F3FAC" w:rsidP="206F3FAC">
            <w:pPr>
              <w:jc w:val="center"/>
            </w:pPr>
            <w:r w:rsidRPr="206F3FAC">
              <w:rPr>
                <w:rFonts w:ascii="Calibri" w:eastAsia="Calibri" w:hAnsi="Calibri" w:cs="Calibri"/>
                <w:color w:val="000000" w:themeColor="text1"/>
              </w:rPr>
              <w:t>Municipio</w:t>
            </w:r>
          </w:p>
        </w:tc>
        <w:tc>
          <w:tcPr>
            <w:tcW w:w="1890" w:type="dxa"/>
            <w:tcBorders>
              <w:top w:val="none" w:sz="0" w:space="0" w:color="auto"/>
              <w:bottom w:val="none" w:sz="0" w:space="0" w:color="auto"/>
            </w:tcBorders>
            <w:tcMar>
              <w:left w:w="108" w:type="dxa"/>
              <w:right w:w="108" w:type="dxa"/>
            </w:tcMar>
            <w:vAlign w:val="center"/>
          </w:tcPr>
          <w:p w14:paraId="61A6070C" w14:textId="18389500" w:rsidR="206F3FAC" w:rsidRDefault="206F3FAC" w:rsidP="206F3FAC">
            <w:pPr>
              <w:jc w:val="center"/>
              <w:cnfStyle w:val="100000000000" w:firstRow="1"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Meta financiera anual Vigente</w:t>
            </w:r>
          </w:p>
        </w:tc>
        <w:tc>
          <w:tcPr>
            <w:tcW w:w="1860" w:type="dxa"/>
            <w:tcBorders>
              <w:top w:val="none" w:sz="0" w:space="0" w:color="auto"/>
              <w:bottom w:val="none" w:sz="0" w:space="0" w:color="auto"/>
            </w:tcBorders>
            <w:tcMar>
              <w:left w:w="108" w:type="dxa"/>
              <w:right w:w="108" w:type="dxa"/>
            </w:tcMar>
            <w:vAlign w:val="center"/>
          </w:tcPr>
          <w:p w14:paraId="59DEF40F" w14:textId="7FC5102A" w:rsidR="206F3FAC" w:rsidRDefault="206F3FAC" w:rsidP="206F3FAC">
            <w:pPr>
              <w:jc w:val="center"/>
              <w:cnfStyle w:val="100000000000" w:firstRow="1"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Ejecución financiera Acumulada</w:t>
            </w:r>
          </w:p>
        </w:tc>
        <w:tc>
          <w:tcPr>
            <w:tcW w:w="1125" w:type="dxa"/>
            <w:tcBorders>
              <w:top w:val="none" w:sz="0" w:space="0" w:color="auto"/>
              <w:bottom w:val="none" w:sz="0" w:space="0" w:color="auto"/>
            </w:tcBorders>
            <w:tcMar>
              <w:left w:w="108" w:type="dxa"/>
              <w:right w:w="108" w:type="dxa"/>
            </w:tcMar>
            <w:vAlign w:val="center"/>
          </w:tcPr>
          <w:p w14:paraId="7DF60ECE" w14:textId="79712422" w:rsidR="206F3FAC" w:rsidRDefault="206F3FAC" w:rsidP="206F3FAC">
            <w:pPr>
              <w:jc w:val="center"/>
              <w:cnfStyle w:val="100000000000" w:firstRow="1"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 de Ejecución Física</w:t>
            </w:r>
          </w:p>
        </w:tc>
        <w:tc>
          <w:tcPr>
            <w:tcW w:w="1275" w:type="dxa"/>
            <w:tcBorders>
              <w:top w:val="none" w:sz="0" w:space="0" w:color="auto"/>
              <w:bottom w:val="none" w:sz="0" w:space="0" w:color="auto"/>
              <w:right w:val="none" w:sz="0" w:space="0" w:color="auto"/>
            </w:tcBorders>
            <w:tcMar>
              <w:left w:w="108" w:type="dxa"/>
              <w:right w:w="108" w:type="dxa"/>
            </w:tcMar>
            <w:vAlign w:val="center"/>
          </w:tcPr>
          <w:p w14:paraId="4E4E4A70" w14:textId="743A8566" w:rsidR="206F3FAC" w:rsidRDefault="206F3FAC" w:rsidP="206F3FAC">
            <w:pPr>
              <w:jc w:val="center"/>
              <w:cnfStyle w:val="100000000000" w:firstRow="1"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 de Ejecución Financiera</w:t>
            </w:r>
          </w:p>
        </w:tc>
      </w:tr>
      <w:tr w:rsidR="206F3FAC" w14:paraId="50FCE7BB"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59338D1B" w14:textId="6123B412" w:rsidR="206F3FAC" w:rsidRDefault="206F3FAC" w:rsidP="206F3FAC">
            <w:r w:rsidRPr="206F3FAC">
              <w:rPr>
                <w:rFonts w:ascii="Calibri" w:eastAsia="Calibri" w:hAnsi="Calibri" w:cs="Calibri"/>
                <w:color w:val="000000" w:themeColor="text1"/>
              </w:rPr>
              <w:t xml:space="preserve"> Todo el Departamento</w:t>
            </w:r>
          </w:p>
        </w:tc>
        <w:tc>
          <w:tcPr>
            <w:tcW w:w="1890" w:type="dxa"/>
            <w:tcMar>
              <w:left w:w="108" w:type="dxa"/>
              <w:right w:w="108" w:type="dxa"/>
            </w:tcMar>
          </w:tcPr>
          <w:p w14:paraId="4F7C4F02" w14:textId="5D70E348"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b/>
                <w:bCs/>
                <w:color w:val="000000" w:themeColor="text1"/>
              </w:rPr>
              <w:t>Q772,643,042.74</w:t>
            </w:r>
          </w:p>
        </w:tc>
        <w:tc>
          <w:tcPr>
            <w:tcW w:w="1860" w:type="dxa"/>
            <w:tcMar>
              <w:left w:w="108" w:type="dxa"/>
              <w:right w:w="108" w:type="dxa"/>
            </w:tcMar>
          </w:tcPr>
          <w:p w14:paraId="1E494108" w14:textId="17EEA0B5"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b/>
                <w:bCs/>
                <w:color w:val="000000" w:themeColor="text1"/>
              </w:rPr>
              <w:t>Q464,684,011.76</w:t>
            </w:r>
          </w:p>
        </w:tc>
        <w:tc>
          <w:tcPr>
            <w:tcW w:w="1125" w:type="dxa"/>
            <w:shd w:val="clear" w:color="auto" w:fill="FFFF00"/>
            <w:tcMar>
              <w:left w:w="108" w:type="dxa"/>
              <w:right w:w="108" w:type="dxa"/>
            </w:tcMar>
            <w:vAlign w:val="bottom"/>
          </w:tcPr>
          <w:p w14:paraId="43F8AFF2" w14:textId="5C4CC9BA"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b/>
                <w:bCs/>
                <w:color w:val="000000" w:themeColor="text1"/>
              </w:rPr>
              <w:t>78.36%</w:t>
            </w:r>
          </w:p>
        </w:tc>
        <w:tc>
          <w:tcPr>
            <w:tcW w:w="1275" w:type="dxa"/>
            <w:shd w:val="clear" w:color="auto" w:fill="FFFF00"/>
            <w:tcMar>
              <w:left w:w="108" w:type="dxa"/>
              <w:right w:w="108" w:type="dxa"/>
            </w:tcMar>
            <w:vAlign w:val="bottom"/>
          </w:tcPr>
          <w:p w14:paraId="5B9EB179" w14:textId="5AD24C47"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b/>
                <w:bCs/>
                <w:color w:val="000000" w:themeColor="text1"/>
              </w:rPr>
              <w:t>60.14%</w:t>
            </w:r>
          </w:p>
        </w:tc>
      </w:tr>
      <w:tr w:rsidR="206F3FAC" w14:paraId="47D67894"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699CD92B" w14:textId="3DB08FA8"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La Esperanza</w:t>
            </w:r>
          </w:p>
        </w:tc>
        <w:tc>
          <w:tcPr>
            <w:tcW w:w="1890" w:type="dxa"/>
            <w:tcMar>
              <w:left w:w="108" w:type="dxa"/>
              <w:right w:w="108" w:type="dxa"/>
            </w:tcMar>
          </w:tcPr>
          <w:p w14:paraId="6BE14889" w14:textId="2A0FA5A5"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Q25,822,969.00</w:t>
            </w:r>
          </w:p>
        </w:tc>
        <w:tc>
          <w:tcPr>
            <w:tcW w:w="1860" w:type="dxa"/>
            <w:tcMar>
              <w:left w:w="108" w:type="dxa"/>
              <w:right w:w="108" w:type="dxa"/>
            </w:tcMar>
          </w:tcPr>
          <w:p w14:paraId="1BB7A486" w14:textId="51C218ED"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Q21,555,970.00</w:t>
            </w:r>
          </w:p>
        </w:tc>
        <w:tc>
          <w:tcPr>
            <w:tcW w:w="1125" w:type="dxa"/>
            <w:shd w:val="clear" w:color="auto" w:fill="92D050"/>
            <w:tcMar>
              <w:left w:w="108" w:type="dxa"/>
              <w:right w:w="108" w:type="dxa"/>
            </w:tcMar>
            <w:vAlign w:val="bottom"/>
          </w:tcPr>
          <w:p w14:paraId="6C0E1D70" w14:textId="4731803A"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99.96%</w:t>
            </w:r>
          </w:p>
        </w:tc>
        <w:tc>
          <w:tcPr>
            <w:tcW w:w="1275" w:type="dxa"/>
            <w:shd w:val="clear" w:color="auto" w:fill="FFFF00"/>
            <w:tcMar>
              <w:left w:w="108" w:type="dxa"/>
              <w:right w:w="108" w:type="dxa"/>
            </w:tcMar>
            <w:vAlign w:val="bottom"/>
          </w:tcPr>
          <w:p w14:paraId="5813A4DA" w14:textId="614C9E2C"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83.48%</w:t>
            </w:r>
          </w:p>
        </w:tc>
      </w:tr>
      <w:tr w:rsidR="206F3FAC" w14:paraId="2BB00C79"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24719110" w14:textId="720EB894"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Cabricán</w:t>
            </w:r>
          </w:p>
        </w:tc>
        <w:tc>
          <w:tcPr>
            <w:tcW w:w="1890" w:type="dxa"/>
            <w:tcMar>
              <w:left w:w="108" w:type="dxa"/>
              <w:right w:w="108" w:type="dxa"/>
            </w:tcMar>
          </w:tcPr>
          <w:p w14:paraId="0C3DBFBE" w14:textId="1527AA54"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Q40,673,883.36</w:t>
            </w:r>
          </w:p>
        </w:tc>
        <w:tc>
          <w:tcPr>
            <w:tcW w:w="1860" w:type="dxa"/>
            <w:tcMar>
              <w:left w:w="108" w:type="dxa"/>
              <w:right w:w="108" w:type="dxa"/>
            </w:tcMar>
          </w:tcPr>
          <w:p w14:paraId="24DB6C8E" w14:textId="6CB6A6DE"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Q35,407,145.26</w:t>
            </w:r>
          </w:p>
        </w:tc>
        <w:tc>
          <w:tcPr>
            <w:tcW w:w="1125" w:type="dxa"/>
            <w:shd w:val="clear" w:color="auto" w:fill="92D050"/>
            <w:tcMar>
              <w:left w:w="108" w:type="dxa"/>
              <w:right w:w="108" w:type="dxa"/>
            </w:tcMar>
            <w:vAlign w:val="bottom"/>
          </w:tcPr>
          <w:p w14:paraId="6E280910" w14:textId="7020D048"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95.69%</w:t>
            </w:r>
          </w:p>
        </w:tc>
        <w:tc>
          <w:tcPr>
            <w:tcW w:w="1275" w:type="dxa"/>
            <w:shd w:val="clear" w:color="auto" w:fill="FFFF00"/>
            <w:tcMar>
              <w:left w:w="108" w:type="dxa"/>
              <w:right w:w="108" w:type="dxa"/>
            </w:tcMar>
            <w:vAlign w:val="bottom"/>
          </w:tcPr>
          <w:p w14:paraId="354A7E80" w14:textId="33EE3AC6"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87.05%</w:t>
            </w:r>
          </w:p>
        </w:tc>
      </w:tr>
      <w:tr w:rsidR="206F3FAC" w14:paraId="6F7E2106"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67C8FEAA" w14:textId="126DE3AD"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Cantel</w:t>
            </w:r>
          </w:p>
        </w:tc>
        <w:tc>
          <w:tcPr>
            <w:tcW w:w="1890" w:type="dxa"/>
            <w:tcMar>
              <w:left w:w="108" w:type="dxa"/>
              <w:right w:w="108" w:type="dxa"/>
            </w:tcMar>
          </w:tcPr>
          <w:p w14:paraId="4005170A" w14:textId="4B8F7252"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Q29,334,619.35</w:t>
            </w:r>
          </w:p>
        </w:tc>
        <w:tc>
          <w:tcPr>
            <w:tcW w:w="1860" w:type="dxa"/>
            <w:tcMar>
              <w:left w:w="108" w:type="dxa"/>
              <w:right w:w="108" w:type="dxa"/>
            </w:tcMar>
          </w:tcPr>
          <w:p w14:paraId="39313D5F" w14:textId="122647DE"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Q26,372,221.33</w:t>
            </w:r>
          </w:p>
        </w:tc>
        <w:tc>
          <w:tcPr>
            <w:tcW w:w="1125" w:type="dxa"/>
            <w:shd w:val="clear" w:color="auto" w:fill="92D050"/>
            <w:tcMar>
              <w:left w:w="108" w:type="dxa"/>
              <w:right w:w="108" w:type="dxa"/>
            </w:tcMar>
            <w:vAlign w:val="bottom"/>
          </w:tcPr>
          <w:p w14:paraId="7AB624B8" w14:textId="2A27DC14"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93.04%</w:t>
            </w:r>
          </w:p>
        </w:tc>
        <w:tc>
          <w:tcPr>
            <w:tcW w:w="1275" w:type="dxa"/>
            <w:shd w:val="clear" w:color="auto" w:fill="FFFF00"/>
            <w:tcMar>
              <w:left w:w="108" w:type="dxa"/>
              <w:right w:w="108" w:type="dxa"/>
            </w:tcMar>
            <w:vAlign w:val="bottom"/>
          </w:tcPr>
          <w:p w14:paraId="40FA2219" w14:textId="1F7BE055"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89.90%</w:t>
            </w:r>
          </w:p>
        </w:tc>
      </w:tr>
      <w:tr w:rsidR="206F3FAC" w14:paraId="2EDBD0D4"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0674E812" w14:textId="44C477CF"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San Juan Ostuncalco</w:t>
            </w:r>
          </w:p>
        </w:tc>
        <w:tc>
          <w:tcPr>
            <w:tcW w:w="1890" w:type="dxa"/>
            <w:tcMar>
              <w:left w:w="108" w:type="dxa"/>
              <w:right w:w="108" w:type="dxa"/>
            </w:tcMar>
          </w:tcPr>
          <w:p w14:paraId="7056F652" w14:textId="0F12EE64"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Q18,874,036.61</w:t>
            </w:r>
          </w:p>
        </w:tc>
        <w:tc>
          <w:tcPr>
            <w:tcW w:w="1860" w:type="dxa"/>
            <w:tcMar>
              <w:left w:w="108" w:type="dxa"/>
              <w:right w:w="108" w:type="dxa"/>
            </w:tcMar>
          </w:tcPr>
          <w:p w14:paraId="1A48DA29" w14:textId="3B19F965"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Q17,985,831.60</w:t>
            </w:r>
          </w:p>
        </w:tc>
        <w:tc>
          <w:tcPr>
            <w:tcW w:w="1125" w:type="dxa"/>
            <w:shd w:val="clear" w:color="auto" w:fill="92D050"/>
            <w:tcMar>
              <w:left w:w="108" w:type="dxa"/>
              <w:right w:w="108" w:type="dxa"/>
            </w:tcMar>
            <w:vAlign w:val="bottom"/>
          </w:tcPr>
          <w:p w14:paraId="7A3ACC6C" w14:textId="7D7CCD06"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92.26%</w:t>
            </w:r>
          </w:p>
        </w:tc>
        <w:tc>
          <w:tcPr>
            <w:tcW w:w="1275" w:type="dxa"/>
            <w:shd w:val="clear" w:color="auto" w:fill="92D050"/>
            <w:tcMar>
              <w:left w:w="108" w:type="dxa"/>
              <w:right w:w="108" w:type="dxa"/>
            </w:tcMar>
            <w:vAlign w:val="bottom"/>
          </w:tcPr>
          <w:p w14:paraId="39DECD05" w14:textId="63F3DBFF"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95.29%</w:t>
            </w:r>
          </w:p>
        </w:tc>
      </w:tr>
      <w:tr w:rsidR="206F3FAC" w14:paraId="233955C5"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2C698FA2" w14:textId="5D6005A6"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El Palmar</w:t>
            </w:r>
          </w:p>
        </w:tc>
        <w:tc>
          <w:tcPr>
            <w:tcW w:w="1890" w:type="dxa"/>
            <w:tcMar>
              <w:left w:w="108" w:type="dxa"/>
              <w:right w:w="108" w:type="dxa"/>
            </w:tcMar>
          </w:tcPr>
          <w:p w14:paraId="0771022D" w14:textId="50C577E4"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Q11,932,953.97</w:t>
            </w:r>
          </w:p>
        </w:tc>
        <w:tc>
          <w:tcPr>
            <w:tcW w:w="1860" w:type="dxa"/>
            <w:tcMar>
              <w:left w:w="108" w:type="dxa"/>
              <w:right w:w="108" w:type="dxa"/>
            </w:tcMar>
          </w:tcPr>
          <w:p w14:paraId="2E5716A4" w14:textId="10A672D0"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Q9,129,509.32</w:t>
            </w:r>
          </w:p>
        </w:tc>
        <w:tc>
          <w:tcPr>
            <w:tcW w:w="1125" w:type="dxa"/>
            <w:shd w:val="clear" w:color="auto" w:fill="FFFF00"/>
            <w:tcMar>
              <w:left w:w="108" w:type="dxa"/>
              <w:right w:w="108" w:type="dxa"/>
            </w:tcMar>
            <w:vAlign w:val="bottom"/>
          </w:tcPr>
          <w:p w14:paraId="1EE5EE35" w14:textId="3748FECE"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88.88%</w:t>
            </w:r>
          </w:p>
        </w:tc>
        <w:tc>
          <w:tcPr>
            <w:tcW w:w="1275" w:type="dxa"/>
            <w:shd w:val="clear" w:color="auto" w:fill="FFFF00"/>
            <w:tcMar>
              <w:left w:w="108" w:type="dxa"/>
              <w:right w:w="108" w:type="dxa"/>
            </w:tcMar>
            <w:vAlign w:val="bottom"/>
          </w:tcPr>
          <w:p w14:paraId="661999B6" w14:textId="1CCE7F0B"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76.51%</w:t>
            </w:r>
          </w:p>
        </w:tc>
      </w:tr>
      <w:tr w:rsidR="206F3FAC" w14:paraId="3A98486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4C77803D" w14:textId="78B1E05F"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Zunil</w:t>
            </w:r>
          </w:p>
        </w:tc>
        <w:tc>
          <w:tcPr>
            <w:tcW w:w="1890" w:type="dxa"/>
            <w:tcMar>
              <w:left w:w="108" w:type="dxa"/>
              <w:right w:w="108" w:type="dxa"/>
            </w:tcMar>
          </w:tcPr>
          <w:p w14:paraId="66058EC9" w14:textId="5152A5AD"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Q22,176,804.54</w:t>
            </w:r>
          </w:p>
        </w:tc>
        <w:tc>
          <w:tcPr>
            <w:tcW w:w="1860" w:type="dxa"/>
            <w:tcMar>
              <w:left w:w="108" w:type="dxa"/>
              <w:right w:w="108" w:type="dxa"/>
            </w:tcMar>
          </w:tcPr>
          <w:p w14:paraId="0C3F2700" w14:textId="7CA5716C"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Q16,415,562.40</w:t>
            </w:r>
          </w:p>
        </w:tc>
        <w:tc>
          <w:tcPr>
            <w:tcW w:w="1125" w:type="dxa"/>
            <w:shd w:val="clear" w:color="auto" w:fill="FFFF00"/>
            <w:tcMar>
              <w:left w:w="108" w:type="dxa"/>
              <w:right w:w="108" w:type="dxa"/>
            </w:tcMar>
            <w:vAlign w:val="bottom"/>
          </w:tcPr>
          <w:p w14:paraId="4FC83AFB" w14:textId="7E07829B"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87.11%</w:t>
            </w:r>
          </w:p>
        </w:tc>
        <w:tc>
          <w:tcPr>
            <w:tcW w:w="1275" w:type="dxa"/>
            <w:shd w:val="clear" w:color="auto" w:fill="FFFF00"/>
            <w:tcMar>
              <w:left w:w="108" w:type="dxa"/>
              <w:right w:w="108" w:type="dxa"/>
            </w:tcMar>
            <w:vAlign w:val="bottom"/>
          </w:tcPr>
          <w:p w14:paraId="270B267A" w14:textId="01B56C0E"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74.02%</w:t>
            </w:r>
          </w:p>
        </w:tc>
      </w:tr>
      <w:tr w:rsidR="206F3FAC" w14:paraId="3DF3CA49"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7CC4817B" w14:textId="56F5C402"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Huitán</w:t>
            </w:r>
          </w:p>
        </w:tc>
        <w:tc>
          <w:tcPr>
            <w:tcW w:w="1890" w:type="dxa"/>
            <w:tcMar>
              <w:left w:w="108" w:type="dxa"/>
              <w:right w:w="108" w:type="dxa"/>
            </w:tcMar>
          </w:tcPr>
          <w:p w14:paraId="27206545" w14:textId="0B171DB4"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Q27,702,824.80</w:t>
            </w:r>
          </w:p>
        </w:tc>
        <w:tc>
          <w:tcPr>
            <w:tcW w:w="1860" w:type="dxa"/>
            <w:tcMar>
              <w:left w:w="108" w:type="dxa"/>
              <w:right w:w="108" w:type="dxa"/>
            </w:tcMar>
          </w:tcPr>
          <w:p w14:paraId="12A109E5" w14:textId="303C181D"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Q13,202,104.23</w:t>
            </w:r>
          </w:p>
        </w:tc>
        <w:tc>
          <w:tcPr>
            <w:tcW w:w="1125" w:type="dxa"/>
            <w:shd w:val="clear" w:color="auto" w:fill="FFFF00"/>
            <w:tcMar>
              <w:left w:w="108" w:type="dxa"/>
              <w:right w:w="108" w:type="dxa"/>
            </w:tcMar>
            <w:vAlign w:val="bottom"/>
          </w:tcPr>
          <w:p w14:paraId="0446FDCD" w14:textId="454FCC13"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85.11%</w:t>
            </w:r>
          </w:p>
        </w:tc>
        <w:tc>
          <w:tcPr>
            <w:tcW w:w="1275" w:type="dxa"/>
            <w:shd w:val="clear" w:color="auto" w:fill="C00000"/>
            <w:tcMar>
              <w:left w:w="108" w:type="dxa"/>
              <w:right w:w="108" w:type="dxa"/>
            </w:tcMar>
            <w:vAlign w:val="bottom"/>
          </w:tcPr>
          <w:p w14:paraId="0AD72123" w14:textId="2916EC3B"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47.66%</w:t>
            </w:r>
          </w:p>
        </w:tc>
      </w:tr>
      <w:tr w:rsidR="206F3FAC" w14:paraId="2D83EF56"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09D47A7E" w14:textId="57B335F5"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Salcajá</w:t>
            </w:r>
          </w:p>
        </w:tc>
        <w:tc>
          <w:tcPr>
            <w:tcW w:w="1890" w:type="dxa"/>
            <w:tcMar>
              <w:left w:w="108" w:type="dxa"/>
              <w:right w:w="108" w:type="dxa"/>
            </w:tcMar>
          </w:tcPr>
          <w:p w14:paraId="50104869" w14:textId="629DA913"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Q67,388,824.10</w:t>
            </w:r>
          </w:p>
        </w:tc>
        <w:tc>
          <w:tcPr>
            <w:tcW w:w="1860" w:type="dxa"/>
            <w:tcMar>
              <w:left w:w="108" w:type="dxa"/>
              <w:right w:w="108" w:type="dxa"/>
            </w:tcMar>
          </w:tcPr>
          <w:p w14:paraId="1B6065CE" w14:textId="21663D5B"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Q31,792,963.19</w:t>
            </w:r>
          </w:p>
        </w:tc>
        <w:tc>
          <w:tcPr>
            <w:tcW w:w="1125" w:type="dxa"/>
            <w:shd w:val="clear" w:color="auto" w:fill="FFFF00"/>
            <w:tcMar>
              <w:left w:w="108" w:type="dxa"/>
              <w:right w:w="108" w:type="dxa"/>
            </w:tcMar>
            <w:vAlign w:val="bottom"/>
          </w:tcPr>
          <w:p w14:paraId="53DFFC54" w14:textId="0A815D24"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83.31%</w:t>
            </w:r>
          </w:p>
        </w:tc>
        <w:tc>
          <w:tcPr>
            <w:tcW w:w="1275" w:type="dxa"/>
            <w:shd w:val="clear" w:color="auto" w:fill="C00000"/>
            <w:tcMar>
              <w:left w:w="108" w:type="dxa"/>
              <w:right w:w="108" w:type="dxa"/>
            </w:tcMar>
            <w:vAlign w:val="bottom"/>
          </w:tcPr>
          <w:p w14:paraId="7CF86BBA" w14:textId="0E27046E"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47.18%</w:t>
            </w:r>
          </w:p>
        </w:tc>
      </w:tr>
      <w:tr w:rsidR="206F3FAC" w14:paraId="4871EEB0"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7DE96652" w14:textId="2EBFD4C2"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Almolonga</w:t>
            </w:r>
          </w:p>
        </w:tc>
        <w:tc>
          <w:tcPr>
            <w:tcW w:w="1890" w:type="dxa"/>
            <w:tcMar>
              <w:left w:w="108" w:type="dxa"/>
              <w:right w:w="108" w:type="dxa"/>
            </w:tcMar>
          </w:tcPr>
          <w:p w14:paraId="30F8D1D5" w14:textId="278142BB"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Q17,157,805.60</w:t>
            </w:r>
          </w:p>
        </w:tc>
        <w:tc>
          <w:tcPr>
            <w:tcW w:w="1860" w:type="dxa"/>
            <w:tcMar>
              <w:left w:w="108" w:type="dxa"/>
              <w:right w:w="108" w:type="dxa"/>
            </w:tcMar>
          </w:tcPr>
          <w:p w14:paraId="0D1FBA00" w14:textId="47783D36"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Q14,802,792.21</w:t>
            </w:r>
          </w:p>
        </w:tc>
        <w:tc>
          <w:tcPr>
            <w:tcW w:w="1125" w:type="dxa"/>
            <w:shd w:val="clear" w:color="auto" w:fill="FFFF00"/>
            <w:tcMar>
              <w:left w:w="108" w:type="dxa"/>
              <w:right w:w="108" w:type="dxa"/>
            </w:tcMar>
            <w:vAlign w:val="bottom"/>
          </w:tcPr>
          <w:p w14:paraId="0E39BB16" w14:textId="41A04D01"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82.95%</w:t>
            </w:r>
          </w:p>
        </w:tc>
        <w:tc>
          <w:tcPr>
            <w:tcW w:w="1275" w:type="dxa"/>
            <w:shd w:val="clear" w:color="auto" w:fill="FFFF00"/>
            <w:tcMar>
              <w:left w:w="108" w:type="dxa"/>
              <w:right w:w="108" w:type="dxa"/>
            </w:tcMar>
            <w:vAlign w:val="bottom"/>
          </w:tcPr>
          <w:p w14:paraId="3D3ACF03" w14:textId="45C2B82B"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86.27%</w:t>
            </w:r>
          </w:p>
        </w:tc>
      </w:tr>
      <w:tr w:rsidR="206F3FAC" w14:paraId="78D3A03A"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3CEB1926" w14:textId="7EDC2614"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Coatepeque</w:t>
            </w:r>
          </w:p>
        </w:tc>
        <w:tc>
          <w:tcPr>
            <w:tcW w:w="1890" w:type="dxa"/>
            <w:tcMar>
              <w:left w:w="108" w:type="dxa"/>
              <w:right w:w="108" w:type="dxa"/>
            </w:tcMar>
          </w:tcPr>
          <w:p w14:paraId="37454413" w14:textId="6262BC11"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Q36,029,789.37</w:t>
            </w:r>
          </w:p>
        </w:tc>
        <w:tc>
          <w:tcPr>
            <w:tcW w:w="1860" w:type="dxa"/>
            <w:tcMar>
              <w:left w:w="108" w:type="dxa"/>
              <w:right w:w="108" w:type="dxa"/>
            </w:tcMar>
          </w:tcPr>
          <w:p w14:paraId="0967E01A" w14:textId="2D879377"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Q29,067,596.68</w:t>
            </w:r>
          </w:p>
        </w:tc>
        <w:tc>
          <w:tcPr>
            <w:tcW w:w="1125" w:type="dxa"/>
            <w:shd w:val="clear" w:color="auto" w:fill="FFFF00"/>
            <w:tcMar>
              <w:left w:w="108" w:type="dxa"/>
              <w:right w:w="108" w:type="dxa"/>
            </w:tcMar>
            <w:vAlign w:val="bottom"/>
          </w:tcPr>
          <w:p w14:paraId="04E0430C" w14:textId="175903C3"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81.74%</w:t>
            </w:r>
          </w:p>
        </w:tc>
        <w:tc>
          <w:tcPr>
            <w:tcW w:w="1275" w:type="dxa"/>
            <w:shd w:val="clear" w:color="auto" w:fill="FFFF00"/>
            <w:tcMar>
              <w:left w:w="108" w:type="dxa"/>
              <w:right w:w="108" w:type="dxa"/>
            </w:tcMar>
            <w:vAlign w:val="bottom"/>
          </w:tcPr>
          <w:p w14:paraId="53C97A35" w14:textId="50FB6489"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80.68%</w:t>
            </w:r>
          </w:p>
        </w:tc>
      </w:tr>
      <w:tr w:rsidR="206F3FAC" w14:paraId="2F06033F"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620AF273" w14:textId="56677F29"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Cajolá</w:t>
            </w:r>
          </w:p>
        </w:tc>
        <w:tc>
          <w:tcPr>
            <w:tcW w:w="1890" w:type="dxa"/>
            <w:tcMar>
              <w:left w:w="108" w:type="dxa"/>
              <w:right w:w="108" w:type="dxa"/>
            </w:tcMar>
          </w:tcPr>
          <w:p w14:paraId="2D1DB27A" w14:textId="74B3DCB4"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Q33,684,136.88</w:t>
            </w:r>
          </w:p>
        </w:tc>
        <w:tc>
          <w:tcPr>
            <w:tcW w:w="1860" w:type="dxa"/>
            <w:tcMar>
              <w:left w:w="108" w:type="dxa"/>
              <w:right w:w="108" w:type="dxa"/>
            </w:tcMar>
          </w:tcPr>
          <w:p w14:paraId="1BA255FD" w14:textId="449B6CDE"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Q23,899,311.29</w:t>
            </w:r>
          </w:p>
        </w:tc>
        <w:tc>
          <w:tcPr>
            <w:tcW w:w="1125" w:type="dxa"/>
            <w:shd w:val="clear" w:color="auto" w:fill="FFFF00"/>
            <w:tcMar>
              <w:left w:w="108" w:type="dxa"/>
              <w:right w:w="108" w:type="dxa"/>
            </w:tcMar>
            <w:vAlign w:val="bottom"/>
          </w:tcPr>
          <w:p w14:paraId="3E80DC6E" w14:textId="46F91CD7"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75.45%</w:t>
            </w:r>
          </w:p>
        </w:tc>
        <w:tc>
          <w:tcPr>
            <w:tcW w:w="1275" w:type="dxa"/>
            <w:shd w:val="clear" w:color="auto" w:fill="FFFF00"/>
            <w:tcMar>
              <w:left w:w="108" w:type="dxa"/>
              <w:right w:w="108" w:type="dxa"/>
            </w:tcMar>
            <w:vAlign w:val="bottom"/>
          </w:tcPr>
          <w:p w14:paraId="4718647A" w14:textId="7CEF58B2"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70.95%</w:t>
            </w:r>
          </w:p>
        </w:tc>
      </w:tr>
      <w:tr w:rsidR="206F3FAC" w14:paraId="70A8D74F"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0254AD6C" w14:textId="720059E7"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San Francisco La Unión</w:t>
            </w:r>
          </w:p>
        </w:tc>
        <w:tc>
          <w:tcPr>
            <w:tcW w:w="1890" w:type="dxa"/>
            <w:tcMar>
              <w:left w:w="108" w:type="dxa"/>
              <w:right w:w="108" w:type="dxa"/>
            </w:tcMar>
          </w:tcPr>
          <w:p w14:paraId="2567F0C1" w14:textId="6B280A8B"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Q23,919,715.61</w:t>
            </w:r>
          </w:p>
        </w:tc>
        <w:tc>
          <w:tcPr>
            <w:tcW w:w="1860" w:type="dxa"/>
            <w:tcMar>
              <w:left w:w="108" w:type="dxa"/>
              <w:right w:w="108" w:type="dxa"/>
            </w:tcMar>
          </w:tcPr>
          <w:p w14:paraId="77CED31B" w14:textId="7E348BA3"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Q14,760,858.89</w:t>
            </w:r>
          </w:p>
        </w:tc>
        <w:tc>
          <w:tcPr>
            <w:tcW w:w="1125" w:type="dxa"/>
            <w:shd w:val="clear" w:color="auto" w:fill="FFFF00"/>
            <w:tcMar>
              <w:left w:w="108" w:type="dxa"/>
              <w:right w:w="108" w:type="dxa"/>
            </w:tcMar>
            <w:vAlign w:val="bottom"/>
          </w:tcPr>
          <w:p w14:paraId="08F17B18" w14:textId="11D1D150"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70.08%</w:t>
            </w:r>
          </w:p>
        </w:tc>
        <w:tc>
          <w:tcPr>
            <w:tcW w:w="1275" w:type="dxa"/>
            <w:shd w:val="clear" w:color="auto" w:fill="FFFF00"/>
            <w:tcMar>
              <w:left w:w="108" w:type="dxa"/>
              <w:right w:w="108" w:type="dxa"/>
            </w:tcMar>
            <w:vAlign w:val="bottom"/>
          </w:tcPr>
          <w:p w14:paraId="0AE63EDF" w14:textId="21CEC429"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61.71%</w:t>
            </w:r>
          </w:p>
        </w:tc>
      </w:tr>
      <w:tr w:rsidR="206F3FAC" w14:paraId="02FD85BB"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5D4CE610" w14:textId="15CB6D8F"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San Mateo</w:t>
            </w:r>
          </w:p>
        </w:tc>
        <w:tc>
          <w:tcPr>
            <w:tcW w:w="1890" w:type="dxa"/>
            <w:tcMar>
              <w:left w:w="108" w:type="dxa"/>
              <w:right w:w="108" w:type="dxa"/>
            </w:tcMar>
          </w:tcPr>
          <w:p w14:paraId="46B97A31" w14:textId="7CB6B378"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Q35,382,375.88</w:t>
            </w:r>
          </w:p>
        </w:tc>
        <w:tc>
          <w:tcPr>
            <w:tcW w:w="1860" w:type="dxa"/>
            <w:tcMar>
              <w:left w:w="108" w:type="dxa"/>
              <w:right w:w="108" w:type="dxa"/>
            </w:tcMar>
          </w:tcPr>
          <w:p w14:paraId="06C64764" w14:textId="040C2149"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Q22,287,784.50</w:t>
            </w:r>
          </w:p>
        </w:tc>
        <w:tc>
          <w:tcPr>
            <w:tcW w:w="1125" w:type="dxa"/>
            <w:shd w:val="clear" w:color="auto" w:fill="FFFF00"/>
            <w:tcMar>
              <w:left w:w="108" w:type="dxa"/>
              <w:right w:w="108" w:type="dxa"/>
            </w:tcMar>
            <w:vAlign w:val="bottom"/>
          </w:tcPr>
          <w:p w14:paraId="69340108" w14:textId="4758FCB5"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69.17%</w:t>
            </w:r>
          </w:p>
        </w:tc>
        <w:tc>
          <w:tcPr>
            <w:tcW w:w="1275" w:type="dxa"/>
            <w:shd w:val="clear" w:color="auto" w:fill="FFFF00"/>
            <w:tcMar>
              <w:left w:w="108" w:type="dxa"/>
              <w:right w:w="108" w:type="dxa"/>
            </w:tcMar>
            <w:vAlign w:val="bottom"/>
          </w:tcPr>
          <w:p w14:paraId="455CAB7B" w14:textId="253F9175"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62.99%</w:t>
            </w:r>
          </w:p>
        </w:tc>
      </w:tr>
      <w:tr w:rsidR="206F3FAC" w14:paraId="59562D56"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3D7016A0" w14:textId="2F1A2FFE"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San Martin Sacatepéquez</w:t>
            </w:r>
          </w:p>
        </w:tc>
        <w:tc>
          <w:tcPr>
            <w:tcW w:w="1890" w:type="dxa"/>
            <w:tcMar>
              <w:left w:w="108" w:type="dxa"/>
              <w:right w:w="108" w:type="dxa"/>
            </w:tcMar>
          </w:tcPr>
          <w:p w14:paraId="4206B84E" w14:textId="780DD5A8"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Q18,338,241.86</w:t>
            </w:r>
          </w:p>
        </w:tc>
        <w:tc>
          <w:tcPr>
            <w:tcW w:w="1860" w:type="dxa"/>
            <w:tcMar>
              <w:left w:w="108" w:type="dxa"/>
              <w:right w:w="108" w:type="dxa"/>
            </w:tcMar>
          </w:tcPr>
          <w:p w14:paraId="179CBB20" w14:textId="0D5BE487"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Q12,206,161.51</w:t>
            </w:r>
          </w:p>
        </w:tc>
        <w:tc>
          <w:tcPr>
            <w:tcW w:w="1125" w:type="dxa"/>
            <w:shd w:val="clear" w:color="auto" w:fill="FFFF00"/>
            <w:tcMar>
              <w:left w:w="108" w:type="dxa"/>
              <w:right w:w="108" w:type="dxa"/>
            </w:tcMar>
            <w:vAlign w:val="bottom"/>
          </w:tcPr>
          <w:p w14:paraId="79A86B72" w14:textId="2B734DDA"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68.45%</w:t>
            </w:r>
          </w:p>
        </w:tc>
        <w:tc>
          <w:tcPr>
            <w:tcW w:w="1275" w:type="dxa"/>
            <w:shd w:val="clear" w:color="auto" w:fill="FFFF00"/>
            <w:tcMar>
              <w:left w:w="108" w:type="dxa"/>
              <w:right w:w="108" w:type="dxa"/>
            </w:tcMar>
            <w:vAlign w:val="bottom"/>
          </w:tcPr>
          <w:p w14:paraId="19A250D1" w14:textId="0F766A01"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66.56%</w:t>
            </w:r>
          </w:p>
        </w:tc>
      </w:tr>
      <w:tr w:rsidR="206F3FAC" w14:paraId="3BB453C0"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170CB1FC" w14:textId="0C86B45F"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Concepción Chiquirichapa</w:t>
            </w:r>
          </w:p>
        </w:tc>
        <w:tc>
          <w:tcPr>
            <w:tcW w:w="1890" w:type="dxa"/>
            <w:tcMar>
              <w:left w:w="108" w:type="dxa"/>
              <w:right w:w="108" w:type="dxa"/>
            </w:tcMar>
          </w:tcPr>
          <w:p w14:paraId="245D949D" w14:textId="3A7BB5D0"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Q16,778,235.48</w:t>
            </w:r>
          </w:p>
        </w:tc>
        <w:tc>
          <w:tcPr>
            <w:tcW w:w="1860" w:type="dxa"/>
            <w:tcMar>
              <w:left w:w="108" w:type="dxa"/>
              <w:right w:w="108" w:type="dxa"/>
            </w:tcMar>
          </w:tcPr>
          <w:p w14:paraId="2E0CF186" w14:textId="408DDCA8"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Q7,640,716.79</w:t>
            </w:r>
          </w:p>
        </w:tc>
        <w:tc>
          <w:tcPr>
            <w:tcW w:w="1125" w:type="dxa"/>
            <w:shd w:val="clear" w:color="auto" w:fill="FFFF00"/>
            <w:tcMar>
              <w:left w:w="108" w:type="dxa"/>
              <w:right w:w="108" w:type="dxa"/>
            </w:tcMar>
            <w:vAlign w:val="bottom"/>
          </w:tcPr>
          <w:p w14:paraId="4AC522B4" w14:textId="04BB3AAC"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64.30%</w:t>
            </w:r>
          </w:p>
        </w:tc>
        <w:tc>
          <w:tcPr>
            <w:tcW w:w="1275" w:type="dxa"/>
            <w:shd w:val="clear" w:color="auto" w:fill="C00000"/>
            <w:tcMar>
              <w:left w:w="108" w:type="dxa"/>
              <w:right w:w="108" w:type="dxa"/>
            </w:tcMar>
            <w:vAlign w:val="bottom"/>
          </w:tcPr>
          <w:p w14:paraId="0A5C5E52" w14:textId="28A7443C"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45.54%</w:t>
            </w:r>
          </w:p>
        </w:tc>
      </w:tr>
      <w:tr w:rsidR="206F3FAC" w14:paraId="27CC0F8B"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2DDA6CA6" w14:textId="40FC3A42"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Palestina De Los Altos</w:t>
            </w:r>
          </w:p>
        </w:tc>
        <w:tc>
          <w:tcPr>
            <w:tcW w:w="1890" w:type="dxa"/>
            <w:tcMar>
              <w:left w:w="108" w:type="dxa"/>
              <w:right w:w="108" w:type="dxa"/>
            </w:tcMar>
          </w:tcPr>
          <w:p w14:paraId="591080E2" w14:textId="31586C33"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Q22,400,000.00</w:t>
            </w:r>
          </w:p>
        </w:tc>
        <w:tc>
          <w:tcPr>
            <w:tcW w:w="1860" w:type="dxa"/>
            <w:tcMar>
              <w:left w:w="108" w:type="dxa"/>
              <w:right w:w="108" w:type="dxa"/>
            </w:tcMar>
          </w:tcPr>
          <w:p w14:paraId="25198A14" w14:textId="27D42965"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Q17,112,286.95</w:t>
            </w:r>
          </w:p>
        </w:tc>
        <w:tc>
          <w:tcPr>
            <w:tcW w:w="1125" w:type="dxa"/>
            <w:shd w:val="clear" w:color="auto" w:fill="FFFF00"/>
            <w:tcMar>
              <w:left w:w="108" w:type="dxa"/>
              <w:right w:w="108" w:type="dxa"/>
            </w:tcMar>
            <w:vAlign w:val="bottom"/>
          </w:tcPr>
          <w:p w14:paraId="67800EC9" w14:textId="465B42CB"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63.05%</w:t>
            </w:r>
          </w:p>
        </w:tc>
        <w:tc>
          <w:tcPr>
            <w:tcW w:w="1275" w:type="dxa"/>
            <w:shd w:val="clear" w:color="auto" w:fill="FFFF00"/>
            <w:tcMar>
              <w:left w:w="108" w:type="dxa"/>
              <w:right w:w="108" w:type="dxa"/>
            </w:tcMar>
            <w:vAlign w:val="bottom"/>
          </w:tcPr>
          <w:p w14:paraId="205D0831" w14:textId="1451F6A2"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76.39%</w:t>
            </w:r>
          </w:p>
        </w:tc>
      </w:tr>
      <w:tr w:rsidR="206F3FAC" w14:paraId="6A70FAEC"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41E368D6" w14:textId="54E4E2DD"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San Miguel Sigüilá</w:t>
            </w:r>
          </w:p>
        </w:tc>
        <w:tc>
          <w:tcPr>
            <w:tcW w:w="1890" w:type="dxa"/>
            <w:tcMar>
              <w:left w:w="108" w:type="dxa"/>
              <w:right w:w="108" w:type="dxa"/>
            </w:tcMar>
          </w:tcPr>
          <w:p w14:paraId="0ACFD9B4" w14:textId="658E5FC1"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Q9,304,655.75</w:t>
            </w:r>
          </w:p>
        </w:tc>
        <w:tc>
          <w:tcPr>
            <w:tcW w:w="1860" w:type="dxa"/>
            <w:tcMar>
              <w:left w:w="108" w:type="dxa"/>
              <w:right w:w="108" w:type="dxa"/>
            </w:tcMar>
          </w:tcPr>
          <w:p w14:paraId="76DAD773" w14:textId="5B8CB704"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Q5,202,026.93</w:t>
            </w:r>
          </w:p>
        </w:tc>
        <w:tc>
          <w:tcPr>
            <w:tcW w:w="1125" w:type="dxa"/>
            <w:shd w:val="clear" w:color="auto" w:fill="FFFF00"/>
            <w:tcMar>
              <w:left w:w="108" w:type="dxa"/>
              <w:right w:w="108" w:type="dxa"/>
            </w:tcMar>
            <w:vAlign w:val="bottom"/>
          </w:tcPr>
          <w:p w14:paraId="14EDF434" w14:textId="6E44973C"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61.52%</w:t>
            </w:r>
          </w:p>
        </w:tc>
        <w:tc>
          <w:tcPr>
            <w:tcW w:w="1275" w:type="dxa"/>
            <w:shd w:val="clear" w:color="auto" w:fill="FFFF00"/>
            <w:tcMar>
              <w:left w:w="108" w:type="dxa"/>
              <w:right w:w="108" w:type="dxa"/>
            </w:tcMar>
            <w:vAlign w:val="bottom"/>
          </w:tcPr>
          <w:p w14:paraId="47D08BF3" w14:textId="5D8D39F1"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55.91%</w:t>
            </w:r>
          </w:p>
        </w:tc>
      </w:tr>
      <w:tr w:rsidR="206F3FAC" w14:paraId="1D258CA1"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1DAEEEE8" w14:textId="1BFBB098"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Génova</w:t>
            </w:r>
          </w:p>
        </w:tc>
        <w:tc>
          <w:tcPr>
            <w:tcW w:w="1890" w:type="dxa"/>
            <w:tcMar>
              <w:left w:w="108" w:type="dxa"/>
              <w:right w:w="108" w:type="dxa"/>
            </w:tcMar>
          </w:tcPr>
          <w:p w14:paraId="102306DD" w14:textId="19244C91"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Q11,881,900.00</w:t>
            </w:r>
          </w:p>
        </w:tc>
        <w:tc>
          <w:tcPr>
            <w:tcW w:w="1860" w:type="dxa"/>
            <w:tcMar>
              <w:left w:w="108" w:type="dxa"/>
              <w:right w:w="108" w:type="dxa"/>
            </w:tcMar>
          </w:tcPr>
          <w:p w14:paraId="7A02E9DB" w14:textId="3467E641"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Q5,268,000.00</w:t>
            </w:r>
          </w:p>
        </w:tc>
        <w:tc>
          <w:tcPr>
            <w:tcW w:w="1125" w:type="dxa"/>
            <w:shd w:val="clear" w:color="auto" w:fill="C00000"/>
            <w:tcMar>
              <w:left w:w="108" w:type="dxa"/>
              <w:right w:w="108" w:type="dxa"/>
            </w:tcMar>
            <w:vAlign w:val="bottom"/>
          </w:tcPr>
          <w:p w14:paraId="4D31C977" w14:textId="0F5CA5A7"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49.94%</w:t>
            </w:r>
          </w:p>
        </w:tc>
        <w:tc>
          <w:tcPr>
            <w:tcW w:w="1275" w:type="dxa"/>
            <w:shd w:val="clear" w:color="auto" w:fill="C00000"/>
            <w:tcMar>
              <w:left w:w="108" w:type="dxa"/>
              <w:right w:w="108" w:type="dxa"/>
            </w:tcMar>
            <w:vAlign w:val="bottom"/>
          </w:tcPr>
          <w:p w14:paraId="49E7CDDD" w14:textId="5F638812"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44.34%</w:t>
            </w:r>
          </w:p>
        </w:tc>
      </w:tr>
      <w:tr w:rsidR="206F3FAC" w14:paraId="1CBEB3D8"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577C45D9" w14:textId="06291A77"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Flores Costa Cuca</w:t>
            </w:r>
          </w:p>
        </w:tc>
        <w:tc>
          <w:tcPr>
            <w:tcW w:w="1890" w:type="dxa"/>
            <w:tcMar>
              <w:left w:w="108" w:type="dxa"/>
              <w:right w:w="108" w:type="dxa"/>
            </w:tcMar>
          </w:tcPr>
          <w:p w14:paraId="02E07DB8" w14:textId="38B9D8BA"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Q13,466,944.00</w:t>
            </w:r>
          </w:p>
        </w:tc>
        <w:tc>
          <w:tcPr>
            <w:tcW w:w="1860" w:type="dxa"/>
            <w:tcMar>
              <w:left w:w="108" w:type="dxa"/>
              <w:right w:w="108" w:type="dxa"/>
            </w:tcMar>
          </w:tcPr>
          <w:p w14:paraId="0BD7ADA8" w14:textId="67B4A63D"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Q9,412,113.72</w:t>
            </w:r>
          </w:p>
        </w:tc>
        <w:tc>
          <w:tcPr>
            <w:tcW w:w="1125" w:type="dxa"/>
            <w:shd w:val="clear" w:color="auto" w:fill="C00000"/>
            <w:tcMar>
              <w:left w:w="108" w:type="dxa"/>
              <w:right w:w="108" w:type="dxa"/>
            </w:tcMar>
            <w:vAlign w:val="bottom"/>
          </w:tcPr>
          <w:p w14:paraId="2926E062" w14:textId="641AD725"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47.57%</w:t>
            </w:r>
          </w:p>
        </w:tc>
        <w:tc>
          <w:tcPr>
            <w:tcW w:w="1275" w:type="dxa"/>
            <w:shd w:val="clear" w:color="auto" w:fill="FFFF00"/>
            <w:tcMar>
              <w:left w:w="108" w:type="dxa"/>
              <w:right w:w="108" w:type="dxa"/>
            </w:tcMar>
            <w:vAlign w:val="bottom"/>
          </w:tcPr>
          <w:p w14:paraId="1A4479D4" w14:textId="02127FEB"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69.89%</w:t>
            </w:r>
          </w:p>
        </w:tc>
      </w:tr>
      <w:tr w:rsidR="206F3FAC" w14:paraId="722247E7"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092E4155" w14:textId="0C342E43"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Quetzaltenango</w:t>
            </w:r>
          </w:p>
        </w:tc>
        <w:tc>
          <w:tcPr>
            <w:tcW w:w="1890" w:type="dxa"/>
            <w:tcMar>
              <w:left w:w="108" w:type="dxa"/>
              <w:right w:w="108" w:type="dxa"/>
            </w:tcMar>
          </w:tcPr>
          <w:p w14:paraId="7F84FA24" w14:textId="31CC14E6"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Q238,282,736.29</w:t>
            </w:r>
          </w:p>
        </w:tc>
        <w:tc>
          <w:tcPr>
            <w:tcW w:w="1860" w:type="dxa"/>
            <w:tcMar>
              <w:left w:w="108" w:type="dxa"/>
              <w:right w:w="108" w:type="dxa"/>
            </w:tcMar>
          </w:tcPr>
          <w:p w14:paraId="4FC511F6" w14:textId="2EBE6C14"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Q97,289,159.43</w:t>
            </w:r>
          </w:p>
        </w:tc>
        <w:tc>
          <w:tcPr>
            <w:tcW w:w="1125" w:type="dxa"/>
            <w:shd w:val="clear" w:color="auto" w:fill="C00000"/>
            <w:tcMar>
              <w:left w:w="108" w:type="dxa"/>
              <w:right w:w="108" w:type="dxa"/>
            </w:tcMar>
            <w:vAlign w:val="bottom"/>
          </w:tcPr>
          <w:p w14:paraId="4933E40B" w14:textId="61F6A051"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39.43%</w:t>
            </w:r>
          </w:p>
        </w:tc>
        <w:tc>
          <w:tcPr>
            <w:tcW w:w="1275" w:type="dxa"/>
            <w:shd w:val="clear" w:color="auto" w:fill="C00000"/>
            <w:tcMar>
              <w:left w:w="108" w:type="dxa"/>
              <w:right w:w="108" w:type="dxa"/>
            </w:tcMar>
            <w:vAlign w:val="bottom"/>
          </w:tcPr>
          <w:p w14:paraId="17659A72" w14:textId="177F9A58"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40.83%</w:t>
            </w:r>
          </w:p>
        </w:tc>
      </w:tr>
      <w:tr w:rsidR="206F3FAC" w14:paraId="5E565561"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71FCB09F" w14:textId="7D32E14F"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Colomba</w:t>
            </w:r>
          </w:p>
        </w:tc>
        <w:tc>
          <w:tcPr>
            <w:tcW w:w="1890" w:type="dxa"/>
            <w:tcMar>
              <w:left w:w="108" w:type="dxa"/>
              <w:right w:w="108" w:type="dxa"/>
            </w:tcMar>
          </w:tcPr>
          <w:p w14:paraId="1819975F" w14:textId="7132AAE3"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Q17,391,447.65</w:t>
            </w:r>
          </w:p>
        </w:tc>
        <w:tc>
          <w:tcPr>
            <w:tcW w:w="1860" w:type="dxa"/>
            <w:tcMar>
              <w:left w:w="108" w:type="dxa"/>
              <w:right w:w="108" w:type="dxa"/>
            </w:tcMar>
          </w:tcPr>
          <w:p w14:paraId="452CDB0A" w14:textId="3273166C"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Q12,417,914.85</w:t>
            </w:r>
          </w:p>
        </w:tc>
        <w:tc>
          <w:tcPr>
            <w:tcW w:w="1125" w:type="dxa"/>
            <w:shd w:val="clear" w:color="auto" w:fill="C00000"/>
            <w:tcMar>
              <w:left w:w="108" w:type="dxa"/>
              <w:right w:w="108" w:type="dxa"/>
            </w:tcMar>
            <w:vAlign w:val="bottom"/>
          </w:tcPr>
          <w:p w14:paraId="5C522F0D" w14:textId="6094D6A3"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39.00%</w:t>
            </w:r>
          </w:p>
        </w:tc>
        <w:tc>
          <w:tcPr>
            <w:tcW w:w="1275" w:type="dxa"/>
            <w:shd w:val="clear" w:color="auto" w:fill="FFFF00"/>
            <w:tcMar>
              <w:left w:w="108" w:type="dxa"/>
              <w:right w:w="108" w:type="dxa"/>
            </w:tcMar>
            <w:vAlign w:val="bottom"/>
          </w:tcPr>
          <w:p w14:paraId="59B1B916" w14:textId="0D01C7E1"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71.40%</w:t>
            </w:r>
          </w:p>
        </w:tc>
      </w:tr>
      <w:tr w:rsidR="206F3FAC" w14:paraId="6DA9AA83" w14:textId="77777777" w:rsidTr="002F4F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11A1B2DF" w14:textId="030559FC"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Sibilia</w:t>
            </w:r>
          </w:p>
        </w:tc>
        <w:tc>
          <w:tcPr>
            <w:tcW w:w="1890" w:type="dxa"/>
            <w:tcMar>
              <w:left w:w="108" w:type="dxa"/>
              <w:right w:w="108" w:type="dxa"/>
            </w:tcMar>
          </w:tcPr>
          <w:p w14:paraId="6AC265CD" w14:textId="4DCE5F86"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Q7,124,785.00</w:t>
            </w:r>
          </w:p>
        </w:tc>
        <w:tc>
          <w:tcPr>
            <w:tcW w:w="1860" w:type="dxa"/>
            <w:tcMar>
              <w:left w:w="108" w:type="dxa"/>
              <w:right w:w="108" w:type="dxa"/>
            </w:tcMar>
          </w:tcPr>
          <w:p w14:paraId="0E8E1288" w14:textId="5149F0CF"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Q0.00</w:t>
            </w:r>
          </w:p>
        </w:tc>
        <w:tc>
          <w:tcPr>
            <w:tcW w:w="1125" w:type="dxa"/>
            <w:shd w:val="clear" w:color="auto" w:fill="C00000"/>
            <w:tcMar>
              <w:left w:w="108" w:type="dxa"/>
              <w:right w:w="108" w:type="dxa"/>
            </w:tcMar>
            <w:vAlign w:val="bottom"/>
          </w:tcPr>
          <w:p w14:paraId="15C4818F" w14:textId="5C2628E7"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0.00%</w:t>
            </w:r>
          </w:p>
        </w:tc>
        <w:tc>
          <w:tcPr>
            <w:tcW w:w="1275" w:type="dxa"/>
            <w:shd w:val="clear" w:color="auto" w:fill="C00000"/>
            <w:tcMar>
              <w:left w:w="108" w:type="dxa"/>
              <w:right w:w="108" w:type="dxa"/>
            </w:tcMar>
            <w:vAlign w:val="bottom"/>
          </w:tcPr>
          <w:p w14:paraId="5E0B8127" w14:textId="333A19DB" w:rsidR="206F3FAC" w:rsidRDefault="206F3FAC" w:rsidP="206F3FAC">
            <w:pPr>
              <w:jc w:val="right"/>
              <w:cnfStyle w:val="000000100000" w:firstRow="0" w:lastRow="0" w:firstColumn="0" w:lastColumn="0" w:oddVBand="0" w:evenVBand="0" w:oddHBand="1" w:evenHBand="0" w:firstRowFirstColumn="0" w:firstRowLastColumn="0" w:lastRowFirstColumn="0" w:lastRowLastColumn="0"/>
            </w:pPr>
            <w:r w:rsidRPr="206F3FAC">
              <w:rPr>
                <w:rFonts w:ascii="Calibri" w:eastAsia="Calibri" w:hAnsi="Calibri" w:cs="Calibri"/>
                <w:color w:val="000000" w:themeColor="text1"/>
              </w:rPr>
              <w:t>0.00%</w:t>
            </w:r>
          </w:p>
        </w:tc>
      </w:tr>
      <w:tr w:rsidR="206F3FAC" w14:paraId="5BF5CAD0" w14:textId="77777777" w:rsidTr="002F4FE3">
        <w:trPr>
          <w:trHeight w:val="300"/>
        </w:trPr>
        <w:tc>
          <w:tcPr>
            <w:cnfStyle w:val="001000000000" w:firstRow="0" w:lastRow="0" w:firstColumn="1" w:lastColumn="0" w:oddVBand="0" w:evenVBand="0" w:oddHBand="0" w:evenHBand="0" w:firstRowFirstColumn="0" w:firstRowLastColumn="0" w:lastRowFirstColumn="0" w:lastRowLastColumn="0"/>
            <w:tcW w:w="3240" w:type="dxa"/>
            <w:tcMar>
              <w:left w:w="108" w:type="dxa"/>
              <w:right w:w="108" w:type="dxa"/>
            </w:tcMar>
          </w:tcPr>
          <w:p w14:paraId="5C3C3D03" w14:textId="16B3E711" w:rsidR="206F3FAC" w:rsidRDefault="206F3FAC" w:rsidP="206F3FAC">
            <w:pPr>
              <w:rPr>
                <w:rFonts w:ascii="Calibri" w:eastAsia="Calibri" w:hAnsi="Calibri" w:cs="Calibri"/>
                <w:b w:val="0"/>
                <w:bCs w:val="0"/>
                <w:color w:val="000000" w:themeColor="text1"/>
              </w:rPr>
            </w:pPr>
            <w:r w:rsidRPr="206F3FAC">
              <w:rPr>
                <w:rFonts w:ascii="Calibri" w:eastAsia="Calibri" w:hAnsi="Calibri" w:cs="Calibri"/>
                <w:b w:val="0"/>
                <w:bCs w:val="0"/>
                <w:color w:val="000000" w:themeColor="text1"/>
              </w:rPr>
              <w:t>San Carlos Sija</w:t>
            </w:r>
          </w:p>
        </w:tc>
        <w:tc>
          <w:tcPr>
            <w:tcW w:w="1890" w:type="dxa"/>
            <w:tcMar>
              <w:left w:w="108" w:type="dxa"/>
              <w:right w:w="108" w:type="dxa"/>
            </w:tcMar>
          </w:tcPr>
          <w:p w14:paraId="20015C57" w14:textId="2AAC2B24"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Q0.00</w:t>
            </w:r>
          </w:p>
        </w:tc>
        <w:tc>
          <w:tcPr>
            <w:tcW w:w="1860" w:type="dxa"/>
            <w:tcMar>
              <w:left w:w="108" w:type="dxa"/>
              <w:right w:w="108" w:type="dxa"/>
            </w:tcMar>
          </w:tcPr>
          <w:p w14:paraId="24AB241C" w14:textId="52F47819"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Q0.00</w:t>
            </w:r>
          </w:p>
        </w:tc>
        <w:tc>
          <w:tcPr>
            <w:tcW w:w="1125" w:type="dxa"/>
            <w:shd w:val="clear" w:color="auto" w:fill="C00000"/>
            <w:tcMar>
              <w:left w:w="108" w:type="dxa"/>
              <w:right w:w="108" w:type="dxa"/>
            </w:tcMar>
            <w:vAlign w:val="bottom"/>
          </w:tcPr>
          <w:p w14:paraId="1035B931" w14:textId="43DFE423"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0.00%</w:t>
            </w:r>
          </w:p>
        </w:tc>
        <w:tc>
          <w:tcPr>
            <w:tcW w:w="1275" w:type="dxa"/>
            <w:shd w:val="clear" w:color="auto" w:fill="C00000"/>
            <w:tcMar>
              <w:left w:w="108" w:type="dxa"/>
              <w:right w:w="108" w:type="dxa"/>
            </w:tcMar>
            <w:vAlign w:val="bottom"/>
          </w:tcPr>
          <w:p w14:paraId="6EC3B368" w14:textId="7289391C" w:rsidR="206F3FAC" w:rsidRDefault="206F3FAC" w:rsidP="206F3FAC">
            <w:pPr>
              <w:jc w:val="right"/>
              <w:cnfStyle w:val="000000000000" w:firstRow="0" w:lastRow="0" w:firstColumn="0" w:lastColumn="0" w:oddVBand="0" w:evenVBand="0" w:oddHBand="0" w:evenHBand="0" w:firstRowFirstColumn="0" w:firstRowLastColumn="0" w:lastRowFirstColumn="0" w:lastRowLastColumn="0"/>
            </w:pPr>
            <w:r w:rsidRPr="206F3FAC">
              <w:rPr>
                <w:rFonts w:ascii="Calibri" w:eastAsia="Calibri" w:hAnsi="Calibri" w:cs="Calibri"/>
                <w:color w:val="000000" w:themeColor="text1"/>
              </w:rPr>
              <w:t>0.00%</w:t>
            </w:r>
          </w:p>
        </w:tc>
      </w:tr>
    </w:tbl>
    <w:p w14:paraId="4575C7F2" w14:textId="1848AC18" w:rsidR="00693BD9" w:rsidRPr="003051CD" w:rsidRDefault="206F3FAC" w:rsidP="002F4FE3">
      <w:pPr>
        <w:autoSpaceDE w:val="0"/>
        <w:autoSpaceDN w:val="0"/>
        <w:adjustRightInd w:val="0"/>
        <w:spacing w:after="120" w:line="240" w:lineRule="auto"/>
        <w:jc w:val="both"/>
        <w:rPr>
          <w:rFonts w:ascii="Helvetica" w:eastAsia="Times New Roman" w:hAnsi="Helvetica" w:cs="Helvetica"/>
          <w:sz w:val="18"/>
          <w:szCs w:val="18"/>
          <w:lang w:val="es-ES"/>
        </w:rPr>
      </w:pPr>
      <w:r w:rsidRPr="206F3FAC">
        <w:rPr>
          <w:rFonts w:eastAsiaTheme="minorEastAsia"/>
          <w:sz w:val="18"/>
          <w:szCs w:val="18"/>
          <w:lang w:val="es-ES"/>
        </w:rPr>
        <w:t>Fuente: Siplangl, III informe cuatrimestral y acumulado. Año 2022.</w:t>
      </w:r>
    </w:p>
    <w:p w14:paraId="0F13BB72" w14:textId="69837E9D" w:rsidR="00693BD9" w:rsidRPr="002F4FE3" w:rsidRDefault="00693BD9" w:rsidP="002F4FE3">
      <w:pPr>
        <w:autoSpaceDE w:val="0"/>
        <w:autoSpaceDN w:val="0"/>
        <w:adjustRightInd w:val="0"/>
        <w:spacing w:after="120" w:line="240" w:lineRule="auto"/>
        <w:jc w:val="both"/>
        <w:rPr>
          <w:rFonts w:eastAsia="Times New Roman" w:cstheme="minorHAnsi"/>
          <w:b/>
          <w:color w:val="002060"/>
          <w:sz w:val="28"/>
          <w:szCs w:val="28"/>
          <w:lang w:val="es-ES"/>
        </w:rPr>
      </w:pPr>
      <w:r w:rsidRPr="002F4FE3">
        <w:rPr>
          <w:rFonts w:eastAsia="Times New Roman" w:cstheme="minorHAnsi"/>
          <w:b/>
          <w:color w:val="002060"/>
          <w:sz w:val="28"/>
          <w:szCs w:val="28"/>
          <w:lang w:val="es-ES"/>
        </w:rPr>
        <w:t xml:space="preserve">Modificaciones al POA </w:t>
      </w:r>
      <w:r w:rsidR="00BD1BD3" w:rsidRPr="002F4FE3">
        <w:rPr>
          <w:rFonts w:eastAsia="Times New Roman" w:cstheme="minorHAnsi"/>
          <w:b/>
          <w:color w:val="002060"/>
          <w:sz w:val="28"/>
          <w:szCs w:val="28"/>
          <w:lang w:val="es-ES"/>
        </w:rPr>
        <w:t>2022</w:t>
      </w:r>
    </w:p>
    <w:p w14:paraId="2A2771D5" w14:textId="2DA2A79D" w:rsidR="0019448B" w:rsidRDefault="1041AE5A" w:rsidP="009D6FE0">
      <w:pPr>
        <w:autoSpaceDE w:val="0"/>
        <w:autoSpaceDN w:val="0"/>
        <w:adjustRightInd w:val="0"/>
        <w:spacing w:after="120" w:line="240" w:lineRule="auto"/>
        <w:jc w:val="both"/>
        <w:rPr>
          <w:rFonts w:ascii="Helvetica" w:eastAsia="Helvetica" w:hAnsi="Helvetica" w:cs="Helvetica"/>
          <w:sz w:val="24"/>
          <w:szCs w:val="24"/>
          <w:lang w:val="es"/>
        </w:rPr>
      </w:pPr>
      <w:r w:rsidRPr="002F4FE3">
        <w:rPr>
          <w:rFonts w:eastAsia="Helvetica" w:cstheme="minorHAnsi"/>
          <w:sz w:val="24"/>
          <w:szCs w:val="24"/>
          <w:lang w:val="es"/>
        </w:rPr>
        <w:t>En el sistema de Siplangl, las municipalidades realizaron varias modificaciones a las intervenciones del POA 2022, siendo un total de 5,042 reprogramaciones financieras y 2,958 reprogramaciones físicas. Después de ese ejercicio, el presupuesto general mostrado en Siplangl, aumentó cerca de un mil millones de quetzales. Ver siguiente gráfica.</w:t>
      </w:r>
    </w:p>
    <w:p w14:paraId="0F2CF527" w14:textId="67DCC61F" w:rsidR="00693BD9" w:rsidRPr="009D6FE0" w:rsidRDefault="1041AE5A" w:rsidP="00DF1971">
      <w:pPr>
        <w:pStyle w:val="ttulosgrficas"/>
        <w:rPr>
          <w:rFonts w:asciiTheme="minorHAnsi" w:eastAsia="Times New Roman" w:hAnsiTheme="minorHAnsi" w:cstheme="minorHAnsi"/>
          <w:color w:val="4472C4" w:themeColor="accent1"/>
          <w:lang w:val="es-ES"/>
        </w:rPr>
      </w:pPr>
      <w:bookmarkStart w:id="81" w:name="_Toc130204476"/>
      <w:r w:rsidRPr="009D6FE0">
        <w:rPr>
          <w:rFonts w:asciiTheme="minorHAnsi" w:eastAsia="Times New Roman" w:hAnsiTheme="minorHAnsi" w:cstheme="minorHAnsi"/>
          <w:color w:val="4472C4" w:themeColor="accent1"/>
          <w:lang w:val="es-ES"/>
        </w:rPr>
        <w:t xml:space="preserve">Gráfica </w:t>
      </w:r>
      <w:r w:rsidR="00461769" w:rsidRPr="009D6FE0">
        <w:rPr>
          <w:rFonts w:asciiTheme="minorHAnsi" w:eastAsia="Times New Roman" w:hAnsiTheme="minorHAnsi" w:cstheme="minorHAnsi"/>
          <w:color w:val="4472C4" w:themeColor="accent1"/>
          <w:lang w:val="es-ES"/>
        </w:rPr>
        <w:fldChar w:fldCharType="begin"/>
      </w:r>
      <w:r w:rsidR="00461769" w:rsidRPr="009D6FE0">
        <w:rPr>
          <w:rFonts w:asciiTheme="minorHAnsi" w:eastAsia="Times New Roman" w:hAnsiTheme="minorHAnsi" w:cstheme="minorHAnsi"/>
          <w:color w:val="4472C4" w:themeColor="accent1"/>
          <w:lang w:val="es-ES"/>
        </w:rPr>
        <w:instrText xml:space="preserve"> SEQ Gráfica \* ARABIC </w:instrText>
      </w:r>
      <w:r w:rsidR="00461769" w:rsidRPr="009D6FE0">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8</w:t>
      </w:r>
      <w:r w:rsidR="00461769" w:rsidRPr="009D6FE0">
        <w:rPr>
          <w:rFonts w:asciiTheme="minorHAnsi" w:eastAsia="Times New Roman" w:hAnsiTheme="minorHAnsi" w:cstheme="minorHAnsi"/>
          <w:color w:val="4472C4" w:themeColor="accent1"/>
          <w:lang w:val="es-ES"/>
        </w:rPr>
        <w:fldChar w:fldCharType="end"/>
      </w:r>
      <w:r w:rsidR="007A6B50">
        <w:rPr>
          <w:rFonts w:asciiTheme="minorHAnsi" w:eastAsia="Times New Roman" w:hAnsiTheme="minorHAnsi" w:cstheme="minorHAnsi"/>
          <w:color w:val="4472C4" w:themeColor="accent1"/>
          <w:lang w:val="es-ES"/>
        </w:rPr>
        <w:t>.</w:t>
      </w:r>
      <w:r w:rsidRPr="009D6FE0">
        <w:rPr>
          <w:rFonts w:asciiTheme="minorHAnsi" w:eastAsia="Times New Roman" w:hAnsiTheme="minorHAnsi" w:cstheme="minorHAnsi"/>
          <w:color w:val="4472C4" w:themeColor="accent1"/>
          <w:lang w:val="es-ES"/>
        </w:rPr>
        <w:t xml:space="preserve"> Número de Modificaciones al POA 2022, por departamento</w:t>
      </w:r>
      <w:bookmarkEnd w:id="81"/>
    </w:p>
    <w:p w14:paraId="63B5C3C8" w14:textId="5587467E" w:rsidR="000A7378" w:rsidRDefault="000A7378" w:rsidP="1041AE5A">
      <w:pPr>
        <w:rPr>
          <w:rFonts w:ascii="Helvetica" w:eastAsia="Times New Roman" w:hAnsi="Helvetica" w:cs="Helvetica"/>
          <w:sz w:val="18"/>
          <w:szCs w:val="18"/>
          <w:lang w:val="es-ES"/>
        </w:rPr>
      </w:pPr>
      <w:r>
        <w:rPr>
          <w:noProof/>
        </w:rPr>
        <w:drawing>
          <wp:inline distT="0" distB="0" distL="0" distR="0" wp14:anchorId="1DE7C4BD" wp14:editId="67515B46">
            <wp:extent cx="5924550" cy="2740104"/>
            <wp:effectExtent l="0" t="0" r="0" b="0"/>
            <wp:docPr id="900196887" name="Imagen 90019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24550" cy="2740104"/>
                    </a:xfrm>
                    <a:prstGeom prst="rect">
                      <a:avLst/>
                    </a:prstGeom>
                  </pic:spPr>
                </pic:pic>
              </a:graphicData>
            </a:graphic>
          </wp:inline>
        </w:drawing>
      </w:r>
      <w:r w:rsidR="1041AE5A" w:rsidRPr="00EA3448">
        <w:rPr>
          <w:rFonts w:eastAsia="Times New Roman" w:cstheme="minorHAnsi"/>
          <w:sz w:val="18"/>
          <w:szCs w:val="18"/>
          <w:lang w:val="es-ES"/>
        </w:rPr>
        <w:t>Fuente: Siplangl, III informe cuatrimestral y acumulado. Año 2022.</w:t>
      </w:r>
    </w:p>
    <w:p w14:paraId="7B2BE843" w14:textId="659A0247" w:rsidR="000A7378" w:rsidRDefault="000A7378" w:rsidP="00693BD9">
      <w:pPr>
        <w:rPr>
          <w:rFonts w:ascii="Helvetica" w:eastAsia="Times New Roman" w:hAnsi="Helvetica" w:cs="Helvetica"/>
          <w:sz w:val="18"/>
          <w:szCs w:val="18"/>
          <w:lang w:val="es-ES"/>
        </w:rPr>
      </w:pPr>
    </w:p>
    <w:p w14:paraId="60564485" w14:textId="3364691F" w:rsidR="0093034A" w:rsidRDefault="0093034A" w:rsidP="00693BD9">
      <w:pPr>
        <w:rPr>
          <w:rFonts w:ascii="Helvetica" w:eastAsia="Times New Roman" w:hAnsi="Helvetica" w:cs="Helvetica"/>
          <w:sz w:val="18"/>
          <w:szCs w:val="18"/>
          <w:lang w:val="es-ES"/>
        </w:rPr>
      </w:pPr>
    </w:p>
    <w:p w14:paraId="2E21A886" w14:textId="71BD8076" w:rsidR="0093034A" w:rsidRDefault="0093034A" w:rsidP="00693BD9">
      <w:pPr>
        <w:rPr>
          <w:rFonts w:ascii="Helvetica" w:eastAsia="Times New Roman" w:hAnsi="Helvetica" w:cs="Helvetica"/>
          <w:sz w:val="18"/>
          <w:szCs w:val="18"/>
          <w:lang w:val="es-ES"/>
        </w:rPr>
      </w:pPr>
    </w:p>
    <w:p w14:paraId="0DF62435" w14:textId="36D7CA1D" w:rsidR="00E15871" w:rsidRDefault="00E15871" w:rsidP="00693BD9">
      <w:pPr>
        <w:rPr>
          <w:rFonts w:ascii="Helvetica" w:eastAsia="Times New Roman" w:hAnsi="Helvetica" w:cs="Helvetica"/>
          <w:sz w:val="18"/>
          <w:szCs w:val="18"/>
          <w:lang w:val="es-ES"/>
        </w:rPr>
      </w:pPr>
    </w:p>
    <w:p w14:paraId="0F71919B" w14:textId="12EB9D56" w:rsidR="00E15871" w:rsidRDefault="00E15871" w:rsidP="00693BD9">
      <w:pPr>
        <w:rPr>
          <w:rFonts w:ascii="Helvetica" w:eastAsia="Times New Roman" w:hAnsi="Helvetica" w:cs="Helvetica"/>
          <w:sz w:val="18"/>
          <w:szCs w:val="18"/>
          <w:lang w:val="es-ES"/>
        </w:rPr>
      </w:pPr>
    </w:p>
    <w:p w14:paraId="73FF9E4B" w14:textId="306889F9" w:rsidR="00E15871" w:rsidRDefault="00E15871" w:rsidP="00693BD9">
      <w:pPr>
        <w:rPr>
          <w:rFonts w:ascii="Helvetica" w:eastAsia="Times New Roman" w:hAnsi="Helvetica" w:cs="Helvetica"/>
          <w:sz w:val="18"/>
          <w:szCs w:val="18"/>
          <w:lang w:val="es-ES"/>
        </w:rPr>
      </w:pPr>
    </w:p>
    <w:p w14:paraId="3581F07F" w14:textId="77777777" w:rsidR="00E15871" w:rsidRDefault="00E15871" w:rsidP="00693BD9">
      <w:pPr>
        <w:rPr>
          <w:rFonts w:ascii="Helvetica" w:eastAsia="Times New Roman" w:hAnsi="Helvetica" w:cs="Helvetica"/>
          <w:sz w:val="18"/>
          <w:szCs w:val="18"/>
          <w:lang w:val="es-ES"/>
        </w:rPr>
      </w:pPr>
    </w:p>
    <w:p w14:paraId="1E438108" w14:textId="77777777" w:rsidR="0093034A" w:rsidRDefault="0093034A" w:rsidP="00693BD9">
      <w:pPr>
        <w:rPr>
          <w:rFonts w:ascii="Helvetica" w:eastAsia="Times New Roman" w:hAnsi="Helvetica" w:cs="Helvetica"/>
          <w:sz w:val="18"/>
          <w:szCs w:val="18"/>
          <w:lang w:val="es-ES"/>
        </w:rPr>
      </w:pPr>
    </w:p>
    <w:p w14:paraId="0B243FD8" w14:textId="3E441049" w:rsidR="00F85BD4" w:rsidRPr="007A6B50" w:rsidRDefault="72A5A7BC" w:rsidP="00644EA2">
      <w:pPr>
        <w:pStyle w:val="Ttulo1"/>
        <w:numPr>
          <w:ilvl w:val="0"/>
          <w:numId w:val="105"/>
        </w:numPr>
        <w:ind w:left="284"/>
        <w:rPr>
          <w:rFonts w:asciiTheme="minorHAnsi" w:hAnsiTheme="minorHAnsi" w:cstheme="minorHAnsi"/>
        </w:rPr>
      </w:pPr>
      <w:bookmarkStart w:id="82" w:name="_Toc130301109"/>
      <w:r w:rsidRPr="007A6B50">
        <w:rPr>
          <w:rFonts w:asciiTheme="minorHAnsi" w:hAnsiTheme="minorHAnsi" w:cstheme="minorHAnsi"/>
        </w:rPr>
        <w:t xml:space="preserve">Avance de metas y cumplimiento de la calidad del gasto en la </w:t>
      </w:r>
      <w:r w:rsidR="003276FD">
        <w:rPr>
          <w:rFonts w:asciiTheme="minorHAnsi" w:hAnsiTheme="minorHAnsi" w:cstheme="minorHAnsi"/>
        </w:rPr>
        <w:t>I</w:t>
      </w:r>
      <w:r w:rsidRPr="007A6B50">
        <w:rPr>
          <w:rFonts w:asciiTheme="minorHAnsi" w:hAnsiTheme="minorHAnsi" w:cstheme="minorHAnsi"/>
        </w:rPr>
        <w:t>nversión</w:t>
      </w:r>
      <w:r w:rsidR="003276FD">
        <w:rPr>
          <w:rFonts w:asciiTheme="minorHAnsi" w:hAnsiTheme="minorHAnsi" w:cstheme="minorHAnsi"/>
        </w:rPr>
        <w:t xml:space="preserve"> P</w:t>
      </w:r>
      <w:r w:rsidRPr="007A6B50">
        <w:rPr>
          <w:rFonts w:asciiTheme="minorHAnsi" w:hAnsiTheme="minorHAnsi" w:cstheme="minorHAnsi"/>
        </w:rPr>
        <w:t>ública</w:t>
      </w:r>
      <w:bookmarkEnd w:id="29"/>
      <w:bookmarkEnd w:id="82"/>
    </w:p>
    <w:p w14:paraId="4F0065BA" w14:textId="1237482A" w:rsidR="001912B8" w:rsidRPr="007A6B50" w:rsidRDefault="00834D42" w:rsidP="0093034A">
      <w:pPr>
        <w:pStyle w:val="normalinforme"/>
        <w:spacing w:before="120" w:after="120" w:line="240" w:lineRule="auto"/>
        <w:ind w:left="431" w:hanging="431"/>
        <w:rPr>
          <w:rFonts w:eastAsiaTheme="majorEastAsia" w:cstheme="minorHAnsi"/>
          <w:b/>
          <w:bCs/>
          <w:color w:val="1F3864" w:themeColor="accent1" w:themeShade="80"/>
          <w:sz w:val="28"/>
          <w:szCs w:val="28"/>
        </w:rPr>
      </w:pPr>
      <w:r w:rsidRPr="007A6B50">
        <w:rPr>
          <w:rFonts w:eastAsiaTheme="majorEastAsia" w:cstheme="minorHAnsi"/>
          <w:b/>
          <w:bCs/>
          <w:color w:val="1F3864" w:themeColor="accent1" w:themeShade="80"/>
          <w:sz w:val="28"/>
          <w:szCs w:val="28"/>
        </w:rPr>
        <w:t xml:space="preserve">Presupuesto de inversión </w:t>
      </w:r>
      <w:r w:rsidR="00BD1BD3" w:rsidRPr="007A6B50">
        <w:rPr>
          <w:rFonts w:eastAsiaTheme="majorEastAsia" w:cstheme="minorHAnsi"/>
          <w:b/>
          <w:bCs/>
          <w:color w:val="1F3864" w:themeColor="accent1" w:themeShade="80"/>
          <w:sz w:val="28"/>
          <w:szCs w:val="28"/>
        </w:rPr>
        <w:t>2022</w:t>
      </w:r>
    </w:p>
    <w:p w14:paraId="4FD08806" w14:textId="3337A758" w:rsidR="001F2C60" w:rsidRPr="007A6B50" w:rsidRDefault="001F2C60" w:rsidP="001F2C60">
      <w:pPr>
        <w:jc w:val="both"/>
        <w:rPr>
          <w:rFonts w:cstheme="minorHAnsi"/>
          <w:sz w:val="24"/>
          <w:szCs w:val="24"/>
        </w:rPr>
      </w:pPr>
      <w:r w:rsidRPr="007A6B50">
        <w:rPr>
          <w:rFonts w:cstheme="minorHAnsi"/>
          <w:sz w:val="24"/>
          <w:szCs w:val="24"/>
        </w:rPr>
        <w:t>A continuación, se muestra el desglose del presupuesto de inversión</w:t>
      </w:r>
      <w:r w:rsidR="00834D42" w:rsidRPr="007A6B50">
        <w:rPr>
          <w:rFonts w:cstheme="minorHAnsi"/>
          <w:sz w:val="24"/>
          <w:szCs w:val="24"/>
        </w:rPr>
        <w:t xml:space="preserve"> </w:t>
      </w:r>
      <w:r w:rsidR="00BD1BD3" w:rsidRPr="007A6B50">
        <w:rPr>
          <w:rFonts w:cstheme="minorHAnsi"/>
          <w:sz w:val="24"/>
          <w:szCs w:val="24"/>
        </w:rPr>
        <w:t>2022</w:t>
      </w:r>
      <w:r w:rsidRPr="007A6B50">
        <w:rPr>
          <w:rFonts w:cstheme="minorHAnsi"/>
          <w:sz w:val="24"/>
          <w:szCs w:val="24"/>
        </w:rPr>
        <w:t>:</w:t>
      </w:r>
    </w:p>
    <w:p w14:paraId="12D9E088" w14:textId="469D9E34" w:rsidR="001F2C60" w:rsidRPr="007A6B50" w:rsidRDefault="00F52482" w:rsidP="007A6B50">
      <w:pPr>
        <w:pStyle w:val="ttulosgrficas"/>
        <w:rPr>
          <w:rFonts w:asciiTheme="minorHAnsi" w:eastAsia="Times New Roman" w:hAnsiTheme="minorHAnsi" w:cstheme="minorHAnsi"/>
          <w:color w:val="4472C4" w:themeColor="accent1"/>
          <w:lang w:val="es-ES"/>
        </w:rPr>
      </w:pPr>
      <w:bookmarkStart w:id="83" w:name="_Toc130199626"/>
      <w:r w:rsidRPr="007A6B50">
        <w:rPr>
          <w:rFonts w:asciiTheme="minorHAnsi" w:eastAsia="Times New Roman" w:hAnsiTheme="minorHAnsi" w:cstheme="minorHAnsi"/>
          <w:color w:val="4472C4" w:themeColor="accent1"/>
          <w:lang w:val="es-ES"/>
        </w:rPr>
        <w:t xml:space="preserve">Tabla </w:t>
      </w:r>
      <w:r w:rsidR="006E5E0A" w:rsidRPr="007A6B50">
        <w:rPr>
          <w:rFonts w:asciiTheme="minorHAnsi" w:eastAsia="Times New Roman" w:hAnsiTheme="minorHAnsi" w:cstheme="minorHAnsi"/>
          <w:color w:val="4472C4" w:themeColor="accent1"/>
          <w:lang w:val="es-ES"/>
        </w:rPr>
        <w:fldChar w:fldCharType="begin"/>
      </w:r>
      <w:r w:rsidR="006E5E0A" w:rsidRPr="007A6B50">
        <w:rPr>
          <w:rFonts w:asciiTheme="minorHAnsi" w:eastAsia="Times New Roman" w:hAnsiTheme="minorHAnsi" w:cstheme="minorHAnsi"/>
          <w:color w:val="4472C4" w:themeColor="accent1"/>
          <w:lang w:val="es-ES"/>
        </w:rPr>
        <w:instrText xml:space="preserve"> SEQ Tabla \* ARABIC </w:instrText>
      </w:r>
      <w:r w:rsidR="006E5E0A" w:rsidRPr="007A6B50">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38</w:t>
      </w:r>
      <w:r w:rsidR="006E5E0A" w:rsidRPr="007A6B50">
        <w:rPr>
          <w:rFonts w:asciiTheme="minorHAnsi" w:eastAsia="Times New Roman" w:hAnsiTheme="minorHAnsi" w:cstheme="minorHAnsi"/>
          <w:color w:val="4472C4" w:themeColor="accent1"/>
          <w:lang w:val="es-ES"/>
        </w:rPr>
        <w:fldChar w:fldCharType="end"/>
      </w:r>
      <w:r w:rsidR="00A52434">
        <w:rPr>
          <w:rFonts w:asciiTheme="minorHAnsi" w:eastAsia="Times New Roman" w:hAnsiTheme="minorHAnsi" w:cstheme="minorHAnsi"/>
          <w:color w:val="4472C4" w:themeColor="accent1"/>
          <w:lang w:val="es-ES"/>
        </w:rPr>
        <w:t>.</w:t>
      </w:r>
      <w:r w:rsidR="003562C1" w:rsidRPr="007A6B50">
        <w:rPr>
          <w:rFonts w:asciiTheme="minorHAnsi" w:eastAsia="Times New Roman" w:hAnsiTheme="minorHAnsi" w:cstheme="minorHAnsi"/>
          <w:color w:val="4472C4" w:themeColor="accent1"/>
          <w:lang w:val="es-ES"/>
        </w:rPr>
        <w:t xml:space="preserve"> </w:t>
      </w:r>
      <w:r w:rsidR="001F2C60" w:rsidRPr="007A6B50">
        <w:rPr>
          <w:rFonts w:asciiTheme="minorHAnsi" w:eastAsia="Times New Roman" w:hAnsiTheme="minorHAnsi" w:cstheme="minorHAnsi"/>
          <w:color w:val="4472C4" w:themeColor="accent1"/>
          <w:lang w:val="es-ES"/>
        </w:rPr>
        <w:t xml:space="preserve">Presupuesto </w:t>
      </w:r>
      <w:r w:rsidR="002578FF">
        <w:rPr>
          <w:rFonts w:asciiTheme="minorHAnsi" w:eastAsia="Times New Roman" w:hAnsiTheme="minorHAnsi" w:cstheme="minorHAnsi"/>
          <w:color w:val="4472C4" w:themeColor="accent1"/>
          <w:lang w:val="es-ES"/>
        </w:rPr>
        <w:t>d</w:t>
      </w:r>
      <w:r w:rsidR="002578FF" w:rsidRPr="007A6B50">
        <w:rPr>
          <w:rFonts w:asciiTheme="minorHAnsi" w:eastAsia="Times New Roman" w:hAnsiTheme="minorHAnsi" w:cstheme="minorHAnsi"/>
          <w:color w:val="4472C4" w:themeColor="accent1"/>
          <w:lang w:val="es-ES"/>
        </w:rPr>
        <w:t xml:space="preserve">e </w:t>
      </w:r>
      <w:r w:rsidR="002578FF">
        <w:rPr>
          <w:rFonts w:asciiTheme="minorHAnsi" w:eastAsia="Times New Roman" w:hAnsiTheme="minorHAnsi" w:cstheme="minorHAnsi"/>
          <w:color w:val="4472C4" w:themeColor="accent1"/>
          <w:lang w:val="es-ES"/>
        </w:rPr>
        <w:t>i</w:t>
      </w:r>
      <w:r w:rsidR="001F2C60" w:rsidRPr="007A6B50">
        <w:rPr>
          <w:rFonts w:asciiTheme="minorHAnsi" w:eastAsia="Times New Roman" w:hAnsiTheme="minorHAnsi" w:cstheme="minorHAnsi"/>
          <w:color w:val="4472C4" w:themeColor="accent1"/>
          <w:lang w:val="es-ES"/>
        </w:rPr>
        <w:t xml:space="preserve">nversión </w:t>
      </w:r>
      <w:r w:rsidR="002578FF">
        <w:rPr>
          <w:rFonts w:asciiTheme="minorHAnsi" w:eastAsia="Times New Roman" w:hAnsiTheme="minorHAnsi" w:cstheme="minorHAnsi"/>
          <w:color w:val="4472C4" w:themeColor="accent1"/>
          <w:lang w:val="es-ES"/>
        </w:rPr>
        <w:t>p</w:t>
      </w:r>
      <w:r w:rsidR="001F2C60" w:rsidRPr="007A6B50">
        <w:rPr>
          <w:rFonts w:asciiTheme="minorHAnsi" w:eastAsia="Times New Roman" w:hAnsiTheme="minorHAnsi" w:cstheme="minorHAnsi"/>
          <w:color w:val="4472C4" w:themeColor="accent1"/>
          <w:lang w:val="es-ES"/>
        </w:rPr>
        <w:t>ública</w:t>
      </w:r>
      <w:bookmarkEnd w:id="83"/>
    </w:p>
    <w:p w14:paraId="3F9F831D" w14:textId="09286946" w:rsidR="00FB3DF5" w:rsidRPr="007A6B50" w:rsidRDefault="002578FF" w:rsidP="00A52434">
      <w:pPr>
        <w:pStyle w:val="ttulosgrficas"/>
        <w:rPr>
          <w:rFonts w:asciiTheme="minorHAnsi" w:hAnsiTheme="minorHAnsi" w:cstheme="minorHAnsi"/>
          <w:color w:val="4472C4" w:themeColor="accent1"/>
        </w:rPr>
      </w:pPr>
      <w:r>
        <w:rPr>
          <w:rFonts w:asciiTheme="minorHAnsi" w:hAnsiTheme="minorHAnsi" w:cstheme="minorHAnsi"/>
          <w:color w:val="4472C4" w:themeColor="accent1"/>
        </w:rPr>
        <w:t>a</w:t>
      </w:r>
      <w:r w:rsidR="001F2C60" w:rsidRPr="007A6B50">
        <w:rPr>
          <w:rFonts w:asciiTheme="minorHAnsi" w:hAnsiTheme="minorHAnsi" w:cstheme="minorHAnsi"/>
          <w:color w:val="4472C4" w:themeColor="accent1"/>
        </w:rPr>
        <w:t>signado</w:t>
      </w:r>
      <w:r w:rsidRPr="007A6B50">
        <w:rPr>
          <w:rFonts w:asciiTheme="minorHAnsi" w:hAnsiTheme="minorHAnsi" w:cstheme="minorHAnsi"/>
          <w:color w:val="4472C4" w:themeColor="accent1"/>
        </w:rPr>
        <w:t xml:space="preserve">, </w:t>
      </w:r>
      <w:r>
        <w:rPr>
          <w:rFonts w:asciiTheme="minorHAnsi" w:hAnsiTheme="minorHAnsi" w:cstheme="minorHAnsi"/>
          <w:color w:val="4472C4" w:themeColor="accent1"/>
        </w:rPr>
        <w:t>m</w:t>
      </w:r>
      <w:r w:rsidR="001F2C60" w:rsidRPr="007A6B50">
        <w:rPr>
          <w:rFonts w:asciiTheme="minorHAnsi" w:hAnsiTheme="minorHAnsi" w:cstheme="minorHAnsi"/>
          <w:color w:val="4472C4" w:themeColor="accent1"/>
        </w:rPr>
        <w:t>odificado</w:t>
      </w:r>
      <w:r w:rsidRPr="007A6B50">
        <w:rPr>
          <w:rFonts w:asciiTheme="minorHAnsi" w:hAnsiTheme="minorHAnsi" w:cstheme="minorHAnsi"/>
          <w:color w:val="4472C4" w:themeColor="accent1"/>
        </w:rPr>
        <w:t xml:space="preserve">, </w:t>
      </w:r>
      <w:r>
        <w:rPr>
          <w:rFonts w:asciiTheme="minorHAnsi" w:hAnsiTheme="minorHAnsi" w:cstheme="minorHAnsi"/>
          <w:color w:val="4472C4" w:themeColor="accent1"/>
        </w:rPr>
        <w:t>v</w:t>
      </w:r>
      <w:r w:rsidR="0083517B" w:rsidRPr="007A6B50">
        <w:rPr>
          <w:rFonts w:asciiTheme="minorHAnsi" w:hAnsiTheme="minorHAnsi" w:cstheme="minorHAnsi"/>
          <w:color w:val="4472C4" w:themeColor="accent1"/>
        </w:rPr>
        <w:t xml:space="preserve">igente </w:t>
      </w:r>
      <w:r>
        <w:rPr>
          <w:rFonts w:asciiTheme="minorHAnsi" w:hAnsiTheme="minorHAnsi" w:cstheme="minorHAnsi"/>
          <w:color w:val="4472C4" w:themeColor="accent1"/>
        </w:rPr>
        <w:t>y</w:t>
      </w:r>
      <w:r w:rsidRPr="007A6B50">
        <w:rPr>
          <w:rFonts w:asciiTheme="minorHAnsi" w:hAnsiTheme="minorHAnsi" w:cstheme="minorHAnsi"/>
          <w:color w:val="4472C4" w:themeColor="accent1"/>
        </w:rPr>
        <w:t xml:space="preserve"> </w:t>
      </w:r>
      <w:r>
        <w:rPr>
          <w:rFonts w:asciiTheme="minorHAnsi" w:hAnsiTheme="minorHAnsi" w:cstheme="minorHAnsi"/>
          <w:color w:val="4472C4" w:themeColor="accent1"/>
        </w:rPr>
        <w:t>e</w:t>
      </w:r>
      <w:r w:rsidR="001F2C60" w:rsidRPr="007A6B50">
        <w:rPr>
          <w:rFonts w:asciiTheme="minorHAnsi" w:hAnsiTheme="minorHAnsi" w:cstheme="minorHAnsi"/>
          <w:color w:val="4472C4" w:themeColor="accent1"/>
        </w:rPr>
        <w:t>jecutado</w:t>
      </w:r>
      <w:r w:rsidR="00834D42" w:rsidRPr="007A6B50">
        <w:rPr>
          <w:rFonts w:asciiTheme="minorHAnsi" w:hAnsiTheme="minorHAnsi" w:cstheme="minorHAnsi"/>
          <w:color w:val="4472C4" w:themeColor="accent1"/>
        </w:rPr>
        <w:t xml:space="preserve"> </w:t>
      </w:r>
      <w:r w:rsidRPr="007A6B50">
        <w:rPr>
          <w:rFonts w:asciiTheme="minorHAnsi" w:hAnsiTheme="minorHAnsi" w:cstheme="minorHAnsi"/>
          <w:color w:val="4472C4" w:themeColor="accent1"/>
        </w:rPr>
        <w:t>2022</w:t>
      </w:r>
    </w:p>
    <w:tbl>
      <w:tblPr>
        <w:tblStyle w:val="Tablaconcuadrcula4-nfasis5"/>
        <w:tblW w:w="7995" w:type="dxa"/>
        <w:jc w:val="center"/>
        <w:tblLook w:val="04A0" w:firstRow="1" w:lastRow="0" w:firstColumn="1" w:lastColumn="0" w:noHBand="0" w:noVBand="1"/>
      </w:tblPr>
      <w:tblGrid>
        <w:gridCol w:w="1737"/>
        <w:gridCol w:w="1510"/>
        <w:gridCol w:w="1165"/>
        <w:gridCol w:w="1254"/>
        <w:gridCol w:w="1254"/>
        <w:gridCol w:w="1255"/>
      </w:tblGrid>
      <w:tr w:rsidR="00A96AFF" w:rsidRPr="007A6B50" w14:paraId="5BF2AB66" w14:textId="567E79BB" w:rsidTr="00A52434">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737" w:type="dxa"/>
            <w:tcBorders>
              <w:top w:val="none" w:sz="0" w:space="0" w:color="auto"/>
              <w:left w:val="none" w:sz="0" w:space="0" w:color="auto"/>
              <w:bottom w:val="none" w:sz="0" w:space="0" w:color="auto"/>
              <w:right w:val="none" w:sz="0" w:space="0" w:color="auto"/>
            </w:tcBorders>
            <w:vAlign w:val="center"/>
            <w:hideMark/>
          </w:tcPr>
          <w:p w14:paraId="3DB7E66E" w14:textId="77777777" w:rsidR="00A96AFF" w:rsidRPr="007A6B50" w:rsidRDefault="00A96AFF" w:rsidP="00A52434">
            <w:pPr>
              <w:jc w:val="center"/>
              <w:rPr>
                <w:rFonts w:asciiTheme="minorHAnsi" w:hAnsiTheme="minorHAnsi" w:cstheme="minorHAnsi"/>
                <w:color w:val="000000"/>
                <w:lang w:val="es-MX" w:eastAsia="es-MX"/>
              </w:rPr>
            </w:pPr>
            <w:r w:rsidRPr="007A6B50">
              <w:rPr>
                <w:rFonts w:asciiTheme="minorHAnsi" w:hAnsiTheme="minorHAnsi" w:cstheme="minorHAnsi"/>
                <w:color w:val="000000"/>
                <w:lang w:val="es-MX" w:eastAsia="es-MX"/>
              </w:rPr>
              <w:t>Rubros presupuestarios</w:t>
            </w:r>
          </w:p>
        </w:tc>
        <w:tc>
          <w:tcPr>
            <w:tcW w:w="1510" w:type="dxa"/>
            <w:tcBorders>
              <w:top w:val="none" w:sz="0" w:space="0" w:color="auto"/>
              <w:left w:val="none" w:sz="0" w:space="0" w:color="auto"/>
              <w:bottom w:val="none" w:sz="0" w:space="0" w:color="auto"/>
              <w:right w:val="none" w:sz="0" w:space="0" w:color="auto"/>
            </w:tcBorders>
            <w:vAlign w:val="center"/>
            <w:hideMark/>
          </w:tcPr>
          <w:p w14:paraId="530FCE85" w14:textId="77777777" w:rsidR="00A96AFF" w:rsidRPr="007A6B50" w:rsidRDefault="00A96AFF" w:rsidP="00A524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color w:val="000000"/>
                <w:lang w:val="es-MX" w:eastAsia="es-MX"/>
              </w:rPr>
              <w:t>Presupuesto de Inversión Asignado</w:t>
            </w:r>
          </w:p>
        </w:tc>
        <w:tc>
          <w:tcPr>
            <w:tcW w:w="1087" w:type="dxa"/>
            <w:tcBorders>
              <w:top w:val="none" w:sz="0" w:space="0" w:color="auto"/>
              <w:left w:val="none" w:sz="0" w:space="0" w:color="auto"/>
              <w:bottom w:val="none" w:sz="0" w:space="0" w:color="auto"/>
              <w:right w:val="none" w:sz="0" w:space="0" w:color="auto"/>
            </w:tcBorders>
            <w:vAlign w:val="center"/>
            <w:hideMark/>
          </w:tcPr>
          <w:p w14:paraId="2072A5E0" w14:textId="77777777" w:rsidR="00A96AFF" w:rsidRPr="007A6B50" w:rsidRDefault="00A96AFF" w:rsidP="00A524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color w:val="000000"/>
                <w:lang w:val="es-MX" w:eastAsia="es-MX"/>
              </w:rPr>
              <w:t>Modificado</w:t>
            </w:r>
          </w:p>
        </w:tc>
        <w:tc>
          <w:tcPr>
            <w:tcW w:w="1227" w:type="dxa"/>
            <w:tcBorders>
              <w:top w:val="none" w:sz="0" w:space="0" w:color="auto"/>
              <w:left w:val="none" w:sz="0" w:space="0" w:color="auto"/>
              <w:bottom w:val="none" w:sz="0" w:space="0" w:color="auto"/>
              <w:right w:val="none" w:sz="0" w:space="0" w:color="auto"/>
            </w:tcBorders>
            <w:vAlign w:val="center"/>
            <w:hideMark/>
          </w:tcPr>
          <w:p w14:paraId="695248E1" w14:textId="77777777" w:rsidR="00A96AFF" w:rsidRPr="007A6B50" w:rsidRDefault="00A96AFF" w:rsidP="00A524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color w:val="000000"/>
                <w:lang w:val="es-MX" w:eastAsia="es-MX"/>
              </w:rPr>
              <w:t>Presupuesto</w:t>
            </w:r>
          </w:p>
          <w:p w14:paraId="14C2DD05" w14:textId="77777777" w:rsidR="00A96AFF" w:rsidRPr="007A6B50" w:rsidRDefault="00A96AFF" w:rsidP="00A524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color w:val="000000"/>
                <w:lang w:val="es-MX" w:eastAsia="es-MX"/>
              </w:rPr>
              <w:t>Vigente</w:t>
            </w:r>
          </w:p>
        </w:tc>
        <w:tc>
          <w:tcPr>
            <w:tcW w:w="1227" w:type="dxa"/>
            <w:tcBorders>
              <w:top w:val="none" w:sz="0" w:space="0" w:color="auto"/>
              <w:left w:val="none" w:sz="0" w:space="0" w:color="auto"/>
              <w:bottom w:val="none" w:sz="0" w:space="0" w:color="auto"/>
              <w:right w:val="none" w:sz="0" w:space="0" w:color="auto"/>
            </w:tcBorders>
            <w:vAlign w:val="center"/>
          </w:tcPr>
          <w:p w14:paraId="7F402C5B" w14:textId="4D9243F2" w:rsidR="00A96AFF" w:rsidRPr="007A6B50" w:rsidRDefault="00A96AFF" w:rsidP="00A524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color w:val="000000"/>
                <w:lang w:val="es-MX" w:eastAsia="es-MX"/>
              </w:rPr>
              <w:t>Presupuesto Ejecutado</w:t>
            </w:r>
          </w:p>
        </w:tc>
        <w:tc>
          <w:tcPr>
            <w:tcW w:w="1207" w:type="dxa"/>
            <w:tcBorders>
              <w:top w:val="none" w:sz="0" w:space="0" w:color="auto"/>
              <w:left w:val="none" w:sz="0" w:space="0" w:color="auto"/>
              <w:bottom w:val="none" w:sz="0" w:space="0" w:color="auto"/>
              <w:right w:val="none" w:sz="0" w:space="0" w:color="auto"/>
            </w:tcBorders>
            <w:vAlign w:val="center"/>
          </w:tcPr>
          <w:p w14:paraId="4D10D333" w14:textId="7F4577BF" w:rsidR="00A96AFF" w:rsidRPr="007A6B50" w:rsidRDefault="00A96AFF" w:rsidP="00A524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color w:val="000000"/>
                <w:lang w:val="es-MX" w:eastAsia="es-MX"/>
              </w:rPr>
              <w:t>Porcentaje presupuesto ejecutado</w:t>
            </w:r>
          </w:p>
        </w:tc>
      </w:tr>
      <w:tr w:rsidR="00A96AFF" w:rsidRPr="007A6B50" w14:paraId="1B7D189A" w14:textId="19832452" w:rsidTr="00A52434">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1737" w:type="dxa"/>
            <w:hideMark/>
          </w:tcPr>
          <w:p w14:paraId="07A64A24" w14:textId="0508203E" w:rsidR="00A96AFF" w:rsidRPr="00A52434" w:rsidRDefault="00A96AFF" w:rsidP="00A96AFF">
            <w:pPr>
              <w:rPr>
                <w:rFonts w:asciiTheme="minorHAnsi" w:hAnsiTheme="minorHAnsi" w:cstheme="minorHAnsi"/>
                <w:b w:val="0"/>
                <w:color w:val="000000"/>
                <w:lang w:val="es-MX" w:eastAsia="es-MX"/>
              </w:rPr>
            </w:pPr>
            <w:r w:rsidRPr="00A52434">
              <w:rPr>
                <w:rFonts w:asciiTheme="minorHAnsi" w:hAnsiTheme="minorHAnsi" w:cstheme="minorHAnsi"/>
                <w:b w:val="0"/>
              </w:rPr>
              <w:t>Inversión Física</w:t>
            </w:r>
          </w:p>
        </w:tc>
        <w:tc>
          <w:tcPr>
            <w:tcW w:w="1510" w:type="dxa"/>
            <w:noWrap/>
            <w:vAlign w:val="center"/>
            <w:hideMark/>
          </w:tcPr>
          <w:p w14:paraId="1176F1A4" w14:textId="0B8DD758"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4,387.95</w:t>
            </w:r>
          </w:p>
        </w:tc>
        <w:tc>
          <w:tcPr>
            <w:tcW w:w="1087" w:type="dxa"/>
            <w:noWrap/>
            <w:vAlign w:val="center"/>
            <w:hideMark/>
          </w:tcPr>
          <w:p w14:paraId="1B20DAA6" w14:textId="7F13A44A"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1,371.34</w:t>
            </w:r>
          </w:p>
        </w:tc>
        <w:tc>
          <w:tcPr>
            <w:tcW w:w="1227" w:type="dxa"/>
            <w:noWrap/>
            <w:vAlign w:val="center"/>
            <w:hideMark/>
          </w:tcPr>
          <w:p w14:paraId="5670E360" w14:textId="26E891B1"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5,759.30</w:t>
            </w:r>
          </w:p>
        </w:tc>
        <w:tc>
          <w:tcPr>
            <w:tcW w:w="1227" w:type="dxa"/>
            <w:noWrap/>
            <w:vAlign w:val="center"/>
            <w:hideMark/>
          </w:tcPr>
          <w:p w14:paraId="1541E1B8" w14:textId="32A700E6"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4,610.01</w:t>
            </w:r>
          </w:p>
        </w:tc>
        <w:tc>
          <w:tcPr>
            <w:tcW w:w="1207" w:type="dxa"/>
            <w:vAlign w:val="center"/>
          </w:tcPr>
          <w:p w14:paraId="57151AA1" w14:textId="76EE07C7" w:rsidR="00A96AFF" w:rsidRPr="007A6B50" w:rsidRDefault="00A96AFF" w:rsidP="00A524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80.04%</w:t>
            </w:r>
          </w:p>
        </w:tc>
      </w:tr>
      <w:tr w:rsidR="00A96AFF" w:rsidRPr="007A6B50" w14:paraId="3FA15709" w14:textId="5FAB7F35" w:rsidTr="00A52434">
        <w:trPr>
          <w:trHeight w:val="110"/>
          <w:jc w:val="center"/>
        </w:trPr>
        <w:tc>
          <w:tcPr>
            <w:cnfStyle w:val="001000000000" w:firstRow="0" w:lastRow="0" w:firstColumn="1" w:lastColumn="0" w:oddVBand="0" w:evenVBand="0" w:oddHBand="0" w:evenHBand="0" w:firstRowFirstColumn="0" w:firstRowLastColumn="0" w:lastRowFirstColumn="0" w:lastRowLastColumn="0"/>
            <w:tcW w:w="1737" w:type="dxa"/>
            <w:noWrap/>
            <w:hideMark/>
          </w:tcPr>
          <w:p w14:paraId="29258DBC" w14:textId="0FED52D3" w:rsidR="00A96AFF" w:rsidRPr="00A52434" w:rsidRDefault="00A96AFF" w:rsidP="00A96AFF">
            <w:pPr>
              <w:rPr>
                <w:rFonts w:asciiTheme="minorHAnsi" w:hAnsiTheme="minorHAnsi" w:cstheme="minorHAnsi"/>
                <w:b w:val="0"/>
                <w:bCs w:val="0"/>
                <w:color w:val="000000"/>
                <w:lang w:val="es-MX" w:eastAsia="es-MX"/>
              </w:rPr>
            </w:pPr>
            <w:r w:rsidRPr="00A52434">
              <w:rPr>
                <w:rFonts w:asciiTheme="minorHAnsi" w:hAnsiTheme="minorHAnsi" w:cstheme="minorHAnsi"/>
                <w:b w:val="0"/>
              </w:rPr>
              <w:t>Infraestructura</w:t>
            </w:r>
          </w:p>
        </w:tc>
        <w:tc>
          <w:tcPr>
            <w:tcW w:w="1510" w:type="dxa"/>
            <w:noWrap/>
            <w:vAlign w:val="center"/>
            <w:hideMark/>
          </w:tcPr>
          <w:p w14:paraId="20BB2B35" w14:textId="76086F32"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2,959.25</w:t>
            </w:r>
          </w:p>
        </w:tc>
        <w:tc>
          <w:tcPr>
            <w:tcW w:w="1087" w:type="dxa"/>
            <w:noWrap/>
            <w:vAlign w:val="center"/>
            <w:hideMark/>
          </w:tcPr>
          <w:p w14:paraId="477555CA" w14:textId="33F83324"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1,383.93</w:t>
            </w:r>
          </w:p>
        </w:tc>
        <w:tc>
          <w:tcPr>
            <w:tcW w:w="1227" w:type="dxa"/>
            <w:noWrap/>
            <w:vAlign w:val="center"/>
            <w:hideMark/>
          </w:tcPr>
          <w:p w14:paraId="7B68EF6F" w14:textId="3C32D513"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4,343.18</w:t>
            </w:r>
          </w:p>
        </w:tc>
        <w:tc>
          <w:tcPr>
            <w:tcW w:w="1227" w:type="dxa"/>
            <w:noWrap/>
            <w:vAlign w:val="center"/>
            <w:hideMark/>
          </w:tcPr>
          <w:p w14:paraId="0A5A2746" w14:textId="625F2444"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3,397.10</w:t>
            </w:r>
          </w:p>
        </w:tc>
        <w:tc>
          <w:tcPr>
            <w:tcW w:w="1207" w:type="dxa"/>
            <w:vAlign w:val="center"/>
          </w:tcPr>
          <w:p w14:paraId="513C0399" w14:textId="24AD6105" w:rsidR="00A96AFF" w:rsidRPr="007A6B50" w:rsidRDefault="00A96AFF" w:rsidP="00A524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78.22%</w:t>
            </w:r>
          </w:p>
        </w:tc>
      </w:tr>
      <w:tr w:rsidR="00A96AFF" w:rsidRPr="007A6B50" w14:paraId="471B46AE" w14:textId="0662DB47" w:rsidTr="00A52434">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1737" w:type="dxa"/>
            <w:noWrap/>
            <w:hideMark/>
          </w:tcPr>
          <w:p w14:paraId="2B94CD5C" w14:textId="363A9589" w:rsidR="00A96AFF" w:rsidRPr="00A52434" w:rsidRDefault="00A96AFF" w:rsidP="00A96AFF">
            <w:pPr>
              <w:rPr>
                <w:rFonts w:asciiTheme="minorHAnsi" w:hAnsiTheme="minorHAnsi" w:cstheme="minorHAnsi"/>
                <w:b w:val="0"/>
                <w:bCs w:val="0"/>
                <w:color w:val="000000"/>
                <w:lang w:val="es-MX" w:eastAsia="es-MX"/>
              </w:rPr>
            </w:pPr>
            <w:r w:rsidRPr="00A52434">
              <w:rPr>
                <w:rFonts w:asciiTheme="minorHAnsi" w:hAnsiTheme="minorHAnsi" w:cstheme="minorHAnsi"/>
                <w:b w:val="0"/>
              </w:rPr>
              <w:t>Equipamiento</w:t>
            </w:r>
          </w:p>
        </w:tc>
        <w:tc>
          <w:tcPr>
            <w:tcW w:w="1510" w:type="dxa"/>
            <w:noWrap/>
            <w:vAlign w:val="center"/>
            <w:hideMark/>
          </w:tcPr>
          <w:p w14:paraId="06971B24" w14:textId="6AC41FAB"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1,428.70</w:t>
            </w:r>
          </w:p>
        </w:tc>
        <w:tc>
          <w:tcPr>
            <w:tcW w:w="1087" w:type="dxa"/>
            <w:noWrap/>
            <w:vAlign w:val="center"/>
            <w:hideMark/>
          </w:tcPr>
          <w:p w14:paraId="6DF8E9F3" w14:textId="70A767FB"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-12.58</w:t>
            </w:r>
          </w:p>
        </w:tc>
        <w:tc>
          <w:tcPr>
            <w:tcW w:w="1227" w:type="dxa"/>
            <w:noWrap/>
            <w:vAlign w:val="center"/>
            <w:hideMark/>
          </w:tcPr>
          <w:p w14:paraId="01340020" w14:textId="5FFD6111"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1,416.12</w:t>
            </w:r>
          </w:p>
        </w:tc>
        <w:tc>
          <w:tcPr>
            <w:tcW w:w="1227" w:type="dxa"/>
            <w:noWrap/>
            <w:vAlign w:val="center"/>
            <w:hideMark/>
          </w:tcPr>
          <w:p w14:paraId="5C8A779A" w14:textId="79D667E4"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1,212.91</w:t>
            </w:r>
          </w:p>
        </w:tc>
        <w:tc>
          <w:tcPr>
            <w:tcW w:w="1207" w:type="dxa"/>
            <w:vAlign w:val="center"/>
          </w:tcPr>
          <w:p w14:paraId="1982EC57" w14:textId="2A6FBCE2" w:rsidR="00A96AFF" w:rsidRPr="007A6B50" w:rsidRDefault="00A96AFF" w:rsidP="00A524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85.65%</w:t>
            </w:r>
          </w:p>
        </w:tc>
      </w:tr>
      <w:tr w:rsidR="00A96AFF" w:rsidRPr="007A6B50" w14:paraId="26FB616B" w14:textId="4EB18C43" w:rsidTr="00A52434">
        <w:trPr>
          <w:trHeight w:val="110"/>
          <w:jc w:val="center"/>
        </w:trPr>
        <w:tc>
          <w:tcPr>
            <w:cnfStyle w:val="001000000000" w:firstRow="0" w:lastRow="0" w:firstColumn="1" w:lastColumn="0" w:oddVBand="0" w:evenVBand="0" w:oddHBand="0" w:evenHBand="0" w:firstRowFirstColumn="0" w:firstRowLastColumn="0" w:lastRowFirstColumn="0" w:lastRowLastColumn="0"/>
            <w:tcW w:w="1737" w:type="dxa"/>
            <w:noWrap/>
            <w:hideMark/>
          </w:tcPr>
          <w:p w14:paraId="7C736516" w14:textId="48E5F7CA" w:rsidR="00A96AFF" w:rsidRPr="00A52434" w:rsidRDefault="00A96AFF" w:rsidP="00A96AFF">
            <w:pPr>
              <w:rPr>
                <w:rFonts w:asciiTheme="minorHAnsi" w:hAnsiTheme="minorHAnsi" w:cstheme="minorHAnsi"/>
                <w:b w:val="0"/>
                <w:bCs w:val="0"/>
                <w:color w:val="000000"/>
                <w:lang w:val="es-MX" w:eastAsia="es-MX"/>
              </w:rPr>
            </w:pPr>
            <w:r w:rsidRPr="00A52434">
              <w:rPr>
                <w:rFonts w:asciiTheme="minorHAnsi" w:hAnsiTheme="minorHAnsi" w:cstheme="minorHAnsi"/>
                <w:b w:val="0"/>
              </w:rPr>
              <w:t>Transferencia de Capital</w:t>
            </w:r>
          </w:p>
        </w:tc>
        <w:tc>
          <w:tcPr>
            <w:tcW w:w="1510" w:type="dxa"/>
            <w:noWrap/>
            <w:vAlign w:val="center"/>
            <w:hideMark/>
          </w:tcPr>
          <w:p w14:paraId="71FA0210" w14:textId="2E1B24AE"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14,184.43</w:t>
            </w:r>
          </w:p>
        </w:tc>
        <w:tc>
          <w:tcPr>
            <w:tcW w:w="1087" w:type="dxa"/>
            <w:noWrap/>
            <w:vAlign w:val="center"/>
            <w:hideMark/>
          </w:tcPr>
          <w:p w14:paraId="1F2E106F" w14:textId="57DF85EB"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658.85</w:t>
            </w:r>
          </w:p>
        </w:tc>
        <w:tc>
          <w:tcPr>
            <w:tcW w:w="1227" w:type="dxa"/>
            <w:noWrap/>
            <w:vAlign w:val="center"/>
            <w:hideMark/>
          </w:tcPr>
          <w:p w14:paraId="4539261A" w14:textId="610E71C1"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14,843.28</w:t>
            </w:r>
          </w:p>
        </w:tc>
        <w:tc>
          <w:tcPr>
            <w:tcW w:w="1227" w:type="dxa"/>
            <w:noWrap/>
            <w:vAlign w:val="center"/>
            <w:hideMark/>
          </w:tcPr>
          <w:p w14:paraId="4EA83B65" w14:textId="5915B92A"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13,815.23</w:t>
            </w:r>
          </w:p>
        </w:tc>
        <w:tc>
          <w:tcPr>
            <w:tcW w:w="1207" w:type="dxa"/>
            <w:vAlign w:val="center"/>
          </w:tcPr>
          <w:p w14:paraId="0C5ECB32" w14:textId="1BADE932" w:rsidR="00A96AFF" w:rsidRPr="007A6B50" w:rsidRDefault="00A96AFF" w:rsidP="00A524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93.07%</w:t>
            </w:r>
          </w:p>
        </w:tc>
      </w:tr>
      <w:tr w:rsidR="00A96AFF" w:rsidRPr="007A6B50" w14:paraId="197AC6F2" w14:textId="2BA60360" w:rsidTr="00A52434">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1737" w:type="dxa"/>
            <w:noWrap/>
            <w:hideMark/>
          </w:tcPr>
          <w:p w14:paraId="14D5038A" w14:textId="4EE097D1" w:rsidR="00A96AFF" w:rsidRPr="00A52434" w:rsidRDefault="00A96AFF" w:rsidP="00A96AFF">
            <w:pPr>
              <w:rPr>
                <w:rFonts w:asciiTheme="minorHAnsi" w:hAnsiTheme="minorHAnsi" w:cstheme="minorHAnsi"/>
                <w:b w:val="0"/>
                <w:bCs w:val="0"/>
                <w:color w:val="000000"/>
                <w:lang w:val="es-MX" w:eastAsia="es-MX"/>
              </w:rPr>
            </w:pPr>
            <w:r w:rsidRPr="00A52434">
              <w:rPr>
                <w:rFonts w:asciiTheme="minorHAnsi" w:hAnsiTheme="minorHAnsi" w:cstheme="minorHAnsi"/>
                <w:b w:val="0"/>
              </w:rPr>
              <w:t>Municipalidades</w:t>
            </w:r>
          </w:p>
        </w:tc>
        <w:tc>
          <w:tcPr>
            <w:tcW w:w="1510" w:type="dxa"/>
            <w:noWrap/>
            <w:vAlign w:val="center"/>
            <w:hideMark/>
          </w:tcPr>
          <w:p w14:paraId="4AF58B6A" w14:textId="71468967"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8,771.22</w:t>
            </w:r>
          </w:p>
        </w:tc>
        <w:tc>
          <w:tcPr>
            <w:tcW w:w="1087" w:type="dxa"/>
            <w:noWrap/>
            <w:vAlign w:val="center"/>
            <w:hideMark/>
          </w:tcPr>
          <w:p w14:paraId="48F249E2" w14:textId="685F7F29"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25.96</w:t>
            </w:r>
          </w:p>
        </w:tc>
        <w:tc>
          <w:tcPr>
            <w:tcW w:w="1227" w:type="dxa"/>
            <w:noWrap/>
            <w:vAlign w:val="center"/>
            <w:hideMark/>
          </w:tcPr>
          <w:p w14:paraId="12093DEB" w14:textId="7AD0F4D0"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8,797.18</w:t>
            </w:r>
          </w:p>
        </w:tc>
        <w:tc>
          <w:tcPr>
            <w:tcW w:w="1227" w:type="dxa"/>
            <w:noWrap/>
            <w:vAlign w:val="center"/>
            <w:hideMark/>
          </w:tcPr>
          <w:p w14:paraId="1775B3AE" w14:textId="72265973"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8,795.97</w:t>
            </w:r>
          </w:p>
        </w:tc>
        <w:tc>
          <w:tcPr>
            <w:tcW w:w="1207" w:type="dxa"/>
            <w:vAlign w:val="center"/>
          </w:tcPr>
          <w:p w14:paraId="1ADC34EC" w14:textId="79D7D464" w:rsidR="00A96AFF" w:rsidRPr="007A6B50" w:rsidRDefault="00A96AFF" w:rsidP="00A524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99.99%</w:t>
            </w:r>
          </w:p>
        </w:tc>
      </w:tr>
      <w:tr w:rsidR="00A96AFF" w:rsidRPr="007A6B50" w14:paraId="7AF991C3" w14:textId="0CE6FA4F" w:rsidTr="00A52434">
        <w:trPr>
          <w:trHeight w:val="110"/>
          <w:jc w:val="center"/>
        </w:trPr>
        <w:tc>
          <w:tcPr>
            <w:cnfStyle w:val="001000000000" w:firstRow="0" w:lastRow="0" w:firstColumn="1" w:lastColumn="0" w:oddVBand="0" w:evenVBand="0" w:oddHBand="0" w:evenHBand="0" w:firstRowFirstColumn="0" w:firstRowLastColumn="0" w:lastRowFirstColumn="0" w:lastRowLastColumn="0"/>
            <w:tcW w:w="1737" w:type="dxa"/>
            <w:noWrap/>
            <w:hideMark/>
          </w:tcPr>
          <w:p w14:paraId="162EF640" w14:textId="46651A17" w:rsidR="00A96AFF" w:rsidRPr="00A52434" w:rsidRDefault="00A96AFF" w:rsidP="00A96AFF">
            <w:pPr>
              <w:rPr>
                <w:rFonts w:asciiTheme="minorHAnsi" w:hAnsiTheme="minorHAnsi" w:cstheme="minorHAnsi"/>
                <w:b w:val="0"/>
                <w:color w:val="000000"/>
                <w:lang w:val="es-MX" w:eastAsia="es-MX"/>
              </w:rPr>
            </w:pPr>
            <w:r w:rsidRPr="00A52434">
              <w:rPr>
                <w:rFonts w:asciiTheme="minorHAnsi" w:hAnsiTheme="minorHAnsi" w:cstheme="minorHAnsi"/>
                <w:b w:val="0"/>
              </w:rPr>
              <w:t>Consejos Departamentales de Desarrollo CODEDE          Fuente 21</w:t>
            </w:r>
          </w:p>
        </w:tc>
        <w:tc>
          <w:tcPr>
            <w:tcW w:w="1510" w:type="dxa"/>
            <w:noWrap/>
            <w:vAlign w:val="center"/>
            <w:hideMark/>
          </w:tcPr>
          <w:p w14:paraId="22A9C1E7" w14:textId="294BC7D0"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2,937.93</w:t>
            </w:r>
          </w:p>
        </w:tc>
        <w:tc>
          <w:tcPr>
            <w:tcW w:w="1087" w:type="dxa"/>
            <w:noWrap/>
            <w:vAlign w:val="center"/>
            <w:hideMark/>
          </w:tcPr>
          <w:p w14:paraId="65808DC9" w14:textId="698A04FD"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p>
        </w:tc>
        <w:tc>
          <w:tcPr>
            <w:tcW w:w="1227" w:type="dxa"/>
            <w:noWrap/>
            <w:vAlign w:val="center"/>
            <w:hideMark/>
          </w:tcPr>
          <w:p w14:paraId="0FCC542E" w14:textId="13E6C33B"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2,937.93</w:t>
            </w:r>
          </w:p>
        </w:tc>
        <w:tc>
          <w:tcPr>
            <w:tcW w:w="1227" w:type="dxa"/>
            <w:noWrap/>
            <w:vAlign w:val="center"/>
            <w:hideMark/>
          </w:tcPr>
          <w:p w14:paraId="47149088" w14:textId="0953CBFA"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2,693.13</w:t>
            </w:r>
          </w:p>
        </w:tc>
        <w:tc>
          <w:tcPr>
            <w:tcW w:w="1207" w:type="dxa"/>
            <w:vAlign w:val="center"/>
          </w:tcPr>
          <w:p w14:paraId="141D617F" w14:textId="67FBE721" w:rsidR="00A96AFF" w:rsidRPr="007A6B50" w:rsidRDefault="00A96AFF" w:rsidP="00A524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91.67%</w:t>
            </w:r>
          </w:p>
        </w:tc>
      </w:tr>
      <w:tr w:rsidR="00A96AFF" w:rsidRPr="007A6B50" w14:paraId="739B11CA" w14:textId="463212D6" w:rsidTr="00A52434">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1737" w:type="dxa"/>
            <w:noWrap/>
            <w:hideMark/>
          </w:tcPr>
          <w:p w14:paraId="5359D64E" w14:textId="115F6F7E" w:rsidR="00A96AFF" w:rsidRPr="00A52434" w:rsidRDefault="00A96AFF" w:rsidP="00A96AFF">
            <w:pPr>
              <w:rPr>
                <w:rFonts w:asciiTheme="minorHAnsi" w:hAnsiTheme="minorHAnsi" w:cstheme="minorHAnsi"/>
                <w:b w:val="0"/>
                <w:bCs w:val="0"/>
                <w:color w:val="000000"/>
                <w:lang w:val="es-MX" w:eastAsia="es-MX"/>
              </w:rPr>
            </w:pPr>
            <w:r w:rsidRPr="00A52434">
              <w:rPr>
                <w:rFonts w:asciiTheme="minorHAnsi" w:hAnsiTheme="minorHAnsi" w:cstheme="minorHAnsi"/>
                <w:b w:val="0"/>
              </w:rPr>
              <w:t>Consejos Departamentales de Desarrollo (CODEDE) Fonpetrol Fuente 29</w:t>
            </w:r>
          </w:p>
        </w:tc>
        <w:tc>
          <w:tcPr>
            <w:tcW w:w="1510" w:type="dxa"/>
            <w:noWrap/>
            <w:vAlign w:val="center"/>
            <w:hideMark/>
          </w:tcPr>
          <w:p w14:paraId="387F60E7" w14:textId="130F8893"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37.29</w:t>
            </w:r>
          </w:p>
        </w:tc>
        <w:tc>
          <w:tcPr>
            <w:tcW w:w="1087" w:type="dxa"/>
            <w:noWrap/>
            <w:vAlign w:val="center"/>
            <w:hideMark/>
          </w:tcPr>
          <w:p w14:paraId="09B54D58" w14:textId="07B9841E"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42.46</w:t>
            </w:r>
          </w:p>
        </w:tc>
        <w:tc>
          <w:tcPr>
            <w:tcW w:w="1227" w:type="dxa"/>
            <w:noWrap/>
            <w:vAlign w:val="center"/>
            <w:hideMark/>
          </w:tcPr>
          <w:p w14:paraId="0B64F121" w14:textId="00D78311"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79.75</w:t>
            </w:r>
          </w:p>
        </w:tc>
        <w:tc>
          <w:tcPr>
            <w:tcW w:w="1227" w:type="dxa"/>
            <w:noWrap/>
            <w:vAlign w:val="center"/>
            <w:hideMark/>
          </w:tcPr>
          <w:p w14:paraId="55BDF634" w14:textId="219B5CE0"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78.88</w:t>
            </w:r>
          </w:p>
        </w:tc>
        <w:tc>
          <w:tcPr>
            <w:tcW w:w="1207" w:type="dxa"/>
            <w:vAlign w:val="center"/>
          </w:tcPr>
          <w:p w14:paraId="0A098372" w14:textId="45DEBEEB" w:rsidR="00A96AFF" w:rsidRPr="007A6B50" w:rsidRDefault="00A96AFF" w:rsidP="00A524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98.91%</w:t>
            </w:r>
          </w:p>
        </w:tc>
      </w:tr>
      <w:tr w:rsidR="00A96AFF" w:rsidRPr="007A6B50" w14:paraId="33B42446" w14:textId="2A046EE1" w:rsidTr="00A52434">
        <w:trPr>
          <w:trHeight w:val="188"/>
          <w:jc w:val="center"/>
        </w:trPr>
        <w:tc>
          <w:tcPr>
            <w:cnfStyle w:val="001000000000" w:firstRow="0" w:lastRow="0" w:firstColumn="1" w:lastColumn="0" w:oddVBand="0" w:evenVBand="0" w:oddHBand="0" w:evenHBand="0" w:firstRowFirstColumn="0" w:firstRowLastColumn="0" w:lastRowFirstColumn="0" w:lastRowLastColumn="0"/>
            <w:tcW w:w="1737" w:type="dxa"/>
            <w:hideMark/>
          </w:tcPr>
          <w:p w14:paraId="1F06579D" w14:textId="151D944C" w:rsidR="00A96AFF" w:rsidRPr="00A52434" w:rsidRDefault="00A96AFF" w:rsidP="00A96AFF">
            <w:pPr>
              <w:rPr>
                <w:rFonts w:asciiTheme="minorHAnsi" w:hAnsiTheme="minorHAnsi" w:cstheme="minorHAnsi"/>
                <w:b w:val="0"/>
                <w:bCs w:val="0"/>
                <w:color w:val="000000"/>
                <w:lang w:val="es-MX" w:eastAsia="es-MX"/>
              </w:rPr>
            </w:pPr>
            <w:r w:rsidRPr="00A52434">
              <w:rPr>
                <w:rFonts w:asciiTheme="minorHAnsi" w:hAnsiTheme="minorHAnsi" w:cstheme="minorHAnsi"/>
                <w:b w:val="0"/>
              </w:rPr>
              <w:t>Consejos Departamentales de Desarrollo (CODEDE) Fuente 12</w:t>
            </w:r>
          </w:p>
        </w:tc>
        <w:tc>
          <w:tcPr>
            <w:tcW w:w="1510" w:type="dxa"/>
            <w:noWrap/>
            <w:vAlign w:val="center"/>
            <w:hideMark/>
          </w:tcPr>
          <w:p w14:paraId="515BE4CC" w14:textId="600A8662"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290.00</w:t>
            </w:r>
          </w:p>
        </w:tc>
        <w:tc>
          <w:tcPr>
            <w:tcW w:w="1087" w:type="dxa"/>
            <w:noWrap/>
            <w:vAlign w:val="center"/>
            <w:hideMark/>
          </w:tcPr>
          <w:p w14:paraId="4D6539E1" w14:textId="32BF6F0D"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225.03</w:t>
            </w:r>
          </w:p>
        </w:tc>
        <w:tc>
          <w:tcPr>
            <w:tcW w:w="1227" w:type="dxa"/>
            <w:noWrap/>
            <w:vAlign w:val="center"/>
            <w:hideMark/>
          </w:tcPr>
          <w:p w14:paraId="3F6A496D" w14:textId="1CF24CAE"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515.03</w:t>
            </w:r>
          </w:p>
        </w:tc>
        <w:tc>
          <w:tcPr>
            <w:tcW w:w="1227" w:type="dxa"/>
            <w:noWrap/>
            <w:vAlign w:val="center"/>
            <w:hideMark/>
          </w:tcPr>
          <w:p w14:paraId="0140F2ED" w14:textId="04636B8D"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184.79</w:t>
            </w:r>
          </w:p>
        </w:tc>
        <w:tc>
          <w:tcPr>
            <w:tcW w:w="1207" w:type="dxa"/>
            <w:vAlign w:val="center"/>
          </w:tcPr>
          <w:p w14:paraId="071E65A3" w14:textId="0D4F26B9" w:rsidR="00A96AFF" w:rsidRPr="007A6B50" w:rsidRDefault="00A96AFF" w:rsidP="00A524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35.88%</w:t>
            </w:r>
          </w:p>
        </w:tc>
      </w:tr>
      <w:tr w:rsidR="00A96AFF" w:rsidRPr="007A6B50" w14:paraId="387292BC" w14:textId="342DE506" w:rsidTr="00A52434">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1737" w:type="dxa"/>
            <w:noWrap/>
            <w:hideMark/>
          </w:tcPr>
          <w:p w14:paraId="20E0516C" w14:textId="263A4B42" w:rsidR="00A96AFF" w:rsidRPr="00A52434" w:rsidRDefault="00A96AFF" w:rsidP="00A96AFF">
            <w:pPr>
              <w:rPr>
                <w:rFonts w:asciiTheme="minorHAnsi" w:hAnsiTheme="minorHAnsi" w:cstheme="minorHAnsi"/>
                <w:b w:val="0"/>
                <w:bCs w:val="0"/>
                <w:color w:val="000000"/>
                <w:lang w:val="es-MX" w:eastAsia="es-MX"/>
              </w:rPr>
            </w:pPr>
            <w:r w:rsidRPr="00A52434">
              <w:rPr>
                <w:rFonts w:asciiTheme="minorHAnsi" w:hAnsiTheme="minorHAnsi" w:cstheme="minorHAnsi"/>
                <w:b w:val="0"/>
              </w:rPr>
              <w:t>Consejos Departamentales de Desarrollo (CODEDE) Fuente 43</w:t>
            </w:r>
          </w:p>
        </w:tc>
        <w:tc>
          <w:tcPr>
            <w:tcW w:w="1510" w:type="dxa"/>
            <w:noWrap/>
            <w:vAlign w:val="center"/>
            <w:hideMark/>
          </w:tcPr>
          <w:p w14:paraId="58A05FDB" w14:textId="2565DE3F"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p>
        </w:tc>
        <w:tc>
          <w:tcPr>
            <w:tcW w:w="1087" w:type="dxa"/>
            <w:noWrap/>
            <w:vAlign w:val="center"/>
            <w:hideMark/>
          </w:tcPr>
          <w:p w14:paraId="1B8A3EEC" w14:textId="73449694"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342.55</w:t>
            </w:r>
          </w:p>
        </w:tc>
        <w:tc>
          <w:tcPr>
            <w:tcW w:w="1227" w:type="dxa"/>
            <w:noWrap/>
            <w:vAlign w:val="center"/>
            <w:hideMark/>
          </w:tcPr>
          <w:p w14:paraId="219CA42D" w14:textId="3B988DC7"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342.55</w:t>
            </w:r>
          </w:p>
        </w:tc>
        <w:tc>
          <w:tcPr>
            <w:tcW w:w="1227" w:type="dxa"/>
            <w:noWrap/>
            <w:vAlign w:val="center"/>
            <w:hideMark/>
          </w:tcPr>
          <w:p w14:paraId="3A49B35C" w14:textId="6019DE5A"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337.95</w:t>
            </w:r>
          </w:p>
        </w:tc>
        <w:tc>
          <w:tcPr>
            <w:tcW w:w="1207" w:type="dxa"/>
            <w:vAlign w:val="center"/>
          </w:tcPr>
          <w:p w14:paraId="5FB7E39B" w14:textId="308D4985" w:rsidR="00A96AFF" w:rsidRPr="007A6B50" w:rsidRDefault="00A96AFF" w:rsidP="00A524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98.66%</w:t>
            </w:r>
          </w:p>
        </w:tc>
      </w:tr>
      <w:tr w:rsidR="00A96AFF" w:rsidRPr="007A6B50" w14:paraId="176F21F1" w14:textId="2CA395A4" w:rsidTr="00A52434">
        <w:trPr>
          <w:trHeight w:val="277"/>
          <w:jc w:val="center"/>
        </w:trPr>
        <w:tc>
          <w:tcPr>
            <w:cnfStyle w:val="001000000000" w:firstRow="0" w:lastRow="0" w:firstColumn="1" w:lastColumn="0" w:oddVBand="0" w:evenVBand="0" w:oddHBand="0" w:evenHBand="0" w:firstRowFirstColumn="0" w:firstRowLastColumn="0" w:lastRowFirstColumn="0" w:lastRowLastColumn="0"/>
            <w:tcW w:w="1737" w:type="dxa"/>
            <w:hideMark/>
          </w:tcPr>
          <w:p w14:paraId="1E74069F" w14:textId="0BB4850F" w:rsidR="00A96AFF" w:rsidRPr="00A52434" w:rsidRDefault="00A96AFF" w:rsidP="00A96AFF">
            <w:pPr>
              <w:rPr>
                <w:rFonts w:asciiTheme="minorHAnsi" w:hAnsiTheme="minorHAnsi" w:cstheme="minorHAnsi"/>
                <w:b w:val="0"/>
                <w:bCs w:val="0"/>
                <w:color w:val="000000"/>
                <w:lang w:val="es-MX" w:eastAsia="es-MX"/>
              </w:rPr>
            </w:pPr>
            <w:r w:rsidRPr="00A52434">
              <w:rPr>
                <w:rFonts w:asciiTheme="minorHAnsi" w:hAnsiTheme="minorHAnsi" w:cstheme="minorHAnsi"/>
                <w:b w:val="0"/>
              </w:rPr>
              <w:t>Transferencias de Capital a entidades Descentralizadas, Autónomas y Empresas  Públicas</w:t>
            </w:r>
          </w:p>
        </w:tc>
        <w:tc>
          <w:tcPr>
            <w:tcW w:w="1510" w:type="dxa"/>
            <w:noWrap/>
            <w:vAlign w:val="center"/>
            <w:hideMark/>
          </w:tcPr>
          <w:p w14:paraId="642ED0CF" w14:textId="578C22E2"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2,147.99</w:t>
            </w:r>
          </w:p>
        </w:tc>
        <w:tc>
          <w:tcPr>
            <w:tcW w:w="1087" w:type="dxa"/>
            <w:noWrap/>
            <w:vAlign w:val="center"/>
            <w:hideMark/>
          </w:tcPr>
          <w:p w14:paraId="730D873D" w14:textId="7C82248D"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22.85</w:t>
            </w:r>
          </w:p>
        </w:tc>
        <w:tc>
          <w:tcPr>
            <w:tcW w:w="1227" w:type="dxa"/>
            <w:noWrap/>
            <w:vAlign w:val="center"/>
            <w:hideMark/>
          </w:tcPr>
          <w:p w14:paraId="690A1A88" w14:textId="3C11326A"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2,170.84</w:t>
            </w:r>
          </w:p>
        </w:tc>
        <w:tc>
          <w:tcPr>
            <w:tcW w:w="1227" w:type="dxa"/>
            <w:noWrap/>
            <w:vAlign w:val="center"/>
            <w:hideMark/>
          </w:tcPr>
          <w:p w14:paraId="3ABA4829" w14:textId="571181F9"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1,724.52</w:t>
            </w:r>
          </w:p>
        </w:tc>
        <w:tc>
          <w:tcPr>
            <w:tcW w:w="1207" w:type="dxa"/>
            <w:vAlign w:val="center"/>
          </w:tcPr>
          <w:p w14:paraId="1AB07060" w14:textId="374A43A4" w:rsidR="00A96AFF" w:rsidRPr="007A6B50" w:rsidRDefault="00A96AFF" w:rsidP="00A524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79.44%</w:t>
            </w:r>
          </w:p>
        </w:tc>
      </w:tr>
      <w:tr w:rsidR="00A96AFF" w:rsidRPr="007A6B50" w14:paraId="491723C0" w14:textId="7DD3C466" w:rsidTr="00A5243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37" w:type="dxa"/>
            <w:hideMark/>
          </w:tcPr>
          <w:p w14:paraId="1D75D43F" w14:textId="786BAA8D" w:rsidR="00A96AFF" w:rsidRPr="00A52434" w:rsidRDefault="00A96AFF" w:rsidP="00A96AFF">
            <w:pPr>
              <w:rPr>
                <w:rFonts w:asciiTheme="minorHAnsi" w:hAnsiTheme="minorHAnsi" w:cstheme="minorHAnsi"/>
                <w:b w:val="0"/>
                <w:bCs w:val="0"/>
                <w:color w:val="000000"/>
                <w:lang w:val="es-MX" w:eastAsia="es-MX"/>
              </w:rPr>
            </w:pPr>
            <w:r w:rsidRPr="00A52434">
              <w:rPr>
                <w:rFonts w:asciiTheme="minorHAnsi" w:hAnsiTheme="minorHAnsi" w:cstheme="minorHAnsi"/>
                <w:b w:val="0"/>
              </w:rPr>
              <w:t>Inversión financiera</w:t>
            </w:r>
          </w:p>
        </w:tc>
        <w:tc>
          <w:tcPr>
            <w:tcW w:w="1510" w:type="dxa"/>
            <w:noWrap/>
            <w:vAlign w:val="center"/>
            <w:hideMark/>
          </w:tcPr>
          <w:p w14:paraId="4C5C497B" w14:textId="661D6239"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160.91</w:t>
            </w:r>
          </w:p>
        </w:tc>
        <w:tc>
          <w:tcPr>
            <w:tcW w:w="1087" w:type="dxa"/>
            <w:noWrap/>
            <w:vAlign w:val="center"/>
            <w:hideMark/>
          </w:tcPr>
          <w:p w14:paraId="0B7BD04C" w14:textId="1D6CD88A"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-137.64</w:t>
            </w:r>
          </w:p>
        </w:tc>
        <w:tc>
          <w:tcPr>
            <w:tcW w:w="1227" w:type="dxa"/>
            <w:noWrap/>
            <w:vAlign w:val="center"/>
            <w:hideMark/>
          </w:tcPr>
          <w:p w14:paraId="27F2BA91" w14:textId="0ADF8D18"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23.26</w:t>
            </w:r>
          </w:p>
        </w:tc>
        <w:tc>
          <w:tcPr>
            <w:tcW w:w="1227" w:type="dxa"/>
            <w:noWrap/>
            <w:vAlign w:val="center"/>
            <w:hideMark/>
          </w:tcPr>
          <w:p w14:paraId="6FA286B8" w14:textId="667E58A2" w:rsidR="00A96AFF" w:rsidRPr="007A6B50" w:rsidRDefault="00A96AFF" w:rsidP="00A5243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s-MX" w:eastAsia="es-MX"/>
              </w:rPr>
            </w:pPr>
            <w:r w:rsidRPr="007A6B50">
              <w:rPr>
                <w:rFonts w:asciiTheme="minorHAnsi" w:hAnsiTheme="minorHAnsi" w:cstheme="minorHAnsi"/>
              </w:rPr>
              <w:t>20.06</w:t>
            </w:r>
          </w:p>
        </w:tc>
        <w:tc>
          <w:tcPr>
            <w:tcW w:w="1207" w:type="dxa"/>
            <w:vAlign w:val="center"/>
          </w:tcPr>
          <w:p w14:paraId="40227FBB" w14:textId="3711B9A1" w:rsidR="00A96AFF" w:rsidRPr="007A6B50" w:rsidRDefault="00A96AFF" w:rsidP="00A524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A6B50">
              <w:rPr>
                <w:rFonts w:asciiTheme="minorHAnsi" w:hAnsiTheme="minorHAnsi" w:cstheme="minorHAnsi"/>
              </w:rPr>
              <w:t>86.24%</w:t>
            </w:r>
          </w:p>
        </w:tc>
      </w:tr>
      <w:tr w:rsidR="00A96AFF" w:rsidRPr="007A6B50" w14:paraId="7FB83DFD" w14:textId="068AFA62" w:rsidTr="00A52434">
        <w:trPr>
          <w:trHeight w:val="283"/>
          <w:jc w:val="center"/>
        </w:trPr>
        <w:tc>
          <w:tcPr>
            <w:cnfStyle w:val="001000000000" w:firstRow="0" w:lastRow="0" w:firstColumn="1" w:lastColumn="0" w:oddVBand="0" w:evenVBand="0" w:oddHBand="0" w:evenHBand="0" w:firstRowFirstColumn="0" w:firstRowLastColumn="0" w:lastRowFirstColumn="0" w:lastRowLastColumn="0"/>
            <w:tcW w:w="1737" w:type="dxa"/>
          </w:tcPr>
          <w:p w14:paraId="3B76E888" w14:textId="65D53A49" w:rsidR="00A96AFF" w:rsidRPr="007A6B50" w:rsidRDefault="00A96AFF" w:rsidP="00A96AFF">
            <w:pPr>
              <w:rPr>
                <w:rFonts w:asciiTheme="minorHAnsi" w:hAnsiTheme="minorHAnsi" w:cstheme="minorHAnsi"/>
              </w:rPr>
            </w:pPr>
            <w:r w:rsidRPr="007A6B50">
              <w:rPr>
                <w:rFonts w:asciiTheme="minorHAnsi" w:hAnsiTheme="minorHAnsi" w:cstheme="minorHAnsi"/>
              </w:rPr>
              <w:t>Total</w:t>
            </w:r>
          </w:p>
        </w:tc>
        <w:tc>
          <w:tcPr>
            <w:tcW w:w="1510" w:type="dxa"/>
            <w:noWrap/>
            <w:vAlign w:val="center"/>
          </w:tcPr>
          <w:p w14:paraId="5BC36DE4" w14:textId="4029EE57"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7A6B50">
              <w:rPr>
                <w:rFonts w:asciiTheme="minorHAnsi" w:hAnsiTheme="minorHAnsi" w:cstheme="minorHAnsi"/>
                <w:b/>
                <w:bCs/>
              </w:rPr>
              <w:t>18,733.29</w:t>
            </w:r>
          </w:p>
        </w:tc>
        <w:tc>
          <w:tcPr>
            <w:tcW w:w="1087" w:type="dxa"/>
            <w:noWrap/>
            <w:vAlign w:val="center"/>
          </w:tcPr>
          <w:p w14:paraId="735B9E6A" w14:textId="23A9680F"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7A6B50">
              <w:rPr>
                <w:rFonts w:asciiTheme="minorHAnsi" w:hAnsiTheme="minorHAnsi" w:cstheme="minorHAnsi"/>
                <w:b/>
                <w:bCs/>
              </w:rPr>
              <w:t>1,892.55</w:t>
            </w:r>
          </w:p>
        </w:tc>
        <w:tc>
          <w:tcPr>
            <w:tcW w:w="1227" w:type="dxa"/>
            <w:noWrap/>
            <w:vAlign w:val="center"/>
          </w:tcPr>
          <w:p w14:paraId="1CD93981" w14:textId="3509C2DE"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7A6B50">
              <w:rPr>
                <w:rFonts w:asciiTheme="minorHAnsi" w:hAnsiTheme="minorHAnsi" w:cstheme="minorHAnsi"/>
                <w:b/>
                <w:bCs/>
              </w:rPr>
              <w:t>20,625.84</w:t>
            </w:r>
          </w:p>
        </w:tc>
        <w:tc>
          <w:tcPr>
            <w:tcW w:w="1227" w:type="dxa"/>
            <w:noWrap/>
            <w:vAlign w:val="center"/>
          </w:tcPr>
          <w:p w14:paraId="431109F8" w14:textId="6A74225D" w:rsidR="00A96AFF" w:rsidRPr="007A6B50" w:rsidRDefault="00A96AFF" w:rsidP="00A5243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7A6B50">
              <w:rPr>
                <w:rFonts w:asciiTheme="minorHAnsi" w:hAnsiTheme="minorHAnsi" w:cstheme="minorHAnsi"/>
                <w:b/>
                <w:bCs/>
              </w:rPr>
              <w:t>18,445.30</w:t>
            </w:r>
          </w:p>
        </w:tc>
        <w:tc>
          <w:tcPr>
            <w:tcW w:w="1207" w:type="dxa"/>
            <w:vAlign w:val="center"/>
          </w:tcPr>
          <w:p w14:paraId="1CB44617" w14:textId="3E0B212B" w:rsidR="00A96AFF" w:rsidRPr="007A6B50" w:rsidRDefault="00A96AFF" w:rsidP="00A524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7A6B50">
              <w:rPr>
                <w:rFonts w:asciiTheme="minorHAnsi" w:hAnsiTheme="minorHAnsi" w:cstheme="minorHAnsi"/>
                <w:b/>
                <w:bCs/>
              </w:rPr>
              <w:t>89.43%</w:t>
            </w:r>
          </w:p>
        </w:tc>
      </w:tr>
    </w:tbl>
    <w:p w14:paraId="6B7FDE8B" w14:textId="3CECAE03" w:rsidR="001F2C60" w:rsidRPr="007A6B50" w:rsidRDefault="00A52434" w:rsidP="00A96AFF">
      <w:pPr>
        <w:spacing w:after="0" w:line="240" w:lineRule="auto"/>
        <w:rPr>
          <w:rFonts w:cstheme="minorHAnsi"/>
          <w:bCs/>
          <w:color w:val="000000"/>
          <w:spacing w:val="-3"/>
          <w:sz w:val="16"/>
          <w:szCs w:val="16"/>
        </w:rPr>
      </w:pPr>
      <w:r>
        <w:rPr>
          <w:rFonts w:cstheme="minorHAnsi"/>
          <w:bCs/>
          <w:color w:val="000000"/>
          <w:spacing w:val="-3"/>
          <w:sz w:val="16"/>
          <w:szCs w:val="16"/>
        </w:rPr>
        <w:tab/>
      </w:r>
      <w:r w:rsidR="001F2C60" w:rsidRPr="007A6B50">
        <w:rPr>
          <w:rFonts w:cstheme="minorHAnsi"/>
          <w:bCs/>
          <w:color w:val="000000"/>
          <w:spacing w:val="-3"/>
          <w:sz w:val="16"/>
          <w:szCs w:val="16"/>
        </w:rPr>
        <w:t>Fuente: Elaboración SEGEP</w:t>
      </w:r>
      <w:r w:rsidR="004729BA" w:rsidRPr="007A6B50">
        <w:rPr>
          <w:rFonts w:cstheme="minorHAnsi"/>
          <w:bCs/>
          <w:color w:val="000000"/>
          <w:spacing w:val="-3"/>
          <w:sz w:val="16"/>
          <w:szCs w:val="16"/>
        </w:rPr>
        <w:t>LAN con información del SICOIN 0</w:t>
      </w:r>
      <w:r w:rsidR="004B7E13" w:rsidRPr="007A6B50">
        <w:rPr>
          <w:rFonts w:cstheme="minorHAnsi"/>
          <w:bCs/>
          <w:color w:val="000000"/>
          <w:spacing w:val="-3"/>
          <w:sz w:val="16"/>
          <w:szCs w:val="16"/>
        </w:rPr>
        <w:t>3</w:t>
      </w:r>
      <w:r w:rsidR="004729BA" w:rsidRPr="007A6B50">
        <w:rPr>
          <w:rFonts w:cstheme="minorHAnsi"/>
          <w:bCs/>
          <w:color w:val="000000"/>
          <w:spacing w:val="-3"/>
          <w:sz w:val="16"/>
          <w:szCs w:val="16"/>
        </w:rPr>
        <w:t>.01.202</w:t>
      </w:r>
      <w:r w:rsidR="004B7E13" w:rsidRPr="007A6B50">
        <w:rPr>
          <w:rFonts w:cstheme="minorHAnsi"/>
          <w:bCs/>
          <w:color w:val="000000"/>
          <w:spacing w:val="-3"/>
          <w:sz w:val="16"/>
          <w:szCs w:val="16"/>
        </w:rPr>
        <w:t>3</w:t>
      </w:r>
      <w:r>
        <w:rPr>
          <w:rFonts w:cstheme="minorHAnsi"/>
          <w:bCs/>
          <w:color w:val="000000"/>
          <w:spacing w:val="-3"/>
          <w:sz w:val="16"/>
          <w:szCs w:val="16"/>
        </w:rPr>
        <w:t>.</w:t>
      </w:r>
    </w:p>
    <w:p w14:paraId="7B68716E" w14:textId="77777777" w:rsidR="00A96AFF" w:rsidRPr="007A6B50" w:rsidRDefault="004729BA" w:rsidP="002578FF">
      <w:pPr>
        <w:spacing w:after="120" w:line="240" w:lineRule="auto"/>
        <w:jc w:val="both"/>
        <w:rPr>
          <w:rFonts w:cstheme="minorHAnsi"/>
          <w:sz w:val="24"/>
          <w:szCs w:val="24"/>
        </w:rPr>
      </w:pPr>
      <w:r w:rsidRPr="007A6B50">
        <w:rPr>
          <w:rFonts w:cstheme="minorHAnsi"/>
          <w:sz w:val="24"/>
          <w:szCs w:val="24"/>
        </w:rPr>
        <w:t xml:space="preserve">Los datos anteriores reflejan </w:t>
      </w:r>
      <w:r w:rsidR="008566C4" w:rsidRPr="007A6B50">
        <w:rPr>
          <w:rFonts w:cstheme="minorHAnsi"/>
          <w:sz w:val="24"/>
          <w:szCs w:val="24"/>
        </w:rPr>
        <w:t>que,</w:t>
      </w:r>
      <w:r w:rsidRPr="007A6B50">
        <w:rPr>
          <w:rFonts w:cstheme="minorHAnsi"/>
          <w:sz w:val="24"/>
          <w:szCs w:val="24"/>
        </w:rPr>
        <w:t xml:space="preserve"> del total del presupuesto de inversión, el monto destinado a la creación, </w:t>
      </w:r>
      <w:r w:rsidR="004D2DE8" w:rsidRPr="007A6B50">
        <w:rPr>
          <w:rFonts w:cstheme="minorHAnsi"/>
          <w:sz w:val="24"/>
          <w:szCs w:val="24"/>
        </w:rPr>
        <w:t>ampliación</w:t>
      </w:r>
      <w:r w:rsidRPr="007A6B50">
        <w:rPr>
          <w:rFonts w:cstheme="minorHAnsi"/>
          <w:sz w:val="24"/>
          <w:szCs w:val="24"/>
        </w:rPr>
        <w:t xml:space="preserve"> y mejoramiento de infraestructura, y la adquisición de equipamiento, asciende a Q</w:t>
      </w:r>
      <w:r w:rsidR="00A96AFF" w:rsidRPr="007A6B50">
        <w:rPr>
          <w:rFonts w:cstheme="minorHAnsi"/>
          <w:sz w:val="24"/>
          <w:szCs w:val="24"/>
        </w:rPr>
        <w:t>20</w:t>
      </w:r>
      <w:r w:rsidRPr="007A6B50">
        <w:rPr>
          <w:rFonts w:cstheme="minorHAnsi"/>
          <w:sz w:val="24"/>
          <w:szCs w:val="24"/>
        </w:rPr>
        <w:t>,</w:t>
      </w:r>
      <w:r w:rsidR="00A96AFF" w:rsidRPr="007A6B50">
        <w:rPr>
          <w:rFonts w:cstheme="minorHAnsi"/>
          <w:sz w:val="24"/>
          <w:szCs w:val="24"/>
        </w:rPr>
        <w:t xml:space="preserve">625.84 </w:t>
      </w:r>
      <w:r w:rsidRPr="007A6B50">
        <w:rPr>
          <w:rFonts w:cstheme="minorHAnsi"/>
          <w:sz w:val="24"/>
          <w:szCs w:val="24"/>
        </w:rPr>
        <w:t xml:space="preserve">millones, que incluye la inversión real directa. </w:t>
      </w:r>
    </w:p>
    <w:p w14:paraId="67589436" w14:textId="48234F3D" w:rsidR="004729BA" w:rsidRPr="007A6B50" w:rsidRDefault="00A96AFF" w:rsidP="002578FF">
      <w:pPr>
        <w:spacing w:after="120" w:line="240" w:lineRule="auto"/>
        <w:jc w:val="both"/>
        <w:rPr>
          <w:rFonts w:cstheme="minorHAnsi"/>
          <w:sz w:val="24"/>
          <w:szCs w:val="24"/>
        </w:rPr>
      </w:pPr>
      <w:r w:rsidRPr="007A6B50">
        <w:rPr>
          <w:rFonts w:cstheme="minorHAnsi"/>
          <w:sz w:val="24"/>
          <w:szCs w:val="24"/>
        </w:rPr>
        <w:t>Dicha inversión está a cargo de las principales e</w:t>
      </w:r>
      <w:r w:rsidR="004729BA" w:rsidRPr="007A6B50">
        <w:rPr>
          <w:rFonts w:cstheme="minorHAnsi"/>
          <w:sz w:val="24"/>
          <w:szCs w:val="24"/>
        </w:rPr>
        <w:t>ntidades del Organismo Ejecutivo, y las Transferencias de Capital para inversión en infraestructura a las Municipalidades, Consejos de Desarrollo Departamental, entidades Descentralizadas, Autónomas y Empresas Públicas.</w:t>
      </w:r>
    </w:p>
    <w:p w14:paraId="58926072" w14:textId="1507E3DE" w:rsidR="001912B8" w:rsidRPr="007A6B50" w:rsidRDefault="001912B8" w:rsidP="002578FF">
      <w:pPr>
        <w:spacing w:after="120" w:line="240" w:lineRule="auto"/>
        <w:jc w:val="both"/>
        <w:rPr>
          <w:rFonts w:eastAsiaTheme="majorEastAsia" w:cstheme="minorHAnsi"/>
          <w:b/>
          <w:color w:val="002060"/>
          <w:sz w:val="28"/>
          <w:szCs w:val="28"/>
        </w:rPr>
      </w:pPr>
      <w:bookmarkStart w:id="84" w:name="_Toc62718048"/>
      <w:r w:rsidRPr="007A6B50">
        <w:rPr>
          <w:rFonts w:eastAsiaTheme="majorEastAsia" w:cstheme="minorHAnsi"/>
          <w:b/>
          <w:color w:val="002060"/>
          <w:sz w:val="28"/>
          <w:szCs w:val="28"/>
        </w:rPr>
        <w:t xml:space="preserve">Proyectos registrados en el SINIP y recibidos oficialmente a nivel nacional al tercer cuatrimestre, ejercicio fiscal </w:t>
      </w:r>
      <w:bookmarkEnd w:id="84"/>
      <w:r w:rsidR="00BD1BD3" w:rsidRPr="007A6B50">
        <w:rPr>
          <w:rFonts w:eastAsiaTheme="majorEastAsia" w:cstheme="minorHAnsi"/>
          <w:b/>
          <w:color w:val="002060"/>
          <w:sz w:val="28"/>
          <w:szCs w:val="28"/>
        </w:rPr>
        <w:t>2022</w:t>
      </w:r>
    </w:p>
    <w:p w14:paraId="20061618" w14:textId="61DFACB5" w:rsidR="004729BA" w:rsidRPr="007A6B50" w:rsidRDefault="004729BA" w:rsidP="002578FF">
      <w:pPr>
        <w:spacing w:after="120" w:line="240" w:lineRule="auto"/>
        <w:jc w:val="both"/>
        <w:rPr>
          <w:rFonts w:cstheme="minorHAnsi"/>
          <w:sz w:val="24"/>
          <w:szCs w:val="24"/>
        </w:rPr>
      </w:pPr>
      <w:r w:rsidRPr="007A6B50">
        <w:rPr>
          <w:rFonts w:cstheme="minorHAnsi"/>
          <w:sz w:val="24"/>
          <w:szCs w:val="24"/>
        </w:rPr>
        <w:t>De acuerdo con la legislación vigente y las Normas del SNIP, los proyectos de inversión Pública deben ser registrados en el S</w:t>
      </w:r>
      <w:r w:rsidR="00A96AFF" w:rsidRPr="007A6B50">
        <w:rPr>
          <w:rFonts w:cstheme="minorHAnsi"/>
          <w:sz w:val="24"/>
          <w:szCs w:val="24"/>
        </w:rPr>
        <w:t>istema de Información de Inversión Pública (SI</w:t>
      </w:r>
      <w:r w:rsidRPr="007A6B50">
        <w:rPr>
          <w:rFonts w:cstheme="minorHAnsi"/>
          <w:sz w:val="24"/>
          <w:szCs w:val="24"/>
        </w:rPr>
        <w:t>NIP</w:t>
      </w:r>
      <w:r w:rsidR="00A96AFF" w:rsidRPr="007A6B50">
        <w:rPr>
          <w:rFonts w:cstheme="minorHAnsi"/>
          <w:sz w:val="24"/>
          <w:szCs w:val="24"/>
        </w:rPr>
        <w:t>)</w:t>
      </w:r>
      <w:r w:rsidRPr="007A6B50">
        <w:rPr>
          <w:rFonts w:cstheme="minorHAnsi"/>
          <w:sz w:val="24"/>
          <w:szCs w:val="24"/>
        </w:rPr>
        <w:t xml:space="preserve"> e ingresados oficialmente en SEGEPLAN para la emisión de opinión técnica correspondiente y en la parte de los Gobiernos Locales, los proyectos son evaluados por las respectivas Direcciones Municipales de Planificación (DMP).  </w:t>
      </w:r>
    </w:p>
    <w:p w14:paraId="6F46E8F4" w14:textId="2A125E29" w:rsidR="00307F8F" w:rsidRPr="007A6B50" w:rsidRDefault="004729BA" w:rsidP="002578FF">
      <w:pPr>
        <w:spacing w:after="120" w:line="240" w:lineRule="auto"/>
        <w:jc w:val="both"/>
        <w:rPr>
          <w:rFonts w:cstheme="minorHAnsi"/>
          <w:sz w:val="24"/>
          <w:szCs w:val="24"/>
        </w:rPr>
      </w:pPr>
      <w:r w:rsidRPr="007A6B50">
        <w:rPr>
          <w:rFonts w:cstheme="minorHAnsi"/>
          <w:sz w:val="24"/>
          <w:szCs w:val="24"/>
        </w:rPr>
        <w:t xml:space="preserve">En este sentido, al tercer cuatrimestre del Ejercicio Fiscal </w:t>
      </w:r>
      <w:r w:rsidR="00BD1BD3" w:rsidRPr="007A6B50">
        <w:rPr>
          <w:rFonts w:cstheme="minorHAnsi"/>
          <w:sz w:val="24"/>
          <w:szCs w:val="24"/>
        </w:rPr>
        <w:t>2022</w:t>
      </w:r>
      <w:r w:rsidRPr="007A6B50">
        <w:rPr>
          <w:rFonts w:cstheme="minorHAnsi"/>
          <w:sz w:val="24"/>
          <w:szCs w:val="24"/>
        </w:rPr>
        <w:t>, a nivel nacional, ingresaron al SINIP un total de 1</w:t>
      </w:r>
      <w:r w:rsidR="00A96AFF" w:rsidRPr="007A6B50">
        <w:rPr>
          <w:rFonts w:cstheme="minorHAnsi"/>
          <w:sz w:val="24"/>
          <w:szCs w:val="24"/>
        </w:rPr>
        <w:t>8</w:t>
      </w:r>
      <w:r w:rsidRPr="007A6B50">
        <w:rPr>
          <w:rFonts w:cstheme="minorHAnsi"/>
          <w:sz w:val="24"/>
          <w:szCs w:val="24"/>
        </w:rPr>
        <w:t>,</w:t>
      </w:r>
      <w:r w:rsidR="00A96AFF" w:rsidRPr="007A6B50">
        <w:rPr>
          <w:rFonts w:cstheme="minorHAnsi"/>
          <w:sz w:val="24"/>
          <w:szCs w:val="24"/>
        </w:rPr>
        <w:t>635</w:t>
      </w:r>
      <w:r w:rsidRPr="007A6B50">
        <w:rPr>
          <w:rFonts w:cstheme="minorHAnsi"/>
          <w:sz w:val="24"/>
          <w:szCs w:val="24"/>
        </w:rPr>
        <w:t xml:space="preserve"> proyectos, tanto en la sede central como en las oficinas departamentales de SEGEPLAN, en las respectivas direcciones de planificación de cada Gobierno Local. Ver gráfica </w:t>
      </w:r>
      <w:r w:rsidR="005A771F">
        <w:rPr>
          <w:rFonts w:cstheme="minorHAnsi"/>
          <w:sz w:val="24"/>
          <w:szCs w:val="24"/>
        </w:rPr>
        <w:t>siguiente:</w:t>
      </w:r>
    </w:p>
    <w:p w14:paraId="4392CF23" w14:textId="42431AA5" w:rsidR="00154839" w:rsidRPr="007A6B50" w:rsidRDefault="00307F8F" w:rsidP="00E60C4F">
      <w:pPr>
        <w:pStyle w:val="ttulosgrficas"/>
        <w:rPr>
          <w:rFonts w:asciiTheme="minorHAnsi" w:hAnsiTheme="minorHAnsi" w:cstheme="minorHAnsi"/>
        </w:rPr>
      </w:pPr>
      <w:bookmarkStart w:id="85" w:name="_Toc67377811"/>
      <w:bookmarkStart w:id="86" w:name="_Toc67381554"/>
      <w:bookmarkStart w:id="87" w:name="_Toc130204477"/>
      <w:r w:rsidRPr="007A6B50">
        <w:rPr>
          <w:rFonts w:asciiTheme="minorHAnsi" w:eastAsia="Times New Roman" w:hAnsiTheme="minorHAnsi" w:cstheme="minorHAnsi"/>
          <w:color w:val="4472C4" w:themeColor="accent1"/>
          <w:lang w:val="es-ES"/>
        </w:rPr>
        <w:t xml:space="preserve">Gráfica </w:t>
      </w:r>
      <w:r w:rsidR="007F134F" w:rsidRPr="007A6B50">
        <w:rPr>
          <w:rFonts w:asciiTheme="minorHAnsi" w:eastAsia="Times New Roman" w:hAnsiTheme="minorHAnsi" w:cstheme="minorHAnsi"/>
          <w:color w:val="4472C4" w:themeColor="accent1"/>
          <w:lang w:val="es-ES"/>
        </w:rPr>
        <w:fldChar w:fldCharType="begin"/>
      </w:r>
      <w:r w:rsidR="007F134F" w:rsidRPr="007A6B50">
        <w:rPr>
          <w:rFonts w:asciiTheme="minorHAnsi" w:eastAsia="Times New Roman" w:hAnsiTheme="minorHAnsi" w:cstheme="minorHAnsi"/>
          <w:color w:val="4472C4" w:themeColor="accent1"/>
          <w:lang w:val="es-ES"/>
        </w:rPr>
        <w:instrText xml:space="preserve"> SEQ Gráfica \* ARABIC </w:instrText>
      </w:r>
      <w:r w:rsidR="007F134F" w:rsidRPr="007A6B50">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9</w:t>
      </w:r>
      <w:bookmarkEnd w:id="85"/>
      <w:bookmarkEnd w:id="86"/>
      <w:r w:rsidR="007F134F" w:rsidRPr="007A6B50">
        <w:rPr>
          <w:rFonts w:asciiTheme="minorHAnsi" w:eastAsia="Times New Roman" w:hAnsiTheme="minorHAnsi" w:cstheme="minorHAnsi"/>
          <w:color w:val="4472C4" w:themeColor="accent1"/>
          <w:lang w:val="es-ES"/>
        </w:rPr>
        <w:fldChar w:fldCharType="end"/>
      </w:r>
      <w:r w:rsidR="002578FF">
        <w:rPr>
          <w:rFonts w:asciiTheme="minorHAnsi" w:eastAsia="Times New Roman" w:hAnsiTheme="minorHAnsi" w:cstheme="minorHAnsi"/>
          <w:color w:val="4472C4" w:themeColor="accent1"/>
          <w:lang w:val="es-ES"/>
        </w:rPr>
        <w:t>.</w:t>
      </w:r>
      <w:r w:rsidR="003562C1" w:rsidRPr="007A6B50">
        <w:rPr>
          <w:rFonts w:asciiTheme="minorHAnsi" w:eastAsia="Times New Roman" w:hAnsiTheme="minorHAnsi" w:cstheme="minorHAnsi"/>
          <w:color w:val="4472C4" w:themeColor="accent1"/>
          <w:lang w:val="es-ES"/>
        </w:rPr>
        <w:t xml:space="preserve"> </w:t>
      </w:r>
      <w:r w:rsidR="001912B8" w:rsidRPr="007A6B50">
        <w:rPr>
          <w:rFonts w:asciiTheme="minorHAnsi" w:eastAsia="Times New Roman" w:hAnsiTheme="minorHAnsi" w:cstheme="minorHAnsi"/>
          <w:color w:val="4472C4" w:themeColor="accent1"/>
          <w:lang w:val="es-ES"/>
        </w:rPr>
        <w:t xml:space="preserve">Proyectos registrados y con asignación a nivel nacional </w:t>
      </w:r>
      <w:r w:rsidR="001912B8" w:rsidRPr="007A6B50">
        <w:rPr>
          <w:rFonts w:asciiTheme="minorHAnsi" w:eastAsia="Times New Roman" w:hAnsiTheme="minorHAnsi" w:cstheme="minorHAnsi"/>
          <w:color w:val="4472C4" w:themeColor="accent1"/>
          <w:lang w:val="es-ES"/>
        </w:rPr>
        <w:br/>
      </w:r>
      <w:r w:rsidR="001912B8" w:rsidRPr="007A6B50">
        <w:rPr>
          <w:rFonts w:asciiTheme="minorHAnsi" w:hAnsiTheme="minorHAnsi" w:cstheme="minorHAnsi"/>
          <w:color w:val="4472C4" w:themeColor="accent1"/>
        </w:rPr>
        <w:t xml:space="preserve">Ejercicio </w:t>
      </w:r>
      <w:r w:rsidR="005A771F">
        <w:rPr>
          <w:rFonts w:asciiTheme="minorHAnsi" w:hAnsiTheme="minorHAnsi" w:cstheme="minorHAnsi"/>
          <w:color w:val="4472C4" w:themeColor="accent1"/>
        </w:rPr>
        <w:t>f</w:t>
      </w:r>
      <w:r w:rsidR="001912B8" w:rsidRPr="007A6B50">
        <w:rPr>
          <w:rFonts w:asciiTheme="minorHAnsi" w:hAnsiTheme="minorHAnsi" w:cstheme="minorHAnsi"/>
          <w:color w:val="4472C4" w:themeColor="accent1"/>
        </w:rPr>
        <w:t xml:space="preserve">iscal </w:t>
      </w:r>
      <w:r w:rsidR="00BD1BD3" w:rsidRPr="007A6B50">
        <w:rPr>
          <w:rFonts w:asciiTheme="minorHAnsi" w:hAnsiTheme="minorHAnsi" w:cstheme="minorHAnsi"/>
          <w:color w:val="4472C4" w:themeColor="accent1"/>
        </w:rPr>
        <w:t>2022</w:t>
      </w:r>
      <w:bookmarkEnd w:id="87"/>
    </w:p>
    <w:p w14:paraId="4A809758" w14:textId="50ED6872" w:rsidR="001912B8" w:rsidRPr="007A6B50" w:rsidRDefault="004B7E13" w:rsidP="00E60C4F">
      <w:pPr>
        <w:pStyle w:val="ttulosgrficas"/>
        <w:rPr>
          <w:rFonts w:asciiTheme="minorHAnsi" w:eastAsia="Times New Roman" w:hAnsiTheme="minorHAnsi" w:cstheme="minorHAnsi"/>
          <w:sz w:val="2"/>
          <w:szCs w:val="20"/>
          <w:lang w:eastAsia="es-GT"/>
        </w:rPr>
      </w:pPr>
      <w:r w:rsidRPr="007A6B50">
        <w:rPr>
          <w:rFonts w:asciiTheme="minorHAnsi" w:hAnsiTheme="minorHAnsi" w:cstheme="minorHAnsi"/>
          <w:noProof/>
        </w:rPr>
        <w:drawing>
          <wp:inline distT="0" distB="0" distL="0" distR="0" wp14:anchorId="7D5B3E08" wp14:editId="2E967F79">
            <wp:extent cx="4580890" cy="2638425"/>
            <wp:effectExtent l="0" t="0" r="10160" b="9525"/>
            <wp:docPr id="25" name="Gráfico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23AF6A4" w14:textId="0D6A95E9" w:rsidR="001912B8" w:rsidRPr="007A6B50" w:rsidRDefault="002578FF" w:rsidP="002578FF">
      <w:pPr>
        <w:rPr>
          <w:rFonts w:cstheme="minorHAnsi"/>
          <w:sz w:val="16"/>
          <w:szCs w:val="16"/>
        </w:rPr>
      </w:pPr>
      <w:r>
        <w:rPr>
          <w:rFonts w:cstheme="minorHAnsi"/>
          <w:sz w:val="16"/>
          <w:szCs w:val="16"/>
        </w:rPr>
        <w:t xml:space="preserve">                                 </w:t>
      </w:r>
      <w:r w:rsidR="001912B8" w:rsidRPr="007A6B50">
        <w:rPr>
          <w:rFonts w:cstheme="minorHAnsi"/>
          <w:sz w:val="16"/>
          <w:szCs w:val="16"/>
        </w:rPr>
        <w:t xml:space="preserve">Fuente: elaboración SEGEPLAN con información del SINIP </w:t>
      </w:r>
      <w:r w:rsidR="004B7E13" w:rsidRPr="007A6B50">
        <w:rPr>
          <w:rFonts w:cstheme="minorHAnsi"/>
          <w:sz w:val="16"/>
          <w:szCs w:val="16"/>
        </w:rPr>
        <w:t>03</w:t>
      </w:r>
      <w:r w:rsidR="001912B8" w:rsidRPr="007A6B50">
        <w:rPr>
          <w:rFonts w:cstheme="minorHAnsi"/>
          <w:sz w:val="16"/>
          <w:szCs w:val="16"/>
        </w:rPr>
        <w:t>.01.</w:t>
      </w:r>
      <w:r w:rsidR="00BD1BD3" w:rsidRPr="007A6B50">
        <w:rPr>
          <w:rFonts w:cstheme="minorHAnsi"/>
          <w:sz w:val="16"/>
          <w:szCs w:val="16"/>
        </w:rPr>
        <w:t>202</w:t>
      </w:r>
      <w:r w:rsidR="004B7E13" w:rsidRPr="007A6B50">
        <w:rPr>
          <w:rFonts w:cstheme="minorHAnsi"/>
          <w:sz w:val="16"/>
          <w:szCs w:val="16"/>
        </w:rPr>
        <w:t>3</w:t>
      </w:r>
      <w:r w:rsidR="005A771F">
        <w:rPr>
          <w:rFonts w:cstheme="minorHAnsi"/>
          <w:sz w:val="16"/>
          <w:szCs w:val="16"/>
        </w:rPr>
        <w:t>.</w:t>
      </w:r>
    </w:p>
    <w:p w14:paraId="57112A66" w14:textId="77777777" w:rsidR="00F34896" w:rsidRPr="007A6B50" w:rsidRDefault="00F34896" w:rsidP="00F34896">
      <w:pPr>
        <w:spacing w:after="0"/>
        <w:jc w:val="both"/>
        <w:rPr>
          <w:rFonts w:cstheme="minorHAnsi"/>
          <w:sz w:val="24"/>
          <w:szCs w:val="24"/>
        </w:rPr>
      </w:pPr>
      <w:r w:rsidRPr="007A6B50">
        <w:rPr>
          <w:rFonts w:cstheme="minorHAnsi"/>
          <w:sz w:val="24"/>
          <w:szCs w:val="24"/>
        </w:rPr>
        <w:t>Los datos anteriores reflejan los aspectos siguientes:</w:t>
      </w:r>
    </w:p>
    <w:p w14:paraId="489481F7" w14:textId="04496DF6" w:rsidR="00F34896" w:rsidRPr="007A6B50" w:rsidRDefault="00F34896" w:rsidP="005321FC">
      <w:pPr>
        <w:pStyle w:val="Prrafodelista"/>
        <w:numPr>
          <w:ilvl w:val="0"/>
          <w:numId w:val="20"/>
        </w:numPr>
        <w:spacing w:after="0"/>
        <w:jc w:val="both"/>
        <w:rPr>
          <w:rFonts w:cstheme="minorHAnsi"/>
          <w:sz w:val="24"/>
          <w:szCs w:val="24"/>
        </w:rPr>
      </w:pPr>
      <w:r w:rsidRPr="007A6B50">
        <w:rPr>
          <w:rFonts w:cstheme="minorHAnsi"/>
          <w:sz w:val="24"/>
          <w:szCs w:val="24"/>
        </w:rPr>
        <w:t xml:space="preserve">El </w:t>
      </w:r>
      <w:r w:rsidR="004B7E13" w:rsidRPr="007A6B50">
        <w:rPr>
          <w:rFonts w:cstheme="minorHAnsi"/>
          <w:sz w:val="24"/>
          <w:szCs w:val="24"/>
        </w:rPr>
        <w:t>43.04</w:t>
      </w:r>
      <w:r w:rsidRPr="007A6B50">
        <w:rPr>
          <w:rFonts w:cstheme="minorHAnsi"/>
          <w:sz w:val="24"/>
          <w:szCs w:val="24"/>
        </w:rPr>
        <w:t>% de los proyectos registrados, obtienen asignación presupuestaria inicial.</w:t>
      </w:r>
    </w:p>
    <w:p w14:paraId="044AC4B0" w14:textId="39BAC8B8" w:rsidR="00F34896" w:rsidRPr="007A6B50" w:rsidRDefault="00F34896" w:rsidP="005321FC">
      <w:pPr>
        <w:pStyle w:val="Prrafodelista"/>
        <w:numPr>
          <w:ilvl w:val="0"/>
          <w:numId w:val="20"/>
        </w:numPr>
        <w:spacing w:after="0"/>
        <w:jc w:val="both"/>
        <w:rPr>
          <w:rFonts w:cstheme="minorHAnsi"/>
          <w:sz w:val="24"/>
          <w:szCs w:val="24"/>
        </w:rPr>
      </w:pPr>
      <w:r w:rsidRPr="007A6B50">
        <w:rPr>
          <w:rFonts w:cstheme="minorHAnsi"/>
          <w:sz w:val="24"/>
          <w:szCs w:val="24"/>
        </w:rPr>
        <w:t xml:space="preserve">El </w:t>
      </w:r>
      <w:r w:rsidR="004B7E13" w:rsidRPr="007A6B50">
        <w:rPr>
          <w:rFonts w:cstheme="minorHAnsi"/>
          <w:sz w:val="24"/>
          <w:szCs w:val="24"/>
        </w:rPr>
        <w:t>52.65</w:t>
      </w:r>
      <w:r w:rsidRPr="007A6B50">
        <w:rPr>
          <w:rFonts w:cstheme="minorHAnsi"/>
          <w:sz w:val="24"/>
          <w:szCs w:val="24"/>
        </w:rPr>
        <w:t>% de los proyectos registrados, obtienen asignación presupuestaria vigente.</w:t>
      </w:r>
    </w:p>
    <w:p w14:paraId="43685341" w14:textId="6C81A505" w:rsidR="00F34896" w:rsidRPr="007A6B50" w:rsidRDefault="00F34896" w:rsidP="005321FC">
      <w:pPr>
        <w:pStyle w:val="Prrafodelista"/>
        <w:numPr>
          <w:ilvl w:val="0"/>
          <w:numId w:val="20"/>
        </w:numPr>
        <w:spacing w:after="0"/>
        <w:jc w:val="both"/>
        <w:rPr>
          <w:rFonts w:cstheme="minorHAnsi"/>
          <w:sz w:val="24"/>
          <w:szCs w:val="24"/>
        </w:rPr>
      </w:pPr>
      <w:r w:rsidRPr="007A6B50">
        <w:rPr>
          <w:rFonts w:cstheme="minorHAnsi"/>
          <w:sz w:val="24"/>
          <w:szCs w:val="24"/>
        </w:rPr>
        <w:t>Del total de proyectos con asignación presupuestaria vigente, un 8</w:t>
      </w:r>
      <w:r w:rsidR="004B7E13" w:rsidRPr="007A6B50">
        <w:rPr>
          <w:rFonts w:cstheme="minorHAnsi"/>
          <w:sz w:val="24"/>
          <w:szCs w:val="24"/>
        </w:rPr>
        <w:t>4</w:t>
      </w:r>
      <w:r w:rsidRPr="007A6B50">
        <w:rPr>
          <w:rFonts w:cstheme="minorHAnsi"/>
          <w:sz w:val="24"/>
          <w:szCs w:val="24"/>
        </w:rPr>
        <w:t>.</w:t>
      </w:r>
      <w:r w:rsidR="004B7E13" w:rsidRPr="007A6B50">
        <w:rPr>
          <w:rFonts w:cstheme="minorHAnsi"/>
          <w:sz w:val="24"/>
          <w:szCs w:val="24"/>
        </w:rPr>
        <w:t>79</w:t>
      </w:r>
      <w:r w:rsidRPr="007A6B50">
        <w:rPr>
          <w:rFonts w:cstheme="minorHAnsi"/>
          <w:sz w:val="24"/>
          <w:szCs w:val="24"/>
        </w:rPr>
        <w:t>% alcanzan ejecución.</w:t>
      </w:r>
    </w:p>
    <w:p w14:paraId="3F0C0D21" w14:textId="77777777" w:rsidR="00F34896" w:rsidRPr="007A6B50" w:rsidRDefault="00F34896" w:rsidP="00F34896">
      <w:pPr>
        <w:spacing w:after="0"/>
        <w:jc w:val="both"/>
        <w:rPr>
          <w:rFonts w:cstheme="minorHAnsi"/>
          <w:sz w:val="24"/>
          <w:szCs w:val="24"/>
        </w:rPr>
      </w:pPr>
    </w:p>
    <w:p w14:paraId="528697B4" w14:textId="3D1A44FD" w:rsidR="002578FF" w:rsidRPr="002578FF" w:rsidRDefault="00F34896" w:rsidP="002578FF">
      <w:pPr>
        <w:spacing w:after="120" w:line="240" w:lineRule="auto"/>
        <w:jc w:val="both"/>
        <w:rPr>
          <w:rFonts w:cstheme="minorHAnsi"/>
          <w:sz w:val="24"/>
          <w:szCs w:val="24"/>
        </w:rPr>
      </w:pPr>
      <w:r w:rsidRPr="007A6B50">
        <w:rPr>
          <w:rFonts w:cstheme="minorHAnsi"/>
          <w:sz w:val="24"/>
          <w:szCs w:val="24"/>
        </w:rPr>
        <w:t xml:space="preserve">Otros datos relevantes de los proyectos se presentan en la tabla </w:t>
      </w:r>
      <w:r w:rsidR="002578FF">
        <w:rPr>
          <w:rFonts w:cstheme="minorHAnsi"/>
          <w:sz w:val="24"/>
          <w:szCs w:val="24"/>
        </w:rPr>
        <w:t>siguiente:</w:t>
      </w:r>
    </w:p>
    <w:p w14:paraId="2305ABDA" w14:textId="457F865E" w:rsidR="003562C1" w:rsidRPr="007A6B50" w:rsidRDefault="00F52482" w:rsidP="0059105E">
      <w:pPr>
        <w:pStyle w:val="ttulosgrficas"/>
        <w:rPr>
          <w:rFonts w:asciiTheme="minorHAnsi" w:eastAsia="Times New Roman" w:hAnsiTheme="minorHAnsi" w:cstheme="minorHAnsi"/>
          <w:b w:val="0"/>
          <w:bCs w:val="0"/>
          <w:color w:val="4472C4" w:themeColor="accent1"/>
          <w:lang w:val="es-ES"/>
        </w:rPr>
      </w:pPr>
      <w:bookmarkStart w:id="88" w:name="_Toc130199627"/>
      <w:r w:rsidRPr="007A6B50">
        <w:rPr>
          <w:rFonts w:asciiTheme="minorHAnsi" w:eastAsia="Times New Roman" w:hAnsiTheme="minorHAnsi" w:cstheme="minorHAnsi"/>
          <w:color w:val="4472C4" w:themeColor="accent1"/>
          <w:lang w:val="es-ES"/>
        </w:rPr>
        <w:t xml:space="preserve">Tabla </w:t>
      </w:r>
      <w:r w:rsidR="006E5E0A" w:rsidRPr="007A6B50">
        <w:rPr>
          <w:rFonts w:asciiTheme="minorHAnsi" w:eastAsia="Times New Roman" w:hAnsiTheme="minorHAnsi" w:cstheme="minorHAnsi"/>
          <w:color w:val="4472C4" w:themeColor="accent1"/>
          <w:lang w:val="es-ES"/>
        </w:rPr>
        <w:fldChar w:fldCharType="begin"/>
      </w:r>
      <w:r w:rsidR="006E5E0A" w:rsidRPr="007A6B50">
        <w:rPr>
          <w:rFonts w:asciiTheme="minorHAnsi" w:eastAsia="Times New Roman" w:hAnsiTheme="minorHAnsi" w:cstheme="minorHAnsi"/>
          <w:color w:val="4472C4" w:themeColor="accent1"/>
          <w:lang w:val="es-ES"/>
        </w:rPr>
        <w:instrText xml:space="preserve"> SEQ Tabla \* ARABIC </w:instrText>
      </w:r>
      <w:r w:rsidR="006E5E0A" w:rsidRPr="007A6B50">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39</w:t>
      </w:r>
      <w:r w:rsidR="006E5E0A" w:rsidRPr="007A6B50">
        <w:rPr>
          <w:rFonts w:asciiTheme="minorHAnsi" w:eastAsia="Times New Roman" w:hAnsiTheme="minorHAnsi" w:cstheme="minorHAnsi"/>
          <w:color w:val="4472C4" w:themeColor="accent1"/>
          <w:lang w:val="es-ES"/>
        </w:rPr>
        <w:fldChar w:fldCharType="end"/>
      </w:r>
      <w:r w:rsidR="002578FF">
        <w:rPr>
          <w:rFonts w:asciiTheme="minorHAnsi" w:eastAsia="Times New Roman" w:hAnsiTheme="minorHAnsi" w:cstheme="minorHAnsi"/>
          <w:color w:val="4472C4" w:themeColor="accent1"/>
          <w:lang w:val="es-ES"/>
        </w:rPr>
        <w:t>.</w:t>
      </w:r>
      <w:r w:rsidR="003562C1" w:rsidRPr="007A6B50">
        <w:rPr>
          <w:rFonts w:asciiTheme="minorHAnsi" w:eastAsia="Times New Roman" w:hAnsiTheme="minorHAnsi" w:cstheme="minorHAnsi"/>
          <w:color w:val="4472C4" w:themeColor="accent1"/>
          <w:lang w:val="es-ES"/>
        </w:rPr>
        <w:t xml:space="preserve"> </w:t>
      </w:r>
      <w:r w:rsidR="00C25B7E" w:rsidRPr="007A6B50">
        <w:rPr>
          <w:rFonts w:asciiTheme="minorHAnsi" w:eastAsia="Times New Roman" w:hAnsiTheme="minorHAnsi" w:cstheme="minorHAnsi"/>
          <w:color w:val="4472C4" w:themeColor="accent1"/>
          <w:lang w:val="es-ES"/>
        </w:rPr>
        <w:t>Proyectos registrados,</w:t>
      </w:r>
      <w:bookmarkEnd w:id="88"/>
      <w:r w:rsidR="00C25B7E" w:rsidRPr="007A6B50">
        <w:rPr>
          <w:rFonts w:asciiTheme="minorHAnsi" w:eastAsia="Times New Roman" w:hAnsiTheme="minorHAnsi" w:cstheme="minorHAnsi"/>
          <w:b w:val="0"/>
          <w:bCs w:val="0"/>
          <w:color w:val="4472C4" w:themeColor="accent1"/>
          <w:lang w:val="es-ES"/>
        </w:rPr>
        <w:t xml:space="preserve"> </w:t>
      </w:r>
    </w:p>
    <w:p w14:paraId="56BF3948" w14:textId="71390B62" w:rsidR="00C25B7E" w:rsidRPr="007A6B50" w:rsidRDefault="00C25B7E" w:rsidP="009C3D82">
      <w:pPr>
        <w:spacing w:after="0" w:line="240" w:lineRule="auto"/>
        <w:jc w:val="center"/>
        <w:rPr>
          <w:rStyle w:val="ttulosgrficasCar"/>
          <w:rFonts w:asciiTheme="minorHAnsi" w:hAnsiTheme="minorHAnsi" w:cstheme="minorHAnsi"/>
          <w:color w:val="4472C4" w:themeColor="accent1"/>
        </w:rPr>
      </w:pPr>
      <w:r w:rsidRPr="007A6B50">
        <w:rPr>
          <w:rStyle w:val="ttulosgrficasCar"/>
          <w:rFonts w:asciiTheme="minorHAnsi" w:hAnsiTheme="minorHAnsi" w:cstheme="minorHAnsi"/>
          <w:color w:val="4472C4" w:themeColor="accent1"/>
        </w:rPr>
        <w:t xml:space="preserve">con asignación y ejecución a nivel nacional, </w:t>
      </w:r>
      <w:r w:rsidR="005A771F">
        <w:rPr>
          <w:rStyle w:val="ttulosgrficasCar"/>
          <w:rFonts w:asciiTheme="minorHAnsi" w:hAnsiTheme="minorHAnsi" w:cstheme="minorHAnsi"/>
          <w:color w:val="4472C4" w:themeColor="accent1"/>
        </w:rPr>
        <w:t>e</w:t>
      </w:r>
      <w:r w:rsidRPr="007A6B50">
        <w:rPr>
          <w:rStyle w:val="ttulosgrficasCar"/>
          <w:rFonts w:asciiTheme="minorHAnsi" w:hAnsiTheme="minorHAnsi" w:cstheme="minorHAnsi"/>
          <w:color w:val="4472C4" w:themeColor="accent1"/>
        </w:rPr>
        <w:t xml:space="preserve">jercicio </w:t>
      </w:r>
      <w:r w:rsidR="005A771F">
        <w:rPr>
          <w:rStyle w:val="ttulosgrficasCar"/>
          <w:rFonts w:asciiTheme="minorHAnsi" w:hAnsiTheme="minorHAnsi" w:cstheme="minorHAnsi"/>
          <w:color w:val="4472C4" w:themeColor="accent1"/>
        </w:rPr>
        <w:t>f</w:t>
      </w:r>
      <w:r w:rsidRPr="007A6B50">
        <w:rPr>
          <w:rStyle w:val="ttulosgrficasCar"/>
          <w:rFonts w:asciiTheme="minorHAnsi" w:hAnsiTheme="minorHAnsi" w:cstheme="minorHAnsi"/>
          <w:color w:val="4472C4" w:themeColor="accent1"/>
        </w:rPr>
        <w:t>iscal</w:t>
      </w:r>
      <w:r w:rsidR="00E4667A" w:rsidRPr="007A6B50">
        <w:rPr>
          <w:rStyle w:val="ttulosgrficasCar"/>
          <w:rFonts w:asciiTheme="minorHAnsi" w:hAnsiTheme="minorHAnsi" w:cstheme="minorHAnsi"/>
          <w:color w:val="4472C4" w:themeColor="accent1"/>
        </w:rPr>
        <w:t xml:space="preserve"> </w:t>
      </w:r>
      <w:r w:rsidR="00BD1BD3" w:rsidRPr="007A6B50">
        <w:rPr>
          <w:rStyle w:val="ttulosgrficasCar"/>
          <w:rFonts w:asciiTheme="minorHAnsi" w:hAnsiTheme="minorHAnsi" w:cstheme="minorHAnsi"/>
          <w:color w:val="4472C4" w:themeColor="accent1"/>
        </w:rPr>
        <w:t>2022</w:t>
      </w:r>
    </w:p>
    <w:tbl>
      <w:tblPr>
        <w:tblStyle w:val="Tablaconcuadrcula4-nfasis5"/>
        <w:tblpPr w:leftFromText="141" w:rightFromText="141" w:vertAnchor="text" w:horzAnchor="margin" w:tblpY="66"/>
        <w:tblW w:w="9376" w:type="dxa"/>
        <w:tblLook w:val="04A0" w:firstRow="1" w:lastRow="0" w:firstColumn="1" w:lastColumn="0" w:noHBand="0" w:noVBand="1"/>
      </w:tblPr>
      <w:tblGrid>
        <w:gridCol w:w="1366"/>
        <w:gridCol w:w="860"/>
        <w:gridCol w:w="875"/>
        <w:gridCol w:w="860"/>
        <w:gridCol w:w="868"/>
        <w:gridCol w:w="962"/>
        <w:gridCol w:w="1058"/>
        <w:gridCol w:w="781"/>
        <w:gridCol w:w="888"/>
        <w:gridCol w:w="850"/>
        <w:gridCol w:w="16"/>
      </w:tblGrid>
      <w:tr w:rsidR="009C3D82" w:rsidRPr="005A771F" w14:paraId="4E03C495" w14:textId="77777777" w:rsidTr="005A771F">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622" w:type="dxa"/>
            <w:gridSpan w:val="8"/>
            <w:tcBorders>
              <w:top w:val="none" w:sz="0" w:space="0" w:color="auto"/>
              <w:left w:val="none" w:sz="0" w:space="0" w:color="auto"/>
              <w:bottom w:val="none" w:sz="0" w:space="0" w:color="auto"/>
              <w:right w:val="none" w:sz="0" w:space="0" w:color="auto"/>
            </w:tcBorders>
            <w:noWrap/>
            <w:vAlign w:val="center"/>
            <w:hideMark/>
          </w:tcPr>
          <w:p w14:paraId="593782C6" w14:textId="77777777" w:rsidR="009C3D82" w:rsidRPr="005A771F" w:rsidRDefault="009C3D82" w:rsidP="005A771F">
            <w:pPr>
              <w:jc w:val="center"/>
              <w:rPr>
                <w:rFonts w:asciiTheme="minorHAnsi" w:eastAsia="Times New Roman" w:hAnsiTheme="minorHAnsi" w:cstheme="minorHAnsi"/>
                <w:b w:val="0"/>
                <w:bCs w:val="0"/>
                <w:color w:val="auto"/>
                <w:lang w:eastAsia="es-GT"/>
              </w:rPr>
            </w:pPr>
            <w:bookmarkStart w:id="89" w:name="_Hlk67045484"/>
            <w:r w:rsidRPr="005A771F">
              <w:rPr>
                <w:rFonts w:asciiTheme="minorHAnsi" w:eastAsia="Times New Roman" w:hAnsiTheme="minorHAnsi" w:cstheme="minorHAnsi"/>
                <w:color w:val="auto"/>
                <w:lang w:eastAsia="es-GT"/>
              </w:rPr>
              <w:t>Proyectos registrados en el SINIP</w:t>
            </w:r>
          </w:p>
        </w:tc>
        <w:tc>
          <w:tcPr>
            <w:tcW w:w="1754" w:type="dxa"/>
            <w:gridSpan w:val="3"/>
            <w:tcBorders>
              <w:top w:val="none" w:sz="0" w:space="0" w:color="auto"/>
              <w:left w:val="none" w:sz="0" w:space="0" w:color="auto"/>
              <w:bottom w:val="none" w:sz="0" w:space="0" w:color="auto"/>
              <w:right w:val="none" w:sz="0" w:space="0" w:color="auto"/>
            </w:tcBorders>
            <w:noWrap/>
            <w:vAlign w:val="center"/>
            <w:hideMark/>
          </w:tcPr>
          <w:p w14:paraId="41A0B9C6" w14:textId="77777777" w:rsidR="009C3D82" w:rsidRPr="005A771F" w:rsidRDefault="009C3D82"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s-GT"/>
              </w:rPr>
            </w:pPr>
            <w:r w:rsidRPr="005A771F">
              <w:rPr>
                <w:rFonts w:asciiTheme="minorHAnsi" w:eastAsia="Times New Roman" w:hAnsiTheme="minorHAnsi" w:cstheme="minorHAnsi"/>
                <w:color w:val="auto"/>
                <w:lang w:eastAsia="es-GT"/>
              </w:rPr>
              <w:t>Seguimiento</w:t>
            </w:r>
          </w:p>
        </w:tc>
      </w:tr>
      <w:tr w:rsidR="005A771F" w:rsidRPr="005A771F" w14:paraId="1689C6C6" w14:textId="77777777" w:rsidTr="005A771F">
        <w:trPr>
          <w:gridAfter w:val="1"/>
          <w:cnfStyle w:val="000000100000" w:firstRow="0" w:lastRow="0" w:firstColumn="0" w:lastColumn="0" w:oddVBand="0" w:evenVBand="0" w:oddHBand="1" w:evenHBand="0" w:firstRowFirstColumn="0" w:firstRowLastColumn="0" w:lastRowFirstColumn="0" w:lastRowLastColumn="0"/>
          <w:wAfter w:w="16" w:type="dxa"/>
          <w:trHeight w:val="462"/>
        </w:trPr>
        <w:tc>
          <w:tcPr>
            <w:cnfStyle w:val="001000000000" w:firstRow="0" w:lastRow="0" w:firstColumn="1" w:lastColumn="0" w:oddVBand="0" w:evenVBand="0" w:oddHBand="0" w:evenHBand="0" w:firstRowFirstColumn="0" w:firstRowLastColumn="0" w:lastRowFirstColumn="0" w:lastRowLastColumn="0"/>
            <w:tcW w:w="1366" w:type="dxa"/>
            <w:vMerge w:val="restart"/>
            <w:vAlign w:val="center"/>
            <w:hideMark/>
          </w:tcPr>
          <w:p w14:paraId="0199784D" w14:textId="77777777" w:rsidR="009C3D82" w:rsidRPr="005A771F" w:rsidRDefault="009C3D82" w:rsidP="005A771F">
            <w:pPr>
              <w:jc w:val="center"/>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Nivel de Decisión</w:t>
            </w:r>
          </w:p>
        </w:tc>
        <w:tc>
          <w:tcPr>
            <w:tcW w:w="1735" w:type="dxa"/>
            <w:gridSpan w:val="2"/>
            <w:noWrap/>
            <w:vAlign w:val="center"/>
            <w:hideMark/>
          </w:tcPr>
          <w:p w14:paraId="77A8D239" w14:textId="77777777" w:rsidR="009C3D82" w:rsidRPr="005A771F" w:rsidRDefault="009C3D82"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eastAsia="Times New Roman" w:hAnsiTheme="minorHAnsi" w:cstheme="minorHAnsi"/>
                <w:b/>
                <w:bCs/>
                <w:sz w:val="16"/>
                <w:szCs w:val="16"/>
                <w:lang w:eastAsia="es-GT"/>
              </w:rPr>
              <w:t>Registrado</w:t>
            </w:r>
          </w:p>
        </w:tc>
        <w:tc>
          <w:tcPr>
            <w:tcW w:w="1724" w:type="dxa"/>
            <w:gridSpan w:val="2"/>
            <w:noWrap/>
            <w:vAlign w:val="center"/>
            <w:hideMark/>
          </w:tcPr>
          <w:p w14:paraId="2295D403" w14:textId="77777777" w:rsidR="009C3D82" w:rsidRPr="005A771F" w:rsidRDefault="009C3D82"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eastAsia="Times New Roman" w:hAnsiTheme="minorHAnsi" w:cstheme="minorHAnsi"/>
                <w:b/>
                <w:bCs/>
                <w:sz w:val="16"/>
                <w:szCs w:val="16"/>
                <w:lang w:eastAsia="es-GT"/>
              </w:rPr>
              <w:t>Asignado</w:t>
            </w:r>
          </w:p>
        </w:tc>
        <w:tc>
          <w:tcPr>
            <w:tcW w:w="2797" w:type="dxa"/>
            <w:gridSpan w:val="3"/>
            <w:noWrap/>
            <w:vAlign w:val="center"/>
            <w:hideMark/>
          </w:tcPr>
          <w:p w14:paraId="68F34D7B" w14:textId="77777777" w:rsidR="009C3D82" w:rsidRPr="005A771F" w:rsidRDefault="009C3D82"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eastAsia="Times New Roman" w:hAnsiTheme="minorHAnsi" w:cstheme="minorHAnsi"/>
                <w:b/>
                <w:bCs/>
                <w:sz w:val="16"/>
                <w:szCs w:val="16"/>
                <w:lang w:eastAsia="es-GT"/>
              </w:rPr>
              <w:t>Vigente</w:t>
            </w:r>
          </w:p>
        </w:tc>
        <w:tc>
          <w:tcPr>
            <w:tcW w:w="1738" w:type="dxa"/>
            <w:gridSpan w:val="2"/>
            <w:noWrap/>
            <w:vAlign w:val="center"/>
            <w:hideMark/>
          </w:tcPr>
          <w:p w14:paraId="58F05215" w14:textId="77777777" w:rsidR="009C3D82" w:rsidRPr="005A771F" w:rsidRDefault="009C3D82"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eastAsia="Times New Roman" w:hAnsiTheme="minorHAnsi" w:cstheme="minorHAnsi"/>
                <w:b/>
                <w:bCs/>
                <w:sz w:val="16"/>
                <w:szCs w:val="16"/>
                <w:lang w:eastAsia="es-GT"/>
              </w:rPr>
              <w:t>Ejecutado</w:t>
            </w:r>
          </w:p>
        </w:tc>
      </w:tr>
      <w:tr w:rsidR="005A771F" w:rsidRPr="005A771F" w14:paraId="3582CAF9" w14:textId="77777777" w:rsidTr="005A771F">
        <w:trPr>
          <w:gridAfter w:val="1"/>
          <w:wAfter w:w="16" w:type="dxa"/>
          <w:trHeight w:val="387"/>
        </w:trPr>
        <w:tc>
          <w:tcPr>
            <w:cnfStyle w:val="001000000000" w:firstRow="0" w:lastRow="0" w:firstColumn="1" w:lastColumn="0" w:oddVBand="0" w:evenVBand="0" w:oddHBand="0" w:evenHBand="0" w:firstRowFirstColumn="0" w:firstRowLastColumn="0" w:lastRowFirstColumn="0" w:lastRowLastColumn="0"/>
            <w:tcW w:w="1366" w:type="dxa"/>
            <w:vMerge/>
            <w:vAlign w:val="center"/>
            <w:hideMark/>
          </w:tcPr>
          <w:p w14:paraId="3E9B56EC" w14:textId="77777777" w:rsidR="009C3D82" w:rsidRPr="005A771F" w:rsidRDefault="009C3D82" w:rsidP="005A771F">
            <w:pPr>
              <w:jc w:val="center"/>
              <w:rPr>
                <w:rFonts w:asciiTheme="minorHAnsi" w:eastAsia="Times New Roman" w:hAnsiTheme="minorHAnsi" w:cstheme="minorHAnsi"/>
                <w:b w:val="0"/>
                <w:bCs w:val="0"/>
                <w:sz w:val="16"/>
                <w:szCs w:val="16"/>
                <w:lang w:eastAsia="es-GT"/>
              </w:rPr>
            </w:pPr>
          </w:p>
        </w:tc>
        <w:tc>
          <w:tcPr>
            <w:tcW w:w="860" w:type="dxa"/>
            <w:noWrap/>
            <w:vAlign w:val="center"/>
            <w:hideMark/>
          </w:tcPr>
          <w:p w14:paraId="68627007" w14:textId="77777777"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Proyectos</w:t>
            </w:r>
          </w:p>
        </w:tc>
        <w:tc>
          <w:tcPr>
            <w:tcW w:w="875" w:type="dxa"/>
            <w:noWrap/>
            <w:vAlign w:val="center"/>
            <w:hideMark/>
          </w:tcPr>
          <w:p w14:paraId="2370A3A5" w14:textId="77777777"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Monto (Q) millones</w:t>
            </w:r>
          </w:p>
        </w:tc>
        <w:tc>
          <w:tcPr>
            <w:tcW w:w="860" w:type="dxa"/>
            <w:noWrap/>
            <w:vAlign w:val="center"/>
            <w:hideMark/>
          </w:tcPr>
          <w:p w14:paraId="3342C862" w14:textId="17A40DFB"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Proyectos</w:t>
            </w:r>
          </w:p>
        </w:tc>
        <w:tc>
          <w:tcPr>
            <w:tcW w:w="864" w:type="dxa"/>
            <w:noWrap/>
            <w:vAlign w:val="center"/>
            <w:hideMark/>
          </w:tcPr>
          <w:p w14:paraId="240E3078" w14:textId="77777777"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Monto (Q) millones</w:t>
            </w:r>
          </w:p>
        </w:tc>
        <w:tc>
          <w:tcPr>
            <w:tcW w:w="962" w:type="dxa"/>
            <w:noWrap/>
            <w:vAlign w:val="center"/>
            <w:hideMark/>
          </w:tcPr>
          <w:p w14:paraId="4F662F67" w14:textId="77777777"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Proyectos</w:t>
            </w:r>
          </w:p>
        </w:tc>
        <w:tc>
          <w:tcPr>
            <w:tcW w:w="1058" w:type="dxa"/>
            <w:noWrap/>
            <w:vAlign w:val="center"/>
            <w:hideMark/>
          </w:tcPr>
          <w:p w14:paraId="1E356B05" w14:textId="77777777"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Monto (Q) millones</w:t>
            </w:r>
          </w:p>
        </w:tc>
        <w:tc>
          <w:tcPr>
            <w:tcW w:w="777" w:type="dxa"/>
            <w:noWrap/>
            <w:vAlign w:val="center"/>
            <w:hideMark/>
          </w:tcPr>
          <w:p w14:paraId="0257682D" w14:textId="77777777"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Peso</w:t>
            </w:r>
          </w:p>
        </w:tc>
        <w:tc>
          <w:tcPr>
            <w:tcW w:w="888" w:type="dxa"/>
            <w:noWrap/>
            <w:vAlign w:val="center"/>
            <w:hideMark/>
          </w:tcPr>
          <w:p w14:paraId="6E443327" w14:textId="77777777"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Proyectos</w:t>
            </w:r>
          </w:p>
        </w:tc>
        <w:tc>
          <w:tcPr>
            <w:tcW w:w="850" w:type="dxa"/>
            <w:noWrap/>
            <w:vAlign w:val="center"/>
            <w:hideMark/>
          </w:tcPr>
          <w:p w14:paraId="496B50D6" w14:textId="0BB90804"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Monto</w:t>
            </w:r>
          </w:p>
          <w:p w14:paraId="35090147" w14:textId="77777777" w:rsidR="009C3D82" w:rsidRPr="005A771F" w:rsidRDefault="009C3D82"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eastAsia="Times New Roman" w:hAnsiTheme="minorHAnsi" w:cstheme="minorHAnsi"/>
                <w:sz w:val="16"/>
                <w:szCs w:val="16"/>
                <w:lang w:eastAsia="es-GT"/>
              </w:rPr>
              <w:t>(Q) millones</w:t>
            </w:r>
          </w:p>
        </w:tc>
      </w:tr>
      <w:tr w:rsidR="005A771F" w:rsidRPr="005A771F" w14:paraId="03B4AF76" w14:textId="77777777" w:rsidTr="005A771F">
        <w:trPr>
          <w:gridAfter w:val="1"/>
          <w:cnfStyle w:val="000000100000" w:firstRow="0" w:lastRow="0" w:firstColumn="0" w:lastColumn="0" w:oddVBand="0" w:evenVBand="0" w:oddHBand="1" w:evenHBand="0" w:firstRowFirstColumn="0" w:firstRowLastColumn="0" w:lastRowFirstColumn="0" w:lastRowLastColumn="0"/>
          <w:wAfter w:w="16" w:type="dxa"/>
          <w:trHeight w:val="387"/>
        </w:trPr>
        <w:tc>
          <w:tcPr>
            <w:cnfStyle w:val="001000000000" w:firstRow="0" w:lastRow="0" w:firstColumn="1" w:lastColumn="0" w:oddVBand="0" w:evenVBand="0" w:oddHBand="0" w:evenHBand="0" w:firstRowFirstColumn="0" w:firstRowLastColumn="0" w:lastRowFirstColumn="0" w:lastRowLastColumn="0"/>
            <w:tcW w:w="1366" w:type="dxa"/>
            <w:hideMark/>
          </w:tcPr>
          <w:p w14:paraId="75B1858D" w14:textId="77777777" w:rsidR="009C3D82" w:rsidRPr="005A771F" w:rsidRDefault="009C3D82" w:rsidP="009C3D82">
            <w:pPr>
              <w:rPr>
                <w:rFonts w:asciiTheme="minorHAnsi" w:eastAsia="Times New Roman" w:hAnsiTheme="minorHAnsi" w:cstheme="minorHAnsi"/>
                <w:b w:val="0"/>
                <w:sz w:val="16"/>
                <w:szCs w:val="16"/>
                <w:lang w:eastAsia="es-GT"/>
              </w:rPr>
            </w:pPr>
            <w:r w:rsidRPr="005A771F">
              <w:rPr>
                <w:rFonts w:asciiTheme="minorHAnsi" w:eastAsia="Times New Roman" w:hAnsiTheme="minorHAnsi" w:cstheme="minorHAnsi"/>
                <w:b w:val="0"/>
                <w:sz w:val="16"/>
                <w:szCs w:val="16"/>
                <w:lang w:eastAsia="es-GT"/>
              </w:rPr>
              <w:t>Administración Central</w:t>
            </w:r>
          </w:p>
        </w:tc>
        <w:tc>
          <w:tcPr>
            <w:tcW w:w="860" w:type="dxa"/>
            <w:noWrap/>
            <w:vAlign w:val="center"/>
            <w:hideMark/>
          </w:tcPr>
          <w:p w14:paraId="365D5CEC"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822</w:t>
            </w:r>
          </w:p>
        </w:tc>
        <w:tc>
          <w:tcPr>
            <w:tcW w:w="875" w:type="dxa"/>
            <w:noWrap/>
            <w:vAlign w:val="center"/>
            <w:hideMark/>
          </w:tcPr>
          <w:p w14:paraId="36C29663"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10,349.87</w:t>
            </w:r>
          </w:p>
        </w:tc>
        <w:tc>
          <w:tcPr>
            <w:tcW w:w="860" w:type="dxa"/>
            <w:noWrap/>
            <w:vAlign w:val="center"/>
            <w:hideMark/>
          </w:tcPr>
          <w:p w14:paraId="621026D5"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210</w:t>
            </w:r>
          </w:p>
        </w:tc>
        <w:tc>
          <w:tcPr>
            <w:tcW w:w="864" w:type="dxa"/>
            <w:noWrap/>
            <w:vAlign w:val="center"/>
            <w:hideMark/>
          </w:tcPr>
          <w:p w14:paraId="20AEB58A"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2,959.25</w:t>
            </w:r>
          </w:p>
        </w:tc>
        <w:tc>
          <w:tcPr>
            <w:tcW w:w="962" w:type="dxa"/>
            <w:noWrap/>
            <w:vAlign w:val="center"/>
            <w:hideMark/>
          </w:tcPr>
          <w:p w14:paraId="697721C8"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345</w:t>
            </w:r>
          </w:p>
        </w:tc>
        <w:tc>
          <w:tcPr>
            <w:tcW w:w="1058" w:type="dxa"/>
            <w:noWrap/>
            <w:vAlign w:val="center"/>
            <w:hideMark/>
          </w:tcPr>
          <w:p w14:paraId="1A57EDC5"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4,343.51</w:t>
            </w:r>
          </w:p>
        </w:tc>
        <w:tc>
          <w:tcPr>
            <w:tcW w:w="777" w:type="dxa"/>
            <w:noWrap/>
            <w:vAlign w:val="center"/>
            <w:hideMark/>
          </w:tcPr>
          <w:p w14:paraId="3A495890"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sz w:val="16"/>
                <w:szCs w:val="16"/>
              </w:rPr>
              <w:t>3.52%</w:t>
            </w:r>
          </w:p>
        </w:tc>
        <w:tc>
          <w:tcPr>
            <w:tcW w:w="888" w:type="dxa"/>
            <w:noWrap/>
            <w:vAlign w:val="center"/>
            <w:hideMark/>
          </w:tcPr>
          <w:p w14:paraId="2AD7566B"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284</w:t>
            </w:r>
          </w:p>
        </w:tc>
        <w:tc>
          <w:tcPr>
            <w:tcW w:w="850" w:type="dxa"/>
            <w:noWrap/>
            <w:vAlign w:val="center"/>
            <w:hideMark/>
          </w:tcPr>
          <w:p w14:paraId="221B1300"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3,289.91</w:t>
            </w:r>
          </w:p>
        </w:tc>
      </w:tr>
      <w:tr w:rsidR="005A771F" w:rsidRPr="005A771F" w14:paraId="3D8F85D2" w14:textId="77777777" w:rsidTr="005A771F">
        <w:trPr>
          <w:gridAfter w:val="1"/>
          <w:wAfter w:w="16" w:type="dxa"/>
          <w:trHeight w:val="387"/>
        </w:trPr>
        <w:tc>
          <w:tcPr>
            <w:cnfStyle w:val="001000000000" w:firstRow="0" w:lastRow="0" w:firstColumn="1" w:lastColumn="0" w:oddVBand="0" w:evenVBand="0" w:oddHBand="0" w:evenHBand="0" w:firstRowFirstColumn="0" w:firstRowLastColumn="0" w:lastRowFirstColumn="0" w:lastRowLastColumn="0"/>
            <w:tcW w:w="1366" w:type="dxa"/>
            <w:hideMark/>
          </w:tcPr>
          <w:p w14:paraId="45BBE7C8" w14:textId="77777777" w:rsidR="009C3D82" w:rsidRPr="005A771F" w:rsidRDefault="009C3D82" w:rsidP="009C3D82">
            <w:pPr>
              <w:rPr>
                <w:rFonts w:asciiTheme="minorHAnsi" w:eastAsia="Times New Roman" w:hAnsiTheme="minorHAnsi" w:cstheme="minorHAnsi"/>
                <w:b w:val="0"/>
                <w:sz w:val="16"/>
                <w:szCs w:val="16"/>
                <w:lang w:eastAsia="es-GT"/>
              </w:rPr>
            </w:pPr>
            <w:r w:rsidRPr="005A771F">
              <w:rPr>
                <w:rFonts w:asciiTheme="minorHAnsi" w:eastAsia="Times New Roman" w:hAnsiTheme="minorHAnsi" w:cstheme="minorHAnsi"/>
                <w:b w:val="0"/>
                <w:sz w:val="16"/>
                <w:szCs w:val="16"/>
                <w:lang w:eastAsia="es-GT"/>
              </w:rPr>
              <w:t>Descentralizadas</w:t>
            </w:r>
          </w:p>
        </w:tc>
        <w:tc>
          <w:tcPr>
            <w:tcW w:w="860" w:type="dxa"/>
            <w:noWrap/>
            <w:vAlign w:val="center"/>
            <w:hideMark/>
          </w:tcPr>
          <w:p w14:paraId="54B7BA0C"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338</w:t>
            </w:r>
          </w:p>
        </w:tc>
        <w:tc>
          <w:tcPr>
            <w:tcW w:w="875" w:type="dxa"/>
            <w:noWrap/>
            <w:vAlign w:val="center"/>
            <w:hideMark/>
          </w:tcPr>
          <w:p w14:paraId="276948C2"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2,262.26</w:t>
            </w:r>
          </w:p>
        </w:tc>
        <w:tc>
          <w:tcPr>
            <w:tcW w:w="860" w:type="dxa"/>
            <w:noWrap/>
            <w:vAlign w:val="center"/>
            <w:hideMark/>
          </w:tcPr>
          <w:p w14:paraId="0D19119F"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64</w:t>
            </w:r>
          </w:p>
        </w:tc>
        <w:tc>
          <w:tcPr>
            <w:tcW w:w="864" w:type="dxa"/>
            <w:noWrap/>
            <w:vAlign w:val="center"/>
            <w:hideMark/>
          </w:tcPr>
          <w:p w14:paraId="15C5BDC2"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377.13</w:t>
            </w:r>
          </w:p>
        </w:tc>
        <w:tc>
          <w:tcPr>
            <w:tcW w:w="962" w:type="dxa"/>
            <w:noWrap/>
            <w:vAlign w:val="center"/>
            <w:hideMark/>
          </w:tcPr>
          <w:p w14:paraId="5E0D6968"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262</w:t>
            </w:r>
          </w:p>
        </w:tc>
        <w:tc>
          <w:tcPr>
            <w:tcW w:w="1058" w:type="dxa"/>
            <w:noWrap/>
            <w:vAlign w:val="center"/>
            <w:hideMark/>
          </w:tcPr>
          <w:p w14:paraId="4391A1E2"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622.35</w:t>
            </w:r>
          </w:p>
        </w:tc>
        <w:tc>
          <w:tcPr>
            <w:tcW w:w="777" w:type="dxa"/>
            <w:noWrap/>
            <w:vAlign w:val="center"/>
            <w:hideMark/>
          </w:tcPr>
          <w:p w14:paraId="44FC328B"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sz w:val="16"/>
                <w:szCs w:val="16"/>
              </w:rPr>
              <w:t>2.67%</w:t>
            </w:r>
          </w:p>
        </w:tc>
        <w:tc>
          <w:tcPr>
            <w:tcW w:w="888" w:type="dxa"/>
            <w:noWrap/>
            <w:vAlign w:val="center"/>
            <w:hideMark/>
          </w:tcPr>
          <w:p w14:paraId="1A2BD75D"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155</w:t>
            </w:r>
          </w:p>
        </w:tc>
        <w:tc>
          <w:tcPr>
            <w:tcW w:w="850" w:type="dxa"/>
            <w:noWrap/>
            <w:vAlign w:val="center"/>
            <w:hideMark/>
          </w:tcPr>
          <w:p w14:paraId="1EF1CE99"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317.57</w:t>
            </w:r>
          </w:p>
        </w:tc>
      </w:tr>
      <w:tr w:rsidR="005A771F" w:rsidRPr="005A771F" w14:paraId="4C8B0905" w14:textId="77777777" w:rsidTr="005A771F">
        <w:trPr>
          <w:gridAfter w:val="1"/>
          <w:cnfStyle w:val="000000100000" w:firstRow="0" w:lastRow="0" w:firstColumn="0" w:lastColumn="0" w:oddVBand="0" w:evenVBand="0" w:oddHBand="1" w:evenHBand="0" w:firstRowFirstColumn="0" w:firstRowLastColumn="0" w:lastRowFirstColumn="0" w:lastRowLastColumn="0"/>
          <w:wAfter w:w="16" w:type="dxa"/>
          <w:trHeight w:val="387"/>
        </w:trPr>
        <w:tc>
          <w:tcPr>
            <w:cnfStyle w:val="001000000000" w:firstRow="0" w:lastRow="0" w:firstColumn="1" w:lastColumn="0" w:oddVBand="0" w:evenVBand="0" w:oddHBand="0" w:evenHBand="0" w:firstRowFirstColumn="0" w:firstRowLastColumn="0" w:lastRowFirstColumn="0" w:lastRowLastColumn="0"/>
            <w:tcW w:w="1366" w:type="dxa"/>
            <w:hideMark/>
          </w:tcPr>
          <w:p w14:paraId="460D92A5" w14:textId="77777777" w:rsidR="009C3D82" w:rsidRPr="005A771F" w:rsidRDefault="009C3D82" w:rsidP="009C3D82">
            <w:pPr>
              <w:rPr>
                <w:rFonts w:asciiTheme="minorHAnsi" w:eastAsia="Times New Roman" w:hAnsiTheme="minorHAnsi" w:cstheme="minorHAnsi"/>
                <w:b w:val="0"/>
                <w:sz w:val="16"/>
                <w:szCs w:val="16"/>
                <w:lang w:eastAsia="es-GT"/>
              </w:rPr>
            </w:pPr>
            <w:r w:rsidRPr="005A771F">
              <w:rPr>
                <w:rFonts w:asciiTheme="minorHAnsi" w:eastAsia="Times New Roman" w:hAnsiTheme="minorHAnsi" w:cstheme="minorHAnsi"/>
                <w:b w:val="0"/>
                <w:sz w:val="16"/>
                <w:szCs w:val="16"/>
                <w:lang w:eastAsia="es-GT"/>
              </w:rPr>
              <w:t>Gobiernos Locales</w:t>
            </w:r>
          </w:p>
        </w:tc>
        <w:tc>
          <w:tcPr>
            <w:tcW w:w="860" w:type="dxa"/>
            <w:noWrap/>
            <w:vAlign w:val="center"/>
            <w:hideMark/>
          </w:tcPr>
          <w:p w14:paraId="11BF971D"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12,811</w:t>
            </w:r>
          </w:p>
        </w:tc>
        <w:tc>
          <w:tcPr>
            <w:tcW w:w="875" w:type="dxa"/>
            <w:noWrap/>
            <w:vAlign w:val="center"/>
            <w:hideMark/>
          </w:tcPr>
          <w:p w14:paraId="7E14FED6"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9,777.84</w:t>
            </w:r>
          </w:p>
        </w:tc>
        <w:tc>
          <w:tcPr>
            <w:tcW w:w="860" w:type="dxa"/>
            <w:noWrap/>
            <w:vAlign w:val="center"/>
            <w:hideMark/>
          </w:tcPr>
          <w:p w14:paraId="068146A4"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5,574</w:t>
            </w:r>
          </w:p>
        </w:tc>
        <w:tc>
          <w:tcPr>
            <w:tcW w:w="864" w:type="dxa"/>
            <w:noWrap/>
            <w:vAlign w:val="center"/>
            <w:hideMark/>
          </w:tcPr>
          <w:p w14:paraId="287FAE76"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5,805.92</w:t>
            </w:r>
          </w:p>
        </w:tc>
        <w:tc>
          <w:tcPr>
            <w:tcW w:w="962" w:type="dxa"/>
            <w:noWrap/>
            <w:vAlign w:val="center"/>
            <w:hideMark/>
          </w:tcPr>
          <w:p w14:paraId="4554B723"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5,573</w:t>
            </w:r>
          </w:p>
        </w:tc>
        <w:tc>
          <w:tcPr>
            <w:tcW w:w="1058" w:type="dxa"/>
            <w:noWrap/>
            <w:vAlign w:val="center"/>
            <w:hideMark/>
          </w:tcPr>
          <w:p w14:paraId="5E02A47C"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5,805.47</w:t>
            </w:r>
          </w:p>
        </w:tc>
        <w:tc>
          <w:tcPr>
            <w:tcW w:w="777" w:type="dxa"/>
            <w:noWrap/>
            <w:vAlign w:val="center"/>
            <w:hideMark/>
          </w:tcPr>
          <w:p w14:paraId="266D2308"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sz w:val="16"/>
                <w:szCs w:val="16"/>
              </w:rPr>
              <w:t>56.80%</w:t>
            </w:r>
          </w:p>
        </w:tc>
        <w:tc>
          <w:tcPr>
            <w:tcW w:w="888" w:type="dxa"/>
            <w:noWrap/>
            <w:vAlign w:val="center"/>
            <w:hideMark/>
          </w:tcPr>
          <w:p w14:paraId="43E5B8A8"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4,722</w:t>
            </w:r>
          </w:p>
        </w:tc>
        <w:tc>
          <w:tcPr>
            <w:tcW w:w="850" w:type="dxa"/>
            <w:noWrap/>
            <w:vAlign w:val="center"/>
            <w:hideMark/>
          </w:tcPr>
          <w:p w14:paraId="5EE9DB32"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3,561.44</w:t>
            </w:r>
          </w:p>
        </w:tc>
      </w:tr>
      <w:tr w:rsidR="005A771F" w:rsidRPr="005A771F" w14:paraId="7C0A091F" w14:textId="77777777" w:rsidTr="005A771F">
        <w:trPr>
          <w:gridAfter w:val="1"/>
          <w:wAfter w:w="16" w:type="dxa"/>
          <w:trHeight w:val="387"/>
        </w:trPr>
        <w:tc>
          <w:tcPr>
            <w:cnfStyle w:val="001000000000" w:firstRow="0" w:lastRow="0" w:firstColumn="1" w:lastColumn="0" w:oddVBand="0" w:evenVBand="0" w:oddHBand="0" w:evenHBand="0" w:firstRowFirstColumn="0" w:firstRowLastColumn="0" w:lastRowFirstColumn="0" w:lastRowLastColumn="0"/>
            <w:tcW w:w="1366" w:type="dxa"/>
            <w:hideMark/>
          </w:tcPr>
          <w:p w14:paraId="0CE5E853" w14:textId="77777777" w:rsidR="009C3D82" w:rsidRPr="005A771F" w:rsidRDefault="009C3D82" w:rsidP="009C3D82">
            <w:pPr>
              <w:rPr>
                <w:rFonts w:asciiTheme="minorHAnsi" w:eastAsia="Times New Roman" w:hAnsiTheme="minorHAnsi" w:cstheme="minorHAnsi"/>
                <w:b w:val="0"/>
                <w:sz w:val="16"/>
                <w:szCs w:val="16"/>
                <w:lang w:eastAsia="es-GT"/>
              </w:rPr>
            </w:pPr>
            <w:r w:rsidRPr="005A771F">
              <w:rPr>
                <w:rFonts w:asciiTheme="minorHAnsi" w:eastAsia="Times New Roman" w:hAnsiTheme="minorHAnsi" w:cstheme="minorHAnsi"/>
                <w:b w:val="0"/>
                <w:sz w:val="16"/>
                <w:szCs w:val="16"/>
                <w:lang w:eastAsia="es-GT"/>
              </w:rPr>
              <w:t>Consejos de Desarrollo</w:t>
            </w:r>
          </w:p>
        </w:tc>
        <w:tc>
          <w:tcPr>
            <w:tcW w:w="860" w:type="dxa"/>
            <w:noWrap/>
            <w:vAlign w:val="center"/>
            <w:hideMark/>
          </w:tcPr>
          <w:p w14:paraId="6B0E7405"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4,664</w:t>
            </w:r>
          </w:p>
        </w:tc>
        <w:tc>
          <w:tcPr>
            <w:tcW w:w="875" w:type="dxa"/>
            <w:noWrap/>
            <w:vAlign w:val="center"/>
            <w:hideMark/>
          </w:tcPr>
          <w:p w14:paraId="2485C2AD"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5,295.78</w:t>
            </w:r>
          </w:p>
        </w:tc>
        <w:tc>
          <w:tcPr>
            <w:tcW w:w="860" w:type="dxa"/>
            <w:noWrap/>
            <w:vAlign w:val="center"/>
            <w:hideMark/>
          </w:tcPr>
          <w:p w14:paraId="3A8A3F30"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2,173</w:t>
            </w:r>
          </w:p>
        </w:tc>
        <w:tc>
          <w:tcPr>
            <w:tcW w:w="864" w:type="dxa"/>
            <w:noWrap/>
            <w:vAlign w:val="center"/>
            <w:hideMark/>
          </w:tcPr>
          <w:p w14:paraId="64A6F432"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2,801.39</w:t>
            </w:r>
          </w:p>
        </w:tc>
        <w:tc>
          <w:tcPr>
            <w:tcW w:w="962" w:type="dxa"/>
            <w:noWrap/>
            <w:vAlign w:val="center"/>
            <w:hideMark/>
          </w:tcPr>
          <w:p w14:paraId="73F3013F"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3,632</w:t>
            </w:r>
          </w:p>
        </w:tc>
        <w:tc>
          <w:tcPr>
            <w:tcW w:w="1058" w:type="dxa"/>
            <w:noWrap/>
            <w:vAlign w:val="center"/>
            <w:hideMark/>
          </w:tcPr>
          <w:p w14:paraId="4C83BAFB"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3,837.26</w:t>
            </w:r>
          </w:p>
        </w:tc>
        <w:tc>
          <w:tcPr>
            <w:tcW w:w="777" w:type="dxa"/>
            <w:noWrap/>
            <w:vAlign w:val="center"/>
            <w:hideMark/>
          </w:tcPr>
          <w:p w14:paraId="74A91B01"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sz w:val="16"/>
                <w:szCs w:val="16"/>
              </w:rPr>
              <w:t>37.02%</w:t>
            </w:r>
          </w:p>
        </w:tc>
        <w:tc>
          <w:tcPr>
            <w:tcW w:w="888" w:type="dxa"/>
            <w:noWrap/>
            <w:vAlign w:val="center"/>
            <w:hideMark/>
          </w:tcPr>
          <w:p w14:paraId="167DDDD1"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3,159</w:t>
            </w:r>
          </w:p>
        </w:tc>
        <w:tc>
          <w:tcPr>
            <w:tcW w:w="850" w:type="dxa"/>
            <w:noWrap/>
            <w:vAlign w:val="center"/>
            <w:hideMark/>
          </w:tcPr>
          <w:p w14:paraId="75B3567E"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5A771F">
              <w:rPr>
                <w:rFonts w:asciiTheme="minorHAnsi" w:hAnsiTheme="minorHAnsi" w:cstheme="minorHAnsi"/>
                <w:sz w:val="16"/>
                <w:szCs w:val="16"/>
              </w:rPr>
              <w:t>2,373.35</w:t>
            </w:r>
          </w:p>
        </w:tc>
      </w:tr>
      <w:tr w:rsidR="005A771F" w:rsidRPr="005A771F" w14:paraId="1FB42719" w14:textId="77777777" w:rsidTr="005A771F">
        <w:trPr>
          <w:gridAfter w:val="1"/>
          <w:cnfStyle w:val="000000100000" w:firstRow="0" w:lastRow="0" w:firstColumn="0" w:lastColumn="0" w:oddVBand="0" w:evenVBand="0" w:oddHBand="1" w:evenHBand="0" w:firstRowFirstColumn="0" w:firstRowLastColumn="0" w:lastRowFirstColumn="0" w:lastRowLastColumn="0"/>
          <w:wAfter w:w="16" w:type="dxa"/>
          <w:trHeight w:val="387"/>
        </w:trPr>
        <w:tc>
          <w:tcPr>
            <w:cnfStyle w:val="001000000000" w:firstRow="0" w:lastRow="0" w:firstColumn="1" w:lastColumn="0" w:oddVBand="0" w:evenVBand="0" w:oddHBand="0" w:evenHBand="0" w:firstRowFirstColumn="0" w:firstRowLastColumn="0" w:lastRowFirstColumn="0" w:lastRowLastColumn="0"/>
            <w:tcW w:w="1366" w:type="dxa"/>
            <w:hideMark/>
          </w:tcPr>
          <w:p w14:paraId="280CD317" w14:textId="77777777" w:rsidR="009C3D82" w:rsidRPr="005A771F" w:rsidRDefault="009C3D82" w:rsidP="009C3D82">
            <w:pPr>
              <w:rPr>
                <w:rFonts w:asciiTheme="minorHAnsi" w:eastAsia="Times New Roman" w:hAnsiTheme="minorHAnsi" w:cstheme="minorHAnsi"/>
                <w:b w:val="0"/>
                <w:sz w:val="16"/>
                <w:szCs w:val="16"/>
                <w:lang w:eastAsia="es-GT"/>
              </w:rPr>
            </w:pPr>
            <w:r w:rsidRPr="005A771F">
              <w:rPr>
                <w:rFonts w:asciiTheme="minorHAnsi" w:eastAsia="Times New Roman" w:hAnsiTheme="minorHAnsi" w:cstheme="minorHAnsi"/>
                <w:b w:val="0"/>
                <w:sz w:val="16"/>
                <w:szCs w:val="16"/>
                <w:lang w:eastAsia="es-GT"/>
              </w:rPr>
              <w:t>CODEDE Fuente Iva-Paz</w:t>
            </w:r>
          </w:p>
        </w:tc>
        <w:tc>
          <w:tcPr>
            <w:tcW w:w="860" w:type="dxa"/>
            <w:noWrap/>
            <w:vAlign w:val="center"/>
            <w:hideMark/>
          </w:tcPr>
          <w:p w14:paraId="0F0AD155"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3,574</w:t>
            </w:r>
          </w:p>
        </w:tc>
        <w:tc>
          <w:tcPr>
            <w:tcW w:w="875" w:type="dxa"/>
            <w:noWrap/>
            <w:vAlign w:val="center"/>
            <w:hideMark/>
          </w:tcPr>
          <w:p w14:paraId="2D0D514B"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4,349.10</w:t>
            </w:r>
          </w:p>
        </w:tc>
        <w:tc>
          <w:tcPr>
            <w:tcW w:w="860" w:type="dxa"/>
            <w:noWrap/>
            <w:vAlign w:val="center"/>
            <w:hideMark/>
          </w:tcPr>
          <w:p w14:paraId="72F4728D"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2,105</w:t>
            </w:r>
          </w:p>
        </w:tc>
        <w:tc>
          <w:tcPr>
            <w:tcW w:w="864" w:type="dxa"/>
            <w:noWrap/>
            <w:vAlign w:val="center"/>
            <w:hideMark/>
          </w:tcPr>
          <w:p w14:paraId="26DB6FEE"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2,754.31</w:t>
            </w:r>
          </w:p>
        </w:tc>
        <w:tc>
          <w:tcPr>
            <w:tcW w:w="962" w:type="dxa"/>
            <w:noWrap/>
            <w:vAlign w:val="center"/>
            <w:hideMark/>
          </w:tcPr>
          <w:p w14:paraId="4B61B5BB"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2,591</w:t>
            </w:r>
          </w:p>
        </w:tc>
        <w:tc>
          <w:tcPr>
            <w:tcW w:w="1058" w:type="dxa"/>
            <w:noWrap/>
            <w:vAlign w:val="center"/>
            <w:hideMark/>
          </w:tcPr>
          <w:p w14:paraId="7E85B094"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2,937.54</w:t>
            </w:r>
          </w:p>
        </w:tc>
        <w:tc>
          <w:tcPr>
            <w:tcW w:w="777" w:type="dxa"/>
            <w:noWrap/>
            <w:vAlign w:val="center"/>
            <w:hideMark/>
          </w:tcPr>
          <w:p w14:paraId="69D42250"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iCs/>
                <w:sz w:val="16"/>
                <w:szCs w:val="16"/>
                <w:lang w:eastAsia="es-GT"/>
              </w:rPr>
            </w:pPr>
            <w:r w:rsidRPr="005A771F">
              <w:rPr>
                <w:rFonts w:asciiTheme="minorHAnsi" w:hAnsiTheme="minorHAnsi" w:cstheme="minorHAnsi"/>
                <w:sz w:val="16"/>
                <w:szCs w:val="16"/>
              </w:rPr>
              <w:t>26.41%</w:t>
            </w:r>
          </w:p>
        </w:tc>
        <w:tc>
          <w:tcPr>
            <w:tcW w:w="888" w:type="dxa"/>
            <w:noWrap/>
            <w:vAlign w:val="center"/>
            <w:hideMark/>
          </w:tcPr>
          <w:p w14:paraId="0A353D58"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2,437</w:t>
            </w:r>
          </w:p>
        </w:tc>
        <w:tc>
          <w:tcPr>
            <w:tcW w:w="850" w:type="dxa"/>
            <w:noWrap/>
            <w:vAlign w:val="center"/>
            <w:hideMark/>
          </w:tcPr>
          <w:p w14:paraId="377F0A1F"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1,957.40</w:t>
            </w:r>
          </w:p>
        </w:tc>
      </w:tr>
      <w:tr w:rsidR="005A771F" w:rsidRPr="005A771F" w14:paraId="4B07BE7F" w14:textId="77777777" w:rsidTr="005A771F">
        <w:trPr>
          <w:gridAfter w:val="1"/>
          <w:wAfter w:w="16" w:type="dxa"/>
          <w:trHeight w:val="387"/>
        </w:trPr>
        <w:tc>
          <w:tcPr>
            <w:cnfStyle w:val="001000000000" w:firstRow="0" w:lastRow="0" w:firstColumn="1" w:lastColumn="0" w:oddVBand="0" w:evenVBand="0" w:oddHBand="0" w:evenHBand="0" w:firstRowFirstColumn="0" w:firstRowLastColumn="0" w:lastRowFirstColumn="0" w:lastRowLastColumn="0"/>
            <w:tcW w:w="1366" w:type="dxa"/>
            <w:hideMark/>
          </w:tcPr>
          <w:p w14:paraId="5D4CA9C5" w14:textId="77777777" w:rsidR="009C3D82" w:rsidRPr="005A771F" w:rsidRDefault="009C3D82" w:rsidP="009C3D82">
            <w:pPr>
              <w:rPr>
                <w:rFonts w:asciiTheme="minorHAnsi" w:eastAsia="Times New Roman" w:hAnsiTheme="minorHAnsi" w:cstheme="minorHAnsi"/>
                <w:b w:val="0"/>
                <w:sz w:val="16"/>
                <w:szCs w:val="16"/>
                <w:lang w:eastAsia="es-GT"/>
              </w:rPr>
            </w:pPr>
            <w:r w:rsidRPr="005A771F">
              <w:rPr>
                <w:rFonts w:asciiTheme="minorHAnsi" w:eastAsia="Times New Roman" w:hAnsiTheme="minorHAnsi" w:cstheme="minorHAnsi"/>
                <w:b w:val="0"/>
                <w:sz w:val="16"/>
                <w:szCs w:val="16"/>
                <w:lang w:eastAsia="es-GT"/>
              </w:rPr>
              <w:t>CODEDE Fonpetrol</w:t>
            </w:r>
          </w:p>
        </w:tc>
        <w:tc>
          <w:tcPr>
            <w:tcW w:w="860" w:type="dxa"/>
            <w:noWrap/>
            <w:vAlign w:val="center"/>
            <w:hideMark/>
          </w:tcPr>
          <w:p w14:paraId="6119D38A"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122</w:t>
            </w:r>
          </w:p>
        </w:tc>
        <w:tc>
          <w:tcPr>
            <w:tcW w:w="875" w:type="dxa"/>
            <w:noWrap/>
            <w:vAlign w:val="center"/>
            <w:hideMark/>
          </w:tcPr>
          <w:p w14:paraId="36D54155"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75.98</w:t>
            </w:r>
          </w:p>
        </w:tc>
        <w:tc>
          <w:tcPr>
            <w:tcW w:w="860" w:type="dxa"/>
            <w:noWrap/>
            <w:vAlign w:val="center"/>
            <w:hideMark/>
          </w:tcPr>
          <w:p w14:paraId="2E381872"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62</w:t>
            </w:r>
          </w:p>
        </w:tc>
        <w:tc>
          <w:tcPr>
            <w:tcW w:w="864" w:type="dxa"/>
            <w:noWrap/>
            <w:vAlign w:val="center"/>
            <w:hideMark/>
          </w:tcPr>
          <w:p w14:paraId="390E9A97"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42.04</w:t>
            </w:r>
          </w:p>
        </w:tc>
        <w:tc>
          <w:tcPr>
            <w:tcW w:w="962" w:type="dxa"/>
            <w:noWrap/>
            <w:vAlign w:val="center"/>
            <w:hideMark/>
          </w:tcPr>
          <w:p w14:paraId="004D7025"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62</w:t>
            </w:r>
          </w:p>
        </w:tc>
        <w:tc>
          <w:tcPr>
            <w:tcW w:w="1058" w:type="dxa"/>
            <w:noWrap/>
            <w:vAlign w:val="center"/>
            <w:hideMark/>
          </w:tcPr>
          <w:p w14:paraId="35D3F463"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42.04</w:t>
            </w:r>
          </w:p>
        </w:tc>
        <w:tc>
          <w:tcPr>
            <w:tcW w:w="777" w:type="dxa"/>
            <w:noWrap/>
            <w:vAlign w:val="center"/>
            <w:hideMark/>
          </w:tcPr>
          <w:p w14:paraId="1F53559B"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iCs/>
                <w:sz w:val="16"/>
                <w:szCs w:val="16"/>
                <w:lang w:eastAsia="es-GT"/>
              </w:rPr>
            </w:pPr>
            <w:r w:rsidRPr="005A771F">
              <w:rPr>
                <w:rFonts w:asciiTheme="minorHAnsi" w:hAnsiTheme="minorHAnsi" w:cstheme="minorHAnsi"/>
                <w:sz w:val="16"/>
                <w:szCs w:val="16"/>
              </w:rPr>
              <w:t>0.63%</w:t>
            </w:r>
          </w:p>
        </w:tc>
        <w:tc>
          <w:tcPr>
            <w:tcW w:w="888" w:type="dxa"/>
            <w:noWrap/>
            <w:vAlign w:val="center"/>
            <w:hideMark/>
          </w:tcPr>
          <w:p w14:paraId="5B07E2CA"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62</w:t>
            </w:r>
          </w:p>
        </w:tc>
        <w:tc>
          <w:tcPr>
            <w:tcW w:w="850" w:type="dxa"/>
            <w:noWrap/>
            <w:vAlign w:val="center"/>
            <w:hideMark/>
          </w:tcPr>
          <w:p w14:paraId="58944429"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32.72</w:t>
            </w:r>
          </w:p>
        </w:tc>
      </w:tr>
      <w:tr w:rsidR="005A771F" w:rsidRPr="005A771F" w14:paraId="102DFAC1" w14:textId="77777777" w:rsidTr="005A771F">
        <w:trPr>
          <w:gridAfter w:val="1"/>
          <w:cnfStyle w:val="000000100000" w:firstRow="0" w:lastRow="0" w:firstColumn="0" w:lastColumn="0" w:oddVBand="0" w:evenVBand="0" w:oddHBand="1" w:evenHBand="0" w:firstRowFirstColumn="0" w:firstRowLastColumn="0" w:lastRowFirstColumn="0" w:lastRowLastColumn="0"/>
          <w:wAfter w:w="16" w:type="dxa"/>
          <w:trHeight w:val="387"/>
        </w:trPr>
        <w:tc>
          <w:tcPr>
            <w:cnfStyle w:val="001000000000" w:firstRow="0" w:lastRow="0" w:firstColumn="1" w:lastColumn="0" w:oddVBand="0" w:evenVBand="0" w:oddHBand="0" w:evenHBand="0" w:firstRowFirstColumn="0" w:firstRowLastColumn="0" w:lastRowFirstColumn="0" w:lastRowLastColumn="0"/>
            <w:tcW w:w="1366" w:type="dxa"/>
          </w:tcPr>
          <w:p w14:paraId="0323F3AB" w14:textId="77777777" w:rsidR="009C3D82" w:rsidRPr="005A771F" w:rsidRDefault="009C3D82" w:rsidP="009C3D82">
            <w:pPr>
              <w:rPr>
                <w:rFonts w:asciiTheme="minorHAnsi" w:eastAsia="Times New Roman" w:hAnsiTheme="minorHAnsi" w:cstheme="minorHAnsi"/>
                <w:b w:val="0"/>
                <w:sz w:val="16"/>
                <w:szCs w:val="16"/>
                <w:lang w:eastAsia="es-GT"/>
              </w:rPr>
            </w:pPr>
            <w:r w:rsidRPr="005A771F">
              <w:rPr>
                <w:rFonts w:asciiTheme="minorHAnsi" w:eastAsia="Times New Roman" w:hAnsiTheme="minorHAnsi" w:cstheme="minorHAnsi"/>
                <w:b w:val="0"/>
                <w:sz w:val="16"/>
                <w:szCs w:val="16"/>
                <w:lang w:eastAsia="es-GT"/>
              </w:rPr>
              <w:t>CODEDE Fuente 43</w:t>
            </w:r>
          </w:p>
        </w:tc>
        <w:tc>
          <w:tcPr>
            <w:tcW w:w="860" w:type="dxa"/>
            <w:noWrap/>
            <w:vAlign w:val="center"/>
          </w:tcPr>
          <w:p w14:paraId="15479F52"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6"/>
                <w:szCs w:val="16"/>
              </w:rPr>
            </w:pPr>
            <w:r w:rsidRPr="005A771F">
              <w:rPr>
                <w:rFonts w:asciiTheme="minorHAnsi" w:hAnsiTheme="minorHAnsi" w:cstheme="minorHAnsi"/>
                <w:sz w:val="16"/>
                <w:szCs w:val="16"/>
              </w:rPr>
              <w:t>491</w:t>
            </w:r>
          </w:p>
        </w:tc>
        <w:tc>
          <w:tcPr>
            <w:tcW w:w="875" w:type="dxa"/>
            <w:noWrap/>
            <w:vAlign w:val="center"/>
          </w:tcPr>
          <w:p w14:paraId="77B7C91B"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6"/>
                <w:szCs w:val="16"/>
              </w:rPr>
            </w:pPr>
            <w:r w:rsidRPr="005A771F">
              <w:rPr>
                <w:rFonts w:asciiTheme="minorHAnsi" w:hAnsiTheme="minorHAnsi" w:cstheme="minorHAnsi"/>
                <w:sz w:val="16"/>
                <w:szCs w:val="16"/>
              </w:rPr>
              <w:t>363.30</w:t>
            </w:r>
          </w:p>
        </w:tc>
        <w:tc>
          <w:tcPr>
            <w:tcW w:w="860" w:type="dxa"/>
            <w:noWrap/>
            <w:vAlign w:val="center"/>
          </w:tcPr>
          <w:p w14:paraId="60AB0A1E"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6"/>
                <w:szCs w:val="16"/>
              </w:rPr>
            </w:pPr>
            <w:r w:rsidRPr="005A771F">
              <w:rPr>
                <w:rFonts w:asciiTheme="minorHAnsi" w:hAnsiTheme="minorHAnsi" w:cstheme="minorHAnsi"/>
                <w:sz w:val="16"/>
                <w:szCs w:val="16"/>
              </w:rPr>
              <w:t>4</w:t>
            </w:r>
          </w:p>
        </w:tc>
        <w:tc>
          <w:tcPr>
            <w:tcW w:w="864" w:type="dxa"/>
            <w:noWrap/>
            <w:vAlign w:val="center"/>
          </w:tcPr>
          <w:p w14:paraId="1CAFFDBD"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6"/>
                <w:szCs w:val="16"/>
              </w:rPr>
            </w:pPr>
            <w:r w:rsidRPr="005A771F">
              <w:rPr>
                <w:rFonts w:asciiTheme="minorHAnsi" w:hAnsiTheme="minorHAnsi" w:cstheme="minorHAnsi"/>
                <w:sz w:val="16"/>
                <w:szCs w:val="16"/>
              </w:rPr>
              <w:t>3.86</w:t>
            </w:r>
          </w:p>
        </w:tc>
        <w:tc>
          <w:tcPr>
            <w:tcW w:w="962" w:type="dxa"/>
            <w:noWrap/>
            <w:vAlign w:val="center"/>
          </w:tcPr>
          <w:p w14:paraId="26A5F129"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6"/>
                <w:szCs w:val="16"/>
              </w:rPr>
            </w:pPr>
            <w:r w:rsidRPr="005A771F">
              <w:rPr>
                <w:rFonts w:asciiTheme="minorHAnsi" w:hAnsiTheme="minorHAnsi" w:cstheme="minorHAnsi"/>
                <w:sz w:val="16"/>
                <w:szCs w:val="16"/>
              </w:rPr>
              <w:t>500</w:t>
            </w:r>
          </w:p>
        </w:tc>
        <w:tc>
          <w:tcPr>
            <w:tcW w:w="1058" w:type="dxa"/>
            <w:noWrap/>
            <w:vAlign w:val="center"/>
          </w:tcPr>
          <w:p w14:paraId="47217FE5"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6"/>
                <w:szCs w:val="16"/>
              </w:rPr>
            </w:pPr>
            <w:r w:rsidRPr="005A771F">
              <w:rPr>
                <w:rFonts w:asciiTheme="minorHAnsi" w:hAnsiTheme="minorHAnsi" w:cstheme="minorHAnsi"/>
                <w:sz w:val="16"/>
                <w:szCs w:val="16"/>
              </w:rPr>
              <w:t>342.55</w:t>
            </w:r>
          </w:p>
        </w:tc>
        <w:tc>
          <w:tcPr>
            <w:tcW w:w="777" w:type="dxa"/>
            <w:noWrap/>
            <w:vAlign w:val="center"/>
          </w:tcPr>
          <w:p w14:paraId="6B345166"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sz w:val="16"/>
                <w:szCs w:val="16"/>
              </w:rPr>
            </w:pPr>
            <w:r w:rsidRPr="005A771F">
              <w:rPr>
                <w:rFonts w:asciiTheme="minorHAnsi" w:hAnsiTheme="minorHAnsi" w:cstheme="minorHAnsi"/>
                <w:sz w:val="16"/>
                <w:szCs w:val="16"/>
              </w:rPr>
              <w:t>5.10%</w:t>
            </w:r>
          </w:p>
        </w:tc>
        <w:tc>
          <w:tcPr>
            <w:tcW w:w="888" w:type="dxa"/>
            <w:noWrap/>
            <w:vAlign w:val="center"/>
          </w:tcPr>
          <w:p w14:paraId="5123B4C2"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6"/>
                <w:szCs w:val="16"/>
              </w:rPr>
            </w:pPr>
            <w:r w:rsidRPr="005A771F">
              <w:rPr>
                <w:rFonts w:asciiTheme="minorHAnsi" w:hAnsiTheme="minorHAnsi" w:cstheme="minorHAnsi"/>
                <w:sz w:val="16"/>
                <w:szCs w:val="16"/>
              </w:rPr>
              <w:t>471</w:t>
            </w:r>
          </w:p>
        </w:tc>
        <w:tc>
          <w:tcPr>
            <w:tcW w:w="850" w:type="dxa"/>
            <w:noWrap/>
            <w:vAlign w:val="center"/>
          </w:tcPr>
          <w:p w14:paraId="61DA564F"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6"/>
                <w:szCs w:val="16"/>
              </w:rPr>
            </w:pPr>
            <w:r w:rsidRPr="005A771F">
              <w:rPr>
                <w:rFonts w:asciiTheme="minorHAnsi" w:hAnsiTheme="minorHAnsi" w:cstheme="minorHAnsi"/>
                <w:sz w:val="16"/>
                <w:szCs w:val="16"/>
              </w:rPr>
              <w:t>309.05</w:t>
            </w:r>
          </w:p>
        </w:tc>
      </w:tr>
      <w:tr w:rsidR="005A771F" w:rsidRPr="005A771F" w14:paraId="58F18903" w14:textId="77777777" w:rsidTr="005A771F">
        <w:trPr>
          <w:gridAfter w:val="1"/>
          <w:wAfter w:w="16" w:type="dxa"/>
          <w:trHeight w:val="387"/>
        </w:trPr>
        <w:tc>
          <w:tcPr>
            <w:cnfStyle w:val="001000000000" w:firstRow="0" w:lastRow="0" w:firstColumn="1" w:lastColumn="0" w:oddVBand="0" w:evenVBand="0" w:oddHBand="0" w:evenHBand="0" w:firstRowFirstColumn="0" w:firstRowLastColumn="0" w:lastRowFirstColumn="0" w:lastRowLastColumn="0"/>
            <w:tcW w:w="1366" w:type="dxa"/>
            <w:hideMark/>
          </w:tcPr>
          <w:p w14:paraId="4EF980B9" w14:textId="77777777" w:rsidR="009C3D82" w:rsidRPr="005A771F" w:rsidRDefault="009C3D82" w:rsidP="009C3D82">
            <w:pPr>
              <w:rPr>
                <w:rFonts w:asciiTheme="minorHAnsi" w:eastAsia="Times New Roman" w:hAnsiTheme="minorHAnsi" w:cstheme="minorHAnsi"/>
                <w:b w:val="0"/>
                <w:sz w:val="16"/>
                <w:szCs w:val="16"/>
                <w:lang w:eastAsia="es-GT"/>
              </w:rPr>
            </w:pPr>
            <w:r w:rsidRPr="005A771F">
              <w:rPr>
                <w:rFonts w:asciiTheme="minorHAnsi" w:eastAsia="Times New Roman" w:hAnsiTheme="minorHAnsi" w:cstheme="minorHAnsi"/>
                <w:b w:val="0"/>
                <w:sz w:val="16"/>
                <w:szCs w:val="16"/>
                <w:lang w:eastAsia="es-GT"/>
              </w:rPr>
              <w:t>CODEDE Fuente 12</w:t>
            </w:r>
          </w:p>
        </w:tc>
        <w:tc>
          <w:tcPr>
            <w:tcW w:w="860" w:type="dxa"/>
            <w:noWrap/>
            <w:vAlign w:val="center"/>
            <w:hideMark/>
          </w:tcPr>
          <w:p w14:paraId="54CC2567"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477</w:t>
            </w:r>
          </w:p>
        </w:tc>
        <w:tc>
          <w:tcPr>
            <w:tcW w:w="875" w:type="dxa"/>
            <w:noWrap/>
            <w:vAlign w:val="center"/>
            <w:hideMark/>
          </w:tcPr>
          <w:p w14:paraId="36C3C559"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507.39</w:t>
            </w:r>
          </w:p>
        </w:tc>
        <w:tc>
          <w:tcPr>
            <w:tcW w:w="860" w:type="dxa"/>
            <w:noWrap/>
            <w:vAlign w:val="center"/>
            <w:hideMark/>
          </w:tcPr>
          <w:p w14:paraId="0F76B483"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2</w:t>
            </w:r>
          </w:p>
        </w:tc>
        <w:tc>
          <w:tcPr>
            <w:tcW w:w="864" w:type="dxa"/>
            <w:noWrap/>
            <w:vAlign w:val="center"/>
            <w:hideMark/>
          </w:tcPr>
          <w:p w14:paraId="57F7BC83"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1.18</w:t>
            </w:r>
          </w:p>
        </w:tc>
        <w:tc>
          <w:tcPr>
            <w:tcW w:w="962" w:type="dxa"/>
            <w:noWrap/>
            <w:vAlign w:val="center"/>
            <w:hideMark/>
          </w:tcPr>
          <w:p w14:paraId="5607CCE6"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479</w:t>
            </w:r>
          </w:p>
        </w:tc>
        <w:tc>
          <w:tcPr>
            <w:tcW w:w="1058" w:type="dxa"/>
            <w:noWrap/>
            <w:vAlign w:val="center"/>
            <w:hideMark/>
          </w:tcPr>
          <w:p w14:paraId="044C6F32"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515.14</w:t>
            </w:r>
          </w:p>
        </w:tc>
        <w:tc>
          <w:tcPr>
            <w:tcW w:w="777" w:type="dxa"/>
            <w:noWrap/>
            <w:vAlign w:val="center"/>
            <w:hideMark/>
          </w:tcPr>
          <w:p w14:paraId="03528A43"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iCs/>
                <w:sz w:val="16"/>
                <w:szCs w:val="16"/>
                <w:lang w:eastAsia="es-GT"/>
              </w:rPr>
            </w:pPr>
            <w:r w:rsidRPr="005A771F">
              <w:rPr>
                <w:rFonts w:asciiTheme="minorHAnsi" w:hAnsiTheme="minorHAnsi" w:cstheme="minorHAnsi"/>
                <w:sz w:val="16"/>
                <w:szCs w:val="16"/>
              </w:rPr>
              <w:t>4.88%</w:t>
            </w:r>
          </w:p>
        </w:tc>
        <w:tc>
          <w:tcPr>
            <w:tcW w:w="888" w:type="dxa"/>
            <w:noWrap/>
            <w:vAlign w:val="center"/>
            <w:hideMark/>
          </w:tcPr>
          <w:p w14:paraId="108EEF8E"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189</w:t>
            </w:r>
          </w:p>
        </w:tc>
        <w:tc>
          <w:tcPr>
            <w:tcW w:w="850" w:type="dxa"/>
            <w:noWrap/>
            <w:vAlign w:val="center"/>
            <w:hideMark/>
          </w:tcPr>
          <w:p w14:paraId="5688CB71" w14:textId="77777777" w:rsidR="009C3D82" w:rsidRPr="005A771F" w:rsidRDefault="009C3D82" w:rsidP="005A771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16"/>
                <w:szCs w:val="16"/>
                <w:lang w:eastAsia="es-GT"/>
              </w:rPr>
            </w:pPr>
            <w:r w:rsidRPr="005A771F">
              <w:rPr>
                <w:rFonts w:asciiTheme="minorHAnsi" w:hAnsiTheme="minorHAnsi" w:cstheme="minorHAnsi"/>
                <w:sz w:val="16"/>
                <w:szCs w:val="16"/>
              </w:rPr>
              <w:t>74.18</w:t>
            </w:r>
          </w:p>
        </w:tc>
      </w:tr>
      <w:tr w:rsidR="005A771F" w:rsidRPr="005A771F" w14:paraId="748186EE" w14:textId="77777777" w:rsidTr="005A771F">
        <w:trPr>
          <w:gridAfter w:val="1"/>
          <w:cnfStyle w:val="000000100000" w:firstRow="0" w:lastRow="0" w:firstColumn="0" w:lastColumn="0" w:oddVBand="0" w:evenVBand="0" w:oddHBand="1" w:evenHBand="0" w:firstRowFirstColumn="0" w:firstRowLastColumn="0" w:lastRowFirstColumn="0" w:lastRowLastColumn="0"/>
          <w:wAfter w:w="16" w:type="dxa"/>
          <w:trHeight w:val="271"/>
        </w:trPr>
        <w:tc>
          <w:tcPr>
            <w:cnfStyle w:val="001000000000" w:firstRow="0" w:lastRow="0" w:firstColumn="1" w:lastColumn="0" w:oddVBand="0" w:evenVBand="0" w:oddHBand="0" w:evenHBand="0" w:firstRowFirstColumn="0" w:firstRowLastColumn="0" w:lastRowFirstColumn="0" w:lastRowLastColumn="0"/>
            <w:tcW w:w="1366" w:type="dxa"/>
            <w:noWrap/>
            <w:vAlign w:val="center"/>
            <w:hideMark/>
          </w:tcPr>
          <w:p w14:paraId="4522258F" w14:textId="77777777" w:rsidR="009C3D82" w:rsidRPr="005A771F" w:rsidRDefault="009C3D82" w:rsidP="005A771F">
            <w:pPr>
              <w:rPr>
                <w:rFonts w:asciiTheme="minorHAnsi" w:eastAsia="Times New Roman" w:hAnsiTheme="minorHAnsi" w:cstheme="minorHAnsi"/>
                <w:b w:val="0"/>
                <w:bCs w:val="0"/>
                <w:sz w:val="16"/>
                <w:szCs w:val="16"/>
                <w:lang w:eastAsia="es-GT"/>
              </w:rPr>
            </w:pPr>
            <w:r w:rsidRPr="005A771F">
              <w:rPr>
                <w:rFonts w:asciiTheme="minorHAnsi" w:eastAsia="Times New Roman" w:hAnsiTheme="minorHAnsi" w:cstheme="minorHAnsi"/>
                <w:sz w:val="16"/>
                <w:szCs w:val="16"/>
                <w:lang w:eastAsia="es-GT"/>
              </w:rPr>
              <w:t>Total</w:t>
            </w:r>
          </w:p>
        </w:tc>
        <w:tc>
          <w:tcPr>
            <w:tcW w:w="860" w:type="dxa"/>
            <w:noWrap/>
            <w:vAlign w:val="center"/>
            <w:hideMark/>
          </w:tcPr>
          <w:p w14:paraId="4A07C740"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b/>
                <w:sz w:val="16"/>
                <w:szCs w:val="16"/>
              </w:rPr>
              <w:t>18,635</w:t>
            </w:r>
          </w:p>
        </w:tc>
        <w:tc>
          <w:tcPr>
            <w:tcW w:w="875" w:type="dxa"/>
            <w:noWrap/>
            <w:vAlign w:val="center"/>
            <w:hideMark/>
          </w:tcPr>
          <w:p w14:paraId="2773B619"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b/>
                <w:sz w:val="16"/>
                <w:szCs w:val="16"/>
              </w:rPr>
              <w:t>27,685.76</w:t>
            </w:r>
          </w:p>
        </w:tc>
        <w:tc>
          <w:tcPr>
            <w:tcW w:w="860" w:type="dxa"/>
            <w:noWrap/>
            <w:vAlign w:val="center"/>
            <w:hideMark/>
          </w:tcPr>
          <w:p w14:paraId="1D1D9A60"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b/>
                <w:sz w:val="16"/>
                <w:szCs w:val="16"/>
              </w:rPr>
              <w:t>8,021</w:t>
            </w:r>
          </w:p>
        </w:tc>
        <w:tc>
          <w:tcPr>
            <w:tcW w:w="864" w:type="dxa"/>
            <w:noWrap/>
            <w:vAlign w:val="center"/>
            <w:hideMark/>
          </w:tcPr>
          <w:p w14:paraId="13B81EAF"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b/>
                <w:sz w:val="16"/>
                <w:szCs w:val="16"/>
              </w:rPr>
              <w:t>11,943.69</w:t>
            </w:r>
          </w:p>
        </w:tc>
        <w:tc>
          <w:tcPr>
            <w:tcW w:w="962" w:type="dxa"/>
            <w:noWrap/>
            <w:vAlign w:val="center"/>
            <w:hideMark/>
          </w:tcPr>
          <w:p w14:paraId="197DCFD5"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b/>
                <w:sz w:val="16"/>
                <w:szCs w:val="16"/>
              </w:rPr>
              <w:t>9,812</w:t>
            </w:r>
          </w:p>
        </w:tc>
        <w:tc>
          <w:tcPr>
            <w:tcW w:w="1058" w:type="dxa"/>
            <w:noWrap/>
            <w:vAlign w:val="center"/>
            <w:hideMark/>
          </w:tcPr>
          <w:p w14:paraId="0A9AD0F6"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b/>
                <w:sz w:val="16"/>
                <w:szCs w:val="16"/>
              </w:rPr>
              <w:t>14,608.59</w:t>
            </w:r>
          </w:p>
        </w:tc>
        <w:tc>
          <w:tcPr>
            <w:tcW w:w="777" w:type="dxa"/>
            <w:noWrap/>
            <w:vAlign w:val="center"/>
            <w:hideMark/>
          </w:tcPr>
          <w:p w14:paraId="704F11C8"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b/>
                <w:sz w:val="16"/>
                <w:szCs w:val="16"/>
              </w:rPr>
              <w:t>100.00%</w:t>
            </w:r>
          </w:p>
        </w:tc>
        <w:tc>
          <w:tcPr>
            <w:tcW w:w="888" w:type="dxa"/>
            <w:noWrap/>
            <w:vAlign w:val="center"/>
            <w:hideMark/>
          </w:tcPr>
          <w:p w14:paraId="246A0A23"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b/>
                <w:sz w:val="16"/>
                <w:szCs w:val="16"/>
              </w:rPr>
              <w:t>8,320</w:t>
            </w:r>
          </w:p>
        </w:tc>
        <w:tc>
          <w:tcPr>
            <w:tcW w:w="850" w:type="dxa"/>
            <w:noWrap/>
            <w:vAlign w:val="center"/>
            <w:hideMark/>
          </w:tcPr>
          <w:p w14:paraId="1313AA86" w14:textId="77777777" w:rsidR="009C3D82" w:rsidRPr="005A771F" w:rsidRDefault="009C3D82" w:rsidP="005A771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r w:rsidRPr="005A771F">
              <w:rPr>
                <w:rFonts w:asciiTheme="minorHAnsi" w:hAnsiTheme="minorHAnsi" w:cstheme="minorHAnsi"/>
                <w:b/>
                <w:sz w:val="16"/>
                <w:szCs w:val="16"/>
              </w:rPr>
              <w:t>9,542.27</w:t>
            </w:r>
          </w:p>
        </w:tc>
      </w:tr>
    </w:tbl>
    <w:bookmarkEnd w:id="89"/>
    <w:p w14:paraId="2E42202F" w14:textId="77777777" w:rsidR="009C3D82" w:rsidRPr="007A6B50" w:rsidRDefault="009C3D82" w:rsidP="009C3D82">
      <w:pPr>
        <w:rPr>
          <w:rFonts w:cstheme="minorHAnsi"/>
          <w:sz w:val="16"/>
          <w:szCs w:val="16"/>
        </w:rPr>
      </w:pPr>
      <w:r w:rsidRPr="007A6B50">
        <w:rPr>
          <w:rFonts w:cstheme="minorHAnsi"/>
          <w:sz w:val="16"/>
          <w:szCs w:val="16"/>
        </w:rPr>
        <w:t>Fuente: elaboración SEGEPLAN con información del SINIP.</w:t>
      </w:r>
    </w:p>
    <w:p w14:paraId="333275B6" w14:textId="4AA2CC4E" w:rsidR="001912B8" w:rsidRPr="007A6B50" w:rsidRDefault="00372445" w:rsidP="001912B8">
      <w:pPr>
        <w:spacing w:after="0" w:line="240" w:lineRule="auto"/>
        <w:jc w:val="both"/>
        <w:rPr>
          <w:rFonts w:cstheme="minorHAnsi"/>
          <w:sz w:val="24"/>
          <w:szCs w:val="24"/>
        </w:rPr>
      </w:pPr>
      <w:r w:rsidRPr="007A6B50">
        <w:rPr>
          <w:rFonts w:cstheme="minorHAnsi"/>
          <w:sz w:val="24"/>
          <w:szCs w:val="24"/>
        </w:rPr>
        <w:t xml:space="preserve">De </w:t>
      </w:r>
      <w:r w:rsidR="001912B8" w:rsidRPr="007A6B50">
        <w:rPr>
          <w:rFonts w:cstheme="minorHAnsi"/>
          <w:sz w:val="24"/>
          <w:szCs w:val="24"/>
        </w:rPr>
        <w:t xml:space="preserve">los </w:t>
      </w:r>
      <w:r w:rsidRPr="007A6B50">
        <w:rPr>
          <w:rFonts w:cstheme="minorHAnsi"/>
          <w:sz w:val="24"/>
          <w:szCs w:val="24"/>
        </w:rPr>
        <w:t>datos anteriores</w:t>
      </w:r>
      <w:r w:rsidR="001912B8" w:rsidRPr="007A6B50">
        <w:rPr>
          <w:rFonts w:cstheme="minorHAnsi"/>
          <w:sz w:val="24"/>
          <w:szCs w:val="24"/>
        </w:rPr>
        <w:t>, es importante acotar lo siguiente:</w:t>
      </w:r>
    </w:p>
    <w:p w14:paraId="4A3B62E8" w14:textId="41D05121" w:rsidR="00F34896" w:rsidRPr="007A6B50" w:rsidRDefault="00403ED4" w:rsidP="005A771F">
      <w:pPr>
        <w:pStyle w:val="Prrafodelista"/>
        <w:numPr>
          <w:ilvl w:val="0"/>
          <w:numId w:val="21"/>
        </w:numPr>
        <w:spacing w:before="120" w:after="120" w:line="240" w:lineRule="auto"/>
        <w:ind w:left="714" w:hanging="357"/>
        <w:contextualSpacing w:val="0"/>
        <w:jc w:val="both"/>
        <w:rPr>
          <w:rFonts w:cstheme="minorHAnsi"/>
          <w:sz w:val="24"/>
          <w:szCs w:val="24"/>
        </w:rPr>
      </w:pPr>
      <w:r w:rsidRPr="007A6B50">
        <w:rPr>
          <w:rFonts w:cstheme="minorHAnsi"/>
          <w:sz w:val="24"/>
          <w:szCs w:val="24"/>
        </w:rPr>
        <w:t>17,475</w:t>
      </w:r>
      <w:r w:rsidR="00F34896" w:rsidRPr="007A6B50">
        <w:rPr>
          <w:rFonts w:cstheme="minorHAnsi"/>
          <w:sz w:val="24"/>
          <w:szCs w:val="24"/>
        </w:rPr>
        <w:t xml:space="preserve"> de los proyectos registrados (</w:t>
      </w:r>
      <w:r w:rsidRPr="007A6B50">
        <w:rPr>
          <w:rFonts w:cstheme="minorHAnsi"/>
          <w:sz w:val="24"/>
          <w:szCs w:val="24"/>
        </w:rPr>
        <w:t>93.78</w:t>
      </w:r>
      <w:r w:rsidR="00F34896" w:rsidRPr="007A6B50">
        <w:rPr>
          <w:rFonts w:cstheme="minorHAnsi"/>
          <w:sz w:val="24"/>
          <w:szCs w:val="24"/>
        </w:rPr>
        <w:t>% del total), corresponden a los gobiernos locales como unidades ejecutoras de los recursos de aporte constitucional, transferencias por IVA-PAZ, FONPETROL y aporte extraordinario, con un total de Q</w:t>
      </w:r>
      <w:r w:rsidRPr="007A6B50">
        <w:rPr>
          <w:rFonts w:cstheme="minorHAnsi"/>
          <w:sz w:val="24"/>
          <w:szCs w:val="24"/>
        </w:rPr>
        <w:t>15</w:t>
      </w:r>
      <w:r w:rsidR="00F34896" w:rsidRPr="007A6B50">
        <w:rPr>
          <w:rFonts w:cstheme="minorHAnsi"/>
          <w:sz w:val="24"/>
          <w:szCs w:val="24"/>
        </w:rPr>
        <w:t>,</w:t>
      </w:r>
      <w:r w:rsidRPr="007A6B50">
        <w:rPr>
          <w:rFonts w:cstheme="minorHAnsi"/>
          <w:sz w:val="24"/>
          <w:szCs w:val="24"/>
        </w:rPr>
        <w:t>073.62</w:t>
      </w:r>
      <w:r w:rsidR="00F34896" w:rsidRPr="007A6B50">
        <w:rPr>
          <w:rFonts w:cstheme="minorHAnsi"/>
          <w:sz w:val="24"/>
          <w:szCs w:val="24"/>
        </w:rPr>
        <w:t xml:space="preserve"> millones, </w:t>
      </w:r>
      <w:r w:rsidRPr="007A6B50">
        <w:rPr>
          <w:rFonts w:cstheme="minorHAnsi"/>
          <w:sz w:val="24"/>
          <w:szCs w:val="24"/>
        </w:rPr>
        <w:t>53.97</w:t>
      </w:r>
      <w:r w:rsidR="00F34896" w:rsidRPr="007A6B50">
        <w:rPr>
          <w:rFonts w:cstheme="minorHAnsi"/>
          <w:sz w:val="24"/>
          <w:szCs w:val="24"/>
        </w:rPr>
        <w:t>% del total programado.</w:t>
      </w:r>
    </w:p>
    <w:p w14:paraId="634E3C9D" w14:textId="0BE3A74A" w:rsidR="00F34896" w:rsidRPr="007A6B50" w:rsidRDefault="00F34896" w:rsidP="005A771F">
      <w:pPr>
        <w:pStyle w:val="Prrafodelista"/>
        <w:numPr>
          <w:ilvl w:val="0"/>
          <w:numId w:val="21"/>
        </w:numPr>
        <w:spacing w:before="120" w:after="120" w:line="240" w:lineRule="auto"/>
        <w:ind w:left="714" w:hanging="357"/>
        <w:contextualSpacing w:val="0"/>
        <w:jc w:val="both"/>
        <w:rPr>
          <w:rFonts w:cstheme="minorHAnsi"/>
          <w:sz w:val="24"/>
          <w:szCs w:val="24"/>
        </w:rPr>
      </w:pPr>
      <w:r w:rsidRPr="007A6B50">
        <w:rPr>
          <w:rFonts w:cstheme="minorHAnsi"/>
          <w:sz w:val="24"/>
          <w:szCs w:val="24"/>
        </w:rPr>
        <w:t xml:space="preserve">De los proyectos que ejecutan las municipalidades incluyendo los de CODEDE, </w:t>
      </w:r>
      <w:r w:rsidR="00403ED4" w:rsidRPr="007A6B50">
        <w:rPr>
          <w:rFonts w:cstheme="minorHAnsi"/>
          <w:sz w:val="24"/>
          <w:szCs w:val="24"/>
        </w:rPr>
        <w:t>9,205</w:t>
      </w:r>
      <w:r w:rsidR="008566C4" w:rsidRPr="007A6B50">
        <w:rPr>
          <w:rFonts w:cstheme="minorHAnsi"/>
          <w:sz w:val="24"/>
          <w:szCs w:val="24"/>
        </w:rPr>
        <w:t xml:space="preserve"> cuentan</w:t>
      </w:r>
      <w:r w:rsidRPr="007A6B50">
        <w:rPr>
          <w:rFonts w:cstheme="minorHAnsi"/>
          <w:sz w:val="24"/>
          <w:szCs w:val="24"/>
        </w:rPr>
        <w:t xml:space="preserve"> con asignación para su ejecución (</w:t>
      </w:r>
      <w:r w:rsidR="00403ED4" w:rsidRPr="007A6B50">
        <w:rPr>
          <w:rFonts w:cstheme="minorHAnsi"/>
          <w:sz w:val="24"/>
          <w:szCs w:val="24"/>
        </w:rPr>
        <w:t>93.81</w:t>
      </w:r>
      <w:r w:rsidRPr="007A6B50">
        <w:rPr>
          <w:rFonts w:cstheme="minorHAnsi"/>
          <w:sz w:val="24"/>
          <w:szCs w:val="24"/>
        </w:rPr>
        <w:t>% del total</w:t>
      </w:r>
      <w:r w:rsidR="00403ED4" w:rsidRPr="007A6B50">
        <w:rPr>
          <w:rFonts w:cstheme="minorHAnsi"/>
          <w:sz w:val="24"/>
          <w:szCs w:val="24"/>
        </w:rPr>
        <w:t xml:space="preserve"> registrado</w:t>
      </w:r>
      <w:r w:rsidRPr="007A6B50">
        <w:rPr>
          <w:rFonts w:cstheme="minorHAnsi"/>
          <w:sz w:val="24"/>
          <w:szCs w:val="24"/>
        </w:rPr>
        <w:t>), por un monto de Q</w:t>
      </w:r>
      <w:r w:rsidR="00403ED4" w:rsidRPr="007A6B50">
        <w:rPr>
          <w:rFonts w:cstheme="minorHAnsi"/>
          <w:sz w:val="24"/>
          <w:szCs w:val="24"/>
        </w:rPr>
        <w:t>9</w:t>
      </w:r>
      <w:r w:rsidRPr="007A6B50">
        <w:rPr>
          <w:rFonts w:cstheme="minorHAnsi"/>
          <w:sz w:val="24"/>
          <w:szCs w:val="24"/>
        </w:rPr>
        <w:t>,</w:t>
      </w:r>
      <w:r w:rsidR="00403ED4" w:rsidRPr="007A6B50">
        <w:rPr>
          <w:rFonts w:cstheme="minorHAnsi"/>
          <w:sz w:val="24"/>
          <w:szCs w:val="24"/>
        </w:rPr>
        <w:t>642.73</w:t>
      </w:r>
      <w:r w:rsidRPr="007A6B50">
        <w:rPr>
          <w:rFonts w:cstheme="minorHAnsi"/>
          <w:sz w:val="24"/>
          <w:szCs w:val="24"/>
        </w:rPr>
        <w:t xml:space="preserve"> millones (</w:t>
      </w:r>
      <w:r w:rsidR="00403ED4" w:rsidRPr="007A6B50">
        <w:rPr>
          <w:rFonts w:cstheme="minorHAnsi"/>
          <w:sz w:val="24"/>
          <w:szCs w:val="24"/>
        </w:rPr>
        <w:t>66.01</w:t>
      </w:r>
      <w:r w:rsidRPr="007A6B50">
        <w:rPr>
          <w:rFonts w:cstheme="minorHAnsi"/>
          <w:sz w:val="24"/>
          <w:szCs w:val="24"/>
        </w:rPr>
        <w:t>% del total)</w:t>
      </w:r>
      <w:r w:rsidR="008566C4" w:rsidRPr="007A6B50">
        <w:rPr>
          <w:rFonts w:cstheme="minorHAnsi"/>
          <w:sz w:val="24"/>
          <w:szCs w:val="24"/>
        </w:rPr>
        <w:t>.</w:t>
      </w:r>
    </w:p>
    <w:p w14:paraId="4B78472C" w14:textId="36543850" w:rsidR="00F34896" w:rsidRPr="007A6B50" w:rsidRDefault="00403ED4" w:rsidP="005A771F">
      <w:pPr>
        <w:pStyle w:val="Prrafodelista"/>
        <w:numPr>
          <w:ilvl w:val="0"/>
          <w:numId w:val="21"/>
        </w:numPr>
        <w:spacing w:before="120" w:after="120" w:line="240" w:lineRule="auto"/>
        <w:ind w:left="714" w:hanging="357"/>
        <w:contextualSpacing w:val="0"/>
        <w:jc w:val="both"/>
        <w:rPr>
          <w:rFonts w:cstheme="minorHAnsi"/>
          <w:sz w:val="24"/>
          <w:szCs w:val="24"/>
        </w:rPr>
      </w:pPr>
      <w:r w:rsidRPr="007A6B50">
        <w:rPr>
          <w:rFonts w:cstheme="minorHAnsi"/>
          <w:sz w:val="24"/>
          <w:szCs w:val="24"/>
        </w:rPr>
        <w:t>7</w:t>
      </w:r>
      <w:r w:rsidR="00F34896" w:rsidRPr="007A6B50">
        <w:rPr>
          <w:rFonts w:cstheme="minorHAnsi"/>
          <w:sz w:val="24"/>
          <w:szCs w:val="24"/>
        </w:rPr>
        <w:t>,</w:t>
      </w:r>
      <w:r w:rsidRPr="007A6B50">
        <w:rPr>
          <w:rFonts w:cstheme="minorHAnsi"/>
          <w:sz w:val="24"/>
          <w:szCs w:val="24"/>
        </w:rPr>
        <w:t>881</w:t>
      </w:r>
      <w:r w:rsidR="00F34896" w:rsidRPr="007A6B50">
        <w:rPr>
          <w:rFonts w:cstheme="minorHAnsi"/>
          <w:sz w:val="24"/>
          <w:szCs w:val="24"/>
        </w:rPr>
        <w:t xml:space="preserve"> proyectos (9</w:t>
      </w:r>
      <w:r w:rsidRPr="007A6B50">
        <w:rPr>
          <w:rFonts w:cstheme="minorHAnsi"/>
          <w:sz w:val="24"/>
          <w:szCs w:val="24"/>
        </w:rPr>
        <w:t>4</w:t>
      </w:r>
      <w:r w:rsidR="00F34896" w:rsidRPr="007A6B50">
        <w:rPr>
          <w:rFonts w:cstheme="minorHAnsi"/>
          <w:sz w:val="24"/>
          <w:szCs w:val="24"/>
        </w:rPr>
        <w:t>.7</w:t>
      </w:r>
      <w:r w:rsidRPr="007A6B50">
        <w:rPr>
          <w:rFonts w:cstheme="minorHAnsi"/>
          <w:sz w:val="24"/>
          <w:szCs w:val="24"/>
        </w:rPr>
        <w:t>2</w:t>
      </w:r>
      <w:r w:rsidR="00F34896" w:rsidRPr="007A6B50">
        <w:rPr>
          <w:rFonts w:cstheme="minorHAnsi"/>
          <w:sz w:val="24"/>
          <w:szCs w:val="24"/>
        </w:rPr>
        <w:t>% del total) presentaron avance físico, y ejecutaron un monto de Q</w:t>
      </w:r>
      <w:r w:rsidRPr="007A6B50">
        <w:rPr>
          <w:rFonts w:cstheme="minorHAnsi"/>
          <w:sz w:val="24"/>
          <w:szCs w:val="24"/>
        </w:rPr>
        <w:t>5</w:t>
      </w:r>
      <w:r w:rsidR="008566C4" w:rsidRPr="007A6B50">
        <w:rPr>
          <w:rFonts w:cstheme="minorHAnsi"/>
          <w:sz w:val="24"/>
          <w:szCs w:val="24"/>
        </w:rPr>
        <w:t>,9</w:t>
      </w:r>
      <w:r w:rsidRPr="007A6B50">
        <w:rPr>
          <w:rFonts w:cstheme="minorHAnsi"/>
          <w:sz w:val="24"/>
          <w:szCs w:val="24"/>
        </w:rPr>
        <w:t>34</w:t>
      </w:r>
      <w:r w:rsidR="008566C4" w:rsidRPr="007A6B50">
        <w:rPr>
          <w:rFonts w:cstheme="minorHAnsi"/>
          <w:sz w:val="24"/>
          <w:szCs w:val="24"/>
        </w:rPr>
        <w:t>.7</w:t>
      </w:r>
      <w:r w:rsidRPr="007A6B50">
        <w:rPr>
          <w:rFonts w:cstheme="minorHAnsi"/>
          <w:sz w:val="24"/>
          <w:szCs w:val="24"/>
        </w:rPr>
        <w:t>9</w:t>
      </w:r>
      <w:r w:rsidR="008566C4" w:rsidRPr="007A6B50">
        <w:rPr>
          <w:rFonts w:cstheme="minorHAnsi"/>
          <w:sz w:val="24"/>
          <w:szCs w:val="24"/>
        </w:rPr>
        <w:t xml:space="preserve"> millones</w:t>
      </w:r>
      <w:r w:rsidR="00F34896" w:rsidRPr="007A6B50">
        <w:rPr>
          <w:rFonts w:cstheme="minorHAnsi"/>
          <w:sz w:val="24"/>
          <w:szCs w:val="24"/>
        </w:rPr>
        <w:t xml:space="preserve">, que representa un </w:t>
      </w:r>
      <w:r w:rsidRPr="007A6B50">
        <w:rPr>
          <w:rFonts w:cstheme="minorHAnsi"/>
          <w:sz w:val="24"/>
          <w:szCs w:val="24"/>
        </w:rPr>
        <w:t>62</w:t>
      </w:r>
      <w:r w:rsidR="00F34896" w:rsidRPr="007A6B50">
        <w:rPr>
          <w:rFonts w:cstheme="minorHAnsi"/>
          <w:sz w:val="24"/>
          <w:szCs w:val="24"/>
        </w:rPr>
        <w:t>.</w:t>
      </w:r>
      <w:r w:rsidRPr="007A6B50">
        <w:rPr>
          <w:rFonts w:cstheme="minorHAnsi"/>
          <w:sz w:val="24"/>
          <w:szCs w:val="24"/>
        </w:rPr>
        <w:t>1</w:t>
      </w:r>
      <w:r w:rsidR="00F34896" w:rsidRPr="007A6B50">
        <w:rPr>
          <w:rFonts w:cstheme="minorHAnsi"/>
          <w:sz w:val="24"/>
          <w:szCs w:val="24"/>
        </w:rPr>
        <w:t>9% del monto total ejecutado.</w:t>
      </w:r>
    </w:p>
    <w:p w14:paraId="337E721A" w14:textId="4207B254" w:rsidR="001912B8" w:rsidRPr="007A6B50" w:rsidRDefault="00372445" w:rsidP="001912B8">
      <w:pPr>
        <w:spacing w:after="0" w:line="240" w:lineRule="auto"/>
        <w:jc w:val="both"/>
        <w:rPr>
          <w:rFonts w:cstheme="minorHAnsi"/>
          <w:sz w:val="24"/>
          <w:szCs w:val="24"/>
        </w:rPr>
      </w:pPr>
      <w:r w:rsidRPr="007A6B50">
        <w:rPr>
          <w:rFonts w:cstheme="minorHAnsi"/>
          <w:sz w:val="24"/>
          <w:szCs w:val="24"/>
        </w:rPr>
        <w:t>Asimismo, según</w:t>
      </w:r>
      <w:r w:rsidR="001912B8" w:rsidRPr="007A6B50">
        <w:rPr>
          <w:rFonts w:cstheme="minorHAnsi"/>
          <w:sz w:val="24"/>
          <w:szCs w:val="24"/>
        </w:rPr>
        <w:t xml:space="preserve"> los datos, las entidades de la Administración Central y entidades Descentralizadas, </w:t>
      </w:r>
      <w:r w:rsidRPr="007A6B50">
        <w:rPr>
          <w:rFonts w:cstheme="minorHAnsi"/>
          <w:sz w:val="24"/>
          <w:szCs w:val="24"/>
        </w:rPr>
        <w:t>Autónomas</w:t>
      </w:r>
      <w:r w:rsidR="001912B8" w:rsidRPr="007A6B50">
        <w:rPr>
          <w:rFonts w:cstheme="minorHAnsi"/>
          <w:sz w:val="24"/>
          <w:szCs w:val="24"/>
        </w:rPr>
        <w:t xml:space="preserve"> y Empresas </w:t>
      </w:r>
      <w:r w:rsidR="008566C4" w:rsidRPr="007A6B50">
        <w:rPr>
          <w:rFonts w:cstheme="minorHAnsi"/>
          <w:sz w:val="24"/>
          <w:szCs w:val="24"/>
        </w:rPr>
        <w:t>Públicas</w:t>
      </w:r>
      <w:r w:rsidR="001912B8" w:rsidRPr="007A6B50">
        <w:rPr>
          <w:rFonts w:cstheme="minorHAnsi"/>
          <w:sz w:val="24"/>
          <w:szCs w:val="24"/>
        </w:rPr>
        <w:t xml:space="preserve"> presentaron el comportamiento siguiente:</w:t>
      </w:r>
    </w:p>
    <w:p w14:paraId="430FA628" w14:textId="7EDD12A3" w:rsidR="001912B8" w:rsidRPr="007A6B50" w:rsidRDefault="001912B8" w:rsidP="005321FC">
      <w:pPr>
        <w:pStyle w:val="Prrafodelista"/>
        <w:numPr>
          <w:ilvl w:val="0"/>
          <w:numId w:val="16"/>
        </w:numPr>
        <w:spacing w:before="120" w:after="120" w:line="240" w:lineRule="auto"/>
        <w:ind w:left="714" w:hanging="357"/>
        <w:contextualSpacing w:val="0"/>
        <w:jc w:val="both"/>
        <w:rPr>
          <w:rFonts w:cstheme="minorHAnsi"/>
          <w:sz w:val="24"/>
          <w:szCs w:val="24"/>
        </w:rPr>
      </w:pPr>
      <w:r w:rsidRPr="007A6B50">
        <w:rPr>
          <w:rFonts w:cstheme="minorHAnsi"/>
          <w:sz w:val="24"/>
          <w:szCs w:val="24"/>
        </w:rPr>
        <w:t xml:space="preserve">Un total de </w:t>
      </w:r>
      <w:r w:rsidR="00F22247" w:rsidRPr="007A6B50">
        <w:rPr>
          <w:rFonts w:cstheme="minorHAnsi"/>
          <w:sz w:val="24"/>
          <w:szCs w:val="24"/>
        </w:rPr>
        <w:t>1,160</w:t>
      </w:r>
      <w:r w:rsidRPr="007A6B50">
        <w:rPr>
          <w:rFonts w:cstheme="minorHAnsi"/>
          <w:sz w:val="24"/>
          <w:szCs w:val="24"/>
        </w:rPr>
        <w:t xml:space="preserve"> proyectos (</w:t>
      </w:r>
      <w:r w:rsidR="00F22247" w:rsidRPr="007A6B50">
        <w:rPr>
          <w:rFonts w:cstheme="minorHAnsi"/>
          <w:sz w:val="24"/>
          <w:szCs w:val="24"/>
        </w:rPr>
        <w:t>6.22</w:t>
      </w:r>
      <w:r w:rsidRPr="007A6B50">
        <w:rPr>
          <w:rFonts w:cstheme="minorHAnsi"/>
          <w:sz w:val="24"/>
          <w:szCs w:val="24"/>
        </w:rPr>
        <w:t>% del total) registraron una programación de asignaciones por un monto de Q1</w:t>
      </w:r>
      <w:r w:rsidR="00F22247" w:rsidRPr="007A6B50">
        <w:rPr>
          <w:rFonts w:cstheme="minorHAnsi"/>
          <w:sz w:val="24"/>
          <w:szCs w:val="24"/>
        </w:rPr>
        <w:t>2</w:t>
      </w:r>
      <w:r w:rsidRPr="007A6B50">
        <w:rPr>
          <w:rFonts w:cstheme="minorHAnsi"/>
          <w:sz w:val="24"/>
          <w:szCs w:val="24"/>
        </w:rPr>
        <w:t>,</w:t>
      </w:r>
      <w:r w:rsidR="00F22247" w:rsidRPr="007A6B50">
        <w:rPr>
          <w:rFonts w:cstheme="minorHAnsi"/>
          <w:sz w:val="24"/>
          <w:szCs w:val="24"/>
        </w:rPr>
        <w:t>612.14</w:t>
      </w:r>
      <w:r w:rsidRPr="007A6B50">
        <w:rPr>
          <w:rFonts w:cstheme="minorHAnsi"/>
          <w:sz w:val="24"/>
          <w:szCs w:val="24"/>
        </w:rPr>
        <w:t xml:space="preserve"> millones, que representan el </w:t>
      </w:r>
      <w:r w:rsidR="00F22247" w:rsidRPr="007A6B50">
        <w:rPr>
          <w:rFonts w:cstheme="minorHAnsi"/>
          <w:sz w:val="24"/>
          <w:szCs w:val="24"/>
        </w:rPr>
        <w:t>45.55</w:t>
      </w:r>
      <w:r w:rsidRPr="007A6B50">
        <w:rPr>
          <w:rFonts w:cstheme="minorHAnsi"/>
          <w:sz w:val="24"/>
          <w:szCs w:val="24"/>
        </w:rPr>
        <w:t>% del total;</w:t>
      </w:r>
    </w:p>
    <w:p w14:paraId="4A662B51" w14:textId="7210AB89" w:rsidR="001912B8" w:rsidRPr="007A6B50" w:rsidRDefault="00F22247" w:rsidP="005321FC">
      <w:pPr>
        <w:pStyle w:val="Prrafodelista"/>
        <w:numPr>
          <w:ilvl w:val="0"/>
          <w:numId w:val="16"/>
        </w:numPr>
        <w:spacing w:before="120" w:after="120" w:line="240" w:lineRule="auto"/>
        <w:ind w:left="714" w:hanging="357"/>
        <w:contextualSpacing w:val="0"/>
        <w:jc w:val="both"/>
        <w:rPr>
          <w:rFonts w:cstheme="minorHAnsi"/>
          <w:sz w:val="24"/>
          <w:szCs w:val="24"/>
        </w:rPr>
      </w:pPr>
      <w:r w:rsidRPr="007A6B50">
        <w:rPr>
          <w:rFonts w:cstheme="minorHAnsi"/>
          <w:sz w:val="24"/>
          <w:szCs w:val="24"/>
        </w:rPr>
        <w:t>607</w:t>
      </w:r>
      <w:r w:rsidR="001912B8" w:rsidRPr="007A6B50">
        <w:rPr>
          <w:rFonts w:cstheme="minorHAnsi"/>
          <w:sz w:val="24"/>
          <w:szCs w:val="24"/>
        </w:rPr>
        <w:t xml:space="preserve"> proyectos obtuvieron una asignación actualizada al final del período, por un monto de Q4,</w:t>
      </w:r>
      <w:r w:rsidRPr="007A6B50">
        <w:rPr>
          <w:rFonts w:cstheme="minorHAnsi"/>
          <w:sz w:val="24"/>
          <w:szCs w:val="24"/>
        </w:rPr>
        <w:t>965</w:t>
      </w:r>
      <w:r w:rsidR="00F7661D" w:rsidRPr="007A6B50">
        <w:rPr>
          <w:rFonts w:cstheme="minorHAnsi"/>
          <w:sz w:val="24"/>
          <w:szCs w:val="24"/>
        </w:rPr>
        <w:t>.86</w:t>
      </w:r>
      <w:r w:rsidR="001912B8" w:rsidRPr="007A6B50">
        <w:rPr>
          <w:rFonts w:cstheme="minorHAnsi"/>
          <w:sz w:val="24"/>
          <w:szCs w:val="24"/>
        </w:rPr>
        <w:t xml:space="preserve"> millones, </w:t>
      </w:r>
      <w:r w:rsidR="00F7661D" w:rsidRPr="007A6B50">
        <w:rPr>
          <w:rFonts w:cstheme="minorHAnsi"/>
          <w:sz w:val="24"/>
          <w:szCs w:val="24"/>
        </w:rPr>
        <w:t>33.99</w:t>
      </w:r>
      <w:r w:rsidR="001912B8" w:rsidRPr="007A6B50">
        <w:rPr>
          <w:rFonts w:cstheme="minorHAnsi"/>
          <w:sz w:val="24"/>
          <w:szCs w:val="24"/>
        </w:rPr>
        <w:t>% del total;</w:t>
      </w:r>
    </w:p>
    <w:p w14:paraId="4C9893A6" w14:textId="3AC690D8" w:rsidR="001912B8" w:rsidRPr="007A6B50" w:rsidRDefault="001912B8" w:rsidP="005321FC">
      <w:pPr>
        <w:pStyle w:val="Prrafodelista"/>
        <w:numPr>
          <w:ilvl w:val="0"/>
          <w:numId w:val="16"/>
        </w:numPr>
        <w:spacing w:before="120" w:after="120" w:line="240" w:lineRule="auto"/>
        <w:ind w:left="714" w:hanging="357"/>
        <w:contextualSpacing w:val="0"/>
        <w:jc w:val="both"/>
        <w:rPr>
          <w:rFonts w:cstheme="minorHAnsi"/>
          <w:sz w:val="24"/>
          <w:szCs w:val="24"/>
        </w:rPr>
      </w:pPr>
      <w:r w:rsidRPr="007A6B50">
        <w:rPr>
          <w:rFonts w:cstheme="minorHAnsi"/>
          <w:sz w:val="24"/>
          <w:szCs w:val="24"/>
        </w:rPr>
        <w:t>4</w:t>
      </w:r>
      <w:r w:rsidR="00F7661D" w:rsidRPr="007A6B50">
        <w:rPr>
          <w:rFonts w:cstheme="minorHAnsi"/>
          <w:sz w:val="24"/>
          <w:szCs w:val="24"/>
        </w:rPr>
        <w:t>3</w:t>
      </w:r>
      <w:r w:rsidRPr="007A6B50">
        <w:rPr>
          <w:rFonts w:cstheme="minorHAnsi"/>
          <w:sz w:val="24"/>
          <w:szCs w:val="24"/>
        </w:rPr>
        <w:t xml:space="preserve">9 proyectos tuvieron ejecución física </w:t>
      </w:r>
      <w:r w:rsidR="00F7661D" w:rsidRPr="007A6B50">
        <w:rPr>
          <w:rFonts w:cstheme="minorHAnsi"/>
          <w:sz w:val="24"/>
          <w:szCs w:val="24"/>
        </w:rPr>
        <w:t>con ejecución financiera</w:t>
      </w:r>
      <w:r w:rsidRPr="007A6B50">
        <w:rPr>
          <w:rFonts w:cstheme="minorHAnsi"/>
          <w:sz w:val="24"/>
          <w:szCs w:val="24"/>
        </w:rPr>
        <w:t xml:space="preserve"> por un monto total de Q</w:t>
      </w:r>
      <w:r w:rsidR="00F7661D" w:rsidRPr="007A6B50">
        <w:rPr>
          <w:rFonts w:cstheme="minorHAnsi"/>
          <w:sz w:val="24"/>
          <w:szCs w:val="24"/>
        </w:rPr>
        <w:t>3</w:t>
      </w:r>
      <w:r w:rsidRPr="007A6B50">
        <w:rPr>
          <w:rFonts w:cstheme="minorHAnsi"/>
          <w:sz w:val="24"/>
          <w:szCs w:val="24"/>
        </w:rPr>
        <w:t>,</w:t>
      </w:r>
      <w:r w:rsidR="00F7661D" w:rsidRPr="007A6B50">
        <w:rPr>
          <w:rFonts w:cstheme="minorHAnsi"/>
          <w:sz w:val="24"/>
          <w:szCs w:val="24"/>
        </w:rPr>
        <w:t>607.48</w:t>
      </w:r>
      <w:r w:rsidRPr="007A6B50">
        <w:rPr>
          <w:rFonts w:cstheme="minorHAnsi"/>
          <w:sz w:val="24"/>
          <w:szCs w:val="24"/>
        </w:rPr>
        <w:t xml:space="preserve"> millones (</w:t>
      </w:r>
      <w:r w:rsidR="00F7661D" w:rsidRPr="007A6B50">
        <w:rPr>
          <w:rFonts w:cstheme="minorHAnsi"/>
          <w:sz w:val="24"/>
          <w:szCs w:val="24"/>
        </w:rPr>
        <w:t>37.81</w:t>
      </w:r>
      <w:r w:rsidR="00372445" w:rsidRPr="007A6B50">
        <w:rPr>
          <w:rFonts w:cstheme="minorHAnsi"/>
          <w:sz w:val="24"/>
          <w:szCs w:val="24"/>
        </w:rPr>
        <w:t>%) del</w:t>
      </w:r>
      <w:r w:rsidRPr="007A6B50">
        <w:rPr>
          <w:rFonts w:cstheme="minorHAnsi"/>
          <w:sz w:val="24"/>
          <w:szCs w:val="24"/>
        </w:rPr>
        <w:t xml:space="preserve"> total ejecutado.</w:t>
      </w:r>
    </w:p>
    <w:p w14:paraId="69ADBC19" w14:textId="77777777" w:rsidR="00F7661D" w:rsidRPr="007A6B50" w:rsidRDefault="00F7661D" w:rsidP="00F7661D">
      <w:pPr>
        <w:spacing w:before="120" w:after="120" w:line="240" w:lineRule="auto"/>
        <w:jc w:val="both"/>
        <w:rPr>
          <w:rFonts w:cstheme="minorHAnsi"/>
          <w:sz w:val="24"/>
          <w:szCs w:val="24"/>
        </w:rPr>
      </w:pPr>
      <w:r w:rsidRPr="007A6B50">
        <w:rPr>
          <w:rFonts w:cstheme="minorHAnsi"/>
          <w:sz w:val="24"/>
          <w:szCs w:val="24"/>
        </w:rPr>
        <w:t>Por lo expuesto, se concluye que la ejecución financiera a nivel nacional al finalizar el tercer cuatrimestre del Ejercicio Fiscal 2022, alcanzó el 65.32% y la ejecución física en promedio alcanzó el 72.64%; el nivel de desempeño en la ejecución física y financiera de los proyectos de inversión pública continúa afectado por dos eventos:  1. Continúan los efectos generados por la pandemia COVID-19; y, 2. los daños y pérdidas de las tormentas ETA e IOTA.</w:t>
      </w:r>
    </w:p>
    <w:p w14:paraId="34FEA2C1" w14:textId="76A6792C" w:rsidR="00F34896" w:rsidRPr="007A6B50" w:rsidRDefault="00F7661D" w:rsidP="00F7661D">
      <w:pPr>
        <w:spacing w:before="120" w:after="120" w:line="240" w:lineRule="auto"/>
        <w:jc w:val="both"/>
        <w:rPr>
          <w:rFonts w:cstheme="minorHAnsi"/>
          <w:sz w:val="24"/>
          <w:szCs w:val="24"/>
        </w:rPr>
      </w:pPr>
      <w:r w:rsidRPr="007A6B50">
        <w:rPr>
          <w:rFonts w:cstheme="minorHAnsi"/>
          <w:sz w:val="24"/>
          <w:szCs w:val="24"/>
        </w:rPr>
        <w:t xml:space="preserve">El pilar de Economía, Competitividad y Prosperidad es el que concentra la mayor inversión asignada, específicamente en la función de transporte; sin embargo, las funciones de agua y saneamiento, salud pública y asistencia social y desarrollo urbano y rural requieren mayor inversión para fortalecer el pilar de Desarrollo Social de la Política General de </w:t>
      </w:r>
      <w:r w:rsidR="00D51F45" w:rsidRPr="007A6B50">
        <w:rPr>
          <w:rFonts w:cstheme="minorHAnsi"/>
          <w:sz w:val="24"/>
          <w:szCs w:val="24"/>
        </w:rPr>
        <w:t>Gobierno.</w:t>
      </w:r>
    </w:p>
    <w:p w14:paraId="061FE0D8" w14:textId="169C5D8E" w:rsidR="001912B8" w:rsidRPr="007A6B50" w:rsidRDefault="001912B8" w:rsidP="005A771F">
      <w:pPr>
        <w:spacing w:after="0" w:line="240" w:lineRule="auto"/>
        <w:rPr>
          <w:rFonts w:eastAsiaTheme="majorEastAsia" w:cstheme="minorHAnsi"/>
          <w:b/>
          <w:color w:val="002060"/>
          <w:sz w:val="28"/>
          <w:szCs w:val="28"/>
        </w:rPr>
      </w:pPr>
      <w:bookmarkStart w:id="90" w:name="_Toc33434493"/>
      <w:bookmarkStart w:id="91" w:name="_Toc62718050"/>
      <w:r w:rsidRPr="007A6B50">
        <w:rPr>
          <w:rFonts w:eastAsiaTheme="majorEastAsia" w:cstheme="minorHAnsi"/>
          <w:b/>
          <w:color w:val="002060"/>
          <w:sz w:val="28"/>
          <w:szCs w:val="28"/>
        </w:rPr>
        <w:t>Proyectos recibidos oficialmente, con asignación y ejecución según resultado de opinión técnica a nivel nacional</w:t>
      </w:r>
      <w:bookmarkEnd w:id="90"/>
      <w:bookmarkEnd w:id="91"/>
    </w:p>
    <w:p w14:paraId="200A7EC8" w14:textId="77777777" w:rsidR="001912B8" w:rsidRPr="007A6B50" w:rsidRDefault="001912B8" w:rsidP="005A771F">
      <w:pPr>
        <w:spacing w:before="120" w:after="120" w:line="240" w:lineRule="auto"/>
        <w:jc w:val="both"/>
        <w:rPr>
          <w:rFonts w:cstheme="minorHAnsi"/>
          <w:sz w:val="24"/>
          <w:szCs w:val="24"/>
        </w:rPr>
      </w:pPr>
      <w:r w:rsidRPr="007A6B50">
        <w:rPr>
          <w:rFonts w:cstheme="minorHAnsi"/>
          <w:sz w:val="24"/>
          <w:szCs w:val="24"/>
        </w:rPr>
        <w:t>En la normativa vigente, los proyectos que son objeto de opinión técnica por SEGEPLAN pueden obtener el estatus de Aprobado, Pendiente y Rechazado.  Asimismo, se encuentran aquellos proyectos que por sus características se clasifican como “NO APLICA” y que no son objeto de opinión técnica.</w:t>
      </w:r>
    </w:p>
    <w:p w14:paraId="3AB33920" w14:textId="6D9C229D" w:rsidR="001912B8" w:rsidRPr="007A6B50" w:rsidRDefault="001912B8" w:rsidP="005A771F">
      <w:pPr>
        <w:spacing w:before="120" w:after="120" w:line="240" w:lineRule="auto"/>
        <w:jc w:val="both"/>
        <w:rPr>
          <w:rFonts w:cstheme="minorHAnsi"/>
          <w:sz w:val="24"/>
          <w:szCs w:val="24"/>
        </w:rPr>
      </w:pPr>
      <w:r w:rsidRPr="007A6B50">
        <w:rPr>
          <w:rFonts w:cstheme="minorHAnsi"/>
          <w:sz w:val="24"/>
          <w:szCs w:val="24"/>
        </w:rPr>
        <w:t>Los proyectos aprobados de acuerdo a las Normas del SNIP, representan el conjunto de iniciativas de inversión pública que cumplen con los requisitos formales, técnicos establecidos según las leyes atinentes y de políticas públicas; por lo tanto, la diferencia entre los proyectos aprobados, respecto de los que cuentan con opinión técnica, puede ser uno de los indicadores que expresa qué tan eficiente está siendo la formulación de los proyectos por parte de las entidades</w:t>
      </w:r>
      <w:r w:rsidR="00E4667A" w:rsidRPr="007A6B50">
        <w:rPr>
          <w:rFonts w:cstheme="minorHAnsi"/>
          <w:sz w:val="24"/>
          <w:szCs w:val="24"/>
        </w:rPr>
        <w:t xml:space="preserve"> públicas de inversión (EPI</w:t>
      </w:r>
      <w:r w:rsidR="00F7661D" w:rsidRPr="007A6B50">
        <w:rPr>
          <w:rFonts w:cstheme="minorHAnsi"/>
          <w:sz w:val="24"/>
          <w:szCs w:val="24"/>
        </w:rPr>
        <w:t>S</w:t>
      </w:r>
      <w:r w:rsidR="00E4667A" w:rsidRPr="007A6B50">
        <w:rPr>
          <w:rFonts w:cstheme="minorHAnsi"/>
          <w:sz w:val="24"/>
          <w:szCs w:val="24"/>
        </w:rPr>
        <w:t xml:space="preserve">). </w:t>
      </w:r>
      <w:r w:rsidRPr="007A6B50">
        <w:rPr>
          <w:rFonts w:cstheme="minorHAnsi"/>
          <w:sz w:val="24"/>
          <w:szCs w:val="24"/>
        </w:rPr>
        <w:t xml:space="preserve">En el contexto de esta normativa, el estatus de Aprobado se alcanza cuando la EPI ha cumplido con los requisitos legales y técnicos.   </w:t>
      </w:r>
    </w:p>
    <w:p w14:paraId="7BC73070" w14:textId="50EC838A" w:rsidR="001912B8" w:rsidRPr="007A6B50" w:rsidRDefault="001912B8" w:rsidP="005A771F">
      <w:pPr>
        <w:spacing w:before="120" w:after="120" w:line="240" w:lineRule="auto"/>
        <w:jc w:val="both"/>
        <w:rPr>
          <w:rFonts w:cstheme="minorHAnsi"/>
          <w:sz w:val="24"/>
          <w:szCs w:val="24"/>
        </w:rPr>
      </w:pPr>
      <w:r w:rsidRPr="007A6B50">
        <w:rPr>
          <w:rFonts w:cstheme="minorHAnsi"/>
          <w:sz w:val="24"/>
          <w:szCs w:val="24"/>
        </w:rPr>
        <w:t xml:space="preserve">Considerando lo indicado en el párrafo </w:t>
      </w:r>
      <w:r w:rsidR="00372445" w:rsidRPr="007A6B50">
        <w:rPr>
          <w:rFonts w:cstheme="minorHAnsi"/>
          <w:sz w:val="24"/>
          <w:szCs w:val="24"/>
        </w:rPr>
        <w:t>anterior, se</w:t>
      </w:r>
      <w:r w:rsidRPr="007A6B50">
        <w:rPr>
          <w:rFonts w:cstheme="minorHAnsi"/>
          <w:sz w:val="24"/>
          <w:szCs w:val="24"/>
        </w:rPr>
        <w:t xml:space="preserve"> presenta la información </w:t>
      </w:r>
      <w:r w:rsidR="00F52482" w:rsidRPr="007A6B50">
        <w:rPr>
          <w:rFonts w:cstheme="minorHAnsi"/>
          <w:sz w:val="24"/>
          <w:szCs w:val="24"/>
        </w:rPr>
        <w:t xml:space="preserve">en la </w:t>
      </w:r>
      <w:r w:rsidR="005A771F">
        <w:rPr>
          <w:rFonts w:cstheme="minorHAnsi"/>
          <w:sz w:val="24"/>
          <w:szCs w:val="24"/>
        </w:rPr>
        <w:t>tabla</w:t>
      </w:r>
      <w:r w:rsidR="005A771F" w:rsidRPr="005A771F">
        <w:rPr>
          <w:rFonts w:cstheme="minorHAnsi"/>
          <w:sz w:val="24"/>
          <w:szCs w:val="24"/>
        </w:rPr>
        <w:t xml:space="preserve"> </w:t>
      </w:r>
      <w:r w:rsidR="005A771F">
        <w:rPr>
          <w:rFonts w:cstheme="minorHAnsi"/>
          <w:sz w:val="24"/>
          <w:szCs w:val="24"/>
        </w:rPr>
        <w:t>siguiente:</w:t>
      </w:r>
    </w:p>
    <w:p w14:paraId="528C3F4A" w14:textId="0AB8E6C0" w:rsidR="00372445" w:rsidRPr="007A6B50" w:rsidRDefault="00F52482" w:rsidP="00316FAD">
      <w:pPr>
        <w:pStyle w:val="ttulosgrficas"/>
        <w:rPr>
          <w:rFonts w:asciiTheme="minorHAnsi" w:hAnsiTheme="minorHAnsi" w:cstheme="minorHAnsi"/>
          <w:color w:val="4472C4" w:themeColor="accent1"/>
        </w:rPr>
      </w:pPr>
      <w:bookmarkStart w:id="92" w:name="_Toc130199628"/>
      <w:r w:rsidRPr="007A6B50">
        <w:rPr>
          <w:rFonts w:asciiTheme="minorHAnsi" w:eastAsia="Times New Roman" w:hAnsiTheme="minorHAnsi" w:cstheme="minorHAnsi"/>
          <w:color w:val="4472C4" w:themeColor="accent1"/>
          <w:lang w:val="es-ES"/>
        </w:rPr>
        <w:t xml:space="preserve">Tabla </w:t>
      </w:r>
      <w:r w:rsidR="006E5E0A" w:rsidRPr="007A6B50">
        <w:rPr>
          <w:rFonts w:asciiTheme="minorHAnsi" w:eastAsia="Times New Roman" w:hAnsiTheme="minorHAnsi" w:cstheme="minorHAnsi"/>
          <w:color w:val="4472C4" w:themeColor="accent1"/>
          <w:lang w:val="es-ES"/>
        </w:rPr>
        <w:fldChar w:fldCharType="begin"/>
      </w:r>
      <w:r w:rsidR="006E5E0A" w:rsidRPr="007A6B50">
        <w:rPr>
          <w:rFonts w:asciiTheme="minorHAnsi" w:eastAsia="Times New Roman" w:hAnsiTheme="minorHAnsi" w:cstheme="minorHAnsi"/>
          <w:color w:val="4472C4" w:themeColor="accent1"/>
          <w:lang w:val="es-ES"/>
        </w:rPr>
        <w:instrText xml:space="preserve"> SEQ Tabla \* ARABIC </w:instrText>
      </w:r>
      <w:r w:rsidR="006E5E0A" w:rsidRPr="007A6B50">
        <w:rPr>
          <w:rFonts w:asciiTheme="minorHAnsi" w:eastAsia="Times New Roman" w:hAnsiTheme="minorHAnsi" w:cstheme="minorHAnsi"/>
          <w:color w:val="4472C4" w:themeColor="accent1"/>
          <w:lang w:val="es-ES"/>
        </w:rPr>
        <w:fldChar w:fldCharType="separate"/>
      </w:r>
      <w:r w:rsidR="00777974">
        <w:rPr>
          <w:rFonts w:asciiTheme="minorHAnsi" w:eastAsia="Times New Roman" w:hAnsiTheme="minorHAnsi" w:cstheme="minorHAnsi"/>
          <w:noProof/>
          <w:color w:val="4472C4" w:themeColor="accent1"/>
          <w:lang w:val="es-ES"/>
        </w:rPr>
        <w:t>40</w:t>
      </w:r>
      <w:r w:rsidR="006E5E0A" w:rsidRPr="007A6B50">
        <w:rPr>
          <w:rFonts w:asciiTheme="minorHAnsi" w:eastAsia="Times New Roman" w:hAnsiTheme="minorHAnsi" w:cstheme="minorHAnsi"/>
          <w:color w:val="4472C4" w:themeColor="accent1"/>
          <w:lang w:val="es-ES"/>
        </w:rPr>
        <w:fldChar w:fldCharType="end"/>
      </w:r>
      <w:r w:rsidR="005A771F">
        <w:rPr>
          <w:rFonts w:asciiTheme="minorHAnsi" w:eastAsia="Times New Roman" w:hAnsiTheme="minorHAnsi" w:cstheme="minorHAnsi"/>
          <w:color w:val="4472C4" w:themeColor="accent1"/>
          <w:lang w:val="es-ES"/>
        </w:rPr>
        <w:t>.</w:t>
      </w:r>
      <w:r w:rsidR="003562C1" w:rsidRPr="007A6B50">
        <w:rPr>
          <w:rFonts w:asciiTheme="minorHAnsi" w:eastAsia="Times New Roman" w:hAnsiTheme="minorHAnsi" w:cstheme="minorHAnsi"/>
          <w:color w:val="4472C4" w:themeColor="accent1"/>
          <w:lang w:val="es-ES"/>
        </w:rPr>
        <w:t xml:space="preserve"> </w:t>
      </w:r>
      <w:r w:rsidR="00372445" w:rsidRPr="007A6B50">
        <w:rPr>
          <w:rFonts w:asciiTheme="minorHAnsi" w:eastAsia="Times New Roman" w:hAnsiTheme="minorHAnsi" w:cstheme="minorHAnsi"/>
          <w:color w:val="4472C4" w:themeColor="accent1"/>
          <w:lang w:val="es-ES"/>
        </w:rPr>
        <w:t>Proyectos e inversión registrada,</w:t>
      </w:r>
      <w:r w:rsidR="0019448B" w:rsidRPr="007A6B50">
        <w:rPr>
          <w:rFonts w:asciiTheme="minorHAnsi" w:hAnsiTheme="minorHAnsi" w:cstheme="minorHAnsi"/>
        </w:rPr>
        <w:t xml:space="preserve"> </w:t>
      </w:r>
      <w:r w:rsidR="00372445" w:rsidRPr="007A6B50">
        <w:rPr>
          <w:rFonts w:asciiTheme="minorHAnsi" w:hAnsiTheme="minorHAnsi" w:cstheme="minorHAnsi"/>
          <w:color w:val="4472C4" w:themeColor="accent1"/>
        </w:rPr>
        <w:t>con asignación según opinión técnica</w:t>
      </w:r>
      <w:bookmarkEnd w:id="92"/>
    </w:p>
    <w:p w14:paraId="16047857" w14:textId="1C7F35D4" w:rsidR="00B910DD" w:rsidRPr="005A771F" w:rsidRDefault="00316FAD" w:rsidP="005A771F">
      <w:pPr>
        <w:pStyle w:val="ttulosgrficas"/>
        <w:rPr>
          <w:rFonts w:asciiTheme="minorHAnsi" w:eastAsia="Times New Roman" w:hAnsiTheme="minorHAnsi" w:cstheme="minorHAnsi"/>
          <w:color w:val="4472C4" w:themeColor="accent1"/>
          <w:lang w:eastAsia="es-GT"/>
        </w:rPr>
      </w:pPr>
      <w:r w:rsidRPr="007A6B50">
        <w:rPr>
          <w:rFonts w:asciiTheme="minorHAnsi" w:eastAsia="Times New Roman" w:hAnsiTheme="minorHAnsi" w:cstheme="minorHAnsi"/>
          <w:color w:val="4472C4" w:themeColor="accent1"/>
          <w:lang w:eastAsia="es-GT"/>
        </w:rPr>
        <w:t>a</w:t>
      </w:r>
      <w:r w:rsidR="00372445" w:rsidRPr="007A6B50">
        <w:rPr>
          <w:rFonts w:asciiTheme="minorHAnsi" w:eastAsia="Times New Roman" w:hAnsiTheme="minorHAnsi" w:cstheme="minorHAnsi"/>
          <w:color w:val="4472C4" w:themeColor="accent1"/>
          <w:lang w:eastAsia="es-GT"/>
        </w:rPr>
        <w:t>l tercer cuatrimestre</w:t>
      </w:r>
      <w:r w:rsidR="001F106A" w:rsidRPr="007A6B50">
        <w:rPr>
          <w:rFonts w:asciiTheme="minorHAnsi" w:eastAsia="Times New Roman" w:hAnsiTheme="minorHAnsi" w:cstheme="minorHAnsi"/>
          <w:color w:val="4472C4" w:themeColor="accent1"/>
          <w:lang w:eastAsia="es-GT"/>
        </w:rPr>
        <w:t xml:space="preserve"> </w:t>
      </w:r>
      <w:r w:rsidR="00BD1BD3" w:rsidRPr="007A6B50">
        <w:rPr>
          <w:rFonts w:asciiTheme="minorHAnsi" w:eastAsia="Times New Roman" w:hAnsiTheme="minorHAnsi" w:cstheme="minorHAnsi"/>
          <w:color w:val="4472C4" w:themeColor="accent1"/>
          <w:lang w:eastAsia="es-GT"/>
        </w:rPr>
        <w:t>2022</w:t>
      </w:r>
    </w:p>
    <w:tbl>
      <w:tblPr>
        <w:tblStyle w:val="Tablaconcuadrcula4-nfasis5"/>
        <w:tblW w:w="5000" w:type="pct"/>
        <w:tblLook w:val="04A0" w:firstRow="1" w:lastRow="0" w:firstColumn="1" w:lastColumn="0" w:noHBand="0" w:noVBand="1"/>
      </w:tblPr>
      <w:tblGrid>
        <w:gridCol w:w="2087"/>
        <w:gridCol w:w="1157"/>
        <w:gridCol w:w="1031"/>
        <w:gridCol w:w="1072"/>
        <w:gridCol w:w="1031"/>
        <w:gridCol w:w="923"/>
        <w:gridCol w:w="1149"/>
        <w:gridCol w:w="945"/>
      </w:tblGrid>
      <w:tr w:rsidR="001F106A" w:rsidRPr="007A6B50" w14:paraId="349FD0C3" w14:textId="77777777" w:rsidTr="005A771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7" w:type="pct"/>
            <w:vMerge w:val="restart"/>
            <w:tcBorders>
              <w:top w:val="none" w:sz="0" w:space="0" w:color="auto"/>
              <w:left w:val="none" w:sz="0" w:space="0" w:color="auto"/>
              <w:bottom w:val="none" w:sz="0" w:space="0" w:color="auto"/>
              <w:right w:val="none" w:sz="0" w:space="0" w:color="auto"/>
            </w:tcBorders>
            <w:vAlign w:val="center"/>
            <w:hideMark/>
          </w:tcPr>
          <w:p w14:paraId="22596C30" w14:textId="77777777" w:rsidR="001F106A" w:rsidRPr="005A771F" w:rsidRDefault="001F106A" w:rsidP="005A771F">
            <w:pPr>
              <w:jc w:val="center"/>
              <w:rPr>
                <w:rFonts w:eastAsia="Times New Roman" w:cstheme="minorHAnsi"/>
                <w:b w:val="0"/>
                <w:bCs w:val="0"/>
                <w:color w:val="auto"/>
                <w:sz w:val="18"/>
                <w:lang w:eastAsia="es-GT"/>
              </w:rPr>
            </w:pPr>
            <w:r w:rsidRPr="005A771F">
              <w:rPr>
                <w:rFonts w:eastAsia="Times New Roman" w:cstheme="minorHAnsi"/>
                <w:color w:val="auto"/>
                <w:sz w:val="18"/>
                <w:lang w:eastAsia="es-GT"/>
              </w:rPr>
              <w:t>Resultado de opinión técnica</w:t>
            </w:r>
          </w:p>
        </w:tc>
        <w:tc>
          <w:tcPr>
            <w:tcW w:w="1143" w:type="pct"/>
            <w:gridSpan w:val="2"/>
            <w:tcBorders>
              <w:top w:val="none" w:sz="0" w:space="0" w:color="auto"/>
              <w:left w:val="none" w:sz="0" w:space="0" w:color="auto"/>
              <w:bottom w:val="none" w:sz="0" w:space="0" w:color="auto"/>
              <w:right w:val="none" w:sz="0" w:space="0" w:color="auto"/>
            </w:tcBorders>
            <w:vAlign w:val="center"/>
            <w:hideMark/>
          </w:tcPr>
          <w:p w14:paraId="5B984494" w14:textId="77777777" w:rsidR="001F106A" w:rsidRPr="005A771F" w:rsidRDefault="001F106A" w:rsidP="005A77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18"/>
                <w:lang w:eastAsia="es-GT"/>
              </w:rPr>
            </w:pPr>
            <w:r w:rsidRPr="005A771F">
              <w:rPr>
                <w:rFonts w:eastAsia="Times New Roman" w:cstheme="minorHAnsi"/>
                <w:color w:val="auto"/>
                <w:sz w:val="18"/>
                <w:lang w:eastAsia="es-GT"/>
              </w:rPr>
              <w:t>Asignado</w:t>
            </w:r>
          </w:p>
        </w:tc>
        <w:tc>
          <w:tcPr>
            <w:tcW w:w="1568" w:type="pct"/>
            <w:gridSpan w:val="3"/>
            <w:tcBorders>
              <w:top w:val="none" w:sz="0" w:space="0" w:color="auto"/>
              <w:left w:val="none" w:sz="0" w:space="0" w:color="auto"/>
              <w:bottom w:val="none" w:sz="0" w:space="0" w:color="auto"/>
              <w:right w:val="none" w:sz="0" w:space="0" w:color="auto"/>
            </w:tcBorders>
            <w:noWrap/>
            <w:vAlign w:val="center"/>
            <w:hideMark/>
          </w:tcPr>
          <w:p w14:paraId="7B8BC51E" w14:textId="77777777" w:rsidR="001F106A" w:rsidRPr="005A771F" w:rsidRDefault="001F106A" w:rsidP="005A77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18"/>
                <w:lang w:eastAsia="es-GT"/>
              </w:rPr>
            </w:pPr>
            <w:r w:rsidRPr="005A771F">
              <w:rPr>
                <w:rFonts w:eastAsia="Times New Roman" w:cstheme="minorHAnsi"/>
                <w:color w:val="auto"/>
                <w:sz w:val="18"/>
                <w:lang w:eastAsia="es-GT"/>
              </w:rPr>
              <w:t>Vigente</w:t>
            </w:r>
          </w:p>
        </w:tc>
        <w:tc>
          <w:tcPr>
            <w:tcW w:w="1162" w:type="pct"/>
            <w:gridSpan w:val="2"/>
            <w:tcBorders>
              <w:top w:val="none" w:sz="0" w:space="0" w:color="auto"/>
              <w:left w:val="none" w:sz="0" w:space="0" w:color="auto"/>
              <w:bottom w:val="none" w:sz="0" w:space="0" w:color="auto"/>
              <w:right w:val="none" w:sz="0" w:space="0" w:color="auto"/>
            </w:tcBorders>
            <w:noWrap/>
            <w:vAlign w:val="center"/>
            <w:hideMark/>
          </w:tcPr>
          <w:p w14:paraId="3C160A8E" w14:textId="77777777" w:rsidR="001F106A" w:rsidRPr="005A771F" w:rsidRDefault="001F106A" w:rsidP="005A77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18"/>
                <w:lang w:eastAsia="es-GT"/>
              </w:rPr>
            </w:pPr>
            <w:r w:rsidRPr="005A771F">
              <w:rPr>
                <w:rFonts w:eastAsia="Times New Roman" w:cstheme="minorHAnsi"/>
                <w:color w:val="auto"/>
                <w:sz w:val="18"/>
                <w:lang w:eastAsia="es-GT"/>
              </w:rPr>
              <w:t>Ejecutado</w:t>
            </w:r>
          </w:p>
        </w:tc>
      </w:tr>
      <w:tr w:rsidR="001F106A" w:rsidRPr="007A6B50" w14:paraId="628165AD" w14:textId="77777777" w:rsidTr="005A771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7" w:type="pct"/>
            <w:vMerge/>
            <w:hideMark/>
          </w:tcPr>
          <w:p w14:paraId="7218A73F" w14:textId="77777777" w:rsidR="001F106A" w:rsidRPr="007A6B50" w:rsidRDefault="001F106A" w:rsidP="001F106A">
            <w:pPr>
              <w:rPr>
                <w:rFonts w:eastAsia="Times New Roman" w:cstheme="minorHAnsi"/>
                <w:b w:val="0"/>
                <w:bCs w:val="0"/>
                <w:sz w:val="18"/>
                <w:lang w:eastAsia="es-GT"/>
              </w:rPr>
            </w:pPr>
          </w:p>
        </w:tc>
        <w:tc>
          <w:tcPr>
            <w:tcW w:w="632" w:type="pct"/>
            <w:noWrap/>
            <w:vAlign w:val="center"/>
            <w:hideMark/>
          </w:tcPr>
          <w:p w14:paraId="36D516FF" w14:textId="77777777" w:rsidR="001F106A" w:rsidRPr="007A6B50" w:rsidRDefault="001F106A" w:rsidP="005A77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lang w:eastAsia="es-GT"/>
              </w:rPr>
            </w:pPr>
            <w:r w:rsidRPr="007A6B50">
              <w:rPr>
                <w:rFonts w:eastAsia="Times New Roman" w:cstheme="minorHAnsi"/>
                <w:b/>
                <w:bCs/>
                <w:sz w:val="18"/>
                <w:lang w:eastAsia="es-GT"/>
              </w:rPr>
              <w:t>Proyectos</w:t>
            </w:r>
          </w:p>
        </w:tc>
        <w:tc>
          <w:tcPr>
            <w:tcW w:w="511" w:type="pct"/>
            <w:noWrap/>
            <w:vAlign w:val="center"/>
            <w:hideMark/>
          </w:tcPr>
          <w:p w14:paraId="27DFF8E6" w14:textId="77777777" w:rsidR="001F106A" w:rsidRPr="007A6B50" w:rsidRDefault="001F106A" w:rsidP="005A77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lang w:eastAsia="es-GT"/>
              </w:rPr>
            </w:pPr>
            <w:r w:rsidRPr="007A6B50">
              <w:rPr>
                <w:rFonts w:eastAsia="Times New Roman" w:cstheme="minorHAnsi"/>
                <w:b/>
                <w:bCs/>
                <w:sz w:val="18"/>
                <w:lang w:eastAsia="es-GT"/>
              </w:rPr>
              <w:t>Monto</w:t>
            </w:r>
          </w:p>
        </w:tc>
        <w:tc>
          <w:tcPr>
            <w:tcW w:w="587" w:type="pct"/>
            <w:noWrap/>
            <w:vAlign w:val="center"/>
            <w:hideMark/>
          </w:tcPr>
          <w:p w14:paraId="565C553D" w14:textId="77777777" w:rsidR="001F106A" w:rsidRPr="007A6B50" w:rsidRDefault="001F106A" w:rsidP="005A77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lang w:eastAsia="es-GT"/>
              </w:rPr>
            </w:pPr>
            <w:r w:rsidRPr="007A6B50">
              <w:rPr>
                <w:rFonts w:eastAsia="Times New Roman" w:cstheme="minorHAnsi"/>
                <w:b/>
                <w:bCs/>
                <w:sz w:val="18"/>
                <w:lang w:eastAsia="es-GT"/>
              </w:rPr>
              <w:t>Proyectos</w:t>
            </w:r>
          </w:p>
        </w:tc>
        <w:tc>
          <w:tcPr>
            <w:tcW w:w="488" w:type="pct"/>
            <w:noWrap/>
            <w:vAlign w:val="center"/>
            <w:hideMark/>
          </w:tcPr>
          <w:p w14:paraId="2F3EDC27" w14:textId="77777777" w:rsidR="001F106A" w:rsidRPr="007A6B50" w:rsidRDefault="001F106A" w:rsidP="005A77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lang w:eastAsia="es-GT"/>
              </w:rPr>
            </w:pPr>
            <w:r w:rsidRPr="007A6B50">
              <w:rPr>
                <w:rFonts w:eastAsia="Times New Roman" w:cstheme="minorHAnsi"/>
                <w:b/>
                <w:bCs/>
                <w:sz w:val="18"/>
                <w:lang w:eastAsia="es-GT"/>
              </w:rPr>
              <w:t>Monto</w:t>
            </w:r>
          </w:p>
        </w:tc>
        <w:tc>
          <w:tcPr>
            <w:tcW w:w="493" w:type="pct"/>
            <w:noWrap/>
            <w:vAlign w:val="center"/>
            <w:hideMark/>
          </w:tcPr>
          <w:p w14:paraId="19909997" w14:textId="77777777" w:rsidR="001F106A" w:rsidRPr="007A6B50" w:rsidRDefault="001F106A" w:rsidP="005A77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lang w:eastAsia="es-GT"/>
              </w:rPr>
            </w:pPr>
            <w:r w:rsidRPr="007A6B50">
              <w:rPr>
                <w:rFonts w:eastAsia="Times New Roman" w:cstheme="minorHAnsi"/>
                <w:b/>
                <w:bCs/>
                <w:sz w:val="18"/>
                <w:lang w:eastAsia="es-GT"/>
              </w:rPr>
              <w:t>Peso</w:t>
            </w:r>
          </w:p>
        </w:tc>
        <w:tc>
          <w:tcPr>
            <w:tcW w:w="643" w:type="pct"/>
            <w:noWrap/>
            <w:vAlign w:val="center"/>
            <w:hideMark/>
          </w:tcPr>
          <w:p w14:paraId="5B60EC07" w14:textId="77777777" w:rsidR="001F106A" w:rsidRPr="007A6B50" w:rsidRDefault="001F106A" w:rsidP="005A77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lang w:eastAsia="es-GT"/>
              </w:rPr>
            </w:pPr>
            <w:r w:rsidRPr="007A6B50">
              <w:rPr>
                <w:rFonts w:eastAsia="Times New Roman" w:cstheme="minorHAnsi"/>
                <w:b/>
                <w:bCs/>
                <w:sz w:val="18"/>
                <w:lang w:eastAsia="es-GT"/>
              </w:rPr>
              <w:t>Proyectos</w:t>
            </w:r>
          </w:p>
        </w:tc>
        <w:tc>
          <w:tcPr>
            <w:tcW w:w="519" w:type="pct"/>
            <w:noWrap/>
            <w:vAlign w:val="center"/>
            <w:hideMark/>
          </w:tcPr>
          <w:p w14:paraId="304BAEE5" w14:textId="77777777" w:rsidR="001F106A" w:rsidRPr="007A6B50" w:rsidRDefault="001F106A" w:rsidP="005A77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lang w:eastAsia="es-GT"/>
              </w:rPr>
            </w:pPr>
            <w:r w:rsidRPr="007A6B50">
              <w:rPr>
                <w:rFonts w:eastAsia="Times New Roman" w:cstheme="minorHAnsi"/>
                <w:b/>
                <w:bCs/>
                <w:sz w:val="18"/>
                <w:lang w:eastAsia="es-GT"/>
              </w:rPr>
              <w:t>Monto</w:t>
            </w:r>
          </w:p>
        </w:tc>
      </w:tr>
      <w:tr w:rsidR="00F7661D" w:rsidRPr="007A6B50" w14:paraId="18E8583E" w14:textId="77777777" w:rsidTr="005A771F">
        <w:trPr>
          <w:trHeight w:val="161"/>
        </w:trPr>
        <w:tc>
          <w:tcPr>
            <w:cnfStyle w:val="001000000000" w:firstRow="0" w:lastRow="0" w:firstColumn="1" w:lastColumn="0" w:oddVBand="0" w:evenVBand="0" w:oddHBand="0" w:evenHBand="0" w:firstRowFirstColumn="0" w:firstRowLastColumn="0" w:lastRowFirstColumn="0" w:lastRowLastColumn="0"/>
            <w:tcW w:w="1127" w:type="pct"/>
            <w:hideMark/>
          </w:tcPr>
          <w:p w14:paraId="19267990" w14:textId="4C3902B7" w:rsidR="00F7661D" w:rsidRPr="005A771F" w:rsidRDefault="00F7661D" w:rsidP="00F7661D">
            <w:pPr>
              <w:rPr>
                <w:rFonts w:eastAsia="Times New Roman" w:cstheme="minorHAnsi"/>
                <w:b w:val="0"/>
                <w:sz w:val="18"/>
                <w:lang w:eastAsia="es-GT"/>
              </w:rPr>
            </w:pPr>
            <w:r w:rsidRPr="005A771F">
              <w:rPr>
                <w:rFonts w:cstheme="minorHAnsi"/>
                <w:b w:val="0"/>
              </w:rPr>
              <w:t>Aprobado</w:t>
            </w:r>
          </w:p>
        </w:tc>
        <w:tc>
          <w:tcPr>
            <w:tcW w:w="632" w:type="pct"/>
            <w:noWrap/>
            <w:vAlign w:val="center"/>
            <w:hideMark/>
          </w:tcPr>
          <w:p w14:paraId="74124960" w14:textId="638E569A"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7,585</w:t>
            </w:r>
          </w:p>
        </w:tc>
        <w:tc>
          <w:tcPr>
            <w:tcW w:w="511" w:type="pct"/>
            <w:noWrap/>
            <w:vAlign w:val="center"/>
            <w:hideMark/>
          </w:tcPr>
          <w:p w14:paraId="7C95CD53" w14:textId="38CA96FE"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11,014.19</w:t>
            </w:r>
          </w:p>
        </w:tc>
        <w:tc>
          <w:tcPr>
            <w:tcW w:w="587" w:type="pct"/>
            <w:noWrap/>
            <w:vAlign w:val="center"/>
            <w:hideMark/>
          </w:tcPr>
          <w:p w14:paraId="19F2E742" w14:textId="1A0EF542"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9,653</w:t>
            </w:r>
          </w:p>
        </w:tc>
        <w:tc>
          <w:tcPr>
            <w:tcW w:w="488" w:type="pct"/>
            <w:noWrap/>
            <w:vAlign w:val="center"/>
            <w:hideMark/>
          </w:tcPr>
          <w:p w14:paraId="169E9D6E" w14:textId="18EF0538"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14,413.00</w:t>
            </w:r>
          </w:p>
        </w:tc>
        <w:tc>
          <w:tcPr>
            <w:tcW w:w="493" w:type="pct"/>
            <w:noWrap/>
            <w:vAlign w:val="center"/>
            <w:hideMark/>
          </w:tcPr>
          <w:p w14:paraId="5E0A3F41" w14:textId="5B89D035"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98.66%</w:t>
            </w:r>
          </w:p>
        </w:tc>
        <w:tc>
          <w:tcPr>
            <w:tcW w:w="643" w:type="pct"/>
            <w:noWrap/>
            <w:vAlign w:val="center"/>
            <w:hideMark/>
          </w:tcPr>
          <w:p w14:paraId="4A298697" w14:textId="553C9C9F"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8,275</w:t>
            </w:r>
          </w:p>
        </w:tc>
        <w:tc>
          <w:tcPr>
            <w:tcW w:w="519" w:type="pct"/>
            <w:noWrap/>
            <w:vAlign w:val="center"/>
            <w:hideMark/>
          </w:tcPr>
          <w:p w14:paraId="361D30DD" w14:textId="7CC6EDFF"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9,491.41</w:t>
            </w:r>
          </w:p>
        </w:tc>
      </w:tr>
      <w:tr w:rsidR="00F7661D" w:rsidRPr="007A6B50" w14:paraId="5B67AEE2" w14:textId="77777777" w:rsidTr="005A771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27" w:type="pct"/>
            <w:hideMark/>
          </w:tcPr>
          <w:p w14:paraId="248E00B7" w14:textId="3E8A61B6" w:rsidR="00F7661D" w:rsidRPr="005A771F" w:rsidRDefault="00F7661D" w:rsidP="00F7661D">
            <w:pPr>
              <w:rPr>
                <w:rFonts w:eastAsia="Times New Roman" w:cstheme="minorHAnsi"/>
                <w:b w:val="0"/>
                <w:sz w:val="18"/>
                <w:lang w:eastAsia="es-GT"/>
              </w:rPr>
            </w:pPr>
            <w:r w:rsidRPr="005A771F">
              <w:rPr>
                <w:rFonts w:cstheme="minorHAnsi"/>
                <w:b w:val="0"/>
              </w:rPr>
              <w:t>Aprobado (No aplica evaluación)</w:t>
            </w:r>
          </w:p>
        </w:tc>
        <w:tc>
          <w:tcPr>
            <w:tcW w:w="632" w:type="pct"/>
            <w:noWrap/>
            <w:vAlign w:val="center"/>
            <w:hideMark/>
          </w:tcPr>
          <w:p w14:paraId="76BE3D2D" w14:textId="1284DEF4"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22</w:t>
            </w:r>
          </w:p>
        </w:tc>
        <w:tc>
          <w:tcPr>
            <w:tcW w:w="511" w:type="pct"/>
            <w:noWrap/>
            <w:vAlign w:val="center"/>
            <w:hideMark/>
          </w:tcPr>
          <w:p w14:paraId="7B3DD93C" w14:textId="0FF11674"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67.30</w:t>
            </w:r>
          </w:p>
        </w:tc>
        <w:tc>
          <w:tcPr>
            <w:tcW w:w="587" w:type="pct"/>
            <w:noWrap/>
            <w:vAlign w:val="center"/>
            <w:hideMark/>
          </w:tcPr>
          <w:p w14:paraId="0EC3D699" w14:textId="58EED81A"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22</w:t>
            </w:r>
          </w:p>
        </w:tc>
        <w:tc>
          <w:tcPr>
            <w:tcW w:w="488" w:type="pct"/>
            <w:noWrap/>
            <w:vAlign w:val="center"/>
            <w:hideMark/>
          </w:tcPr>
          <w:p w14:paraId="0A0C728B" w14:textId="3FBFE396"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67.30</w:t>
            </w:r>
          </w:p>
        </w:tc>
        <w:tc>
          <w:tcPr>
            <w:tcW w:w="493" w:type="pct"/>
            <w:noWrap/>
            <w:vAlign w:val="center"/>
            <w:hideMark/>
          </w:tcPr>
          <w:p w14:paraId="1A92F280" w14:textId="4909602C"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0.46%</w:t>
            </w:r>
          </w:p>
        </w:tc>
        <w:tc>
          <w:tcPr>
            <w:tcW w:w="643" w:type="pct"/>
            <w:noWrap/>
            <w:vAlign w:val="center"/>
            <w:hideMark/>
          </w:tcPr>
          <w:p w14:paraId="126DCE3A" w14:textId="3ADF7F10"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21</w:t>
            </w:r>
          </w:p>
        </w:tc>
        <w:tc>
          <w:tcPr>
            <w:tcW w:w="519" w:type="pct"/>
            <w:noWrap/>
            <w:vAlign w:val="center"/>
            <w:hideMark/>
          </w:tcPr>
          <w:p w14:paraId="198D439D" w14:textId="2D6CFC2C"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34.70</w:t>
            </w:r>
          </w:p>
        </w:tc>
      </w:tr>
      <w:tr w:rsidR="00F7661D" w:rsidRPr="007A6B50" w14:paraId="44884414" w14:textId="77777777" w:rsidTr="005A771F">
        <w:trPr>
          <w:trHeight w:val="272"/>
        </w:trPr>
        <w:tc>
          <w:tcPr>
            <w:cnfStyle w:val="001000000000" w:firstRow="0" w:lastRow="0" w:firstColumn="1" w:lastColumn="0" w:oddVBand="0" w:evenVBand="0" w:oddHBand="0" w:evenHBand="0" w:firstRowFirstColumn="0" w:firstRowLastColumn="0" w:lastRowFirstColumn="0" w:lastRowLastColumn="0"/>
            <w:tcW w:w="1127" w:type="pct"/>
            <w:hideMark/>
          </w:tcPr>
          <w:p w14:paraId="33ACED91" w14:textId="73C0D173" w:rsidR="00F7661D" w:rsidRPr="005A771F" w:rsidRDefault="00F7661D" w:rsidP="00F7661D">
            <w:pPr>
              <w:rPr>
                <w:rFonts w:eastAsia="Times New Roman" w:cstheme="minorHAnsi"/>
                <w:b w:val="0"/>
                <w:sz w:val="18"/>
                <w:lang w:eastAsia="es-GT"/>
              </w:rPr>
            </w:pPr>
            <w:r w:rsidRPr="005A771F">
              <w:rPr>
                <w:rFonts w:cstheme="minorHAnsi"/>
                <w:b w:val="0"/>
              </w:rPr>
              <w:t>Aprobado (Según Decreto)</w:t>
            </w:r>
          </w:p>
        </w:tc>
        <w:tc>
          <w:tcPr>
            <w:tcW w:w="632" w:type="pct"/>
            <w:noWrap/>
            <w:vAlign w:val="center"/>
            <w:hideMark/>
          </w:tcPr>
          <w:p w14:paraId="0C22A8DF" w14:textId="1B6210CC"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1</w:t>
            </w:r>
          </w:p>
        </w:tc>
        <w:tc>
          <w:tcPr>
            <w:tcW w:w="511" w:type="pct"/>
            <w:noWrap/>
            <w:vAlign w:val="center"/>
            <w:hideMark/>
          </w:tcPr>
          <w:p w14:paraId="28B53AA5" w14:textId="3FAAE1D7"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1.40</w:t>
            </w:r>
          </w:p>
        </w:tc>
        <w:tc>
          <w:tcPr>
            <w:tcW w:w="587" w:type="pct"/>
            <w:noWrap/>
            <w:vAlign w:val="center"/>
            <w:hideMark/>
          </w:tcPr>
          <w:p w14:paraId="4B97984B" w14:textId="2F60CB75"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7</w:t>
            </w:r>
          </w:p>
        </w:tc>
        <w:tc>
          <w:tcPr>
            <w:tcW w:w="488" w:type="pct"/>
            <w:noWrap/>
            <w:vAlign w:val="center"/>
            <w:hideMark/>
          </w:tcPr>
          <w:p w14:paraId="11BA529C" w14:textId="14DEA688"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4.69</w:t>
            </w:r>
          </w:p>
        </w:tc>
        <w:tc>
          <w:tcPr>
            <w:tcW w:w="493" w:type="pct"/>
            <w:noWrap/>
            <w:vAlign w:val="center"/>
            <w:hideMark/>
          </w:tcPr>
          <w:p w14:paraId="33FFEA96" w14:textId="7FA585F2"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0.03%</w:t>
            </w:r>
          </w:p>
        </w:tc>
        <w:tc>
          <w:tcPr>
            <w:tcW w:w="643" w:type="pct"/>
            <w:noWrap/>
            <w:vAlign w:val="center"/>
            <w:hideMark/>
          </w:tcPr>
          <w:p w14:paraId="7BD75401" w14:textId="748B8254"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2</w:t>
            </w:r>
          </w:p>
        </w:tc>
        <w:tc>
          <w:tcPr>
            <w:tcW w:w="519" w:type="pct"/>
            <w:noWrap/>
            <w:vAlign w:val="center"/>
            <w:hideMark/>
          </w:tcPr>
          <w:p w14:paraId="0EBEB090" w14:textId="3BBFB13F"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0.07</w:t>
            </w:r>
          </w:p>
        </w:tc>
      </w:tr>
      <w:tr w:rsidR="00F7661D" w:rsidRPr="007A6B50" w14:paraId="2A9D8A93" w14:textId="77777777" w:rsidTr="005A771F">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127" w:type="pct"/>
            <w:hideMark/>
          </w:tcPr>
          <w:p w14:paraId="3AA87CD9" w14:textId="3FF3A62A" w:rsidR="00F7661D" w:rsidRPr="005A771F" w:rsidRDefault="00F7661D" w:rsidP="00F7661D">
            <w:pPr>
              <w:rPr>
                <w:rFonts w:eastAsia="Times New Roman" w:cstheme="minorHAnsi"/>
                <w:b w:val="0"/>
                <w:sz w:val="18"/>
                <w:lang w:eastAsia="es-GT"/>
              </w:rPr>
            </w:pPr>
            <w:r w:rsidRPr="005A771F">
              <w:rPr>
                <w:rFonts w:cstheme="minorHAnsi"/>
                <w:b w:val="0"/>
              </w:rPr>
              <w:t>Con requisitos pendientes</w:t>
            </w:r>
          </w:p>
        </w:tc>
        <w:tc>
          <w:tcPr>
            <w:tcW w:w="632" w:type="pct"/>
            <w:noWrap/>
            <w:vAlign w:val="center"/>
            <w:hideMark/>
          </w:tcPr>
          <w:p w14:paraId="6CCA528B" w14:textId="3A053BC3"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310</w:t>
            </w:r>
          </w:p>
        </w:tc>
        <w:tc>
          <w:tcPr>
            <w:tcW w:w="511" w:type="pct"/>
            <w:noWrap/>
            <w:vAlign w:val="center"/>
            <w:hideMark/>
          </w:tcPr>
          <w:p w14:paraId="28CD83CD" w14:textId="299A5845"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787.83</w:t>
            </w:r>
          </w:p>
        </w:tc>
        <w:tc>
          <w:tcPr>
            <w:tcW w:w="587" w:type="pct"/>
            <w:noWrap/>
            <w:vAlign w:val="center"/>
            <w:hideMark/>
          </w:tcPr>
          <w:p w14:paraId="6F461920" w14:textId="24B5CE10"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27</w:t>
            </w:r>
          </w:p>
        </w:tc>
        <w:tc>
          <w:tcPr>
            <w:tcW w:w="488" w:type="pct"/>
            <w:noWrap/>
            <w:vAlign w:val="center"/>
            <w:hideMark/>
          </w:tcPr>
          <w:p w14:paraId="6F3ECFAB" w14:textId="7093BCB3"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50.63</w:t>
            </w:r>
          </w:p>
        </w:tc>
        <w:tc>
          <w:tcPr>
            <w:tcW w:w="493" w:type="pct"/>
            <w:noWrap/>
            <w:vAlign w:val="center"/>
            <w:hideMark/>
          </w:tcPr>
          <w:p w14:paraId="57B1B474" w14:textId="1A67FAAB"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r w:rsidRPr="007A6B50">
              <w:rPr>
                <w:rFonts w:cstheme="minorHAnsi"/>
              </w:rPr>
              <w:t>0.35%</w:t>
            </w:r>
          </w:p>
        </w:tc>
        <w:tc>
          <w:tcPr>
            <w:tcW w:w="643" w:type="pct"/>
            <w:noWrap/>
            <w:vAlign w:val="center"/>
            <w:hideMark/>
          </w:tcPr>
          <w:p w14:paraId="57649E2E" w14:textId="22082D64"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p>
        </w:tc>
        <w:tc>
          <w:tcPr>
            <w:tcW w:w="519" w:type="pct"/>
            <w:noWrap/>
            <w:vAlign w:val="center"/>
            <w:hideMark/>
          </w:tcPr>
          <w:p w14:paraId="4A1534F5" w14:textId="2EC222CE" w:rsidR="00F7661D" w:rsidRPr="007A6B50"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GT"/>
              </w:rPr>
            </w:pPr>
          </w:p>
        </w:tc>
      </w:tr>
      <w:tr w:rsidR="00F7661D" w:rsidRPr="007A6B50" w14:paraId="53BB042B" w14:textId="77777777" w:rsidTr="005A771F">
        <w:trPr>
          <w:trHeight w:val="98"/>
        </w:trPr>
        <w:tc>
          <w:tcPr>
            <w:cnfStyle w:val="001000000000" w:firstRow="0" w:lastRow="0" w:firstColumn="1" w:lastColumn="0" w:oddVBand="0" w:evenVBand="0" w:oddHBand="0" w:evenHBand="0" w:firstRowFirstColumn="0" w:firstRowLastColumn="0" w:lastRowFirstColumn="0" w:lastRowLastColumn="0"/>
            <w:tcW w:w="1127" w:type="pct"/>
            <w:hideMark/>
          </w:tcPr>
          <w:p w14:paraId="78D9EEA2" w14:textId="5DD114AD" w:rsidR="00F7661D" w:rsidRPr="005A771F" w:rsidRDefault="00F7661D" w:rsidP="00F7661D">
            <w:pPr>
              <w:rPr>
                <w:rFonts w:eastAsia="Times New Roman" w:cstheme="minorHAnsi"/>
                <w:b w:val="0"/>
                <w:sz w:val="18"/>
                <w:lang w:eastAsia="es-GT"/>
              </w:rPr>
            </w:pPr>
            <w:r w:rsidRPr="005A771F">
              <w:rPr>
                <w:rFonts w:cstheme="minorHAnsi"/>
                <w:b w:val="0"/>
              </w:rPr>
              <w:t>No recibido oficialmente</w:t>
            </w:r>
          </w:p>
        </w:tc>
        <w:tc>
          <w:tcPr>
            <w:tcW w:w="632" w:type="pct"/>
            <w:noWrap/>
            <w:vAlign w:val="center"/>
            <w:hideMark/>
          </w:tcPr>
          <w:p w14:paraId="5BA4B6C2" w14:textId="2B0C4DEC"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103</w:t>
            </w:r>
          </w:p>
        </w:tc>
        <w:tc>
          <w:tcPr>
            <w:tcW w:w="511" w:type="pct"/>
            <w:noWrap/>
            <w:vAlign w:val="center"/>
            <w:hideMark/>
          </w:tcPr>
          <w:p w14:paraId="59041EB2" w14:textId="7413B9F5"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72.96</w:t>
            </w:r>
          </w:p>
        </w:tc>
        <w:tc>
          <w:tcPr>
            <w:tcW w:w="587" w:type="pct"/>
            <w:noWrap/>
            <w:vAlign w:val="center"/>
            <w:hideMark/>
          </w:tcPr>
          <w:p w14:paraId="0E1A73ED" w14:textId="150999E7"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103</w:t>
            </w:r>
          </w:p>
        </w:tc>
        <w:tc>
          <w:tcPr>
            <w:tcW w:w="488" w:type="pct"/>
            <w:noWrap/>
            <w:vAlign w:val="center"/>
            <w:hideMark/>
          </w:tcPr>
          <w:p w14:paraId="27DDF5BC" w14:textId="45C4805A"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72.96</w:t>
            </w:r>
          </w:p>
        </w:tc>
        <w:tc>
          <w:tcPr>
            <w:tcW w:w="493" w:type="pct"/>
            <w:noWrap/>
            <w:vAlign w:val="center"/>
            <w:hideMark/>
          </w:tcPr>
          <w:p w14:paraId="0928EE57" w14:textId="34BB08E7"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0.50%</w:t>
            </w:r>
          </w:p>
        </w:tc>
        <w:tc>
          <w:tcPr>
            <w:tcW w:w="643" w:type="pct"/>
            <w:noWrap/>
            <w:vAlign w:val="center"/>
            <w:hideMark/>
          </w:tcPr>
          <w:p w14:paraId="024C2633" w14:textId="77E528E6"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22</w:t>
            </w:r>
          </w:p>
        </w:tc>
        <w:tc>
          <w:tcPr>
            <w:tcW w:w="519" w:type="pct"/>
            <w:noWrap/>
            <w:vAlign w:val="center"/>
            <w:hideMark/>
          </w:tcPr>
          <w:p w14:paraId="3E62148C" w14:textId="30ABE578" w:rsidR="00F7661D" w:rsidRPr="007A6B50"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GT"/>
              </w:rPr>
            </w:pPr>
            <w:r w:rsidRPr="007A6B50">
              <w:rPr>
                <w:rFonts w:cstheme="minorHAnsi"/>
              </w:rPr>
              <w:t>16.09</w:t>
            </w:r>
          </w:p>
        </w:tc>
      </w:tr>
      <w:tr w:rsidR="00F7661D" w:rsidRPr="007A6B50" w14:paraId="4ACB1967" w14:textId="77777777" w:rsidTr="005A771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127" w:type="pct"/>
            <w:hideMark/>
          </w:tcPr>
          <w:p w14:paraId="489BD723" w14:textId="009DDD08" w:rsidR="00F7661D" w:rsidRPr="005A771F" w:rsidRDefault="00F7661D" w:rsidP="00F7661D">
            <w:pPr>
              <w:rPr>
                <w:rFonts w:eastAsia="Times New Roman" w:cstheme="minorHAnsi"/>
                <w:b w:val="0"/>
                <w:sz w:val="18"/>
                <w:lang w:eastAsia="es-GT"/>
              </w:rPr>
            </w:pPr>
            <w:r w:rsidRPr="005A771F">
              <w:rPr>
                <w:rFonts w:cstheme="minorHAnsi"/>
                <w:b w:val="0"/>
              </w:rPr>
              <w:t>Rechazado</w:t>
            </w:r>
          </w:p>
        </w:tc>
        <w:tc>
          <w:tcPr>
            <w:tcW w:w="632" w:type="pct"/>
            <w:noWrap/>
            <w:vAlign w:val="center"/>
            <w:hideMark/>
          </w:tcPr>
          <w:p w14:paraId="1D993AAD" w14:textId="433519E1" w:rsidR="00F7661D" w:rsidRPr="005A771F"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es-GT"/>
              </w:rPr>
            </w:pPr>
          </w:p>
        </w:tc>
        <w:tc>
          <w:tcPr>
            <w:tcW w:w="511" w:type="pct"/>
            <w:noWrap/>
            <w:vAlign w:val="center"/>
            <w:hideMark/>
          </w:tcPr>
          <w:p w14:paraId="1A6CB3F9" w14:textId="672E9964" w:rsidR="00F7661D" w:rsidRPr="005A771F"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es-GT"/>
              </w:rPr>
            </w:pPr>
          </w:p>
        </w:tc>
        <w:tc>
          <w:tcPr>
            <w:tcW w:w="587" w:type="pct"/>
            <w:noWrap/>
            <w:vAlign w:val="center"/>
            <w:hideMark/>
          </w:tcPr>
          <w:p w14:paraId="574128FA" w14:textId="01BF6FAB" w:rsidR="00F7661D" w:rsidRPr="005A771F"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es-GT"/>
              </w:rPr>
            </w:pPr>
          </w:p>
        </w:tc>
        <w:tc>
          <w:tcPr>
            <w:tcW w:w="488" w:type="pct"/>
            <w:noWrap/>
            <w:vAlign w:val="center"/>
            <w:hideMark/>
          </w:tcPr>
          <w:p w14:paraId="79CDF0A2" w14:textId="282B9A89" w:rsidR="00F7661D" w:rsidRPr="005A771F"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es-GT"/>
              </w:rPr>
            </w:pPr>
          </w:p>
        </w:tc>
        <w:tc>
          <w:tcPr>
            <w:tcW w:w="493" w:type="pct"/>
            <w:noWrap/>
            <w:vAlign w:val="center"/>
            <w:hideMark/>
          </w:tcPr>
          <w:p w14:paraId="6C9573AE" w14:textId="2BD44214" w:rsidR="00F7661D" w:rsidRPr="005A771F"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es-GT"/>
              </w:rPr>
            </w:pPr>
          </w:p>
        </w:tc>
        <w:tc>
          <w:tcPr>
            <w:tcW w:w="643" w:type="pct"/>
            <w:noWrap/>
            <w:vAlign w:val="center"/>
            <w:hideMark/>
          </w:tcPr>
          <w:p w14:paraId="3C83CBBA" w14:textId="08F7CE9D" w:rsidR="00F7661D" w:rsidRPr="005A771F"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es-GT"/>
              </w:rPr>
            </w:pPr>
          </w:p>
        </w:tc>
        <w:tc>
          <w:tcPr>
            <w:tcW w:w="519" w:type="pct"/>
            <w:noWrap/>
            <w:vAlign w:val="center"/>
            <w:hideMark/>
          </w:tcPr>
          <w:p w14:paraId="272B7F9B" w14:textId="25BE0C3E" w:rsidR="00F7661D" w:rsidRPr="005A771F" w:rsidRDefault="00F7661D" w:rsidP="005A771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es-GT"/>
              </w:rPr>
            </w:pPr>
          </w:p>
        </w:tc>
      </w:tr>
      <w:tr w:rsidR="00F7661D" w:rsidRPr="007A6B50" w14:paraId="39C2FC7A" w14:textId="77777777" w:rsidTr="005A771F">
        <w:trPr>
          <w:trHeight w:val="126"/>
        </w:trPr>
        <w:tc>
          <w:tcPr>
            <w:cnfStyle w:val="001000000000" w:firstRow="0" w:lastRow="0" w:firstColumn="1" w:lastColumn="0" w:oddVBand="0" w:evenVBand="0" w:oddHBand="0" w:evenHBand="0" w:firstRowFirstColumn="0" w:firstRowLastColumn="0" w:lastRowFirstColumn="0" w:lastRowLastColumn="0"/>
            <w:tcW w:w="1127" w:type="pct"/>
            <w:noWrap/>
            <w:hideMark/>
          </w:tcPr>
          <w:p w14:paraId="6C9A51D1" w14:textId="1D4FA6F7" w:rsidR="00F7661D" w:rsidRPr="007A6B50" w:rsidRDefault="00F7661D" w:rsidP="005A771F">
            <w:pPr>
              <w:rPr>
                <w:rFonts w:eastAsia="Times New Roman" w:cstheme="minorHAnsi"/>
                <w:b w:val="0"/>
                <w:bCs w:val="0"/>
                <w:sz w:val="18"/>
                <w:lang w:eastAsia="es-GT"/>
              </w:rPr>
            </w:pPr>
            <w:r w:rsidRPr="007A6B50">
              <w:rPr>
                <w:rFonts w:cstheme="minorHAnsi"/>
              </w:rPr>
              <w:t>Total</w:t>
            </w:r>
          </w:p>
        </w:tc>
        <w:tc>
          <w:tcPr>
            <w:tcW w:w="632" w:type="pct"/>
            <w:noWrap/>
            <w:vAlign w:val="center"/>
            <w:hideMark/>
          </w:tcPr>
          <w:p w14:paraId="7741B11D" w14:textId="09348A9E" w:rsidR="00F7661D" w:rsidRPr="005A771F"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s-GT"/>
              </w:rPr>
            </w:pPr>
            <w:r w:rsidRPr="005A771F">
              <w:rPr>
                <w:rFonts w:cstheme="minorHAnsi"/>
                <w:b/>
              </w:rPr>
              <w:t>8,021</w:t>
            </w:r>
          </w:p>
        </w:tc>
        <w:tc>
          <w:tcPr>
            <w:tcW w:w="511" w:type="pct"/>
            <w:noWrap/>
            <w:vAlign w:val="center"/>
            <w:hideMark/>
          </w:tcPr>
          <w:p w14:paraId="2E349ED8" w14:textId="593D4C3C" w:rsidR="00F7661D" w:rsidRPr="005A771F"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s-GT"/>
              </w:rPr>
            </w:pPr>
            <w:r w:rsidRPr="005A771F">
              <w:rPr>
                <w:rFonts w:cstheme="minorHAnsi"/>
                <w:b/>
              </w:rPr>
              <w:t>11,943.69</w:t>
            </w:r>
          </w:p>
        </w:tc>
        <w:tc>
          <w:tcPr>
            <w:tcW w:w="587" w:type="pct"/>
            <w:noWrap/>
            <w:vAlign w:val="center"/>
            <w:hideMark/>
          </w:tcPr>
          <w:p w14:paraId="33BEA14E" w14:textId="365D8456" w:rsidR="00F7661D" w:rsidRPr="005A771F"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s-GT"/>
              </w:rPr>
            </w:pPr>
            <w:r w:rsidRPr="005A771F">
              <w:rPr>
                <w:rFonts w:cstheme="minorHAnsi"/>
                <w:b/>
              </w:rPr>
              <w:t>9,812</w:t>
            </w:r>
          </w:p>
        </w:tc>
        <w:tc>
          <w:tcPr>
            <w:tcW w:w="488" w:type="pct"/>
            <w:noWrap/>
            <w:vAlign w:val="center"/>
            <w:hideMark/>
          </w:tcPr>
          <w:p w14:paraId="333F0933" w14:textId="799D9837" w:rsidR="00F7661D" w:rsidRPr="005A771F"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s-GT"/>
              </w:rPr>
            </w:pPr>
            <w:r w:rsidRPr="005A771F">
              <w:rPr>
                <w:rFonts w:cstheme="minorHAnsi"/>
                <w:b/>
              </w:rPr>
              <w:t>14,608.59</w:t>
            </w:r>
          </w:p>
        </w:tc>
        <w:tc>
          <w:tcPr>
            <w:tcW w:w="493" w:type="pct"/>
            <w:noWrap/>
            <w:vAlign w:val="center"/>
            <w:hideMark/>
          </w:tcPr>
          <w:p w14:paraId="1450B788" w14:textId="5441D9DC" w:rsidR="00F7661D" w:rsidRPr="005A771F"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s-GT"/>
              </w:rPr>
            </w:pPr>
            <w:r w:rsidRPr="005A771F">
              <w:rPr>
                <w:rFonts w:cstheme="minorHAnsi"/>
                <w:b/>
              </w:rPr>
              <w:t>100.00%</w:t>
            </w:r>
          </w:p>
        </w:tc>
        <w:tc>
          <w:tcPr>
            <w:tcW w:w="643" w:type="pct"/>
            <w:noWrap/>
            <w:vAlign w:val="center"/>
            <w:hideMark/>
          </w:tcPr>
          <w:p w14:paraId="779D9340" w14:textId="73757BBE" w:rsidR="00F7661D" w:rsidRPr="005A771F"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s-GT"/>
              </w:rPr>
            </w:pPr>
            <w:r w:rsidRPr="005A771F">
              <w:rPr>
                <w:rFonts w:cstheme="minorHAnsi"/>
                <w:b/>
              </w:rPr>
              <w:t>8,320</w:t>
            </w:r>
          </w:p>
        </w:tc>
        <w:tc>
          <w:tcPr>
            <w:tcW w:w="519" w:type="pct"/>
            <w:noWrap/>
            <w:vAlign w:val="center"/>
            <w:hideMark/>
          </w:tcPr>
          <w:p w14:paraId="7326FCF3" w14:textId="474BE049" w:rsidR="00F7661D" w:rsidRPr="005A771F" w:rsidRDefault="00F7661D" w:rsidP="005A771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s-GT"/>
              </w:rPr>
            </w:pPr>
            <w:r w:rsidRPr="005A771F">
              <w:rPr>
                <w:rFonts w:cstheme="minorHAnsi"/>
                <w:b/>
              </w:rPr>
              <w:t>9,542.27</w:t>
            </w:r>
          </w:p>
        </w:tc>
      </w:tr>
    </w:tbl>
    <w:p w14:paraId="664FC12F" w14:textId="10B5116F" w:rsidR="001912B8" w:rsidRPr="007A6B50" w:rsidRDefault="000528AF" w:rsidP="000528AF">
      <w:pPr>
        <w:rPr>
          <w:rFonts w:cstheme="minorHAnsi"/>
          <w:sz w:val="16"/>
          <w:szCs w:val="16"/>
        </w:rPr>
      </w:pPr>
      <w:r w:rsidRPr="007A6B50">
        <w:rPr>
          <w:rFonts w:cstheme="minorHAnsi"/>
          <w:sz w:val="16"/>
          <w:szCs w:val="16"/>
        </w:rPr>
        <w:t>Fuente: elaboración SEGEPLAN con información del SINIP</w:t>
      </w:r>
      <w:r w:rsidR="00F7661D" w:rsidRPr="007A6B50">
        <w:rPr>
          <w:rFonts w:cstheme="minorHAnsi"/>
          <w:sz w:val="16"/>
          <w:szCs w:val="16"/>
        </w:rPr>
        <w:t xml:space="preserve"> al 03.01.2023</w:t>
      </w:r>
      <w:r w:rsidR="005A771F">
        <w:rPr>
          <w:rFonts w:cstheme="minorHAnsi"/>
          <w:sz w:val="16"/>
          <w:szCs w:val="16"/>
        </w:rPr>
        <w:t>.</w:t>
      </w:r>
    </w:p>
    <w:p w14:paraId="199A1060" w14:textId="6011DC4C" w:rsidR="00E652D7" w:rsidRPr="007A6B50" w:rsidRDefault="00E652D7" w:rsidP="005A771F">
      <w:pPr>
        <w:pStyle w:val="ttulosgrficas"/>
        <w:spacing w:before="120" w:after="120"/>
        <w:jc w:val="both"/>
        <w:rPr>
          <w:rFonts w:asciiTheme="minorHAnsi" w:hAnsiTheme="minorHAnsi" w:cstheme="minorHAnsi"/>
          <w:b w:val="0"/>
          <w:bCs w:val="0"/>
          <w:color w:val="auto"/>
        </w:rPr>
      </w:pPr>
      <w:bookmarkStart w:id="93" w:name="_Toc67377812"/>
      <w:bookmarkStart w:id="94" w:name="_Toc67381555"/>
      <w:r w:rsidRPr="007A6B50">
        <w:rPr>
          <w:rFonts w:asciiTheme="minorHAnsi" w:hAnsiTheme="minorHAnsi" w:cstheme="minorHAnsi"/>
          <w:b w:val="0"/>
          <w:bCs w:val="0"/>
          <w:color w:val="auto"/>
        </w:rPr>
        <w:t xml:space="preserve">De esa cuenta, </w:t>
      </w:r>
      <w:r w:rsidR="00F7661D" w:rsidRPr="007A6B50">
        <w:rPr>
          <w:rFonts w:asciiTheme="minorHAnsi" w:hAnsiTheme="minorHAnsi" w:cstheme="minorHAnsi"/>
          <w:b w:val="0"/>
          <w:bCs w:val="0"/>
          <w:color w:val="auto"/>
        </w:rPr>
        <w:t xml:space="preserve">los datos </w:t>
      </w:r>
      <w:r w:rsidR="00113960" w:rsidRPr="007A6B50">
        <w:rPr>
          <w:rFonts w:asciiTheme="minorHAnsi" w:hAnsiTheme="minorHAnsi" w:cstheme="minorHAnsi"/>
          <w:b w:val="0"/>
          <w:bCs w:val="0"/>
          <w:color w:val="auto"/>
        </w:rPr>
        <w:t xml:space="preserve">presentados, incluyen </w:t>
      </w:r>
      <w:r w:rsidR="00F7661D" w:rsidRPr="007A6B50">
        <w:rPr>
          <w:rFonts w:asciiTheme="minorHAnsi" w:hAnsiTheme="minorHAnsi" w:cstheme="minorHAnsi"/>
          <w:b w:val="0"/>
          <w:bCs w:val="0"/>
          <w:color w:val="auto"/>
        </w:rPr>
        <w:t>9,812 proyectos</w:t>
      </w:r>
      <w:r w:rsidR="00113960" w:rsidRPr="007A6B50">
        <w:rPr>
          <w:rFonts w:asciiTheme="minorHAnsi" w:hAnsiTheme="minorHAnsi" w:cstheme="minorHAnsi"/>
          <w:b w:val="0"/>
          <w:bCs w:val="0"/>
          <w:color w:val="auto"/>
        </w:rPr>
        <w:t xml:space="preserve"> con</w:t>
      </w:r>
      <w:r w:rsidR="00F7661D" w:rsidRPr="007A6B50">
        <w:rPr>
          <w:rFonts w:asciiTheme="minorHAnsi" w:hAnsiTheme="minorHAnsi" w:cstheme="minorHAnsi"/>
          <w:b w:val="0"/>
          <w:bCs w:val="0"/>
          <w:color w:val="auto"/>
        </w:rPr>
        <w:t xml:space="preserve"> presupuesto vigente, de </w:t>
      </w:r>
      <w:r w:rsidR="00113960" w:rsidRPr="007A6B50">
        <w:rPr>
          <w:rFonts w:asciiTheme="minorHAnsi" w:hAnsiTheme="minorHAnsi" w:cstheme="minorHAnsi"/>
          <w:b w:val="0"/>
          <w:bCs w:val="0"/>
          <w:color w:val="auto"/>
        </w:rPr>
        <w:t>los cuales</w:t>
      </w:r>
      <w:r w:rsidR="00F7661D" w:rsidRPr="007A6B50">
        <w:rPr>
          <w:rFonts w:asciiTheme="minorHAnsi" w:hAnsiTheme="minorHAnsi" w:cstheme="minorHAnsi"/>
          <w:b w:val="0"/>
          <w:bCs w:val="0"/>
          <w:color w:val="auto"/>
        </w:rPr>
        <w:t xml:space="preserve"> 9,653 fueron sometidos al proceso de opinión técnica con resultado Aprobado. </w:t>
      </w:r>
      <w:r w:rsidR="00113960" w:rsidRPr="007A6B50">
        <w:rPr>
          <w:rFonts w:asciiTheme="minorHAnsi" w:hAnsiTheme="minorHAnsi" w:cstheme="minorHAnsi"/>
          <w:b w:val="0"/>
          <w:bCs w:val="0"/>
          <w:color w:val="auto"/>
        </w:rPr>
        <w:t xml:space="preserve">Por otro lado, 27 proyectos </w:t>
      </w:r>
      <w:r w:rsidR="000119B3" w:rsidRPr="007A6B50">
        <w:rPr>
          <w:rFonts w:asciiTheme="minorHAnsi" w:hAnsiTheme="minorHAnsi" w:cstheme="minorHAnsi"/>
          <w:b w:val="0"/>
          <w:bCs w:val="0"/>
          <w:color w:val="auto"/>
        </w:rPr>
        <w:t>tienen</w:t>
      </w:r>
      <w:r w:rsidR="00F7661D" w:rsidRPr="007A6B50">
        <w:rPr>
          <w:rFonts w:asciiTheme="minorHAnsi" w:hAnsiTheme="minorHAnsi" w:cstheme="minorHAnsi"/>
          <w:b w:val="0"/>
          <w:bCs w:val="0"/>
          <w:color w:val="auto"/>
        </w:rPr>
        <w:t xml:space="preserve"> requisitos </w:t>
      </w:r>
      <w:r w:rsidR="000119B3" w:rsidRPr="007A6B50">
        <w:rPr>
          <w:rFonts w:asciiTheme="minorHAnsi" w:hAnsiTheme="minorHAnsi" w:cstheme="minorHAnsi"/>
          <w:b w:val="0"/>
          <w:bCs w:val="0"/>
          <w:color w:val="auto"/>
        </w:rPr>
        <w:t>pendientes de cumplimiento y esperan</w:t>
      </w:r>
      <w:r w:rsidR="00A92E38" w:rsidRPr="007A6B50">
        <w:rPr>
          <w:rFonts w:asciiTheme="minorHAnsi" w:hAnsiTheme="minorHAnsi" w:cstheme="minorHAnsi"/>
          <w:b w:val="0"/>
          <w:bCs w:val="0"/>
          <w:color w:val="auto"/>
        </w:rPr>
        <w:t xml:space="preserve"> la</w:t>
      </w:r>
      <w:r w:rsidR="00113960" w:rsidRPr="007A6B50">
        <w:rPr>
          <w:rFonts w:asciiTheme="minorHAnsi" w:hAnsiTheme="minorHAnsi" w:cstheme="minorHAnsi"/>
          <w:b w:val="0"/>
          <w:bCs w:val="0"/>
          <w:color w:val="auto"/>
        </w:rPr>
        <w:t xml:space="preserve"> aprobación</w:t>
      </w:r>
      <w:r w:rsidR="00F7661D" w:rsidRPr="007A6B50">
        <w:rPr>
          <w:rFonts w:asciiTheme="minorHAnsi" w:hAnsiTheme="minorHAnsi" w:cstheme="minorHAnsi"/>
          <w:b w:val="0"/>
          <w:bCs w:val="0"/>
          <w:color w:val="auto"/>
        </w:rPr>
        <w:t>.</w:t>
      </w:r>
    </w:p>
    <w:p w14:paraId="6BBF6EC2" w14:textId="6AB52341" w:rsidR="00E652D7" w:rsidRPr="007A6B50" w:rsidRDefault="00E652D7" w:rsidP="005A771F">
      <w:pPr>
        <w:pStyle w:val="ttulosgrficas"/>
        <w:spacing w:before="120" w:after="120"/>
        <w:jc w:val="both"/>
        <w:rPr>
          <w:rFonts w:asciiTheme="minorHAnsi" w:hAnsiTheme="minorHAnsi" w:cstheme="minorHAnsi"/>
          <w:b w:val="0"/>
          <w:bCs w:val="0"/>
          <w:color w:val="auto"/>
        </w:rPr>
      </w:pPr>
      <w:r w:rsidRPr="007A6B50">
        <w:rPr>
          <w:rFonts w:asciiTheme="minorHAnsi" w:hAnsiTheme="minorHAnsi" w:cstheme="minorHAnsi"/>
          <w:b w:val="0"/>
          <w:bCs w:val="0"/>
          <w:color w:val="auto"/>
        </w:rPr>
        <w:t>A continuación, se presenta el comportamiento mensual acumulado del avance financiero, cuyo total al mes de diciembre es de 65.</w:t>
      </w:r>
      <w:r w:rsidR="00D51F45" w:rsidRPr="007A6B50">
        <w:rPr>
          <w:rFonts w:asciiTheme="minorHAnsi" w:hAnsiTheme="minorHAnsi" w:cstheme="minorHAnsi"/>
          <w:b w:val="0"/>
          <w:bCs w:val="0"/>
          <w:color w:val="auto"/>
        </w:rPr>
        <w:t>3</w:t>
      </w:r>
      <w:r w:rsidRPr="007A6B50">
        <w:rPr>
          <w:rFonts w:asciiTheme="minorHAnsi" w:hAnsiTheme="minorHAnsi" w:cstheme="minorHAnsi"/>
          <w:b w:val="0"/>
          <w:bCs w:val="0"/>
          <w:color w:val="auto"/>
        </w:rPr>
        <w:t>2%, además los montos ejecutados a nivel nacional por tipo de entidad.</w:t>
      </w:r>
    </w:p>
    <w:p w14:paraId="29684F54" w14:textId="46DD958F" w:rsidR="00AD5ABC" w:rsidRPr="007A6B50" w:rsidRDefault="00307F8F" w:rsidP="00E652D7">
      <w:pPr>
        <w:pStyle w:val="ttulosgrficas"/>
        <w:rPr>
          <w:rFonts w:asciiTheme="minorHAnsi" w:hAnsiTheme="minorHAnsi" w:cstheme="minorHAnsi"/>
          <w:color w:val="4472C4" w:themeColor="accent1"/>
        </w:rPr>
      </w:pPr>
      <w:bookmarkStart w:id="95" w:name="_Toc130204478"/>
      <w:r w:rsidRPr="007A6B50">
        <w:rPr>
          <w:rFonts w:asciiTheme="minorHAnsi" w:hAnsiTheme="minorHAnsi" w:cstheme="minorHAnsi"/>
          <w:color w:val="4472C4" w:themeColor="accent1"/>
        </w:rPr>
        <w:t xml:space="preserve">Gráfica </w:t>
      </w:r>
      <w:r w:rsidR="007F134F" w:rsidRPr="007A6B50">
        <w:rPr>
          <w:rFonts w:asciiTheme="minorHAnsi" w:hAnsiTheme="minorHAnsi" w:cstheme="minorHAnsi"/>
          <w:color w:val="4472C4" w:themeColor="accent1"/>
        </w:rPr>
        <w:fldChar w:fldCharType="begin"/>
      </w:r>
      <w:r w:rsidR="007F134F" w:rsidRPr="007A6B50">
        <w:rPr>
          <w:rFonts w:asciiTheme="minorHAnsi" w:hAnsiTheme="minorHAnsi" w:cstheme="minorHAnsi"/>
          <w:color w:val="4472C4" w:themeColor="accent1"/>
        </w:rPr>
        <w:instrText xml:space="preserve"> SEQ Gráfica \* ARABIC </w:instrText>
      </w:r>
      <w:r w:rsidR="007F134F" w:rsidRPr="007A6B50">
        <w:rPr>
          <w:rFonts w:asciiTheme="minorHAnsi" w:hAnsiTheme="minorHAnsi" w:cstheme="minorHAnsi"/>
          <w:color w:val="4472C4" w:themeColor="accent1"/>
        </w:rPr>
        <w:fldChar w:fldCharType="separate"/>
      </w:r>
      <w:r w:rsidR="00777974">
        <w:rPr>
          <w:rFonts w:asciiTheme="minorHAnsi" w:hAnsiTheme="minorHAnsi" w:cstheme="minorHAnsi"/>
          <w:noProof/>
          <w:color w:val="4472C4" w:themeColor="accent1"/>
        </w:rPr>
        <w:t>10</w:t>
      </w:r>
      <w:bookmarkEnd w:id="93"/>
      <w:bookmarkEnd w:id="94"/>
      <w:r w:rsidR="007F134F" w:rsidRPr="007A6B50">
        <w:rPr>
          <w:rFonts w:asciiTheme="minorHAnsi" w:hAnsiTheme="minorHAnsi" w:cstheme="minorHAnsi"/>
          <w:color w:val="4472C4" w:themeColor="accent1"/>
        </w:rPr>
        <w:fldChar w:fldCharType="end"/>
      </w:r>
      <w:r w:rsidR="005A771F">
        <w:rPr>
          <w:rFonts w:asciiTheme="minorHAnsi" w:hAnsiTheme="minorHAnsi" w:cstheme="minorHAnsi"/>
          <w:color w:val="4472C4" w:themeColor="accent1"/>
        </w:rPr>
        <w:t>.</w:t>
      </w:r>
      <w:r w:rsidR="003562C1" w:rsidRPr="007A6B50">
        <w:rPr>
          <w:rFonts w:asciiTheme="minorHAnsi" w:hAnsiTheme="minorHAnsi" w:cstheme="minorHAnsi"/>
          <w:color w:val="4472C4" w:themeColor="accent1"/>
        </w:rPr>
        <w:t xml:space="preserve"> </w:t>
      </w:r>
      <w:r w:rsidR="001912B8" w:rsidRPr="007A6B50">
        <w:rPr>
          <w:rFonts w:asciiTheme="minorHAnsi" w:hAnsiTheme="minorHAnsi" w:cstheme="minorHAnsi"/>
          <w:color w:val="4472C4" w:themeColor="accent1"/>
        </w:rPr>
        <w:t>Seguimiento mensual acumulado de proyectos aprobados registrados,</w:t>
      </w:r>
      <w:bookmarkEnd w:id="95"/>
    </w:p>
    <w:p w14:paraId="22C88502" w14:textId="7A16E9F8" w:rsidR="00E652D7" w:rsidRPr="007A6B50" w:rsidRDefault="001912B8" w:rsidP="005A771F">
      <w:pPr>
        <w:pStyle w:val="ttulosgrficas"/>
        <w:rPr>
          <w:rFonts w:cstheme="minorHAnsi"/>
          <w:b w:val="0"/>
          <w:bCs w:val="0"/>
          <w:sz w:val="20"/>
        </w:rPr>
      </w:pPr>
      <w:r w:rsidRPr="007A6B50">
        <w:rPr>
          <w:rFonts w:asciiTheme="minorHAnsi" w:hAnsiTheme="minorHAnsi" w:cstheme="minorHAnsi"/>
          <w:color w:val="4472C4" w:themeColor="accent1"/>
        </w:rPr>
        <w:t>con asignación y ejecución</w:t>
      </w:r>
      <w:r w:rsidR="00316FAD" w:rsidRPr="007A6B50">
        <w:rPr>
          <w:rFonts w:asciiTheme="minorHAnsi" w:hAnsiTheme="minorHAnsi" w:cstheme="minorHAnsi"/>
          <w:color w:val="4472C4" w:themeColor="accent1"/>
        </w:rPr>
        <w:t xml:space="preserve"> </w:t>
      </w:r>
      <w:r w:rsidRPr="007A6B50">
        <w:rPr>
          <w:rFonts w:asciiTheme="minorHAnsi" w:hAnsiTheme="minorHAnsi" w:cstheme="minorHAnsi"/>
          <w:color w:val="4472C4" w:themeColor="accent1"/>
        </w:rPr>
        <w:t>a nivel nacional</w:t>
      </w:r>
      <w:r w:rsidR="00316FAD" w:rsidRPr="007A6B50">
        <w:rPr>
          <w:rFonts w:asciiTheme="minorHAnsi" w:hAnsiTheme="minorHAnsi" w:cstheme="minorHAnsi"/>
          <w:color w:val="4472C4" w:themeColor="accent1"/>
        </w:rPr>
        <w:t xml:space="preserve"> </w:t>
      </w:r>
      <w:r w:rsidR="00BD1BD3" w:rsidRPr="007A6B50">
        <w:rPr>
          <w:rFonts w:asciiTheme="minorHAnsi" w:hAnsiTheme="minorHAnsi" w:cstheme="minorHAnsi"/>
          <w:color w:val="4472C4" w:themeColor="accent1"/>
        </w:rPr>
        <w:t>2022</w:t>
      </w:r>
    </w:p>
    <w:p w14:paraId="15D70CA8" w14:textId="3F939181" w:rsidR="001912B8" w:rsidRPr="007A6B50" w:rsidRDefault="001912B8" w:rsidP="008D5922">
      <w:pPr>
        <w:spacing w:after="0" w:line="120" w:lineRule="auto"/>
        <w:jc w:val="center"/>
        <w:rPr>
          <w:rFonts w:cstheme="minorHAnsi"/>
          <w:b/>
          <w:color w:val="000000"/>
          <w:spacing w:val="-3"/>
          <w:sz w:val="12"/>
          <w:szCs w:val="12"/>
        </w:rPr>
      </w:pPr>
      <w:r w:rsidRPr="007A6B50">
        <w:rPr>
          <w:rFonts w:cstheme="minorHAnsi"/>
          <w:b/>
          <w:bCs/>
          <w:sz w:val="20"/>
        </w:rPr>
        <w:br/>
      </w:r>
      <w:r w:rsidR="00F225C5" w:rsidRPr="005A771F">
        <w:rPr>
          <w:rFonts w:cstheme="minorHAnsi"/>
          <w:noProof/>
          <w:sz w:val="20"/>
        </w:rPr>
        <w:drawing>
          <wp:inline distT="0" distB="0" distL="0" distR="0" wp14:anchorId="1B41C66D" wp14:editId="5C1ABE96">
            <wp:extent cx="5758180" cy="2786332"/>
            <wp:effectExtent l="0" t="0" r="13970" b="14605"/>
            <wp:docPr id="27" name="Gráfico 27">
              <a:extLst xmlns:a="http://schemas.openxmlformats.org/drawingml/2006/main">
                <a:ext uri="{FF2B5EF4-FFF2-40B4-BE49-F238E27FC236}">
                  <a16:creationId xmlns:a16="http://schemas.microsoft.com/office/drawing/2014/main" id="{624C43D0-9D69-4FC3-BA5A-1E72680C2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60D3443" w14:textId="4F76B80B" w:rsidR="001912B8" w:rsidRPr="007A6B50" w:rsidRDefault="00603B92" w:rsidP="001912B8">
      <w:pPr>
        <w:rPr>
          <w:rFonts w:cstheme="minorHAnsi"/>
          <w:sz w:val="16"/>
          <w:szCs w:val="16"/>
        </w:rPr>
      </w:pPr>
      <w:r w:rsidRPr="007A6B50">
        <w:rPr>
          <w:rFonts w:cstheme="minorHAnsi"/>
          <w:sz w:val="16"/>
          <w:szCs w:val="16"/>
        </w:rPr>
        <w:t xml:space="preserve">      </w:t>
      </w:r>
      <w:r w:rsidR="001912B8" w:rsidRPr="007A6B50">
        <w:rPr>
          <w:rFonts w:cstheme="minorHAnsi"/>
          <w:sz w:val="16"/>
          <w:szCs w:val="16"/>
        </w:rPr>
        <w:t>Fuente: elaboración SEGEPLAN con información del SINIP</w:t>
      </w:r>
      <w:r w:rsidR="00B910DD" w:rsidRPr="007A6B50">
        <w:rPr>
          <w:rFonts w:cstheme="minorHAnsi"/>
          <w:sz w:val="16"/>
          <w:szCs w:val="16"/>
        </w:rPr>
        <w:t>.</w:t>
      </w:r>
    </w:p>
    <w:p w14:paraId="4CEF0B64" w14:textId="24B421FE" w:rsidR="00311A1F" w:rsidRPr="005A771F" w:rsidRDefault="00E652D7" w:rsidP="00E652D7">
      <w:pPr>
        <w:spacing w:after="0" w:line="240" w:lineRule="auto"/>
        <w:ind w:left="62"/>
        <w:jc w:val="both"/>
        <w:rPr>
          <w:rFonts w:cstheme="minorHAnsi"/>
          <w:b/>
          <w:szCs w:val="20"/>
        </w:rPr>
      </w:pPr>
      <w:r w:rsidRPr="005A771F">
        <w:rPr>
          <w:rFonts w:cstheme="minorHAnsi"/>
          <w:color w:val="000000" w:themeColor="text1"/>
          <w:sz w:val="24"/>
          <w:lang w:val="es-MX"/>
        </w:rPr>
        <w:t>Otros aspectos relevantes como la integración por grupo institucional de los proyectos registrados, aprobados y en ejecución, se muestran en la tabla</w:t>
      </w:r>
      <w:r w:rsidR="005A771F">
        <w:rPr>
          <w:rFonts w:cstheme="minorHAnsi"/>
          <w:color w:val="000000" w:themeColor="text1"/>
          <w:sz w:val="24"/>
          <w:lang w:val="es-MX"/>
        </w:rPr>
        <w:t xml:space="preserve"> siguiente:</w:t>
      </w:r>
      <w:r w:rsidRPr="005A771F">
        <w:rPr>
          <w:rFonts w:cstheme="minorHAnsi"/>
          <w:color w:val="000000" w:themeColor="text1"/>
          <w:sz w:val="24"/>
          <w:lang w:val="es-MX"/>
        </w:rPr>
        <w:t xml:space="preserve"> </w:t>
      </w:r>
      <w:r w:rsidR="00F670C9" w:rsidRPr="005A771F">
        <w:rPr>
          <w:rFonts w:cstheme="minorHAnsi"/>
          <w:color w:val="000000" w:themeColor="text1"/>
          <w:sz w:val="24"/>
          <w:lang w:val="es-MX"/>
        </w:rPr>
        <w:t xml:space="preserve"> </w:t>
      </w:r>
    </w:p>
    <w:p w14:paraId="72626027" w14:textId="77777777" w:rsidR="00311A1F" w:rsidRDefault="00311A1F" w:rsidP="00311A1F">
      <w:pPr>
        <w:jc w:val="center"/>
        <w:rPr>
          <w:rFonts w:cstheme="minorHAnsi"/>
          <w:sz w:val="20"/>
          <w:szCs w:val="20"/>
        </w:rPr>
      </w:pPr>
    </w:p>
    <w:p w14:paraId="0AC38D45" w14:textId="77777777" w:rsidR="00813082" w:rsidRDefault="00813082" w:rsidP="00311A1F">
      <w:pPr>
        <w:jc w:val="center"/>
        <w:rPr>
          <w:rFonts w:cstheme="minorHAnsi"/>
          <w:sz w:val="20"/>
          <w:szCs w:val="20"/>
        </w:rPr>
      </w:pPr>
    </w:p>
    <w:p w14:paraId="38673911" w14:textId="77777777" w:rsidR="00813082" w:rsidRDefault="00813082" w:rsidP="00311A1F">
      <w:pPr>
        <w:jc w:val="center"/>
        <w:rPr>
          <w:rFonts w:cstheme="minorHAnsi"/>
          <w:sz w:val="20"/>
          <w:szCs w:val="20"/>
        </w:rPr>
      </w:pPr>
    </w:p>
    <w:p w14:paraId="3F152CAD" w14:textId="77777777" w:rsidR="00813082" w:rsidRDefault="00813082" w:rsidP="00311A1F">
      <w:pPr>
        <w:jc w:val="center"/>
        <w:rPr>
          <w:rFonts w:cstheme="minorHAnsi"/>
          <w:sz w:val="20"/>
          <w:szCs w:val="20"/>
        </w:rPr>
      </w:pPr>
    </w:p>
    <w:p w14:paraId="35B43782" w14:textId="77777777" w:rsidR="00813082" w:rsidRDefault="00813082" w:rsidP="00311A1F">
      <w:pPr>
        <w:jc w:val="center"/>
        <w:rPr>
          <w:rFonts w:cstheme="minorHAnsi"/>
          <w:sz w:val="20"/>
          <w:szCs w:val="20"/>
        </w:rPr>
      </w:pPr>
    </w:p>
    <w:p w14:paraId="69DC668D" w14:textId="77777777" w:rsidR="00813082" w:rsidRDefault="00813082" w:rsidP="00311A1F">
      <w:pPr>
        <w:jc w:val="center"/>
        <w:rPr>
          <w:rFonts w:cstheme="minorHAnsi"/>
          <w:sz w:val="20"/>
          <w:szCs w:val="20"/>
        </w:rPr>
      </w:pPr>
    </w:p>
    <w:p w14:paraId="72AF6D33" w14:textId="77777777" w:rsidR="00813082" w:rsidRDefault="00813082" w:rsidP="00311A1F">
      <w:pPr>
        <w:jc w:val="center"/>
        <w:rPr>
          <w:rFonts w:cstheme="minorHAnsi"/>
          <w:sz w:val="20"/>
          <w:szCs w:val="20"/>
        </w:rPr>
      </w:pPr>
    </w:p>
    <w:p w14:paraId="63CBA58A" w14:textId="77777777" w:rsidR="00813082" w:rsidRDefault="00813082" w:rsidP="00311A1F">
      <w:pPr>
        <w:jc w:val="center"/>
        <w:rPr>
          <w:rFonts w:cstheme="minorHAnsi"/>
          <w:sz w:val="20"/>
          <w:szCs w:val="20"/>
        </w:rPr>
      </w:pPr>
    </w:p>
    <w:p w14:paraId="40FFC488" w14:textId="77777777" w:rsidR="00813082" w:rsidRDefault="00813082" w:rsidP="00311A1F">
      <w:pPr>
        <w:jc w:val="center"/>
        <w:rPr>
          <w:rFonts w:cstheme="minorHAnsi"/>
          <w:sz w:val="20"/>
          <w:szCs w:val="20"/>
        </w:rPr>
      </w:pPr>
    </w:p>
    <w:p w14:paraId="7DB77252" w14:textId="77777777" w:rsidR="00813082" w:rsidRDefault="00813082" w:rsidP="00311A1F">
      <w:pPr>
        <w:jc w:val="center"/>
        <w:rPr>
          <w:rFonts w:cstheme="minorHAnsi"/>
          <w:sz w:val="20"/>
          <w:szCs w:val="20"/>
        </w:rPr>
      </w:pPr>
    </w:p>
    <w:p w14:paraId="6828750C" w14:textId="77777777" w:rsidR="00813082" w:rsidRDefault="00813082" w:rsidP="00311A1F">
      <w:pPr>
        <w:jc w:val="center"/>
        <w:rPr>
          <w:rFonts w:cstheme="minorHAnsi"/>
          <w:sz w:val="20"/>
          <w:szCs w:val="20"/>
        </w:rPr>
      </w:pPr>
    </w:p>
    <w:p w14:paraId="11379E3D" w14:textId="77777777" w:rsidR="00813082" w:rsidRDefault="00813082" w:rsidP="00311A1F">
      <w:pPr>
        <w:jc w:val="center"/>
        <w:rPr>
          <w:rFonts w:cstheme="minorHAnsi"/>
          <w:sz w:val="20"/>
          <w:szCs w:val="20"/>
        </w:rPr>
      </w:pPr>
    </w:p>
    <w:p w14:paraId="4128F04F" w14:textId="0E1F9C9D" w:rsidR="00813082" w:rsidRDefault="00813082" w:rsidP="00813082">
      <w:pPr>
        <w:rPr>
          <w:rFonts w:cstheme="minorHAnsi"/>
          <w:sz w:val="20"/>
          <w:szCs w:val="20"/>
        </w:rPr>
        <w:sectPr w:rsidR="00813082" w:rsidSect="001905EC">
          <w:headerReference w:type="default" r:id="rId60"/>
          <w:footerReference w:type="default" r:id="rId61"/>
          <w:headerReference w:type="first" r:id="rId62"/>
          <w:footerReference w:type="first" r:id="rId63"/>
          <w:pgSz w:w="12240" w:h="15840" w:code="1"/>
          <w:pgMar w:top="1418" w:right="1134" w:bottom="1418" w:left="1701" w:header="993" w:footer="0" w:gutter="0"/>
          <w:pgNumType w:start="1"/>
          <w:cols w:space="708"/>
          <w:titlePg/>
          <w:docGrid w:linePitch="360"/>
        </w:sectPr>
      </w:pPr>
      <w:r>
        <w:rPr>
          <w:rFonts w:cstheme="minorHAnsi"/>
          <w:sz w:val="20"/>
          <w:szCs w:val="20"/>
        </w:rPr>
        <w:t xml:space="preserve"> </w:t>
      </w:r>
    </w:p>
    <w:p w14:paraId="4D507C6A" w14:textId="190BF228" w:rsidR="003562C1" w:rsidRPr="007A6B50" w:rsidRDefault="00810981" w:rsidP="0059105E">
      <w:pPr>
        <w:pStyle w:val="ttulosgrficas"/>
        <w:rPr>
          <w:rFonts w:asciiTheme="minorHAnsi" w:hAnsiTheme="minorHAnsi" w:cstheme="minorHAnsi"/>
          <w:color w:val="4472C4" w:themeColor="accent1"/>
        </w:rPr>
      </w:pPr>
      <w:r w:rsidRPr="007A6B50">
        <w:rPr>
          <w:rFonts w:asciiTheme="minorHAnsi" w:hAnsiTheme="minorHAnsi" w:cstheme="minorHAnsi"/>
          <w:color w:val="4472C4" w:themeColor="accent1"/>
        </w:rPr>
        <w:t xml:space="preserve"> </w:t>
      </w:r>
      <w:bookmarkStart w:id="96" w:name="_Toc130199629"/>
      <w:r w:rsidR="00F52482" w:rsidRPr="007A6B50">
        <w:rPr>
          <w:rFonts w:asciiTheme="minorHAnsi" w:hAnsiTheme="minorHAnsi" w:cstheme="minorHAnsi"/>
          <w:color w:val="4472C4" w:themeColor="accent1"/>
        </w:rPr>
        <w:t xml:space="preserve">Tabla </w:t>
      </w:r>
      <w:r w:rsidR="006E5E0A" w:rsidRPr="007A6B50">
        <w:rPr>
          <w:rFonts w:asciiTheme="minorHAnsi" w:hAnsiTheme="minorHAnsi" w:cstheme="minorHAnsi"/>
          <w:color w:val="4472C4" w:themeColor="accent1"/>
        </w:rPr>
        <w:fldChar w:fldCharType="begin"/>
      </w:r>
      <w:r w:rsidR="006E5E0A" w:rsidRPr="007A6B50">
        <w:rPr>
          <w:rFonts w:asciiTheme="minorHAnsi" w:hAnsiTheme="minorHAnsi" w:cstheme="minorHAnsi"/>
          <w:color w:val="4472C4" w:themeColor="accent1"/>
        </w:rPr>
        <w:instrText xml:space="preserve"> SEQ Tabla \* ARABIC </w:instrText>
      </w:r>
      <w:r w:rsidR="006E5E0A" w:rsidRPr="007A6B50">
        <w:rPr>
          <w:rFonts w:asciiTheme="minorHAnsi" w:hAnsiTheme="minorHAnsi" w:cstheme="minorHAnsi"/>
          <w:color w:val="4472C4" w:themeColor="accent1"/>
        </w:rPr>
        <w:fldChar w:fldCharType="separate"/>
      </w:r>
      <w:r w:rsidR="00777974">
        <w:rPr>
          <w:rFonts w:asciiTheme="minorHAnsi" w:hAnsiTheme="minorHAnsi" w:cstheme="minorHAnsi"/>
          <w:noProof/>
          <w:color w:val="4472C4" w:themeColor="accent1"/>
        </w:rPr>
        <w:t>41</w:t>
      </w:r>
      <w:r w:rsidR="006E5E0A" w:rsidRPr="007A6B50">
        <w:rPr>
          <w:rFonts w:asciiTheme="minorHAnsi" w:hAnsiTheme="minorHAnsi" w:cstheme="minorHAnsi"/>
          <w:color w:val="4472C4" w:themeColor="accent1"/>
        </w:rPr>
        <w:fldChar w:fldCharType="end"/>
      </w:r>
      <w:r w:rsidR="005A771F">
        <w:rPr>
          <w:rFonts w:asciiTheme="minorHAnsi" w:hAnsiTheme="minorHAnsi" w:cstheme="minorHAnsi"/>
          <w:color w:val="4472C4" w:themeColor="accent1"/>
        </w:rPr>
        <w:t>.</w:t>
      </w:r>
      <w:r w:rsidR="003562C1" w:rsidRPr="007A6B50">
        <w:rPr>
          <w:rFonts w:asciiTheme="minorHAnsi" w:hAnsiTheme="minorHAnsi" w:cstheme="minorHAnsi"/>
          <w:color w:val="4472C4" w:themeColor="accent1"/>
        </w:rPr>
        <w:t xml:space="preserve"> </w:t>
      </w:r>
      <w:r w:rsidR="001912B8" w:rsidRPr="007A6B50">
        <w:rPr>
          <w:rFonts w:asciiTheme="minorHAnsi" w:hAnsiTheme="minorHAnsi" w:cstheme="minorHAnsi"/>
          <w:color w:val="4472C4" w:themeColor="accent1"/>
        </w:rPr>
        <w:t>Resultado de emisión de opinión técnica por tipo de entidad,</w:t>
      </w:r>
      <w:bookmarkEnd w:id="96"/>
      <w:r w:rsidR="001912B8" w:rsidRPr="007A6B50">
        <w:rPr>
          <w:rFonts w:asciiTheme="minorHAnsi" w:hAnsiTheme="minorHAnsi" w:cstheme="minorHAnsi"/>
          <w:color w:val="4472C4" w:themeColor="accent1"/>
        </w:rPr>
        <w:t xml:space="preserve"> </w:t>
      </w:r>
    </w:p>
    <w:p w14:paraId="64C2D2B6" w14:textId="14ABE0B8" w:rsidR="001912B8" w:rsidRPr="007A6B50" w:rsidRDefault="005A771F" w:rsidP="001912B8">
      <w:pPr>
        <w:spacing w:after="0" w:line="240" w:lineRule="auto"/>
        <w:jc w:val="center"/>
        <w:rPr>
          <w:rFonts w:cstheme="minorHAnsi"/>
          <w:b/>
          <w:color w:val="4472C4" w:themeColor="accent1"/>
          <w:sz w:val="24"/>
          <w:szCs w:val="24"/>
        </w:rPr>
      </w:pPr>
      <w:r>
        <w:rPr>
          <w:rFonts w:cstheme="minorHAnsi"/>
          <w:b/>
          <w:color w:val="4472C4" w:themeColor="accent1"/>
          <w:sz w:val="24"/>
          <w:szCs w:val="24"/>
        </w:rPr>
        <w:t>e</w:t>
      </w:r>
      <w:r w:rsidR="001912B8" w:rsidRPr="007A6B50">
        <w:rPr>
          <w:rFonts w:cstheme="minorHAnsi"/>
          <w:b/>
          <w:color w:val="4472C4" w:themeColor="accent1"/>
          <w:sz w:val="24"/>
          <w:szCs w:val="24"/>
        </w:rPr>
        <w:t xml:space="preserve">jercicio fiscal </w:t>
      </w:r>
      <w:r w:rsidR="00BD1BD3" w:rsidRPr="007A6B50">
        <w:rPr>
          <w:rFonts w:cstheme="minorHAnsi"/>
          <w:b/>
          <w:color w:val="4472C4" w:themeColor="accent1"/>
          <w:sz w:val="24"/>
          <w:szCs w:val="24"/>
        </w:rPr>
        <w:t>2022</w:t>
      </w:r>
    </w:p>
    <w:tbl>
      <w:tblPr>
        <w:tblStyle w:val="Tablaconcuadrcula4-nfasis5"/>
        <w:tblW w:w="13130" w:type="dxa"/>
        <w:jc w:val="center"/>
        <w:tblLayout w:type="fixed"/>
        <w:tblLook w:val="04A0" w:firstRow="1" w:lastRow="0" w:firstColumn="1" w:lastColumn="0" w:noHBand="0" w:noVBand="1"/>
      </w:tblPr>
      <w:tblGrid>
        <w:gridCol w:w="2015"/>
        <w:gridCol w:w="2189"/>
        <w:gridCol w:w="874"/>
        <w:gridCol w:w="1013"/>
        <w:gridCol w:w="849"/>
        <w:gridCol w:w="983"/>
        <w:gridCol w:w="849"/>
        <w:gridCol w:w="956"/>
        <w:gridCol w:w="779"/>
        <w:gridCol w:w="71"/>
        <w:gridCol w:w="787"/>
        <w:gridCol w:w="914"/>
        <w:gridCol w:w="851"/>
      </w:tblGrid>
      <w:tr w:rsidR="00CA2C69" w:rsidRPr="007A6B50" w14:paraId="388D823C" w14:textId="77777777" w:rsidTr="005A771F">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restart"/>
            <w:tcBorders>
              <w:top w:val="none" w:sz="0" w:space="0" w:color="auto"/>
              <w:left w:val="none" w:sz="0" w:space="0" w:color="auto"/>
              <w:bottom w:val="none" w:sz="0" w:space="0" w:color="auto"/>
              <w:right w:val="none" w:sz="0" w:space="0" w:color="auto"/>
            </w:tcBorders>
            <w:noWrap/>
            <w:vAlign w:val="center"/>
            <w:hideMark/>
          </w:tcPr>
          <w:p w14:paraId="3B612627" w14:textId="77777777" w:rsidR="00F225C5" w:rsidRPr="007A6B50" w:rsidRDefault="00F225C5" w:rsidP="005A771F">
            <w:pPr>
              <w:jc w:val="center"/>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Tipo de Entidad</w:t>
            </w:r>
          </w:p>
        </w:tc>
        <w:tc>
          <w:tcPr>
            <w:tcW w:w="2189" w:type="dxa"/>
            <w:vMerge w:val="restart"/>
            <w:tcBorders>
              <w:top w:val="none" w:sz="0" w:space="0" w:color="auto"/>
              <w:left w:val="none" w:sz="0" w:space="0" w:color="auto"/>
              <w:bottom w:val="none" w:sz="0" w:space="0" w:color="auto"/>
              <w:right w:val="none" w:sz="0" w:space="0" w:color="auto"/>
            </w:tcBorders>
            <w:vAlign w:val="center"/>
            <w:hideMark/>
          </w:tcPr>
          <w:p w14:paraId="19018C86" w14:textId="77777777" w:rsidR="00F225C5" w:rsidRPr="007A6B50" w:rsidRDefault="00F225C5"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Resultado de opinión técnica</w:t>
            </w:r>
          </w:p>
        </w:tc>
        <w:tc>
          <w:tcPr>
            <w:tcW w:w="1887" w:type="dxa"/>
            <w:gridSpan w:val="2"/>
            <w:tcBorders>
              <w:top w:val="none" w:sz="0" w:space="0" w:color="auto"/>
              <w:left w:val="none" w:sz="0" w:space="0" w:color="auto"/>
              <w:bottom w:val="none" w:sz="0" w:space="0" w:color="auto"/>
              <w:right w:val="none" w:sz="0" w:space="0" w:color="auto"/>
            </w:tcBorders>
            <w:noWrap/>
            <w:vAlign w:val="center"/>
            <w:hideMark/>
          </w:tcPr>
          <w:p w14:paraId="6B78A8CC" w14:textId="77777777" w:rsidR="00F225C5" w:rsidRPr="007A6B50" w:rsidRDefault="00F225C5"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Registrados</w:t>
            </w:r>
          </w:p>
        </w:tc>
        <w:tc>
          <w:tcPr>
            <w:tcW w:w="1832" w:type="dxa"/>
            <w:gridSpan w:val="2"/>
            <w:tcBorders>
              <w:top w:val="none" w:sz="0" w:space="0" w:color="auto"/>
              <w:left w:val="none" w:sz="0" w:space="0" w:color="auto"/>
              <w:bottom w:val="none" w:sz="0" w:space="0" w:color="auto"/>
              <w:right w:val="none" w:sz="0" w:space="0" w:color="auto"/>
            </w:tcBorders>
            <w:noWrap/>
            <w:vAlign w:val="center"/>
            <w:hideMark/>
          </w:tcPr>
          <w:p w14:paraId="0EF09C30" w14:textId="77777777" w:rsidR="00F225C5" w:rsidRPr="007A6B50" w:rsidRDefault="00F225C5"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Asignado inicial</w:t>
            </w:r>
          </w:p>
        </w:tc>
        <w:tc>
          <w:tcPr>
            <w:tcW w:w="1805" w:type="dxa"/>
            <w:gridSpan w:val="2"/>
            <w:tcBorders>
              <w:top w:val="none" w:sz="0" w:space="0" w:color="auto"/>
              <w:left w:val="none" w:sz="0" w:space="0" w:color="auto"/>
              <w:bottom w:val="none" w:sz="0" w:space="0" w:color="auto"/>
              <w:right w:val="none" w:sz="0" w:space="0" w:color="auto"/>
            </w:tcBorders>
            <w:noWrap/>
            <w:vAlign w:val="center"/>
            <w:hideMark/>
          </w:tcPr>
          <w:p w14:paraId="3FA49D80" w14:textId="77777777" w:rsidR="00F225C5" w:rsidRPr="007A6B50" w:rsidRDefault="00F225C5"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Vigente</w:t>
            </w:r>
          </w:p>
        </w:tc>
        <w:tc>
          <w:tcPr>
            <w:tcW w:w="1637" w:type="dxa"/>
            <w:gridSpan w:val="3"/>
            <w:tcBorders>
              <w:top w:val="none" w:sz="0" w:space="0" w:color="auto"/>
              <w:left w:val="none" w:sz="0" w:space="0" w:color="auto"/>
              <w:bottom w:val="none" w:sz="0" w:space="0" w:color="auto"/>
              <w:right w:val="none" w:sz="0" w:space="0" w:color="auto"/>
            </w:tcBorders>
            <w:noWrap/>
            <w:vAlign w:val="center"/>
            <w:hideMark/>
          </w:tcPr>
          <w:p w14:paraId="293B1CF4" w14:textId="77777777" w:rsidR="00F225C5" w:rsidRPr="007A6B50" w:rsidRDefault="00F225C5"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Ejecutado</w:t>
            </w:r>
          </w:p>
        </w:tc>
        <w:tc>
          <w:tcPr>
            <w:tcW w:w="1765" w:type="dxa"/>
            <w:gridSpan w:val="2"/>
            <w:tcBorders>
              <w:top w:val="none" w:sz="0" w:space="0" w:color="auto"/>
              <w:left w:val="none" w:sz="0" w:space="0" w:color="auto"/>
              <w:bottom w:val="none" w:sz="0" w:space="0" w:color="auto"/>
              <w:right w:val="none" w:sz="0" w:space="0" w:color="auto"/>
            </w:tcBorders>
            <w:noWrap/>
            <w:vAlign w:val="center"/>
            <w:hideMark/>
          </w:tcPr>
          <w:p w14:paraId="5BD2943B" w14:textId="77777777" w:rsidR="00F225C5" w:rsidRPr="007A6B50" w:rsidRDefault="00F225C5"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Avances</w:t>
            </w:r>
          </w:p>
        </w:tc>
      </w:tr>
      <w:tr w:rsidR="00F225C5" w:rsidRPr="007A6B50" w14:paraId="51754C8A" w14:textId="77777777" w:rsidTr="005A771F">
        <w:trPr>
          <w:cnfStyle w:val="000000100000" w:firstRow="0" w:lastRow="0" w:firstColumn="0" w:lastColumn="0" w:oddVBand="0" w:evenVBand="0" w:oddHBand="1" w:evenHBand="0" w:firstRowFirstColumn="0" w:firstRowLastColumn="0" w:lastRowFirstColumn="0" w:lastRowLastColumn="0"/>
          <w:cantSplit/>
          <w:trHeight w:val="426"/>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27CA19BB" w14:textId="77777777" w:rsidR="00F225C5" w:rsidRPr="007A6B50" w:rsidRDefault="00F225C5" w:rsidP="005A771F">
            <w:pPr>
              <w:jc w:val="center"/>
              <w:rPr>
                <w:rFonts w:asciiTheme="minorHAnsi" w:eastAsia="Times New Roman" w:hAnsiTheme="minorHAnsi" w:cstheme="minorHAnsi"/>
                <w:b w:val="0"/>
                <w:bCs w:val="0"/>
                <w:sz w:val="16"/>
                <w:szCs w:val="16"/>
                <w:lang w:eastAsia="es-GT"/>
              </w:rPr>
            </w:pPr>
          </w:p>
        </w:tc>
        <w:tc>
          <w:tcPr>
            <w:tcW w:w="2189" w:type="dxa"/>
            <w:vMerge/>
            <w:vAlign w:val="center"/>
            <w:hideMark/>
          </w:tcPr>
          <w:p w14:paraId="0F49DDEC"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6"/>
                <w:szCs w:val="16"/>
                <w:lang w:eastAsia="es-GT"/>
              </w:rPr>
            </w:pPr>
          </w:p>
        </w:tc>
        <w:tc>
          <w:tcPr>
            <w:tcW w:w="874" w:type="dxa"/>
            <w:noWrap/>
            <w:vAlign w:val="center"/>
            <w:hideMark/>
          </w:tcPr>
          <w:p w14:paraId="1FD3690C"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Proyectos</w:t>
            </w:r>
          </w:p>
        </w:tc>
        <w:tc>
          <w:tcPr>
            <w:tcW w:w="1013" w:type="dxa"/>
            <w:noWrap/>
            <w:vAlign w:val="center"/>
            <w:hideMark/>
          </w:tcPr>
          <w:p w14:paraId="0C71C1B0"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Monto (Q)</w:t>
            </w:r>
          </w:p>
          <w:p w14:paraId="032025A1"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Millones</w:t>
            </w:r>
          </w:p>
        </w:tc>
        <w:tc>
          <w:tcPr>
            <w:tcW w:w="849" w:type="dxa"/>
            <w:noWrap/>
            <w:vAlign w:val="center"/>
            <w:hideMark/>
          </w:tcPr>
          <w:p w14:paraId="035036CE"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Proyectos</w:t>
            </w:r>
          </w:p>
        </w:tc>
        <w:tc>
          <w:tcPr>
            <w:tcW w:w="982" w:type="dxa"/>
            <w:noWrap/>
            <w:vAlign w:val="center"/>
            <w:hideMark/>
          </w:tcPr>
          <w:p w14:paraId="375341D9"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Monto (Q)</w:t>
            </w:r>
          </w:p>
          <w:p w14:paraId="1011F779"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Millones</w:t>
            </w:r>
          </w:p>
        </w:tc>
        <w:tc>
          <w:tcPr>
            <w:tcW w:w="849" w:type="dxa"/>
            <w:noWrap/>
            <w:vAlign w:val="center"/>
            <w:hideMark/>
          </w:tcPr>
          <w:p w14:paraId="1C4FA065"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Proyectos</w:t>
            </w:r>
          </w:p>
        </w:tc>
        <w:tc>
          <w:tcPr>
            <w:tcW w:w="956" w:type="dxa"/>
            <w:noWrap/>
            <w:vAlign w:val="center"/>
            <w:hideMark/>
          </w:tcPr>
          <w:p w14:paraId="35C90873"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Monto (Q)</w:t>
            </w:r>
          </w:p>
          <w:p w14:paraId="7C5601BC"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Millones</w:t>
            </w:r>
          </w:p>
        </w:tc>
        <w:tc>
          <w:tcPr>
            <w:tcW w:w="850" w:type="dxa"/>
            <w:gridSpan w:val="2"/>
            <w:noWrap/>
            <w:vAlign w:val="center"/>
            <w:hideMark/>
          </w:tcPr>
          <w:p w14:paraId="0A8D80F6"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Proyectos</w:t>
            </w:r>
          </w:p>
        </w:tc>
        <w:tc>
          <w:tcPr>
            <w:tcW w:w="787" w:type="dxa"/>
            <w:noWrap/>
            <w:vAlign w:val="center"/>
            <w:hideMark/>
          </w:tcPr>
          <w:p w14:paraId="719913FD"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Monto (Q)</w:t>
            </w:r>
          </w:p>
          <w:p w14:paraId="18A0BAB6"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Millones</w:t>
            </w:r>
          </w:p>
        </w:tc>
        <w:tc>
          <w:tcPr>
            <w:tcW w:w="914" w:type="dxa"/>
            <w:noWrap/>
            <w:vAlign w:val="center"/>
            <w:hideMark/>
          </w:tcPr>
          <w:p w14:paraId="69279DE0"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Financiero</w:t>
            </w:r>
          </w:p>
        </w:tc>
        <w:tc>
          <w:tcPr>
            <w:tcW w:w="851" w:type="dxa"/>
            <w:noWrap/>
            <w:vAlign w:val="center"/>
            <w:hideMark/>
          </w:tcPr>
          <w:p w14:paraId="2FE07856"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es-GT"/>
              </w:rPr>
            </w:pPr>
            <w:r w:rsidRPr="007A6B50">
              <w:rPr>
                <w:rFonts w:asciiTheme="minorHAnsi" w:eastAsia="Times New Roman" w:hAnsiTheme="minorHAnsi" w:cstheme="minorHAnsi"/>
                <w:sz w:val="14"/>
                <w:szCs w:val="14"/>
                <w:lang w:eastAsia="es-GT"/>
              </w:rPr>
              <w:t>Físico</w:t>
            </w:r>
          </w:p>
        </w:tc>
      </w:tr>
      <w:tr w:rsidR="00F225C5" w:rsidRPr="007A6B50" w14:paraId="3420245B"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restart"/>
            <w:noWrap/>
            <w:vAlign w:val="center"/>
            <w:hideMark/>
          </w:tcPr>
          <w:p w14:paraId="1C06270C" w14:textId="77777777" w:rsidR="00F225C5" w:rsidRPr="007A6B50" w:rsidRDefault="00F225C5" w:rsidP="005A771F">
            <w:pPr>
              <w:jc w:val="center"/>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Administración Central</w:t>
            </w:r>
          </w:p>
        </w:tc>
        <w:tc>
          <w:tcPr>
            <w:tcW w:w="2189" w:type="dxa"/>
            <w:noWrap/>
            <w:vAlign w:val="center"/>
            <w:hideMark/>
          </w:tcPr>
          <w:p w14:paraId="3314B3D4"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Aprobado</w:t>
            </w:r>
          </w:p>
        </w:tc>
        <w:tc>
          <w:tcPr>
            <w:tcW w:w="874" w:type="dxa"/>
            <w:noWrap/>
            <w:vAlign w:val="center"/>
            <w:hideMark/>
          </w:tcPr>
          <w:p w14:paraId="3C4395E5"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581</w:t>
            </w:r>
          </w:p>
        </w:tc>
        <w:tc>
          <w:tcPr>
            <w:tcW w:w="1013" w:type="dxa"/>
            <w:noWrap/>
            <w:vAlign w:val="center"/>
            <w:hideMark/>
          </w:tcPr>
          <w:p w14:paraId="07DA4FC8"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7,107.87</w:t>
            </w:r>
          </w:p>
        </w:tc>
        <w:tc>
          <w:tcPr>
            <w:tcW w:w="849" w:type="dxa"/>
            <w:noWrap/>
            <w:vAlign w:val="center"/>
            <w:hideMark/>
          </w:tcPr>
          <w:p w14:paraId="5D335A1C"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152</w:t>
            </w:r>
          </w:p>
        </w:tc>
        <w:tc>
          <w:tcPr>
            <w:tcW w:w="982" w:type="dxa"/>
            <w:noWrap/>
            <w:vAlign w:val="center"/>
            <w:hideMark/>
          </w:tcPr>
          <w:p w14:paraId="1614D5B1"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2,545.70</w:t>
            </w:r>
          </w:p>
        </w:tc>
        <w:tc>
          <w:tcPr>
            <w:tcW w:w="849" w:type="dxa"/>
            <w:noWrap/>
            <w:vAlign w:val="center"/>
            <w:hideMark/>
          </w:tcPr>
          <w:p w14:paraId="3856A1E5"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336</w:t>
            </w:r>
          </w:p>
        </w:tc>
        <w:tc>
          <w:tcPr>
            <w:tcW w:w="956" w:type="dxa"/>
            <w:noWrap/>
            <w:vAlign w:val="center"/>
            <w:hideMark/>
          </w:tcPr>
          <w:p w14:paraId="6E8DA9A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4,325.60</w:t>
            </w:r>
          </w:p>
        </w:tc>
        <w:tc>
          <w:tcPr>
            <w:tcW w:w="779" w:type="dxa"/>
            <w:noWrap/>
            <w:vAlign w:val="center"/>
            <w:hideMark/>
          </w:tcPr>
          <w:p w14:paraId="4BB349BC"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282</w:t>
            </w:r>
          </w:p>
        </w:tc>
        <w:tc>
          <w:tcPr>
            <w:tcW w:w="858" w:type="dxa"/>
            <w:gridSpan w:val="2"/>
            <w:noWrap/>
            <w:vAlign w:val="center"/>
            <w:hideMark/>
          </w:tcPr>
          <w:p w14:paraId="38207CC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3,289.84</w:t>
            </w:r>
          </w:p>
        </w:tc>
        <w:tc>
          <w:tcPr>
            <w:tcW w:w="914" w:type="dxa"/>
            <w:noWrap/>
            <w:vAlign w:val="center"/>
            <w:hideMark/>
          </w:tcPr>
          <w:p w14:paraId="515EA837"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76.06%</w:t>
            </w:r>
          </w:p>
        </w:tc>
        <w:tc>
          <w:tcPr>
            <w:tcW w:w="851" w:type="dxa"/>
            <w:noWrap/>
            <w:vAlign w:val="center"/>
            <w:hideMark/>
          </w:tcPr>
          <w:p w14:paraId="37683759"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64.26%</w:t>
            </w:r>
          </w:p>
        </w:tc>
      </w:tr>
      <w:tr w:rsidR="00F225C5" w:rsidRPr="007A6B50" w14:paraId="60F7EA27"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501F746D"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61C24A5E"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Aprobado (Según Decreto)</w:t>
            </w:r>
          </w:p>
        </w:tc>
        <w:tc>
          <w:tcPr>
            <w:tcW w:w="874" w:type="dxa"/>
            <w:noWrap/>
            <w:vAlign w:val="center"/>
            <w:hideMark/>
          </w:tcPr>
          <w:p w14:paraId="75ABF101"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21</w:t>
            </w:r>
          </w:p>
        </w:tc>
        <w:tc>
          <w:tcPr>
            <w:tcW w:w="1013" w:type="dxa"/>
            <w:noWrap/>
            <w:vAlign w:val="center"/>
            <w:hideMark/>
          </w:tcPr>
          <w:p w14:paraId="6049B30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230.26</w:t>
            </w:r>
          </w:p>
        </w:tc>
        <w:tc>
          <w:tcPr>
            <w:tcW w:w="849" w:type="dxa"/>
            <w:noWrap/>
            <w:vAlign w:val="center"/>
            <w:hideMark/>
          </w:tcPr>
          <w:p w14:paraId="06667442"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w:t>
            </w:r>
          </w:p>
        </w:tc>
        <w:tc>
          <w:tcPr>
            <w:tcW w:w="982" w:type="dxa"/>
            <w:noWrap/>
            <w:vAlign w:val="center"/>
            <w:hideMark/>
          </w:tcPr>
          <w:p w14:paraId="2386B17D"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1.40</w:t>
            </w:r>
          </w:p>
        </w:tc>
        <w:tc>
          <w:tcPr>
            <w:tcW w:w="849" w:type="dxa"/>
            <w:noWrap/>
            <w:vAlign w:val="center"/>
            <w:hideMark/>
          </w:tcPr>
          <w:p w14:paraId="0153D404"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7</w:t>
            </w:r>
          </w:p>
        </w:tc>
        <w:tc>
          <w:tcPr>
            <w:tcW w:w="956" w:type="dxa"/>
            <w:noWrap/>
            <w:vAlign w:val="center"/>
            <w:hideMark/>
          </w:tcPr>
          <w:p w14:paraId="07F95B7F"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4.69</w:t>
            </w:r>
          </w:p>
        </w:tc>
        <w:tc>
          <w:tcPr>
            <w:tcW w:w="779" w:type="dxa"/>
            <w:noWrap/>
            <w:vAlign w:val="center"/>
            <w:hideMark/>
          </w:tcPr>
          <w:p w14:paraId="0437D9E7"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w:t>
            </w:r>
          </w:p>
        </w:tc>
        <w:tc>
          <w:tcPr>
            <w:tcW w:w="858" w:type="dxa"/>
            <w:gridSpan w:val="2"/>
            <w:noWrap/>
            <w:vAlign w:val="center"/>
            <w:hideMark/>
          </w:tcPr>
          <w:p w14:paraId="6DAF2BD3"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0.07</w:t>
            </w:r>
          </w:p>
        </w:tc>
        <w:tc>
          <w:tcPr>
            <w:tcW w:w="914" w:type="dxa"/>
            <w:noWrap/>
            <w:vAlign w:val="center"/>
            <w:hideMark/>
          </w:tcPr>
          <w:p w14:paraId="743128FC"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1.49%</w:t>
            </w:r>
          </w:p>
        </w:tc>
        <w:tc>
          <w:tcPr>
            <w:tcW w:w="851" w:type="dxa"/>
            <w:noWrap/>
            <w:vAlign w:val="center"/>
            <w:hideMark/>
          </w:tcPr>
          <w:p w14:paraId="1CFE405D"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28.57%</w:t>
            </w:r>
          </w:p>
        </w:tc>
      </w:tr>
      <w:tr w:rsidR="00F225C5" w:rsidRPr="007A6B50" w14:paraId="5BE759C3"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21DEC71E"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7A89816B"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Con requisitos pendientes</w:t>
            </w:r>
          </w:p>
        </w:tc>
        <w:tc>
          <w:tcPr>
            <w:tcW w:w="874" w:type="dxa"/>
            <w:noWrap/>
            <w:vAlign w:val="center"/>
            <w:hideMark/>
          </w:tcPr>
          <w:p w14:paraId="0836D691"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152</w:t>
            </w:r>
          </w:p>
        </w:tc>
        <w:tc>
          <w:tcPr>
            <w:tcW w:w="1013" w:type="dxa"/>
            <w:noWrap/>
            <w:vAlign w:val="center"/>
            <w:hideMark/>
          </w:tcPr>
          <w:p w14:paraId="3AD23358"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2,096.08</w:t>
            </w:r>
          </w:p>
        </w:tc>
        <w:tc>
          <w:tcPr>
            <w:tcW w:w="849" w:type="dxa"/>
            <w:noWrap/>
            <w:vAlign w:val="center"/>
            <w:hideMark/>
          </w:tcPr>
          <w:p w14:paraId="2D08996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57</w:t>
            </w:r>
          </w:p>
        </w:tc>
        <w:tc>
          <w:tcPr>
            <w:tcW w:w="982" w:type="dxa"/>
            <w:noWrap/>
            <w:vAlign w:val="center"/>
            <w:hideMark/>
          </w:tcPr>
          <w:p w14:paraId="3DF2B80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412.15</w:t>
            </w:r>
          </w:p>
        </w:tc>
        <w:tc>
          <w:tcPr>
            <w:tcW w:w="849" w:type="dxa"/>
            <w:noWrap/>
            <w:vAlign w:val="center"/>
            <w:hideMark/>
          </w:tcPr>
          <w:p w14:paraId="2389A3D4"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w:t>
            </w:r>
          </w:p>
        </w:tc>
        <w:tc>
          <w:tcPr>
            <w:tcW w:w="956" w:type="dxa"/>
            <w:noWrap/>
            <w:vAlign w:val="center"/>
            <w:hideMark/>
          </w:tcPr>
          <w:p w14:paraId="725ECEF5"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13.22</w:t>
            </w:r>
          </w:p>
        </w:tc>
        <w:tc>
          <w:tcPr>
            <w:tcW w:w="779" w:type="dxa"/>
            <w:noWrap/>
            <w:vAlign w:val="center"/>
            <w:hideMark/>
          </w:tcPr>
          <w:p w14:paraId="3A369021"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858" w:type="dxa"/>
            <w:gridSpan w:val="2"/>
            <w:noWrap/>
            <w:vAlign w:val="center"/>
            <w:hideMark/>
          </w:tcPr>
          <w:p w14:paraId="5A441708"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914" w:type="dxa"/>
            <w:noWrap/>
            <w:vAlign w:val="center"/>
            <w:hideMark/>
          </w:tcPr>
          <w:p w14:paraId="01346DF8" w14:textId="1AAC2583"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1" w:type="dxa"/>
            <w:noWrap/>
            <w:vAlign w:val="center"/>
            <w:hideMark/>
          </w:tcPr>
          <w:p w14:paraId="536B7153" w14:textId="5927DCFE"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r>
      <w:tr w:rsidR="00F225C5" w:rsidRPr="007A6B50" w14:paraId="6AC27D10"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556B86A0"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19187A79"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No recibido oficialmente</w:t>
            </w:r>
          </w:p>
        </w:tc>
        <w:tc>
          <w:tcPr>
            <w:tcW w:w="874" w:type="dxa"/>
            <w:noWrap/>
            <w:vAlign w:val="center"/>
            <w:hideMark/>
          </w:tcPr>
          <w:p w14:paraId="5B1F3F55"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45</w:t>
            </w:r>
          </w:p>
        </w:tc>
        <w:tc>
          <w:tcPr>
            <w:tcW w:w="1013" w:type="dxa"/>
            <w:noWrap/>
            <w:vAlign w:val="center"/>
            <w:hideMark/>
          </w:tcPr>
          <w:p w14:paraId="58CD95BD"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474.55</w:t>
            </w:r>
          </w:p>
        </w:tc>
        <w:tc>
          <w:tcPr>
            <w:tcW w:w="849" w:type="dxa"/>
            <w:noWrap/>
            <w:vAlign w:val="center"/>
            <w:hideMark/>
          </w:tcPr>
          <w:p w14:paraId="61F66925"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982" w:type="dxa"/>
            <w:noWrap/>
            <w:vAlign w:val="center"/>
            <w:hideMark/>
          </w:tcPr>
          <w:p w14:paraId="452CA973"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849" w:type="dxa"/>
            <w:noWrap/>
            <w:vAlign w:val="center"/>
            <w:hideMark/>
          </w:tcPr>
          <w:p w14:paraId="5D6D8807"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956" w:type="dxa"/>
            <w:noWrap/>
            <w:vAlign w:val="center"/>
            <w:hideMark/>
          </w:tcPr>
          <w:p w14:paraId="4E0859E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779" w:type="dxa"/>
            <w:noWrap/>
            <w:vAlign w:val="center"/>
            <w:hideMark/>
          </w:tcPr>
          <w:p w14:paraId="316E835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858" w:type="dxa"/>
            <w:gridSpan w:val="2"/>
            <w:noWrap/>
            <w:vAlign w:val="center"/>
            <w:hideMark/>
          </w:tcPr>
          <w:p w14:paraId="77B224F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914" w:type="dxa"/>
            <w:noWrap/>
            <w:vAlign w:val="center"/>
            <w:hideMark/>
          </w:tcPr>
          <w:p w14:paraId="084192BE" w14:textId="6955E446"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51" w:type="dxa"/>
            <w:noWrap/>
            <w:vAlign w:val="center"/>
            <w:hideMark/>
          </w:tcPr>
          <w:p w14:paraId="56A749AE" w14:textId="1F232FC4"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r>
      <w:tr w:rsidR="00F225C5" w:rsidRPr="007A6B50" w14:paraId="0BBAE3BC"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4244BB62"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61D58002"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Rechazado</w:t>
            </w:r>
          </w:p>
        </w:tc>
        <w:tc>
          <w:tcPr>
            <w:tcW w:w="874" w:type="dxa"/>
            <w:noWrap/>
            <w:vAlign w:val="center"/>
            <w:hideMark/>
          </w:tcPr>
          <w:p w14:paraId="569CABA9"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23</w:t>
            </w:r>
          </w:p>
        </w:tc>
        <w:tc>
          <w:tcPr>
            <w:tcW w:w="1013" w:type="dxa"/>
            <w:noWrap/>
            <w:vAlign w:val="center"/>
            <w:hideMark/>
          </w:tcPr>
          <w:p w14:paraId="5372518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441.12</w:t>
            </w:r>
          </w:p>
        </w:tc>
        <w:tc>
          <w:tcPr>
            <w:tcW w:w="849" w:type="dxa"/>
            <w:noWrap/>
            <w:vAlign w:val="center"/>
            <w:hideMark/>
          </w:tcPr>
          <w:p w14:paraId="63AF8249"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982" w:type="dxa"/>
            <w:noWrap/>
            <w:vAlign w:val="center"/>
            <w:hideMark/>
          </w:tcPr>
          <w:p w14:paraId="5F261238"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849" w:type="dxa"/>
            <w:noWrap/>
            <w:vAlign w:val="center"/>
            <w:hideMark/>
          </w:tcPr>
          <w:p w14:paraId="5295D72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956" w:type="dxa"/>
            <w:noWrap/>
            <w:vAlign w:val="center"/>
            <w:hideMark/>
          </w:tcPr>
          <w:p w14:paraId="596C6AE1"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779" w:type="dxa"/>
            <w:noWrap/>
            <w:vAlign w:val="center"/>
            <w:hideMark/>
          </w:tcPr>
          <w:p w14:paraId="2F4D26E9"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858" w:type="dxa"/>
            <w:gridSpan w:val="2"/>
            <w:noWrap/>
            <w:vAlign w:val="center"/>
            <w:hideMark/>
          </w:tcPr>
          <w:p w14:paraId="3DDA8512"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 </w:t>
            </w:r>
          </w:p>
        </w:tc>
        <w:tc>
          <w:tcPr>
            <w:tcW w:w="914" w:type="dxa"/>
            <w:noWrap/>
            <w:vAlign w:val="center"/>
            <w:hideMark/>
          </w:tcPr>
          <w:p w14:paraId="032FE7DF" w14:textId="23EC3FFB"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1" w:type="dxa"/>
            <w:noWrap/>
            <w:vAlign w:val="center"/>
            <w:hideMark/>
          </w:tcPr>
          <w:p w14:paraId="5FDF11CE" w14:textId="395F487D"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r>
      <w:tr w:rsidR="00F225C5" w:rsidRPr="007A6B50" w14:paraId="4E7AC9FC"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204" w:type="dxa"/>
            <w:gridSpan w:val="2"/>
            <w:noWrap/>
            <w:vAlign w:val="center"/>
            <w:hideMark/>
          </w:tcPr>
          <w:p w14:paraId="1BBF49E3" w14:textId="77777777" w:rsidR="00F225C5" w:rsidRPr="007A6B50" w:rsidRDefault="00F225C5" w:rsidP="005A771F">
            <w:pPr>
              <w:jc w:val="center"/>
              <w:rPr>
                <w:rFonts w:asciiTheme="minorHAnsi" w:eastAsia="Times New Roman" w:hAnsiTheme="minorHAnsi" w:cstheme="minorHAnsi"/>
                <w:b w:val="0"/>
                <w:bCs w:val="0"/>
                <w:sz w:val="16"/>
                <w:szCs w:val="16"/>
                <w:lang w:eastAsia="es-GT"/>
              </w:rPr>
            </w:pPr>
            <w:r w:rsidRPr="007A6B50">
              <w:rPr>
                <w:rFonts w:asciiTheme="minorHAnsi" w:eastAsia="Times New Roman" w:hAnsiTheme="minorHAnsi" w:cstheme="minorHAnsi"/>
                <w:sz w:val="16"/>
                <w:szCs w:val="16"/>
                <w:lang w:eastAsia="es-GT"/>
              </w:rPr>
              <w:t>Total Administración Central</w:t>
            </w:r>
          </w:p>
        </w:tc>
        <w:tc>
          <w:tcPr>
            <w:tcW w:w="874" w:type="dxa"/>
            <w:noWrap/>
            <w:vAlign w:val="center"/>
            <w:hideMark/>
          </w:tcPr>
          <w:p w14:paraId="148251D9"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822</w:t>
            </w:r>
          </w:p>
        </w:tc>
        <w:tc>
          <w:tcPr>
            <w:tcW w:w="1013" w:type="dxa"/>
            <w:noWrap/>
            <w:vAlign w:val="center"/>
            <w:hideMark/>
          </w:tcPr>
          <w:p w14:paraId="668AB724"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10,349.87</w:t>
            </w:r>
          </w:p>
        </w:tc>
        <w:tc>
          <w:tcPr>
            <w:tcW w:w="849" w:type="dxa"/>
            <w:noWrap/>
            <w:vAlign w:val="center"/>
            <w:hideMark/>
          </w:tcPr>
          <w:p w14:paraId="72A0BA97"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210</w:t>
            </w:r>
          </w:p>
        </w:tc>
        <w:tc>
          <w:tcPr>
            <w:tcW w:w="982" w:type="dxa"/>
            <w:noWrap/>
            <w:vAlign w:val="center"/>
            <w:hideMark/>
          </w:tcPr>
          <w:p w14:paraId="1B231CE2"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2,959.25</w:t>
            </w:r>
          </w:p>
        </w:tc>
        <w:tc>
          <w:tcPr>
            <w:tcW w:w="849" w:type="dxa"/>
            <w:noWrap/>
            <w:vAlign w:val="center"/>
            <w:hideMark/>
          </w:tcPr>
          <w:p w14:paraId="2D17BE7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345</w:t>
            </w:r>
          </w:p>
        </w:tc>
        <w:tc>
          <w:tcPr>
            <w:tcW w:w="956" w:type="dxa"/>
            <w:noWrap/>
            <w:vAlign w:val="center"/>
            <w:hideMark/>
          </w:tcPr>
          <w:p w14:paraId="02F326E4"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4,343.51</w:t>
            </w:r>
          </w:p>
        </w:tc>
        <w:tc>
          <w:tcPr>
            <w:tcW w:w="779" w:type="dxa"/>
            <w:noWrap/>
            <w:vAlign w:val="center"/>
            <w:hideMark/>
          </w:tcPr>
          <w:p w14:paraId="4527A0C4"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284</w:t>
            </w:r>
          </w:p>
        </w:tc>
        <w:tc>
          <w:tcPr>
            <w:tcW w:w="858" w:type="dxa"/>
            <w:gridSpan w:val="2"/>
            <w:noWrap/>
            <w:vAlign w:val="center"/>
            <w:hideMark/>
          </w:tcPr>
          <w:p w14:paraId="1C4F51EE"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3,289.91</w:t>
            </w:r>
          </w:p>
        </w:tc>
        <w:tc>
          <w:tcPr>
            <w:tcW w:w="914" w:type="dxa"/>
            <w:noWrap/>
            <w:vAlign w:val="center"/>
            <w:hideMark/>
          </w:tcPr>
          <w:p w14:paraId="2A06CFF5"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75.74%</w:t>
            </w:r>
          </w:p>
        </w:tc>
        <w:tc>
          <w:tcPr>
            <w:tcW w:w="851" w:type="dxa"/>
            <w:noWrap/>
            <w:vAlign w:val="center"/>
            <w:hideMark/>
          </w:tcPr>
          <w:p w14:paraId="6264C231"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63.16%</w:t>
            </w:r>
          </w:p>
        </w:tc>
      </w:tr>
      <w:tr w:rsidR="00F225C5" w:rsidRPr="007A6B50" w14:paraId="52BDF845"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restart"/>
            <w:noWrap/>
            <w:vAlign w:val="center"/>
            <w:hideMark/>
          </w:tcPr>
          <w:p w14:paraId="57A3AFDF" w14:textId="77777777" w:rsidR="00F225C5" w:rsidRPr="007A6B50" w:rsidRDefault="00F225C5" w:rsidP="005A771F">
            <w:pPr>
              <w:jc w:val="center"/>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Entidades Descentralizadas</w:t>
            </w:r>
          </w:p>
        </w:tc>
        <w:tc>
          <w:tcPr>
            <w:tcW w:w="2189" w:type="dxa"/>
            <w:noWrap/>
            <w:vAlign w:val="center"/>
          </w:tcPr>
          <w:p w14:paraId="3D9EEA5C"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Aprobado</w:t>
            </w:r>
          </w:p>
        </w:tc>
        <w:tc>
          <w:tcPr>
            <w:tcW w:w="874" w:type="dxa"/>
            <w:noWrap/>
            <w:vAlign w:val="center"/>
          </w:tcPr>
          <w:p w14:paraId="149197E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275</w:t>
            </w:r>
          </w:p>
        </w:tc>
        <w:tc>
          <w:tcPr>
            <w:tcW w:w="1013" w:type="dxa"/>
            <w:noWrap/>
            <w:vAlign w:val="center"/>
          </w:tcPr>
          <w:p w14:paraId="307E2408"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1,028.37</w:t>
            </w:r>
          </w:p>
        </w:tc>
        <w:tc>
          <w:tcPr>
            <w:tcW w:w="849" w:type="dxa"/>
            <w:noWrap/>
            <w:vAlign w:val="center"/>
          </w:tcPr>
          <w:p w14:paraId="723924F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56</w:t>
            </w:r>
          </w:p>
        </w:tc>
        <w:tc>
          <w:tcPr>
            <w:tcW w:w="982" w:type="dxa"/>
            <w:noWrap/>
            <w:vAlign w:val="center"/>
          </w:tcPr>
          <w:p w14:paraId="154B09D2"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349.13</w:t>
            </w:r>
          </w:p>
        </w:tc>
        <w:tc>
          <w:tcPr>
            <w:tcW w:w="849" w:type="dxa"/>
            <w:noWrap/>
            <w:vAlign w:val="center"/>
          </w:tcPr>
          <w:p w14:paraId="7AC46FD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257</w:t>
            </w:r>
          </w:p>
        </w:tc>
        <w:tc>
          <w:tcPr>
            <w:tcW w:w="956" w:type="dxa"/>
            <w:noWrap/>
            <w:vAlign w:val="center"/>
          </w:tcPr>
          <w:p w14:paraId="5D04626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603.35</w:t>
            </w:r>
          </w:p>
        </w:tc>
        <w:tc>
          <w:tcPr>
            <w:tcW w:w="779" w:type="dxa"/>
            <w:noWrap/>
            <w:vAlign w:val="center"/>
          </w:tcPr>
          <w:p w14:paraId="0C40D43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155</w:t>
            </w:r>
          </w:p>
        </w:tc>
        <w:tc>
          <w:tcPr>
            <w:tcW w:w="858" w:type="dxa"/>
            <w:gridSpan w:val="2"/>
            <w:noWrap/>
            <w:vAlign w:val="center"/>
          </w:tcPr>
          <w:p w14:paraId="2E1A8CB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317.57</w:t>
            </w:r>
          </w:p>
        </w:tc>
        <w:tc>
          <w:tcPr>
            <w:tcW w:w="914" w:type="dxa"/>
            <w:noWrap/>
            <w:vAlign w:val="center"/>
          </w:tcPr>
          <w:p w14:paraId="4B95F611"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52.63%</w:t>
            </w:r>
          </w:p>
        </w:tc>
        <w:tc>
          <w:tcPr>
            <w:tcW w:w="851" w:type="dxa"/>
            <w:noWrap/>
            <w:vAlign w:val="center"/>
          </w:tcPr>
          <w:p w14:paraId="530DC7FC"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39.75%</w:t>
            </w:r>
          </w:p>
        </w:tc>
      </w:tr>
      <w:tr w:rsidR="00F225C5" w:rsidRPr="007A6B50" w14:paraId="76D5A232"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5CEA5438"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tcPr>
          <w:p w14:paraId="24ADCA6D"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Aprobado (No aplica evaluación)</w:t>
            </w:r>
          </w:p>
        </w:tc>
        <w:tc>
          <w:tcPr>
            <w:tcW w:w="874" w:type="dxa"/>
            <w:noWrap/>
            <w:vAlign w:val="center"/>
          </w:tcPr>
          <w:p w14:paraId="3A3B8885"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w:t>
            </w:r>
          </w:p>
        </w:tc>
        <w:tc>
          <w:tcPr>
            <w:tcW w:w="1013" w:type="dxa"/>
            <w:noWrap/>
            <w:vAlign w:val="center"/>
          </w:tcPr>
          <w:p w14:paraId="18F136C0"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559.08</w:t>
            </w:r>
          </w:p>
        </w:tc>
        <w:tc>
          <w:tcPr>
            <w:tcW w:w="849" w:type="dxa"/>
            <w:noWrap/>
            <w:vAlign w:val="center"/>
          </w:tcPr>
          <w:p w14:paraId="78CE34D2"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82" w:type="dxa"/>
            <w:noWrap/>
            <w:vAlign w:val="center"/>
          </w:tcPr>
          <w:p w14:paraId="19CD4AA9"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49" w:type="dxa"/>
            <w:noWrap/>
            <w:vAlign w:val="center"/>
          </w:tcPr>
          <w:p w14:paraId="73B5FE4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56" w:type="dxa"/>
            <w:noWrap/>
            <w:vAlign w:val="center"/>
          </w:tcPr>
          <w:p w14:paraId="27E99FB3"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779" w:type="dxa"/>
            <w:noWrap/>
            <w:vAlign w:val="center"/>
          </w:tcPr>
          <w:p w14:paraId="48A053B1"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58" w:type="dxa"/>
            <w:gridSpan w:val="2"/>
            <w:noWrap/>
            <w:vAlign w:val="center"/>
          </w:tcPr>
          <w:p w14:paraId="49B799F2"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14" w:type="dxa"/>
            <w:noWrap/>
            <w:vAlign w:val="center"/>
          </w:tcPr>
          <w:p w14:paraId="2399C14B" w14:textId="176CC81E"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51" w:type="dxa"/>
            <w:noWrap/>
            <w:vAlign w:val="center"/>
          </w:tcPr>
          <w:p w14:paraId="5C990EB2" w14:textId="4345DF2B"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r>
      <w:tr w:rsidR="00F225C5" w:rsidRPr="007A6B50" w14:paraId="7F93DB67"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7CBC48B4"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tcPr>
          <w:p w14:paraId="5E3E1AFF"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Con requisitos pendientes</w:t>
            </w:r>
          </w:p>
        </w:tc>
        <w:tc>
          <w:tcPr>
            <w:tcW w:w="874" w:type="dxa"/>
            <w:noWrap/>
            <w:vAlign w:val="center"/>
          </w:tcPr>
          <w:p w14:paraId="0F9EA159"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58</w:t>
            </w:r>
          </w:p>
        </w:tc>
        <w:tc>
          <w:tcPr>
            <w:tcW w:w="1013" w:type="dxa"/>
            <w:noWrap/>
            <w:vAlign w:val="center"/>
          </w:tcPr>
          <w:p w14:paraId="53A09EB6"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667.17</w:t>
            </w:r>
          </w:p>
        </w:tc>
        <w:tc>
          <w:tcPr>
            <w:tcW w:w="849" w:type="dxa"/>
            <w:noWrap/>
            <w:vAlign w:val="center"/>
          </w:tcPr>
          <w:p w14:paraId="53F57B9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8</w:t>
            </w:r>
          </w:p>
        </w:tc>
        <w:tc>
          <w:tcPr>
            <w:tcW w:w="982" w:type="dxa"/>
            <w:noWrap/>
            <w:vAlign w:val="center"/>
          </w:tcPr>
          <w:p w14:paraId="0B942B87"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28.00</w:t>
            </w:r>
          </w:p>
        </w:tc>
        <w:tc>
          <w:tcPr>
            <w:tcW w:w="849" w:type="dxa"/>
            <w:noWrap/>
            <w:vAlign w:val="center"/>
          </w:tcPr>
          <w:p w14:paraId="4E568653"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w:t>
            </w:r>
          </w:p>
        </w:tc>
        <w:tc>
          <w:tcPr>
            <w:tcW w:w="956" w:type="dxa"/>
            <w:noWrap/>
            <w:vAlign w:val="center"/>
          </w:tcPr>
          <w:p w14:paraId="686C0567"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19.00</w:t>
            </w:r>
          </w:p>
        </w:tc>
        <w:tc>
          <w:tcPr>
            <w:tcW w:w="779" w:type="dxa"/>
            <w:noWrap/>
            <w:vAlign w:val="center"/>
          </w:tcPr>
          <w:p w14:paraId="131825C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8" w:type="dxa"/>
            <w:gridSpan w:val="2"/>
            <w:noWrap/>
            <w:vAlign w:val="center"/>
          </w:tcPr>
          <w:p w14:paraId="206ED3BC"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914" w:type="dxa"/>
            <w:noWrap/>
            <w:vAlign w:val="center"/>
          </w:tcPr>
          <w:p w14:paraId="56BD97DB" w14:textId="6A8F5E45"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1" w:type="dxa"/>
            <w:noWrap/>
            <w:vAlign w:val="center"/>
          </w:tcPr>
          <w:p w14:paraId="42778E1E" w14:textId="19205B41"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r>
      <w:tr w:rsidR="00F225C5" w:rsidRPr="007A6B50" w14:paraId="45D14965"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6654FBB2"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tcPr>
          <w:p w14:paraId="6548D07A"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No recibido oficialmente</w:t>
            </w:r>
          </w:p>
        </w:tc>
        <w:tc>
          <w:tcPr>
            <w:tcW w:w="874" w:type="dxa"/>
            <w:noWrap/>
            <w:vAlign w:val="center"/>
          </w:tcPr>
          <w:p w14:paraId="3572B8FB"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w:t>
            </w:r>
          </w:p>
        </w:tc>
        <w:tc>
          <w:tcPr>
            <w:tcW w:w="1013" w:type="dxa"/>
            <w:noWrap/>
            <w:vAlign w:val="center"/>
          </w:tcPr>
          <w:p w14:paraId="0D2F34CD"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2.65</w:t>
            </w:r>
          </w:p>
        </w:tc>
        <w:tc>
          <w:tcPr>
            <w:tcW w:w="849" w:type="dxa"/>
            <w:noWrap/>
            <w:vAlign w:val="center"/>
          </w:tcPr>
          <w:p w14:paraId="6709581D"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82" w:type="dxa"/>
            <w:noWrap/>
            <w:vAlign w:val="center"/>
          </w:tcPr>
          <w:p w14:paraId="6C8640D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49" w:type="dxa"/>
            <w:noWrap/>
            <w:vAlign w:val="center"/>
          </w:tcPr>
          <w:p w14:paraId="7572CFBF"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56" w:type="dxa"/>
            <w:noWrap/>
            <w:vAlign w:val="center"/>
          </w:tcPr>
          <w:p w14:paraId="5098C999"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779" w:type="dxa"/>
            <w:noWrap/>
            <w:vAlign w:val="center"/>
          </w:tcPr>
          <w:p w14:paraId="107ACC20"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58" w:type="dxa"/>
            <w:gridSpan w:val="2"/>
            <w:noWrap/>
            <w:vAlign w:val="center"/>
          </w:tcPr>
          <w:p w14:paraId="51F59D6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14" w:type="dxa"/>
            <w:noWrap/>
            <w:vAlign w:val="center"/>
          </w:tcPr>
          <w:p w14:paraId="56A5221B" w14:textId="09598C75"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51" w:type="dxa"/>
            <w:noWrap/>
            <w:vAlign w:val="center"/>
          </w:tcPr>
          <w:p w14:paraId="181A58E7" w14:textId="4B6E0EB0"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r>
      <w:tr w:rsidR="00F225C5" w:rsidRPr="007A6B50" w14:paraId="7DD2BE5E"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08F9795E"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tcPr>
          <w:p w14:paraId="65B1BE2C"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Rechazado</w:t>
            </w:r>
          </w:p>
        </w:tc>
        <w:tc>
          <w:tcPr>
            <w:tcW w:w="874" w:type="dxa"/>
            <w:noWrap/>
            <w:vAlign w:val="center"/>
          </w:tcPr>
          <w:p w14:paraId="6ED99292"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w:t>
            </w:r>
          </w:p>
        </w:tc>
        <w:tc>
          <w:tcPr>
            <w:tcW w:w="1013" w:type="dxa"/>
            <w:noWrap/>
            <w:vAlign w:val="center"/>
          </w:tcPr>
          <w:p w14:paraId="2BD8DD28"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5.00</w:t>
            </w:r>
          </w:p>
        </w:tc>
        <w:tc>
          <w:tcPr>
            <w:tcW w:w="849" w:type="dxa"/>
            <w:noWrap/>
            <w:vAlign w:val="center"/>
          </w:tcPr>
          <w:p w14:paraId="39A91396"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982" w:type="dxa"/>
            <w:noWrap/>
            <w:vAlign w:val="center"/>
          </w:tcPr>
          <w:p w14:paraId="266122F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49" w:type="dxa"/>
            <w:noWrap/>
            <w:vAlign w:val="center"/>
          </w:tcPr>
          <w:p w14:paraId="7787C794"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956" w:type="dxa"/>
            <w:noWrap/>
            <w:vAlign w:val="center"/>
          </w:tcPr>
          <w:p w14:paraId="2F007526"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779" w:type="dxa"/>
            <w:noWrap/>
            <w:vAlign w:val="center"/>
          </w:tcPr>
          <w:p w14:paraId="3F9AFA5D"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8" w:type="dxa"/>
            <w:gridSpan w:val="2"/>
            <w:noWrap/>
            <w:vAlign w:val="center"/>
          </w:tcPr>
          <w:p w14:paraId="3783872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914" w:type="dxa"/>
            <w:noWrap/>
            <w:vAlign w:val="center"/>
          </w:tcPr>
          <w:p w14:paraId="4BE55E1A" w14:textId="583659E4"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1" w:type="dxa"/>
            <w:noWrap/>
            <w:vAlign w:val="center"/>
          </w:tcPr>
          <w:p w14:paraId="3957F159" w14:textId="38236582"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r>
      <w:tr w:rsidR="00F225C5" w:rsidRPr="007A6B50" w14:paraId="1F028DB6"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204" w:type="dxa"/>
            <w:gridSpan w:val="2"/>
            <w:noWrap/>
            <w:vAlign w:val="center"/>
            <w:hideMark/>
          </w:tcPr>
          <w:p w14:paraId="18DE1097" w14:textId="77777777" w:rsidR="00F225C5" w:rsidRPr="007A6B50" w:rsidRDefault="00F225C5" w:rsidP="005A771F">
            <w:pPr>
              <w:jc w:val="center"/>
              <w:rPr>
                <w:rFonts w:asciiTheme="minorHAnsi" w:eastAsia="Times New Roman" w:hAnsiTheme="minorHAnsi" w:cstheme="minorHAnsi"/>
                <w:b w:val="0"/>
                <w:bCs w:val="0"/>
                <w:sz w:val="16"/>
                <w:szCs w:val="16"/>
                <w:lang w:eastAsia="es-GT"/>
              </w:rPr>
            </w:pPr>
            <w:r w:rsidRPr="007A6B50">
              <w:rPr>
                <w:rFonts w:asciiTheme="minorHAnsi" w:eastAsia="Times New Roman" w:hAnsiTheme="minorHAnsi" w:cstheme="minorHAnsi"/>
                <w:sz w:val="16"/>
                <w:szCs w:val="16"/>
                <w:lang w:eastAsia="es-GT"/>
              </w:rPr>
              <w:t>Total Entidades Descentralizadas</w:t>
            </w:r>
          </w:p>
        </w:tc>
        <w:tc>
          <w:tcPr>
            <w:tcW w:w="874" w:type="dxa"/>
            <w:noWrap/>
            <w:vAlign w:val="center"/>
            <w:hideMark/>
          </w:tcPr>
          <w:p w14:paraId="1A2F2ED3"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338</w:t>
            </w:r>
          </w:p>
        </w:tc>
        <w:tc>
          <w:tcPr>
            <w:tcW w:w="1013" w:type="dxa"/>
            <w:noWrap/>
            <w:vAlign w:val="center"/>
            <w:hideMark/>
          </w:tcPr>
          <w:p w14:paraId="1F241073"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2,262.26</w:t>
            </w:r>
          </w:p>
        </w:tc>
        <w:tc>
          <w:tcPr>
            <w:tcW w:w="849" w:type="dxa"/>
            <w:noWrap/>
            <w:vAlign w:val="center"/>
            <w:hideMark/>
          </w:tcPr>
          <w:p w14:paraId="4597BD4E"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64</w:t>
            </w:r>
          </w:p>
        </w:tc>
        <w:tc>
          <w:tcPr>
            <w:tcW w:w="982" w:type="dxa"/>
            <w:noWrap/>
            <w:vAlign w:val="center"/>
            <w:hideMark/>
          </w:tcPr>
          <w:p w14:paraId="694635A5"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377.13</w:t>
            </w:r>
          </w:p>
        </w:tc>
        <w:tc>
          <w:tcPr>
            <w:tcW w:w="849" w:type="dxa"/>
            <w:noWrap/>
            <w:vAlign w:val="center"/>
            <w:hideMark/>
          </w:tcPr>
          <w:p w14:paraId="4584F2C0"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262</w:t>
            </w:r>
          </w:p>
        </w:tc>
        <w:tc>
          <w:tcPr>
            <w:tcW w:w="956" w:type="dxa"/>
            <w:noWrap/>
            <w:vAlign w:val="center"/>
            <w:hideMark/>
          </w:tcPr>
          <w:p w14:paraId="18619A9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622.35</w:t>
            </w:r>
          </w:p>
        </w:tc>
        <w:tc>
          <w:tcPr>
            <w:tcW w:w="779" w:type="dxa"/>
            <w:noWrap/>
            <w:vAlign w:val="center"/>
            <w:hideMark/>
          </w:tcPr>
          <w:p w14:paraId="7374BA2B"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155</w:t>
            </w:r>
          </w:p>
        </w:tc>
        <w:tc>
          <w:tcPr>
            <w:tcW w:w="858" w:type="dxa"/>
            <w:gridSpan w:val="2"/>
            <w:noWrap/>
            <w:vAlign w:val="center"/>
            <w:hideMark/>
          </w:tcPr>
          <w:p w14:paraId="6016F49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317.57</w:t>
            </w:r>
          </w:p>
        </w:tc>
        <w:tc>
          <w:tcPr>
            <w:tcW w:w="914" w:type="dxa"/>
            <w:noWrap/>
            <w:vAlign w:val="center"/>
            <w:hideMark/>
          </w:tcPr>
          <w:p w14:paraId="6BB30193"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51.03%</w:t>
            </w:r>
          </w:p>
        </w:tc>
        <w:tc>
          <w:tcPr>
            <w:tcW w:w="851" w:type="dxa"/>
            <w:noWrap/>
            <w:vAlign w:val="center"/>
            <w:hideMark/>
          </w:tcPr>
          <w:p w14:paraId="4D505CBD"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38.99%</w:t>
            </w:r>
          </w:p>
        </w:tc>
      </w:tr>
      <w:tr w:rsidR="00F225C5" w:rsidRPr="007A6B50" w14:paraId="283FC2AE"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restart"/>
            <w:noWrap/>
            <w:vAlign w:val="center"/>
            <w:hideMark/>
          </w:tcPr>
          <w:p w14:paraId="40034ACC" w14:textId="77777777" w:rsidR="00F225C5" w:rsidRPr="007A6B50" w:rsidRDefault="00F225C5" w:rsidP="005A771F">
            <w:pPr>
              <w:jc w:val="center"/>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CODEDE</w:t>
            </w:r>
          </w:p>
        </w:tc>
        <w:tc>
          <w:tcPr>
            <w:tcW w:w="2189" w:type="dxa"/>
            <w:noWrap/>
            <w:vAlign w:val="center"/>
            <w:hideMark/>
          </w:tcPr>
          <w:p w14:paraId="5959391E"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hAnsiTheme="minorHAnsi" w:cstheme="minorHAnsi"/>
                <w:sz w:val="16"/>
                <w:szCs w:val="14"/>
              </w:rPr>
              <w:t>Aprobado</w:t>
            </w:r>
          </w:p>
        </w:tc>
        <w:tc>
          <w:tcPr>
            <w:tcW w:w="874" w:type="dxa"/>
            <w:noWrap/>
            <w:vAlign w:val="center"/>
            <w:hideMark/>
          </w:tcPr>
          <w:p w14:paraId="4EF118E7"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3,799</w:t>
            </w:r>
          </w:p>
        </w:tc>
        <w:tc>
          <w:tcPr>
            <w:tcW w:w="1013" w:type="dxa"/>
            <w:noWrap/>
            <w:vAlign w:val="center"/>
            <w:hideMark/>
          </w:tcPr>
          <w:p w14:paraId="12552A11"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4,004.93</w:t>
            </w:r>
          </w:p>
        </w:tc>
        <w:tc>
          <w:tcPr>
            <w:tcW w:w="849" w:type="dxa"/>
            <w:noWrap/>
            <w:vAlign w:val="center"/>
            <w:hideMark/>
          </w:tcPr>
          <w:p w14:paraId="683B80FA"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1,931</w:t>
            </w:r>
          </w:p>
        </w:tc>
        <w:tc>
          <w:tcPr>
            <w:tcW w:w="982" w:type="dxa"/>
            <w:noWrap/>
            <w:vAlign w:val="center"/>
            <w:hideMark/>
          </w:tcPr>
          <w:p w14:paraId="4DCFD681"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2,454.53</w:t>
            </w:r>
          </w:p>
        </w:tc>
        <w:tc>
          <w:tcPr>
            <w:tcW w:w="849" w:type="dxa"/>
            <w:noWrap/>
            <w:vAlign w:val="center"/>
            <w:hideMark/>
          </w:tcPr>
          <w:p w14:paraId="3964EAF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3,615</w:t>
            </w:r>
          </w:p>
        </w:tc>
        <w:tc>
          <w:tcPr>
            <w:tcW w:w="956" w:type="dxa"/>
            <w:noWrap/>
            <w:vAlign w:val="center"/>
            <w:hideMark/>
          </w:tcPr>
          <w:p w14:paraId="6F976A09"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3,819.67</w:t>
            </w:r>
          </w:p>
        </w:tc>
        <w:tc>
          <w:tcPr>
            <w:tcW w:w="779" w:type="dxa"/>
            <w:noWrap/>
            <w:vAlign w:val="center"/>
            <w:hideMark/>
          </w:tcPr>
          <w:p w14:paraId="1ECBC6B8"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3,159</w:t>
            </w:r>
          </w:p>
        </w:tc>
        <w:tc>
          <w:tcPr>
            <w:tcW w:w="858" w:type="dxa"/>
            <w:gridSpan w:val="2"/>
            <w:noWrap/>
            <w:vAlign w:val="center"/>
            <w:hideMark/>
          </w:tcPr>
          <w:p w14:paraId="0A93469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2,373.35</w:t>
            </w:r>
          </w:p>
        </w:tc>
        <w:tc>
          <w:tcPr>
            <w:tcW w:w="914" w:type="dxa"/>
            <w:noWrap/>
            <w:vAlign w:val="center"/>
            <w:hideMark/>
          </w:tcPr>
          <w:p w14:paraId="4F085FE8"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62.13%</w:t>
            </w:r>
          </w:p>
        </w:tc>
        <w:tc>
          <w:tcPr>
            <w:tcW w:w="851" w:type="dxa"/>
            <w:noWrap/>
            <w:vAlign w:val="center"/>
            <w:hideMark/>
          </w:tcPr>
          <w:p w14:paraId="0F541895"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83.35%</w:t>
            </w:r>
          </w:p>
        </w:tc>
      </w:tr>
      <w:tr w:rsidR="00F225C5" w:rsidRPr="007A6B50" w14:paraId="34F111F2"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311C49AE"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25436218"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hAnsiTheme="minorHAnsi" w:cstheme="minorHAnsi"/>
                <w:sz w:val="16"/>
                <w:szCs w:val="14"/>
              </w:rPr>
              <w:t>Aprobado (No aplica evaluación)</w:t>
            </w:r>
          </w:p>
        </w:tc>
        <w:tc>
          <w:tcPr>
            <w:tcW w:w="874" w:type="dxa"/>
            <w:noWrap/>
            <w:vAlign w:val="center"/>
          </w:tcPr>
          <w:p w14:paraId="2516E9F1"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1013" w:type="dxa"/>
            <w:noWrap/>
            <w:vAlign w:val="center"/>
          </w:tcPr>
          <w:p w14:paraId="7B19975E"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49" w:type="dxa"/>
            <w:noWrap/>
            <w:vAlign w:val="center"/>
          </w:tcPr>
          <w:p w14:paraId="1FD0E2AB"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82" w:type="dxa"/>
            <w:noWrap/>
            <w:vAlign w:val="center"/>
          </w:tcPr>
          <w:p w14:paraId="2B9474CB"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49" w:type="dxa"/>
            <w:noWrap/>
            <w:vAlign w:val="center"/>
          </w:tcPr>
          <w:p w14:paraId="79514BD6"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56" w:type="dxa"/>
            <w:noWrap/>
            <w:vAlign w:val="center"/>
          </w:tcPr>
          <w:p w14:paraId="3ED74482"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779" w:type="dxa"/>
            <w:noWrap/>
            <w:vAlign w:val="center"/>
          </w:tcPr>
          <w:p w14:paraId="636BFB21"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58" w:type="dxa"/>
            <w:gridSpan w:val="2"/>
            <w:noWrap/>
            <w:vAlign w:val="center"/>
          </w:tcPr>
          <w:p w14:paraId="408DFAE7"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14" w:type="dxa"/>
            <w:noWrap/>
            <w:vAlign w:val="center"/>
            <w:hideMark/>
          </w:tcPr>
          <w:p w14:paraId="21DF488F" w14:textId="40F9F25C"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51" w:type="dxa"/>
            <w:noWrap/>
            <w:vAlign w:val="center"/>
            <w:hideMark/>
          </w:tcPr>
          <w:p w14:paraId="0DEF6B39" w14:textId="4FD38DDC"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r>
      <w:tr w:rsidR="00F225C5" w:rsidRPr="007A6B50" w14:paraId="3AF19535"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1F4A3926"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7D7F1E2C"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hAnsiTheme="minorHAnsi" w:cstheme="minorHAnsi"/>
                <w:sz w:val="16"/>
                <w:szCs w:val="14"/>
              </w:rPr>
              <w:t>Con requisitos pendientes</w:t>
            </w:r>
          </w:p>
        </w:tc>
        <w:tc>
          <w:tcPr>
            <w:tcW w:w="874" w:type="dxa"/>
            <w:noWrap/>
            <w:vAlign w:val="center"/>
            <w:hideMark/>
          </w:tcPr>
          <w:p w14:paraId="10B5871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380</w:t>
            </w:r>
          </w:p>
        </w:tc>
        <w:tc>
          <w:tcPr>
            <w:tcW w:w="1013" w:type="dxa"/>
            <w:noWrap/>
            <w:vAlign w:val="center"/>
            <w:hideMark/>
          </w:tcPr>
          <w:p w14:paraId="1F0CD9DF"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530.81</w:t>
            </w:r>
          </w:p>
        </w:tc>
        <w:tc>
          <w:tcPr>
            <w:tcW w:w="849" w:type="dxa"/>
            <w:noWrap/>
            <w:vAlign w:val="center"/>
            <w:hideMark/>
          </w:tcPr>
          <w:p w14:paraId="4B0F094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242</w:t>
            </w:r>
          </w:p>
        </w:tc>
        <w:tc>
          <w:tcPr>
            <w:tcW w:w="982" w:type="dxa"/>
            <w:noWrap/>
            <w:vAlign w:val="center"/>
            <w:hideMark/>
          </w:tcPr>
          <w:p w14:paraId="1AE44E73"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346.86</w:t>
            </w:r>
          </w:p>
        </w:tc>
        <w:tc>
          <w:tcPr>
            <w:tcW w:w="849" w:type="dxa"/>
            <w:noWrap/>
            <w:vAlign w:val="center"/>
            <w:hideMark/>
          </w:tcPr>
          <w:p w14:paraId="43A26134"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17</w:t>
            </w:r>
          </w:p>
        </w:tc>
        <w:tc>
          <w:tcPr>
            <w:tcW w:w="956" w:type="dxa"/>
            <w:noWrap/>
            <w:vAlign w:val="center"/>
            <w:hideMark/>
          </w:tcPr>
          <w:p w14:paraId="4777D00C"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17.59</w:t>
            </w:r>
          </w:p>
        </w:tc>
        <w:tc>
          <w:tcPr>
            <w:tcW w:w="779" w:type="dxa"/>
            <w:noWrap/>
            <w:vAlign w:val="center"/>
          </w:tcPr>
          <w:p w14:paraId="5A75332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8" w:type="dxa"/>
            <w:gridSpan w:val="2"/>
            <w:noWrap/>
            <w:vAlign w:val="center"/>
          </w:tcPr>
          <w:p w14:paraId="5D37398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914" w:type="dxa"/>
            <w:noWrap/>
            <w:vAlign w:val="center"/>
            <w:hideMark/>
          </w:tcPr>
          <w:p w14:paraId="2AA5CC67" w14:textId="01F613FB"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1" w:type="dxa"/>
            <w:noWrap/>
            <w:vAlign w:val="center"/>
            <w:hideMark/>
          </w:tcPr>
          <w:p w14:paraId="359F4A49" w14:textId="58693C9A"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r>
      <w:tr w:rsidR="00F225C5" w:rsidRPr="007A6B50" w14:paraId="2A69F01D"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60F5DF0E"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537AFCE4"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hAnsiTheme="minorHAnsi" w:cstheme="minorHAnsi"/>
                <w:sz w:val="16"/>
                <w:szCs w:val="14"/>
              </w:rPr>
              <w:t>No recibido oficialmente</w:t>
            </w:r>
          </w:p>
        </w:tc>
        <w:tc>
          <w:tcPr>
            <w:tcW w:w="874" w:type="dxa"/>
            <w:noWrap/>
            <w:vAlign w:val="center"/>
            <w:hideMark/>
          </w:tcPr>
          <w:p w14:paraId="3044AABE"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459</w:t>
            </w:r>
          </w:p>
        </w:tc>
        <w:tc>
          <w:tcPr>
            <w:tcW w:w="1013" w:type="dxa"/>
            <w:noWrap/>
            <w:vAlign w:val="center"/>
            <w:hideMark/>
          </w:tcPr>
          <w:p w14:paraId="555714C9"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722.76</w:t>
            </w:r>
          </w:p>
        </w:tc>
        <w:tc>
          <w:tcPr>
            <w:tcW w:w="849" w:type="dxa"/>
            <w:noWrap/>
            <w:vAlign w:val="center"/>
          </w:tcPr>
          <w:p w14:paraId="08C55417"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82" w:type="dxa"/>
            <w:noWrap/>
            <w:vAlign w:val="center"/>
          </w:tcPr>
          <w:p w14:paraId="1537AD81"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49" w:type="dxa"/>
            <w:noWrap/>
            <w:vAlign w:val="center"/>
          </w:tcPr>
          <w:p w14:paraId="1407FBB7"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56" w:type="dxa"/>
            <w:noWrap/>
            <w:vAlign w:val="center"/>
          </w:tcPr>
          <w:p w14:paraId="11506AC2"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779" w:type="dxa"/>
            <w:noWrap/>
            <w:vAlign w:val="center"/>
          </w:tcPr>
          <w:p w14:paraId="551C4EB2"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58" w:type="dxa"/>
            <w:gridSpan w:val="2"/>
            <w:noWrap/>
            <w:vAlign w:val="center"/>
          </w:tcPr>
          <w:p w14:paraId="3A03E1A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914" w:type="dxa"/>
            <w:noWrap/>
            <w:vAlign w:val="center"/>
            <w:hideMark/>
          </w:tcPr>
          <w:p w14:paraId="41F5699D" w14:textId="5846D788"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c>
          <w:tcPr>
            <w:tcW w:w="851" w:type="dxa"/>
            <w:noWrap/>
            <w:vAlign w:val="center"/>
            <w:hideMark/>
          </w:tcPr>
          <w:p w14:paraId="7EE1759C" w14:textId="30C7695A"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p>
        </w:tc>
      </w:tr>
      <w:tr w:rsidR="00F225C5" w:rsidRPr="007A6B50" w14:paraId="35B44A3C"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3D2D478D"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0D1EBCD9"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hAnsiTheme="minorHAnsi" w:cstheme="minorHAnsi"/>
                <w:sz w:val="16"/>
                <w:szCs w:val="14"/>
              </w:rPr>
              <w:t>Rechazado</w:t>
            </w:r>
          </w:p>
        </w:tc>
        <w:tc>
          <w:tcPr>
            <w:tcW w:w="874" w:type="dxa"/>
            <w:noWrap/>
            <w:vAlign w:val="center"/>
            <w:hideMark/>
          </w:tcPr>
          <w:p w14:paraId="6F3F9564"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26</w:t>
            </w:r>
          </w:p>
        </w:tc>
        <w:tc>
          <w:tcPr>
            <w:tcW w:w="1013" w:type="dxa"/>
            <w:noWrap/>
            <w:vAlign w:val="center"/>
            <w:hideMark/>
          </w:tcPr>
          <w:p w14:paraId="7552FEE2"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37.28</w:t>
            </w:r>
          </w:p>
        </w:tc>
        <w:tc>
          <w:tcPr>
            <w:tcW w:w="849" w:type="dxa"/>
            <w:noWrap/>
            <w:vAlign w:val="center"/>
          </w:tcPr>
          <w:p w14:paraId="0C09112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982" w:type="dxa"/>
            <w:noWrap/>
            <w:vAlign w:val="center"/>
          </w:tcPr>
          <w:p w14:paraId="52E2B73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49" w:type="dxa"/>
            <w:noWrap/>
            <w:vAlign w:val="center"/>
          </w:tcPr>
          <w:p w14:paraId="5E9A9FFA"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956" w:type="dxa"/>
            <w:noWrap/>
            <w:vAlign w:val="center"/>
          </w:tcPr>
          <w:p w14:paraId="6CF8171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779" w:type="dxa"/>
            <w:noWrap/>
            <w:vAlign w:val="center"/>
          </w:tcPr>
          <w:p w14:paraId="049B461F"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8" w:type="dxa"/>
            <w:gridSpan w:val="2"/>
            <w:noWrap/>
            <w:vAlign w:val="center"/>
          </w:tcPr>
          <w:p w14:paraId="53DDC889"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914" w:type="dxa"/>
            <w:noWrap/>
            <w:vAlign w:val="center"/>
            <w:hideMark/>
          </w:tcPr>
          <w:p w14:paraId="7E630F3A" w14:textId="6D217F94"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1" w:type="dxa"/>
            <w:noWrap/>
            <w:vAlign w:val="center"/>
            <w:hideMark/>
          </w:tcPr>
          <w:p w14:paraId="394C0DA5" w14:textId="39284175"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r>
      <w:tr w:rsidR="00F225C5" w:rsidRPr="007A6B50" w14:paraId="46BC47B2"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204" w:type="dxa"/>
            <w:gridSpan w:val="2"/>
            <w:noWrap/>
            <w:vAlign w:val="center"/>
            <w:hideMark/>
          </w:tcPr>
          <w:p w14:paraId="6090AAB9" w14:textId="77777777" w:rsidR="00F225C5" w:rsidRPr="007A6B50" w:rsidRDefault="00F225C5" w:rsidP="005A771F">
            <w:pPr>
              <w:jc w:val="center"/>
              <w:rPr>
                <w:rFonts w:asciiTheme="minorHAnsi" w:eastAsia="Times New Roman" w:hAnsiTheme="minorHAnsi" w:cstheme="minorHAnsi"/>
                <w:b w:val="0"/>
                <w:bCs w:val="0"/>
                <w:sz w:val="16"/>
                <w:szCs w:val="16"/>
                <w:lang w:eastAsia="es-GT"/>
              </w:rPr>
            </w:pPr>
            <w:r w:rsidRPr="007A6B50">
              <w:rPr>
                <w:rFonts w:asciiTheme="minorHAnsi" w:eastAsia="Times New Roman" w:hAnsiTheme="minorHAnsi" w:cstheme="minorHAnsi"/>
                <w:sz w:val="16"/>
                <w:szCs w:val="16"/>
                <w:lang w:eastAsia="es-GT"/>
              </w:rPr>
              <w:t>Total CODEDE</w:t>
            </w:r>
          </w:p>
        </w:tc>
        <w:tc>
          <w:tcPr>
            <w:tcW w:w="874" w:type="dxa"/>
            <w:noWrap/>
            <w:vAlign w:val="center"/>
            <w:hideMark/>
          </w:tcPr>
          <w:p w14:paraId="28F26DA0"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4,664</w:t>
            </w:r>
          </w:p>
        </w:tc>
        <w:tc>
          <w:tcPr>
            <w:tcW w:w="1013" w:type="dxa"/>
            <w:noWrap/>
            <w:vAlign w:val="center"/>
            <w:hideMark/>
          </w:tcPr>
          <w:p w14:paraId="7764549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5,295.78</w:t>
            </w:r>
          </w:p>
        </w:tc>
        <w:tc>
          <w:tcPr>
            <w:tcW w:w="849" w:type="dxa"/>
            <w:noWrap/>
            <w:vAlign w:val="center"/>
            <w:hideMark/>
          </w:tcPr>
          <w:p w14:paraId="5F0EDB6F"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2173</w:t>
            </w:r>
          </w:p>
        </w:tc>
        <w:tc>
          <w:tcPr>
            <w:tcW w:w="982" w:type="dxa"/>
            <w:noWrap/>
            <w:vAlign w:val="center"/>
            <w:hideMark/>
          </w:tcPr>
          <w:p w14:paraId="5805076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2,801.39</w:t>
            </w:r>
          </w:p>
        </w:tc>
        <w:tc>
          <w:tcPr>
            <w:tcW w:w="849" w:type="dxa"/>
            <w:noWrap/>
            <w:vAlign w:val="center"/>
            <w:hideMark/>
          </w:tcPr>
          <w:p w14:paraId="53FA6265"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3,632</w:t>
            </w:r>
          </w:p>
        </w:tc>
        <w:tc>
          <w:tcPr>
            <w:tcW w:w="956" w:type="dxa"/>
            <w:noWrap/>
            <w:vAlign w:val="center"/>
            <w:hideMark/>
          </w:tcPr>
          <w:p w14:paraId="479DA451"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3,837.26</w:t>
            </w:r>
          </w:p>
        </w:tc>
        <w:tc>
          <w:tcPr>
            <w:tcW w:w="779" w:type="dxa"/>
            <w:noWrap/>
            <w:vAlign w:val="center"/>
            <w:hideMark/>
          </w:tcPr>
          <w:p w14:paraId="05B59949"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3159</w:t>
            </w:r>
          </w:p>
        </w:tc>
        <w:tc>
          <w:tcPr>
            <w:tcW w:w="858" w:type="dxa"/>
            <w:gridSpan w:val="2"/>
            <w:noWrap/>
            <w:vAlign w:val="center"/>
            <w:hideMark/>
          </w:tcPr>
          <w:p w14:paraId="22C6418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2,373.35</w:t>
            </w:r>
          </w:p>
        </w:tc>
        <w:tc>
          <w:tcPr>
            <w:tcW w:w="914" w:type="dxa"/>
            <w:noWrap/>
            <w:vAlign w:val="center"/>
            <w:hideMark/>
          </w:tcPr>
          <w:p w14:paraId="2ACD1191"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61.85%</w:t>
            </w:r>
          </w:p>
        </w:tc>
        <w:tc>
          <w:tcPr>
            <w:tcW w:w="851" w:type="dxa"/>
            <w:noWrap/>
            <w:vAlign w:val="center"/>
            <w:hideMark/>
          </w:tcPr>
          <w:p w14:paraId="1827B7A1"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6"/>
                <w:szCs w:val="14"/>
              </w:rPr>
            </w:pPr>
            <w:r w:rsidRPr="007A6B50">
              <w:rPr>
                <w:rFonts w:asciiTheme="minorHAnsi" w:hAnsiTheme="minorHAnsi" w:cstheme="minorHAnsi"/>
                <w:b/>
                <w:bCs/>
                <w:sz w:val="16"/>
                <w:szCs w:val="14"/>
              </w:rPr>
              <w:t>82.96%</w:t>
            </w:r>
          </w:p>
        </w:tc>
      </w:tr>
      <w:tr w:rsidR="00F225C5" w:rsidRPr="007A6B50" w14:paraId="08AABDC3"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restart"/>
            <w:noWrap/>
            <w:vAlign w:val="center"/>
            <w:hideMark/>
          </w:tcPr>
          <w:p w14:paraId="401757F2" w14:textId="77777777" w:rsidR="00F225C5" w:rsidRPr="007A6B50" w:rsidRDefault="00F225C5" w:rsidP="005A771F">
            <w:pPr>
              <w:jc w:val="center"/>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Gobiernos Locales</w:t>
            </w:r>
          </w:p>
        </w:tc>
        <w:tc>
          <w:tcPr>
            <w:tcW w:w="2189" w:type="dxa"/>
            <w:noWrap/>
            <w:vAlign w:val="center"/>
            <w:hideMark/>
          </w:tcPr>
          <w:p w14:paraId="5A95C869"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hAnsiTheme="minorHAnsi" w:cstheme="minorHAnsi"/>
                <w:sz w:val="16"/>
                <w:szCs w:val="14"/>
              </w:rPr>
              <w:t>Aprobado</w:t>
            </w:r>
          </w:p>
        </w:tc>
        <w:tc>
          <w:tcPr>
            <w:tcW w:w="874" w:type="dxa"/>
            <w:noWrap/>
            <w:vAlign w:val="center"/>
            <w:hideMark/>
          </w:tcPr>
          <w:p w14:paraId="3F365AC2"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10,757</w:t>
            </w:r>
          </w:p>
        </w:tc>
        <w:tc>
          <w:tcPr>
            <w:tcW w:w="1013" w:type="dxa"/>
            <w:noWrap/>
            <w:vAlign w:val="center"/>
            <w:hideMark/>
          </w:tcPr>
          <w:p w14:paraId="23448C8F"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8,211.78</w:t>
            </w:r>
          </w:p>
        </w:tc>
        <w:tc>
          <w:tcPr>
            <w:tcW w:w="849" w:type="dxa"/>
            <w:noWrap/>
            <w:vAlign w:val="center"/>
            <w:hideMark/>
          </w:tcPr>
          <w:p w14:paraId="17D119C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5,446</w:t>
            </w:r>
          </w:p>
        </w:tc>
        <w:tc>
          <w:tcPr>
            <w:tcW w:w="982" w:type="dxa"/>
            <w:noWrap/>
            <w:vAlign w:val="center"/>
            <w:hideMark/>
          </w:tcPr>
          <w:p w14:paraId="4BD59F62"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5,664.83</w:t>
            </w:r>
          </w:p>
        </w:tc>
        <w:tc>
          <w:tcPr>
            <w:tcW w:w="849" w:type="dxa"/>
            <w:noWrap/>
            <w:vAlign w:val="center"/>
            <w:hideMark/>
          </w:tcPr>
          <w:p w14:paraId="5D505B2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5,445</w:t>
            </w:r>
          </w:p>
        </w:tc>
        <w:tc>
          <w:tcPr>
            <w:tcW w:w="956" w:type="dxa"/>
            <w:noWrap/>
            <w:vAlign w:val="center"/>
            <w:hideMark/>
          </w:tcPr>
          <w:p w14:paraId="6EC4C35F"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5,664.38</w:t>
            </w:r>
          </w:p>
        </w:tc>
        <w:tc>
          <w:tcPr>
            <w:tcW w:w="779" w:type="dxa"/>
            <w:noWrap/>
            <w:vAlign w:val="center"/>
            <w:hideMark/>
          </w:tcPr>
          <w:p w14:paraId="0D88112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4,679</w:t>
            </w:r>
          </w:p>
        </w:tc>
        <w:tc>
          <w:tcPr>
            <w:tcW w:w="858" w:type="dxa"/>
            <w:gridSpan w:val="2"/>
            <w:noWrap/>
            <w:vAlign w:val="center"/>
            <w:hideMark/>
          </w:tcPr>
          <w:p w14:paraId="380769A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3,510.65</w:t>
            </w:r>
          </w:p>
        </w:tc>
        <w:tc>
          <w:tcPr>
            <w:tcW w:w="914" w:type="dxa"/>
            <w:noWrap/>
            <w:vAlign w:val="center"/>
            <w:hideMark/>
          </w:tcPr>
          <w:p w14:paraId="0F6BF226"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61.98%</w:t>
            </w:r>
          </w:p>
        </w:tc>
        <w:tc>
          <w:tcPr>
            <w:tcW w:w="851" w:type="dxa"/>
            <w:noWrap/>
            <w:vAlign w:val="center"/>
            <w:hideMark/>
          </w:tcPr>
          <w:p w14:paraId="3B35592C"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68.97%</w:t>
            </w:r>
          </w:p>
        </w:tc>
      </w:tr>
      <w:tr w:rsidR="00F225C5" w:rsidRPr="007A6B50" w14:paraId="2DD29311"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193E8DFA"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0FD962C6"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hAnsiTheme="minorHAnsi" w:cstheme="minorHAnsi"/>
                <w:sz w:val="16"/>
                <w:szCs w:val="14"/>
              </w:rPr>
              <w:t>Aprobado (No aplica evaluación)</w:t>
            </w:r>
          </w:p>
        </w:tc>
        <w:tc>
          <w:tcPr>
            <w:tcW w:w="874" w:type="dxa"/>
            <w:noWrap/>
            <w:vAlign w:val="center"/>
            <w:hideMark/>
          </w:tcPr>
          <w:p w14:paraId="21AF0D30"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42</w:t>
            </w:r>
          </w:p>
        </w:tc>
        <w:tc>
          <w:tcPr>
            <w:tcW w:w="1013" w:type="dxa"/>
            <w:noWrap/>
            <w:vAlign w:val="center"/>
            <w:hideMark/>
          </w:tcPr>
          <w:p w14:paraId="5399BA4F"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110.46</w:t>
            </w:r>
          </w:p>
        </w:tc>
        <w:tc>
          <w:tcPr>
            <w:tcW w:w="849" w:type="dxa"/>
            <w:noWrap/>
            <w:vAlign w:val="center"/>
            <w:hideMark/>
          </w:tcPr>
          <w:p w14:paraId="4B8D5AA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22</w:t>
            </w:r>
          </w:p>
        </w:tc>
        <w:tc>
          <w:tcPr>
            <w:tcW w:w="982" w:type="dxa"/>
            <w:noWrap/>
            <w:vAlign w:val="center"/>
            <w:hideMark/>
          </w:tcPr>
          <w:p w14:paraId="08DC102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67.30</w:t>
            </w:r>
          </w:p>
        </w:tc>
        <w:tc>
          <w:tcPr>
            <w:tcW w:w="849" w:type="dxa"/>
            <w:noWrap/>
            <w:vAlign w:val="center"/>
            <w:hideMark/>
          </w:tcPr>
          <w:p w14:paraId="7D64DE04"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22</w:t>
            </w:r>
          </w:p>
        </w:tc>
        <w:tc>
          <w:tcPr>
            <w:tcW w:w="956" w:type="dxa"/>
            <w:noWrap/>
            <w:vAlign w:val="center"/>
            <w:hideMark/>
          </w:tcPr>
          <w:p w14:paraId="21A63997"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67.30</w:t>
            </w:r>
          </w:p>
        </w:tc>
        <w:tc>
          <w:tcPr>
            <w:tcW w:w="779" w:type="dxa"/>
            <w:noWrap/>
            <w:vAlign w:val="center"/>
            <w:hideMark/>
          </w:tcPr>
          <w:p w14:paraId="00FC0C55"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21</w:t>
            </w:r>
          </w:p>
        </w:tc>
        <w:tc>
          <w:tcPr>
            <w:tcW w:w="858" w:type="dxa"/>
            <w:gridSpan w:val="2"/>
            <w:noWrap/>
            <w:vAlign w:val="center"/>
            <w:hideMark/>
          </w:tcPr>
          <w:p w14:paraId="6071CE60"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34.70</w:t>
            </w:r>
          </w:p>
        </w:tc>
        <w:tc>
          <w:tcPr>
            <w:tcW w:w="914" w:type="dxa"/>
            <w:noWrap/>
            <w:vAlign w:val="center"/>
            <w:hideMark/>
          </w:tcPr>
          <w:p w14:paraId="09072D3E"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51.56%</w:t>
            </w:r>
          </w:p>
        </w:tc>
        <w:tc>
          <w:tcPr>
            <w:tcW w:w="851" w:type="dxa"/>
            <w:noWrap/>
            <w:vAlign w:val="center"/>
            <w:hideMark/>
          </w:tcPr>
          <w:p w14:paraId="735F65D5"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92.56%</w:t>
            </w:r>
          </w:p>
        </w:tc>
      </w:tr>
      <w:tr w:rsidR="00F225C5" w:rsidRPr="007A6B50" w14:paraId="75E3DC29"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0260C23B"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5507F6BF"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hAnsiTheme="minorHAnsi" w:cstheme="minorHAnsi"/>
                <w:sz w:val="16"/>
                <w:szCs w:val="14"/>
              </w:rPr>
              <w:t>Con requisitos pendientes</w:t>
            </w:r>
          </w:p>
        </w:tc>
        <w:tc>
          <w:tcPr>
            <w:tcW w:w="874" w:type="dxa"/>
            <w:noWrap/>
            <w:vAlign w:val="center"/>
            <w:hideMark/>
          </w:tcPr>
          <w:p w14:paraId="2D91E8C3"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6</w:t>
            </w:r>
          </w:p>
        </w:tc>
        <w:tc>
          <w:tcPr>
            <w:tcW w:w="1013" w:type="dxa"/>
            <w:noWrap/>
            <w:vAlign w:val="center"/>
            <w:hideMark/>
          </w:tcPr>
          <w:p w14:paraId="519B567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2.12</w:t>
            </w:r>
          </w:p>
        </w:tc>
        <w:tc>
          <w:tcPr>
            <w:tcW w:w="849" w:type="dxa"/>
            <w:noWrap/>
            <w:vAlign w:val="center"/>
            <w:hideMark/>
          </w:tcPr>
          <w:p w14:paraId="4F519E2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w:t>
            </w:r>
          </w:p>
        </w:tc>
        <w:tc>
          <w:tcPr>
            <w:tcW w:w="982" w:type="dxa"/>
            <w:noWrap/>
            <w:vAlign w:val="center"/>
            <w:hideMark/>
          </w:tcPr>
          <w:p w14:paraId="092C0B9E"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0.83</w:t>
            </w:r>
          </w:p>
        </w:tc>
        <w:tc>
          <w:tcPr>
            <w:tcW w:w="849" w:type="dxa"/>
            <w:noWrap/>
            <w:vAlign w:val="center"/>
            <w:hideMark/>
          </w:tcPr>
          <w:p w14:paraId="79C665A4"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3</w:t>
            </w:r>
          </w:p>
        </w:tc>
        <w:tc>
          <w:tcPr>
            <w:tcW w:w="956" w:type="dxa"/>
            <w:noWrap/>
            <w:vAlign w:val="center"/>
            <w:hideMark/>
          </w:tcPr>
          <w:p w14:paraId="4B363C17"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0.83</w:t>
            </w:r>
          </w:p>
        </w:tc>
        <w:tc>
          <w:tcPr>
            <w:tcW w:w="779" w:type="dxa"/>
            <w:noWrap/>
            <w:vAlign w:val="center"/>
            <w:hideMark/>
          </w:tcPr>
          <w:p w14:paraId="7AAC0D67"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8" w:type="dxa"/>
            <w:gridSpan w:val="2"/>
            <w:noWrap/>
            <w:vAlign w:val="center"/>
            <w:hideMark/>
          </w:tcPr>
          <w:p w14:paraId="358B1A76"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914" w:type="dxa"/>
            <w:noWrap/>
            <w:vAlign w:val="center"/>
            <w:hideMark/>
          </w:tcPr>
          <w:p w14:paraId="3482E607" w14:textId="58640689"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c>
          <w:tcPr>
            <w:tcW w:w="851" w:type="dxa"/>
            <w:noWrap/>
            <w:vAlign w:val="center"/>
            <w:hideMark/>
          </w:tcPr>
          <w:p w14:paraId="1CBF671F" w14:textId="105B983B"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4"/>
              </w:rPr>
            </w:pPr>
          </w:p>
        </w:tc>
      </w:tr>
      <w:tr w:rsidR="00F225C5" w:rsidRPr="007A6B50" w14:paraId="423DEFE1"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015" w:type="dxa"/>
            <w:vMerge/>
            <w:vAlign w:val="center"/>
            <w:hideMark/>
          </w:tcPr>
          <w:p w14:paraId="4182112C" w14:textId="77777777" w:rsidR="00F225C5" w:rsidRPr="007A6B50" w:rsidRDefault="00F225C5" w:rsidP="005A771F">
            <w:pPr>
              <w:jc w:val="center"/>
              <w:rPr>
                <w:rFonts w:asciiTheme="minorHAnsi" w:eastAsia="Times New Roman" w:hAnsiTheme="minorHAnsi" w:cstheme="minorHAnsi"/>
                <w:sz w:val="16"/>
                <w:szCs w:val="16"/>
                <w:lang w:eastAsia="es-GT"/>
              </w:rPr>
            </w:pPr>
          </w:p>
        </w:tc>
        <w:tc>
          <w:tcPr>
            <w:tcW w:w="2189" w:type="dxa"/>
            <w:noWrap/>
            <w:vAlign w:val="center"/>
            <w:hideMark/>
          </w:tcPr>
          <w:p w14:paraId="35D99DA0"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hAnsiTheme="minorHAnsi" w:cstheme="minorHAnsi"/>
                <w:sz w:val="16"/>
                <w:szCs w:val="14"/>
              </w:rPr>
              <w:t>No recibido oficialmente</w:t>
            </w:r>
          </w:p>
        </w:tc>
        <w:tc>
          <w:tcPr>
            <w:tcW w:w="874" w:type="dxa"/>
            <w:noWrap/>
            <w:vAlign w:val="center"/>
            <w:hideMark/>
          </w:tcPr>
          <w:p w14:paraId="7880D864"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2006</w:t>
            </w:r>
          </w:p>
        </w:tc>
        <w:tc>
          <w:tcPr>
            <w:tcW w:w="1013" w:type="dxa"/>
            <w:noWrap/>
            <w:vAlign w:val="center"/>
            <w:hideMark/>
          </w:tcPr>
          <w:p w14:paraId="01FA694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1,453.49</w:t>
            </w:r>
          </w:p>
        </w:tc>
        <w:tc>
          <w:tcPr>
            <w:tcW w:w="849" w:type="dxa"/>
            <w:noWrap/>
            <w:vAlign w:val="center"/>
            <w:hideMark/>
          </w:tcPr>
          <w:p w14:paraId="7EA62A8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103</w:t>
            </w:r>
          </w:p>
        </w:tc>
        <w:tc>
          <w:tcPr>
            <w:tcW w:w="982" w:type="dxa"/>
            <w:noWrap/>
            <w:vAlign w:val="center"/>
            <w:hideMark/>
          </w:tcPr>
          <w:p w14:paraId="47BB47EE"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72.96</w:t>
            </w:r>
          </w:p>
        </w:tc>
        <w:tc>
          <w:tcPr>
            <w:tcW w:w="849" w:type="dxa"/>
            <w:noWrap/>
            <w:vAlign w:val="center"/>
            <w:hideMark/>
          </w:tcPr>
          <w:p w14:paraId="76C344CF"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103</w:t>
            </w:r>
          </w:p>
        </w:tc>
        <w:tc>
          <w:tcPr>
            <w:tcW w:w="956" w:type="dxa"/>
            <w:noWrap/>
            <w:vAlign w:val="center"/>
            <w:hideMark/>
          </w:tcPr>
          <w:p w14:paraId="3C33A0C0"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72.96</w:t>
            </w:r>
          </w:p>
        </w:tc>
        <w:tc>
          <w:tcPr>
            <w:tcW w:w="779" w:type="dxa"/>
            <w:noWrap/>
            <w:vAlign w:val="center"/>
            <w:hideMark/>
          </w:tcPr>
          <w:p w14:paraId="23AAC0C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22</w:t>
            </w:r>
          </w:p>
        </w:tc>
        <w:tc>
          <w:tcPr>
            <w:tcW w:w="858" w:type="dxa"/>
            <w:gridSpan w:val="2"/>
            <w:noWrap/>
            <w:vAlign w:val="center"/>
            <w:hideMark/>
          </w:tcPr>
          <w:p w14:paraId="68B2D375"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16.09</w:t>
            </w:r>
          </w:p>
        </w:tc>
        <w:tc>
          <w:tcPr>
            <w:tcW w:w="914" w:type="dxa"/>
            <w:noWrap/>
            <w:vAlign w:val="center"/>
            <w:hideMark/>
          </w:tcPr>
          <w:p w14:paraId="2F6713AF"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22.05%</w:t>
            </w:r>
          </w:p>
        </w:tc>
        <w:tc>
          <w:tcPr>
            <w:tcW w:w="851" w:type="dxa"/>
            <w:noWrap/>
            <w:vAlign w:val="center"/>
            <w:hideMark/>
          </w:tcPr>
          <w:p w14:paraId="206AF4CC"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4"/>
              </w:rPr>
            </w:pPr>
            <w:r w:rsidRPr="007A6B50">
              <w:rPr>
                <w:rFonts w:asciiTheme="minorHAnsi" w:hAnsiTheme="minorHAnsi" w:cstheme="minorHAnsi"/>
                <w:sz w:val="16"/>
                <w:szCs w:val="14"/>
              </w:rPr>
              <w:t>17.58%</w:t>
            </w:r>
          </w:p>
        </w:tc>
      </w:tr>
      <w:tr w:rsidR="00F225C5" w:rsidRPr="007A6B50" w14:paraId="2E4F270A" w14:textId="77777777" w:rsidTr="005A771F">
        <w:trPr>
          <w:trHeight w:val="271"/>
          <w:jc w:val="center"/>
        </w:trPr>
        <w:tc>
          <w:tcPr>
            <w:cnfStyle w:val="001000000000" w:firstRow="0" w:lastRow="0" w:firstColumn="1" w:lastColumn="0" w:oddVBand="0" w:evenVBand="0" w:oddHBand="0" w:evenHBand="0" w:firstRowFirstColumn="0" w:firstRowLastColumn="0" w:lastRowFirstColumn="0" w:lastRowLastColumn="0"/>
            <w:tcW w:w="4204" w:type="dxa"/>
            <w:gridSpan w:val="2"/>
            <w:noWrap/>
            <w:vAlign w:val="center"/>
            <w:hideMark/>
          </w:tcPr>
          <w:p w14:paraId="5D28664D" w14:textId="77777777" w:rsidR="00F225C5" w:rsidRPr="007A6B50" w:rsidRDefault="00F225C5" w:rsidP="005A771F">
            <w:pPr>
              <w:jc w:val="center"/>
              <w:rPr>
                <w:rFonts w:asciiTheme="minorHAnsi" w:eastAsia="Times New Roman" w:hAnsiTheme="minorHAnsi" w:cstheme="minorHAnsi"/>
                <w:b w:val="0"/>
                <w:bCs w:val="0"/>
                <w:sz w:val="16"/>
                <w:szCs w:val="16"/>
                <w:lang w:eastAsia="es-GT"/>
              </w:rPr>
            </w:pPr>
            <w:r w:rsidRPr="007A6B50">
              <w:rPr>
                <w:rFonts w:asciiTheme="minorHAnsi" w:eastAsia="Times New Roman" w:hAnsiTheme="minorHAnsi" w:cstheme="minorHAnsi"/>
                <w:sz w:val="16"/>
                <w:szCs w:val="16"/>
                <w:lang w:eastAsia="es-GT"/>
              </w:rPr>
              <w:t>Total Gobiernos Locales</w:t>
            </w:r>
          </w:p>
        </w:tc>
        <w:tc>
          <w:tcPr>
            <w:tcW w:w="874" w:type="dxa"/>
            <w:noWrap/>
            <w:vAlign w:val="center"/>
            <w:hideMark/>
          </w:tcPr>
          <w:p w14:paraId="71E97076"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12,811</w:t>
            </w:r>
          </w:p>
        </w:tc>
        <w:tc>
          <w:tcPr>
            <w:tcW w:w="1013" w:type="dxa"/>
            <w:noWrap/>
            <w:vAlign w:val="center"/>
            <w:hideMark/>
          </w:tcPr>
          <w:p w14:paraId="238C4C9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9,777.84</w:t>
            </w:r>
          </w:p>
        </w:tc>
        <w:tc>
          <w:tcPr>
            <w:tcW w:w="849" w:type="dxa"/>
            <w:noWrap/>
            <w:vAlign w:val="center"/>
            <w:hideMark/>
          </w:tcPr>
          <w:p w14:paraId="58620727"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5574</w:t>
            </w:r>
          </w:p>
        </w:tc>
        <w:tc>
          <w:tcPr>
            <w:tcW w:w="982" w:type="dxa"/>
            <w:noWrap/>
            <w:vAlign w:val="center"/>
            <w:hideMark/>
          </w:tcPr>
          <w:p w14:paraId="43B95103"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5,805.92</w:t>
            </w:r>
          </w:p>
        </w:tc>
        <w:tc>
          <w:tcPr>
            <w:tcW w:w="849" w:type="dxa"/>
            <w:noWrap/>
            <w:vAlign w:val="center"/>
            <w:hideMark/>
          </w:tcPr>
          <w:p w14:paraId="3765C4DF"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5,573</w:t>
            </w:r>
          </w:p>
        </w:tc>
        <w:tc>
          <w:tcPr>
            <w:tcW w:w="956" w:type="dxa"/>
            <w:noWrap/>
            <w:vAlign w:val="center"/>
            <w:hideMark/>
          </w:tcPr>
          <w:p w14:paraId="563E5E40"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5,805.47</w:t>
            </w:r>
          </w:p>
        </w:tc>
        <w:tc>
          <w:tcPr>
            <w:tcW w:w="779" w:type="dxa"/>
            <w:noWrap/>
            <w:vAlign w:val="center"/>
            <w:hideMark/>
          </w:tcPr>
          <w:p w14:paraId="31B2A2C7"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4722</w:t>
            </w:r>
          </w:p>
        </w:tc>
        <w:tc>
          <w:tcPr>
            <w:tcW w:w="858" w:type="dxa"/>
            <w:gridSpan w:val="2"/>
            <w:noWrap/>
            <w:vAlign w:val="center"/>
            <w:hideMark/>
          </w:tcPr>
          <w:p w14:paraId="2D1B8ADB" w14:textId="77777777" w:rsidR="00F225C5" w:rsidRPr="007A6B50" w:rsidRDefault="00F225C5" w:rsidP="005A771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3,561.44</w:t>
            </w:r>
          </w:p>
        </w:tc>
        <w:tc>
          <w:tcPr>
            <w:tcW w:w="914" w:type="dxa"/>
            <w:noWrap/>
            <w:vAlign w:val="center"/>
            <w:hideMark/>
          </w:tcPr>
          <w:p w14:paraId="14AAAFE1"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61.35%</w:t>
            </w:r>
          </w:p>
        </w:tc>
        <w:tc>
          <w:tcPr>
            <w:tcW w:w="851" w:type="dxa"/>
            <w:noWrap/>
            <w:vAlign w:val="center"/>
            <w:hideMark/>
          </w:tcPr>
          <w:p w14:paraId="732A06AE" w14:textId="77777777" w:rsidR="00F225C5" w:rsidRPr="007A6B50" w:rsidRDefault="00F225C5" w:rsidP="005A77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68.07%</w:t>
            </w:r>
          </w:p>
        </w:tc>
      </w:tr>
      <w:tr w:rsidR="00F225C5" w:rsidRPr="007A6B50" w14:paraId="4573AEC0" w14:textId="77777777" w:rsidTr="005A77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204" w:type="dxa"/>
            <w:gridSpan w:val="2"/>
            <w:noWrap/>
            <w:vAlign w:val="center"/>
            <w:hideMark/>
          </w:tcPr>
          <w:p w14:paraId="2D997EC7" w14:textId="77777777" w:rsidR="00F225C5" w:rsidRPr="007A6B50" w:rsidRDefault="00F225C5" w:rsidP="005A771F">
            <w:pPr>
              <w:jc w:val="center"/>
              <w:rPr>
                <w:rFonts w:asciiTheme="minorHAnsi" w:eastAsia="Times New Roman" w:hAnsiTheme="minorHAnsi" w:cstheme="minorHAnsi"/>
                <w:b w:val="0"/>
                <w:bCs w:val="0"/>
                <w:sz w:val="16"/>
                <w:szCs w:val="16"/>
                <w:lang w:eastAsia="es-GT"/>
              </w:rPr>
            </w:pPr>
            <w:r w:rsidRPr="007A6B50">
              <w:rPr>
                <w:rFonts w:asciiTheme="minorHAnsi" w:eastAsia="Times New Roman" w:hAnsiTheme="minorHAnsi" w:cstheme="minorHAnsi"/>
                <w:sz w:val="16"/>
                <w:szCs w:val="16"/>
                <w:lang w:eastAsia="es-GT"/>
              </w:rPr>
              <w:t>Total</w:t>
            </w:r>
          </w:p>
        </w:tc>
        <w:tc>
          <w:tcPr>
            <w:tcW w:w="874" w:type="dxa"/>
            <w:noWrap/>
            <w:vAlign w:val="center"/>
            <w:hideMark/>
          </w:tcPr>
          <w:p w14:paraId="74A17174"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18,635</w:t>
            </w:r>
          </w:p>
        </w:tc>
        <w:tc>
          <w:tcPr>
            <w:tcW w:w="1013" w:type="dxa"/>
            <w:noWrap/>
            <w:vAlign w:val="center"/>
            <w:hideMark/>
          </w:tcPr>
          <w:p w14:paraId="708A752F"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27,685.76</w:t>
            </w:r>
          </w:p>
        </w:tc>
        <w:tc>
          <w:tcPr>
            <w:tcW w:w="849" w:type="dxa"/>
            <w:noWrap/>
            <w:vAlign w:val="center"/>
            <w:hideMark/>
          </w:tcPr>
          <w:p w14:paraId="0ABE8AA2"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8,021</w:t>
            </w:r>
          </w:p>
        </w:tc>
        <w:tc>
          <w:tcPr>
            <w:tcW w:w="982" w:type="dxa"/>
            <w:noWrap/>
            <w:vAlign w:val="center"/>
            <w:hideMark/>
          </w:tcPr>
          <w:p w14:paraId="4AD91462"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11,943.69</w:t>
            </w:r>
          </w:p>
        </w:tc>
        <w:tc>
          <w:tcPr>
            <w:tcW w:w="849" w:type="dxa"/>
            <w:noWrap/>
            <w:vAlign w:val="center"/>
            <w:hideMark/>
          </w:tcPr>
          <w:p w14:paraId="04EFE1E6"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9,812</w:t>
            </w:r>
          </w:p>
        </w:tc>
        <w:tc>
          <w:tcPr>
            <w:tcW w:w="956" w:type="dxa"/>
            <w:noWrap/>
            <w:vAlign w:val="center"/>
            <w:hideMark/>
          </w:tcPr>
          <w:p w14:paraId="01B9F66C"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14,608.59</w:t>
            </w:r>
          </w:p>
        </w:tc>
        <w:tc>
          <w:tcPr>
            <w:tcW w:w="779" w:type="dxa"/>
            <w:noWrap/>
            <w:vAlign w:val="center"/>
            <w:hideMark/>
          </w:tcPr>
          <w:p w14:paraId="562F33BF"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8,320</w:t>
            </w:r>
          </w:p>
        </w:tc>
        <w:tc>
          <w:tcPr>
            <w:tcW w:w="858" w:type="dxa"/>
            <w:gridSpan w:val="2"/>
            <w:noWrap/>
            <w:vAlign w:val="center"/>
            <w:hideMark/>
          </w:tcPr>
          <w:p w14:paraId="6BE10E2A" w14:textId="77777777" w:rsidR="00F225C5" w:rsidRPr="007A6B50" w:rsidRDefault="00F225C5" w:rsidP="005A771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9,542.27</w:t>
            </w:r>
          </w:p>
        </w:tc>
        <w:tc>
          <w:tcPr>
            <w:tcW w:w="914" w:type="dxa"/>
            <w:noWrap/>
            <w:vAlign w:val="center"/>
            <w:hideMark/>
          </w:tcPr>
          <w:p w14:paraId="33E941B1"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65.32%</w:t>
            </w:r>
          </w:p>
        </w:tc>
        <w:tc>
          <w:tcPr>
            <w:tcW w:w="851" w:type="dxa"/>
            <w:noWrap/>
            <w:vAlign w:val="center"/>
            <w:hideMark/>
          </w:tcPr>
          <w:p w14:paraId="1689F473" w14:textId="77777777" w:rsidR="00F225C5" w:rsidRPr="007A6B50" w:rsidRDefault="00F225C5" w:rsidP="005A77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4"/>
              </w:rPr>
            </w:pPr>
            <w:r w:rsidRPr="007A6B50">
              <w:rPr>
                <w:rFonts w:asciiTheme="minorHAnsi" w:hAnsiTheme="minorHAnsi" w:cstheme="minorHAnsi"/>
                <w:b/>
                <w:sz w:val="16"/>
                <w:szCs w:val="14"/>
              </w:rPr>
              <w:t>72.64%</w:t>
            </w:r>
          </w:p>
        </w:tc>
      </w:tr>
    </w:tbl>
    <w:p w14:paraId="0F9766D8" w14:textId="45BC60B2" w:rsidR="001912B8" w:rsidRPr="007A6B50" w:rsidRDefault="001912B8" w:rsidP="00CD281D">
      <w:pPr>
        <w:rPr>
          <w:rFonts w:cstheme="minorHAnsi"/>
          <w:sz w:val="18"/>
          <w:szCs w:val="18"/>
        </w:rPr>
        <w:sectPr w:rsidR="001912B8" w:rsidRPr="007A6B50" w:rsidSect="001912B8">
          <w:headerReference w:type="default" r:id="rId64"/>
          <w:footerReference w:type="default" r:id="rId65"/>
          <w:pgSz w:w="15840" w:h="12240" w:orient="landscape" w:code="1"/>
          <w:pgMar w:top="1134" w:right="1418" w:bottom="1701" w:left="1701" w:header="709" w:footer="709" w:gutter="0"/>
          <w:cols w:space="708"/>
          <w:docGrid w:linePitch="360"/>
        </w:sectPr>
      </w:pPr>
      <w:r w:rsidRPr="007A6B50">
        <w:rPr>
          <w:rFonts w:cstheme="minorHAnsi"/>
          <w:sz w:val="18"/>
          <w:szCs w:val="18"/>
        </w:rPr>
        <w:t>Fuente: elaboración SEGEPLAN con información del SINIP</w:t>
      </w:r>
      <w:r w:rsidR="00CD281D" w:rsidRPr="007A6B50">
        <w:rPr>
          <w:rFonts w:cstheme="minorHAnsi"/>
          <w:sz w:val="18"/>
          <w:szCs w:val="18"/>
        </w:rPr>
        <w:t>.</w:t>
      </w:r>
    </w:p>
    <w:p w14:paraId="333FC3DF" w14:textId="095F21AA" w:rsidR="005A771F" w:rsidRPr="007A6B50" w:rsidRDefault="001912B8" w:rsidP="005A771F">
      <w:pPr>
        <w:spacing w:before="120" w:after="120" w:line="240" w:lineRule="auto"/>
        <w:ind w:left="62"/>
        <w:jc w:val="both"/>
        <w:rPr>
          <w:rFonts w:cstheme="minorHAnsi"/>
          <w:color w:val="000000" w:themeColor="text1"/>
          <w:sz w:val="24"/>
          <w:szCs w:val="24"/>
          <w:lang w:val="es-MX"/>
        </w:rPr>
      </w:pPr>
      <w:r w:rsidRPr="007A6B50">
        <w:rPr>
          <w:rFonts w:cstheme="minorHAnsi"/>
          <w:color w:val="000000" w:themeColor="text1"/>
          <w:sz w:val="24"/>
          <w:szCs w:val="24"/>
          <w:lang w:val="es-MX"/>
        </w:rPr>
        <w:t>Aspectos importantes de los datos anteriores se indican a continuación:</w:t>
      </w:r>
    </w:p>
    <w:p w14:paraId="73A66FCC" w14:textId="77777777" w:rsidR="00CA2C69" w:rsidRPr="007A6B50" w:rsidRDefault="00CA2C69" w:rsidP="005A771F">
      <w:pPr>
        <w:numPr>
          <w:ilvl w:val="0"/>
          <w:numId w:val="22"/>
        </w:numPr>
        <w:spacing w:before="120" w:after="120" w:line="240" w:lineRule="auto"/>
        <w:ind w:left="1495"/>
        <w:jc w:val="both"/>
        <w:rPr>
          <w:rFonts w:cstheme="minorHAnsi"/>
          <w:color w:val="000000" w:themeColor="text1"/>
          <w:sz w:val="24"/>
          <w:szCs w:val="24"/>
          <w:lang w:val="es-MX"/>
        </w:rPr>
      </w:pPr>
      <w:r w:rsidRPr="007A6B50">
        <w:rPr>
          <w:rFonts w:cstheme="minorHAnsi"/>
          <w:color w:val="000000" w:themeColor="text1"/>
          <w:sz w:val="24"/>
          <w:szCs w:val="24"/>
          <w:lang w:val="es-MX"/>
        </w:rPr>
        <w:t>De los grupos institucionales que presentan proyectos, que requieren resultado de opinión técnica de aprobado por SEGEPLAN, la Administración Central presenta el 70.68% de proyectos aprobados con respecto a la totalidad registrada, las entidades descentralizadas el 81.36% y los Consejos Departamentales de Desarrollo 81.46%. Por su parte, los proyectos de los Gobiernos Locales son autorizados por las propias DMP.</w:t>
      </w:r>
    </w:p>
    <w:p w14:paraId="6C286E9F" w14:textId="77777777" w:rsidR="00CA2C69" w:rsidRPr="007A6B50" w:rsidRDefault="00CA2C69" w:rsidP="005A771F">
      <w:pPr>
        <w:numPr>
          <w:ilvl w:val="0"/>
          <w:numId w:val="22"/>
        </w:numPr>
        <w:spacing w:before="120" w:after="120" w:line="240" w:lineRule="auto"/>
        <w:ind w:left="1495"/>
        <w:jc w:val="both"/>
        <w:rPr>
          <w:rFonts w:cstheme="minorHAnsi"/>
          <w:color w:val="000000" w:themeColor="text1"/>
          <w:sz w:val="24"/>
          <w:szCs w:val="24"/>
          <w:lang w:val="es-MX"/>
        </w:rPr>
      </w:pPr>
      <w:r w:rsidRPr="007A6B50">
        <w:rPr>
          <w:rFonts w:cstheme="minorHAnsi"/>
          <w:color w:val="000000" w:themeColor="text1"/>
          <w:sz w:val="24"/>
          <w:szCs w:val="24"/>
          <w:lang w:val="es-MX"/>
        </w:rPr>
        <w:t>Un total de 27 proyectos se encuentran pendientes de aprobación a la finalización del año 2022, 2 del grupo de Administración Central, 5 de las Entidades Descentralizadas, Autónomas y Empresas Públicas, 17 de Consejos de Desarrollo; los que tienen una asignación presupuestaria de 50.64 millones de Quetzales.</w:t>
      </w:r>
    </w:p>
    <w:p w14:paraId="7DFF7F9C" w14:textId="77777777" w:rsidR="00CA2C69" w:rsidRPr="007A6B50" w:rsidRDefault="00CA2C69" w:rsidP="005A771F">
      <w:pPr>
        <w:numPr>
          <w:ilvl w:val="0"/>
          <w:numId w:val="22"/>
        </w:numPr>
        <w:spacing w:before="120" w:after="120" w:line="240" w:lineRule="auto"/>
        <w:ind w:left="1495"/>
        <w:jc w:val="both"/>
        <w:rPr>
          <w:rFonts w:cstheme="minorHAnsi"/>
          <w:color w:val="000000" w:themeColor="text1"/>
          <w:sz w:val="24"/>
          <w:szCs w:val="24"/>
          <w:lang w:val="es-MX"/>
        </w:rPr>
      </w:pPr>
      <w:r w:rsidRPr="007A6B50">
        <w:rPr>
          <w:rFonts w:cstheme="minorHAnsi"/>
          <w:color w:val="000000" w:themeColor="text1"/>
          <w:sz w:val="24"/>
          <w:szCs w:val="24"/>
          <w:lang w:val="es-MX"/>
        </w:rPr>
        <w:t>En cuanto a la asignación presupuestaria para su ejecución, la Administración Central a la finalización del tercer cuatrimestre, ha obtenido el 41.97% del monto registrado; las Entidades Descentralizadas, Autónomas y Empresas Públicas han tenido 27.51% del monto registrado y los proyectos de CODEDE el 72.46% del monto registrado.</w:t>
      </w:r>
    </w:p>
    <w:p w14:paraId="1CFC3B4F" w14:textId="257612C1" w:rsidR="00CA2C69" w:rsidRPr="007A6B50" w:rsidRDefault="00CA2C69" w:rsidP="005A771F">
      <w:pPr>
        <w:numPr>
          <w:ilvl w:val="0"/>
          <w:numId w:val="22"/>
        </w:numPr>
        <w:spacing w:before="120" w:after="120" w:line="240" w:lineRule="auto"/>
        <w:ind w:left="1495"/>
        <w:jc w:val="both"/>
        <w:rPr>
          <w:rFonts w:cstheme="minorHAnsi"/>
          <w:color w:val="000000" w:themeColor="text1"/>
          <w:sz w:val="24"/>
          <w:szCs w:val="24"/>
          <w:lang w:val="es-MX"/>
        </w:rPr>
      </w:pPr>
      <w:r w:rsidRPr="007A6B50">
        <w:rPr>
          <w:rFonts w:cstheme="minorHAnsi"/>
          <w:color w:val="000000" w:themeColor="text1"/>
          <w:sz w:val="24"/>
          <w:szCs w:val="24"/>
          <w:lang w:val="es-MX"/>
        </w:rPr>
        <w:t xml:space="preserve">Los avances financieros de los proyectos registrados por las Entidades Públicas de Inversión -EPIS- en el SINIP, relacionan el presupuesto vigente con respecto a los montos ejecutados. Al final el tercer cuatrimestre estos datos suman un avance financiero del 65.32%. </w:t>
      </w:r>
      <w:r w:rsidRPr="007A6B50">
        <w:rPr>
          <w:rFonts w:cstheme="minorHAnsi"/>
          <w:strike/>
          <w:color w:val="000000" w:themeColor="text1"/>
          <w:sz w:val="24"/>
          <w:szCs w:val="24"/>
          <w:lang w:val="es-MX"/>
        </w:rPr>
        <w:t xml:space="preserve"> </w:t>
      </w:r>
    </w:p>
    <w:p w14:paraId="342266A6" w14:textId="013DDB4E" w:rsidR="001912B8" w:rsidRPr="0093034A" w:rsidRDefault="001912B8" w:rsidP="0093034A">
      <w:pPr>
        <w:jc w:val="both"/>
        <w:rPr>
          <w:rFonts w:eastAsiaTheme="majorEastAsia" w:cstheme="minorHAnsi"/>
          <w:b/>
          <w:color w:val="1F3864" w:themeColor="accent1" w:themeShade="80"/>
          <w:sz w:val="28"/>
          <w:szCs w:val="28"/>
        </w:rPr>
      </w:pPr>
      <w:bookmarkStart w:id="97" w:name="_Toc493600836"/>
      <w:bookmarkStart w:id="98" w:name="_Toc508090028"/>
      <w:bookmarkStart w:id="99" w:name="_Toc10119020"/>
      <w:bookmarkStart w:id="100" w:name="_Toc62718051"/>
      <w:r w:rsidRPr="007A6B50">
        <w:rPr>
          <w:rFonts w:eastAsiaTheme="majorEastAsia" w:cstheme="minorHAnsi"/>
          <w:b/>
          <w:color w:val="1F3864" w:themeColor="accent1" w:themeShade="80"/>
          <w:sz w:val="28"/>
          <w:szCs w:val="28"/>
        </w:rPr>
        <w:t>Proyectos de Inversión Pública registrados, con asignación y ejecutados por función</w:t>
      </w:r>
      <w:bookmarkEnd w:id="97"/>
      <w:bookmarkEnd w:id="98"/>
      <w:bookmarkEnd w:id="99"/>
      <w:bookmarkEnd w:id="100"/>
    </w:p>
    <w:p w14:paraId="1277FFB2" w14:textId="62C2E4F7" w:rsidR="003562C1" w:rsidRDefault="001912B8" w:rsidP="005A771F">
      <w:pPr>
        <w:spacing w:after="0" w:line="240" w:lineRule="auto"/>
        <w:jc w:val="both"/>
        <w:rPr>
          <w:rFonts w:cstheme="minorHAnsi"/>
          <w:color w:val="000000" w:themeColor="text1"/>
          <w:sz w:val="24"/>
          <w:szCs w:val="24"/>
          <w:lang w:val="es-MX"/>
        </w:rPr>
      </w:pPr>
      <w:r w:rsidRPr="007A6B50">
        <w:rPr>
          <w:rFonts w:cstheme="minorHAnsi"/>
          <w:color w:val="000000" w:themeColor="text1"/>
          <w:sz w:val="24"/>
          <w:szCs w:val="24"/>
          <w:lang w:val="es-MX"/>
        </w:rPr>
        <w:t xml:space="preserve">Con relación a los proyectos registrados y su orientación por función, </w:t>
      </w:r>
      <w:r w:rsidR="00316FAD" w:rsidRPr="007A6B50">
        <w:rPr>
          <w:rFonts w:cstheme="minorHAnsi"/>
          <w:color w:val="000000" w:themeColor="text1"/>
          <w:sz w:val="24"/>
          <w:szCs w:val="24"/>
          <w:lang w:val="es-MX"/>
        </w:rPr>
        <w:t>los datos se presentan</w:t>
      </w:r>
      <w:r w:rsidR="003B7B3E" w:rsidRPr="007A6B50">
        <w:rPr>
          <w:rFonts w:cstheme="minorHAnsi"/>
          <w:color w:val="000000" w:themeColor="text1"/>
          <w:sz w:val="24"/>
          <w:szCs w:val="24"/>
          <w:lang w:val="es-MX"/>
        </w:rPr>
        <w:t xml:space="preserve"> en</w:t>
      </w:r>
      <w:r w:rsidRPr="007A6B50">
        <w:rPr>
          <w:rFonts w:cstheme="minorHAnsi"/>
          <w:color w:val="000000" w:themeColor="text1"/>
          <w:sz w:val="24"/>
          <w:szCs w:val="24"/>
          <w:lang w:val="es-MX"/>
        </w:rPr>
        <w:t xml:space="preserve"> la gráfica</w:t>
      </w:r>
      <w:r w:rsidR="005A771F">
        <w:rPr>
          <w:rFonts w:cstheme="minorHAnsi"/>
          <w:color w:val="000000" w:themeColor="text1"/>
          <w:sz w:val="24"/>
          <w:szCs w:val="24"/>
          <w:lang w:val="es-MX"/>
        </w:rPr>
        <w:t xml:space="preserve"> siguiente:</w:t>
      </w:r>
    </w:p>
    <w:p w14:paraId="69D6CD41" w14:textId="77777777" w:rsidR="00A157BA" w:rsidRPr="007A6B50" w:rsidRDefault="00A157BA" w:rsidP="005A771F">
      <w:pPr>
        <w:spacing w:after="0" w:line="240" w:lineRule="auto"/>
        <w:jc w:val="both"/>
        <w:rPr>
          <w:rFonts w:cstheme="minorHAnsi"/>
          <w:color w:val="000000" w:themeColor="text1"/>
          <w:sz w:val="24"/>
          <w:szCs w:val="24"/>
          <w:lang w:val="es-MX"/>
        </w:rPr>
      </w:pPr>
    </w:p>
    <w:p w14:paraId="09D3DC42" w14:textId="6A7ABE3C" w:rsidR="003562C1" w:rsidRPr="007A6B50" w:rsidRDefault="00307F8F" w:rsidP="00A157BA">
      <w:pPr>
        <w:pStyle w:val="ttulosgrficas"/>
        <w:rPr>
          <w:rFonts w:asciiTheme="minorHAnsi" w:hAnsiTheme="minorHAnsi" w:cstheme="minorHAnsi"/>
          <w:color w:val="4472C4" w:themeColor="accent1"/>
        </w:rPr>
      </w:pPr>
      <w:bookmarkStart w:id="101" w:name="_Toc67377813"/>
      <w:bookmarkStart w:id="102" w:name="_Toc67381556"/>
      <w:bookmarkStart w:id="103" w:name="_Toc130204479"/>
      <w:r w:rsidRPr="007A6B50">
        <w:rPr>
          <w:rFonts w:asciiTheme="minorHAnsi" w:hAnsiTheme="minorHAnsi" w:cstheme="minorHAnsi"/>
          <w:color w:val="4472C4" w:themeColor="accent1"/>
        </w:rPr>
        <w:t xml:space="preserve">Gráfica </w:t>
      </w:r>
      <w:r w:rsidR="007F134F" w:rsidRPr="007A6B50">
        <w:rPr>
          <w:rFonts w:asciiTheme="minorHAnsi" w:hAnsiTheme="minorHAnsi" w:cstheme="minorHAnsi"/>
          <w:color w:val="4472C4" w:themeColor="accent1"/>
        </w:rPr>
        <w:fldChar w:fldCharType="begin"/>
      </w:r>
      <w:r w:rsidR="007F134F" w:rsidRPr="007A6B50">
        <w:rPr>
          <w:rFonts w:asciiTheme="minorHAnsi" w:hAnsiTheme="minorHAnsi" w:cstheme="minorHAnsi"/>
          <w:color w:val="4472C4" w:themeColor="accent1"/>
        </w:rPr>
        <w:instrText xml:space="preserve"> SEQ Gráfica \* ARABIC </w:instrText>
      </w:r>
      <w:r w:rsidR="007F134F" w:rsidRPr="007A6B50">
        <w:rPr>
          <w:rFonts w:asciiTheme="minorHAnsi" w:hAnsiTheme="minorHAnsi" w:cstheme="minorHAnsi"/>
          <w:color w:val="4472C4" w:themeColor="accent1"/>
        </w:rPr>
        <w:fldChar w:fldCharType="separate"/>
      </w:r>
      <w:r w:rsidR="00777974">
        <w:rPr>
          <w:rFonts w:asciiTheme="minorHAnsi" w:hAnsiTheme="minorHAnsi" w:cstheme="minorHAnsi"/>
          <w:noProof/>
          <w:color w:val="4472C4" w:themeColor="accent1"/>
        </w:rPr>
        <w:t>11</w:t>
      </w:r>
      <w:bookmarkEnd w:id="101"/>
      <w:bookmarkEnd w:id="102"/>
      <w:r w:rsidR="007F134F" w:rsidRPr="007A6B50">
        <w:rPr>
          <w:rFonts w:asciiTheme="minorHAnsi" w:hAnsiTheme="minorHAnsi" w:cstheme="minorHAnsi"/>
          <w:color w:val="4472C4" w:themeColor="accent1"/>
        </w:rPr>
        <w:fldChar w:fldCharType="end"/>
      </w:r>
      <w:r w:rsidR="005A771F">
        <w:rPr>
          <w:rFonts w:asciiTheme="minorHAnsi" w:hAnsiTheme="minorHAnsi" w:cstheme="minorHAnsi"/>
          <w:color w:val="4472C4" w:themeColor="accent1"/>
        </w:rPr>
        <w:t>.</w:t>
      </w:r>
      <w:r w:rsidR="003562C1" w:rsidRPr="007A6B50">
        <w:rPr>
          <w:rFonts w:asciiTheme="minorHAnsi" w:hAnsiTheme="minorHAnsi" w:cstheme="minorHAnsi"/>
          <w:color w:val="4472C4" w:themeColor="accent1"/>
        </w:rPr>
        <w:t xml:space="preserve"> </w:t>
      </w:r>
      <w:r w:rsidR="001912B8" w:rsidRPr="007A6B50">
        <w:rPr>
          <w:rFonts w:asciiTheme="minorHAnsi" w:hAnsiTheme="minorHAnsi" w:cstheme="minorHAnsi"/>
          <w:color w:val="4472C4" w:themeColor="accent1"/>
        </w:rPr>
        <w:t>Proyectos registrados, con asignación y ejecución,</w:t>
      </w:r>
      <w:bookmarkEnd w:id="103"/>
      <w:r w:rsidR="001912B8" w:rsidRPr="007A6B50">
        <w:rPr>
          <w:rFonts w:asciiTheme="minorHAnsi" w:hAnsiTheme="minorHAnsi" w:cstheme="minorHAnsi"/>
          <w:color w:val="4472C4" w:themeColor="accent1"/>
        </w:rPr>
        <w:t xml:space="preserve"> </w:t>
      </w:r>
    </w:p>
    <w:p w14:paraId="43F5B6B2" w14:textId="11D45524" w:rsidR="00ED2DA4" w:rsidRPr="007A6B50" w:rsidRDefault="00BE7959" w:rsidP="00A157BA">
      <w:pPr>
        <w:spacing w:after="0" w:line="240" w:lineRule="auto"/>
        <w:jc w:val="center"/>
        <w:rPr>
          <w:rStyle w:val="ttulosgrficasCar"/>
          <w:rFonts w:asciiTheme="minorHAnsi" w:hAnsiTheme="minorHAnsi" w:cstheme="minorHAnsi"/>
          <w:color w:val="4472C4" w:themeColor="accent1"/>
        </w:rPr>
      </w:pPr>
      <w:r w:rsidRPr="007A6B50">
        <w:rPr>
          <w:rStyle w:val="ttulosgrficasCar"/>
          <w:rFonts w:asciiTheme="minorHAnsi" w:hAnsiTheme="minorHAnsi" w:cstheme="minorHAnsi"/>
          <w:color w:val="4472C4" w:themeColor="accent1"/>
        </w:rPr>
        <w:t xml:space="preserve">por </w:t>
      </w:r>
      <w:r w:rsidR="005A771F">
        <w:rPr>
          <w:rStyle w:val="ttulosgrficasCar"/>
          <w:rFonts w:asciiTheme="minorHAnsi" w:hAnsiTheme="minorHAnsi" w:cstheme="minorHAnsi"/>
          <w:color w:val="4472C4" w:themeColor="accent1"/>
        </w:rPr>
        <w:t>f</w:t>
      </w:r>
      <w:r w:rsidRPr="007A6B50">
        <w:rPr>
          <w:rStyle w:val="ttulosgrficasCar"/>
          <w:rFonts w:asciiTheme="minorHAnsi" w:hAnsiTheme="minorHAnsi" w:cstheme="minorHAnsi"/>
          <w:color w:val="4472C4" w:themeColor="accent1"/>
        </w:rPr>
        <w:t xml:space="preserve">unción a nivel nacional, </w:t>
      </w:r>
      <w:r w:rsidR="005A771F">
        <w:rPr>
          <w:rStyle w:val="ttulosgrficasCar"/>
          <w:rFonts w:asciiTheme="minorHAnsi" w:hAnsiTheme="minorHAnsi" w:cstheme="minorHAnsi"/>
          <w:color w:val="4472C4" w:themeColor="accent1"/>
        </w:rPr>
        <w:t>e</w:t>
      </w:r>
      <w:r w:rsidRPr="007A6B50">
        <w:rPr>
          <w:rStyle w:val="ttulosgrficasCar"/>
          <w:rFonts w:asciiTheme="minorHAnsi" w:hAnsiTheme="minorHAnsi" w:cstheme="minorHAnsi"/>
          <w:color w:val="4472C4" w:themeColor="accent1"/>
        </w:rPr>
        <w:t xml:space="preserve">jercicio fiscal </w:t>
      </w:r>
      <w:r w:rsidR="00BD1BD3" w:rsidRPr="007A6B50">
        <w:rPr>
          <w:rStyle w:val="ttulosgrficasCar"/>
          <w:rFonts w:asciiTheme="minorHAnsi" w:hAnsiTheme="minorHAnsi" w:cstheme="minorHAnsi"/>
          <w:color w:val="4472C4" w:themeColor="accent1"/>
        </w:rPr>
        <w:t>2022</w:t>
      </w:r>
    </w:p>
    <w:p w14:paraId="5AF80333" w14:textId="19D3041F" w:rsidR="001912B8" w:rsidRPr="007A6B50" w:rsidRDefault="005A771F" w:rsidP="001912B8">
      <w:pPr>
        <w:spacing w:after="0" w:line="240" w:lineRule="auto"/>
        <w:jc w:val="both"/>
        <w:rPr>
          <w:rFonts w:cstheme="minorHAnsi"/>
          <w:color w:val="000000" w:themeColor="text1"/>
          <w:lang w:val="es-MX"/>
        </w:rPr>
      </w:pPr>
      <w:r w:rsidRPr="005A771F">
        <w:rPr>
          <w:rFonts w:cstheme="minorHAnsi"/>
          <w:noProof/>
          <w:color w:val="000000" w:themeColor="text1"/>
          <w:sz w:val="16"/>
          <w:szCs w:val="16"/>
          <w:lang w:val="es-MX"/>
        </w:rPr>
        <w:drawing>
          <wp:anchor distT="0" distB="0" distL="114300" distR="114300" simplePos="0" relativeHeight="251757056" behindDoc="0" locked="0" layoutInCell="1" allowOverlap="1" wp14:anchorId="3E0A5914" wp14:editId="3A4F5E58">
            <wp:simplePos x="0" y="0"/>
            <wp:positionH relativeFrom="column">
              <wp:posOffset>1057275</wp:posOffset>
            </wp:positionH>
            <wp:positionV relativeFrom="paragraph">
              <wp:posOffset>41910</wp:posOffset>
            </wp:positionV>
            <wp:extent cx="4123055" cy="21717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23055" cy="2171700"/>
                    </a:xfrm>
                    <a:prstGeom prst="rect">
                      <a:avLst/>
                    </a:prstGeom>
                    <a:noFill/>
                  </pic:spPr>
                </pic:pic>
              </a:graphicData>
            </a:graphic>
            <wp14:sizeRelH relativeFrom="margin">
              <wp14:pctWidth>0</wp14:pctWidth>
            </wp14:sizeRelH>
            <wp14:sizeRelV relativeFrom="margin">
              <wp14:pctHeight>0</wp14:pctHeight>
            </wp14:sizeRelV>
          </wp:anchor>
        </w:drawing>
      </w:r>
    </w:p>
    <w:p w14:paraId="6C81B484" w14:textId="01190B75" w:rsidR="00C348DD" w:rsidRPr="007A6B50" w:rsidRDefault="00C348DD" w:rsidP="00C348DD">
      <w:pPr>
        <w:spacing w:after="0" w:line="240" w:lineRule="auto"/>
        <w:jc w:val="both"/>
        <w:rPr>
          <w:rFonts w:cstheme="minorHAnsi"/>
          <w:color w:val="000000" w:themeColor="text1"/>
          <w:sz w:val="16"/>
          <w:szCs w:val="16"/>
          <w:lang w:val="es-MX"/>
        </w:rPr>
      </w:pPr>
    </w:p>
    <w:p w14:paraId="1272A5F4" w14:textId="77777777" w:rsidR="005A771F" w:rsidRDefault="005A771F" w:rsidP="00C348DD">
      <w:pPr>
        <w:spacing w:after="0" w:line="240" w:lineRule="auto"/>
        <w:jc w:val="both"/>
        <w:rPr>
          <w:rFonts w:cstheme="minorHAnsi"/>
          <w:color w:val="000000" w:themeColor="text1"/>
          <w:sz w:val="16"/>
          <w:szCs w:val="16"/>
          <w:lang w:val="es-MX"/>
        </w:rPr>
      </w:pPr>
    </w:p>
    <w:p w14:paraId="0750CCA9" w14:textId="77777777" w:rsidR="005A771F" w:rsidRDefault="005A771F" w:rsidP="00C348DD">
      <w:pPr>
        <w:spacing w:after="0" w:line="240" w:lineRule="auto"/>
        <w:jc w:val="both"/>
        <w:rPr>
          <w:rFonts w:cstheme="minorHAnsi"/>
          <w:color w:val="000000" w:themeColor="text1"/>
          <w:sz w:val="16"/>
          <w:szCs w:val="16"/>
          <w:lang w:val="es-MX"/>
        </w:rPr>
      </w:pPr>
    </w:p>
    <w:p w14:paraId="35649CE4" w14:textId="77777777" w:rsidR="005A771F" w:rsidRDefault="005A771F" w:rsidP="00C348DD">
      <w:pPr>
        <w:spacing w:after="0" w:line="240" w:lineRule="auto"/>
        <w:jc w:val="both"/>
        <w:rPr>
          <w:rFonts w:cstheme="minorHAnsi"/>
          <w:color w:val="000000" w:themeColor="text1"/>
          <w:sz w:val="16"/>
          <w:szCs w:val="16"/>
          <w:lang w:val="es-MX"/>
        </w:rPr>
      </w:pPr>
    </w:p>
    <w:p w14:paraId="0DD2183A" w14:textId="77777777" w:rsidR="005A771F" w:rsidRDefault="005A771F" w:rsidP="00C348DD">
      <w:pPr>
        <w:spacing w:after="0" w:line="240" w:lineRule="auto"/>
        <w:jc w:val="both"/>
        <w:rPr>
          <w:rFonts w:cstheme="minorHAnsi"/>
          <w:color w:val="000000" w:themeColor="text1"/>
          <w:sz w:val="16"/>
          <w:szCs w:val="16"/>
          <w:lang w:val="es-MX"/>
        </w:rPr>
      </w:pPr>
    </w:p>
    <w:p w14:paraId="7CA575F1" w14:textId="77777777" w:rsidR="005A771F" w:rsidRDefault="005A771F" w:rsidP="00C348DD">
      <w:pPr>
        <w:spacing w:after="0" w:line="240" w:lineRule="auto"/>
        <w:jc w:val="both"/>
        <w:rPr>
          <w:rFonts w:cstheme="minorHAnsi"/>
          <w:color w:val="000000" w:themeColor="text1"/>
          <w:sz w:val="16"/>
          <w:szCs w:val="16"/>
          <w:lang w:val="es-MX"/>
        </w:rPr>
      </w:pPr>
    </w:p>
    <w:p w14:paraId="15AD6E78" w14:textId="77777777" w:rsidR="005A771F" w:rsidRDefault="005A771F" w:rsidP="00C348DD">
      <w:pPr>
        <w:spacing w:after="0" w:line="240" w:lineRule="auto"/>
        <w:jc w:val="both"/>
        <w:rPr>
          <w:rFonts w:cstheme="minorHAnsi"/>
          <w:color w:val="000000" w:themeColor="text1"/>
          <w:sz w:val="16"/>
          <w:szCs w:val="16"/>
          <w:lang w:val="es-MX"/>
        </w:rPr>
      </w:pPr>
    </w:p>
    <w:p w14:paraId="2473B682" w14:textId="77777777" w:rsidR="005A771F" w:rsidRDefault="005A771F" w:rsidP="00C348DD">
      <w:pPr>
        <w:spacing w:after="0" w:line="240" w:lineRule="auto"/>
        <w:jc w:val="both"/>
        <w:rPr>
          <w:rFonts w:cstheme="minorHAnsi"/>
          <w:color w:val="000000" w:themeColor="text1"/>
          <w:sz w:val="16"/>
          <w:szCs w:val="16"/>
          <w:lang w:val="es-MX"/>
        </w:rPr>
      </w:pPr>
    </w:p>
    <w:p w14:paraId="134062ED" w14:textId="77777777" w:rsidR="005A771F" w:rsidRDefault="005A771F" w:rsidP="00C348DD">
      <w:pPr>
        <w:spacing w:after="0" w:line="240" w:lineRule="auto"/>
        <w:jc w:val="both"/>
        <w:rPr>
          <w:rFonts w:cstheme="minorHAnsi"/>
          <w:color w:val="000000" w:themeColor="text1"/>
          <w:sz w:val="16"/>
          <w:szCs w:val="16"/>
          <w:lang w:val="es-MX"/>
        </w:rPr>
      </w:pPr>
    </w:p>
    <w:p w14:paraId="6AE2619A" w14:textId="77777777" w:rsidR="005A771F" w:rsidRDefault="005A771F" w:rsidP="00C348DD">
      <w:pPr>
        <w:spacing w:after="0" w:line="240" w:lineRule="auto"/>
        <w:jc w:val="both"/>
        <w:rPr>
          <w:rFonts w:cstheme="minorHAnsi"/>
          <w:color w:val="000000" w:themeColor="text1"/>
          <w:sz w:val="16"/>
          <w:szCs w:val="16"/>
          <w:lang w:val="es-MX"/>
        </w:rPr>
      </w:pPr>
    </w:p>
    <w:p w14:paraId="3CC084BA" w14:textId="77777777" w:rsidR="005A771F" w:rsidRDefault="005A771F" w:rsidP="00C348DD">
      <w:pPr>
        <w:spacing w:after="0" w:line="240" w:lineRule="auto"/>
        <w:jc w:val="both"/>
        <w:rPr>
          <w:rFonts w:cstheme="minorHAnsi"/>
          <w:color w:val="000000" w:themeColor="text1"/>
          <w:sz w:val="16"/>
          <w:szCs w:val="16"/>
          <w:lang w:val="es-MX"/>
        </w:rPr>
      </w:pPr>
    </w:p>
    <w:p w14:paraId="548F0B9A" w14:textId="77777777" w:rsidR="005A771F" w:rsidRDefault="005A771F" w:rsidP="00C348DD">
      <w:pPr>
        <w:spacing w:after="0" w:line="240" w:lineRule="auto"/>
        <w:jc w:val="both"/>
        <w:rPr>
          <w:rFonts w:cstheme="minorHAnsi"/>
          <w:color w:val="000000" w:themeColor="text1"/>
          <w:sz w:val="16"/>
          <w:szCs w:val="16"/>
          <w:lang w:val="es-MX"/>
        </w:rPr>
      </w:pPr>
    </w:p>
    <w:p w14:paraId="009E0F27" w14:textId="77777777" w:rsidR="005A771F" w:rsidRDefault="005A771F" w:rsidP="00C348DD">
      <w:pPr>
        <w:spacing w:after="0" w:line="240" w:lineRule="auto"/>
        <w:jc w:val="both"/>
        <w:rPr>
          <w:rFonts w:cstheme="minorHAnsi"/>
          <w:color w:val="000000" w:themeColor="text1"/>
          <w:sz w:val="16"/>
          <w:szCs w:val="16"/>
          <w:lang w:val="es-MX"/>
        </w:rPr>
      </w:pPr>
    </w:p>
    <w:p w14:paraId="0FDBEFAE" w14:textId="43F70290" w:rsidR="005A771F" w:rsidRDefault="005A771F" w:rsidP="00C348DD">
      <w:pPr>
        <w:spacing w:after="0" w:line="240" w:lineRule="auto"/>
        <w:jc w:val="both"/>
        <w:rPr>
          <w:rFonts w:cstheme="minorHAnsi"/>
          <w:color w:val="000000" w:themeColor="text1"/>
          <w:sz w:val="16"/>
          <w:szCs w:val="16"/>
          <w:lang w:val="es-MX"/>
        </w:rPr>
      </w:pPr>
    </w:p>
    <w:p w14:paraId="762A1FAF" w14:textId="77777777" w:rsidR="005A771F" w:rsidRDefault="005A771F" w:rsidP="00C348DD">
      <w:pPr>
        <w:spacing w:after="0" w:line="240" w:lineRule="auto"/>
        <w:jc w:val="both"/>
        <w:rPr>
          <w:rFonts w:cstheme="minorHAnsi"/>
          <w:color w:val="000000" w:themeColor="text1"/>
          <w:sz w:val="16"/>
          <w:szCs w:val="16"/>
          <w:lang w:val="es-MX"/>
        </w:rPr>
      </w:pPr>
    </w:p>
    <w:p w14:paraId="5BE59C13" w14:textId="77777777" w:rsidR="005A771F" w:rsidRDefault="005A771F" w:rsidP="00C348DD">
      <w:pPr>
        <w:spacing w:after="0" w:line="240" w:lineRule="auto"/>
        <w:jc w:val="both"/>
        <w:rPr>
          <w:rFonts w:cstheme="minorHAnsi"/>
          <w:color w:val="000000" w:themeColor="text1"/>
          <w:sz w:val="16"/>
          <w:szCs w:val="16"/>
          <w:lang w:val="es-MX"/>
        </w:rPr>
      </w:pPr>
    </w:p>
    <w:p w14:paraId="2E400CE8" w14:textId="77777777" w:rsidR="005A771F" w:rsidRDefault="005A771F" w:rsidP="00C348DD">
      <w:pPr>
        <w:spacing w:after="0" w:line="240" w:lineRule="auto"/>
        <w:jc w:val="both"/>
        <w:rPr>
          <w:rFonts w:cstheme="minorHAnsi"/>
          <w:color w:val="000000" w:themeColor="text1"/>
          <w:sz w:val="16"/>
          <w:szCs w:val="16"/>
          <w:lang w:val="es-MX"/>
        </w:rPr>
      </w:pPr>
      <w:r>
        <w:rPr>
          <w:rFonts w:cstheme="minorHAnsi"/>
          <w:color w:val="000000" w:themeColor="text1"/>
          <w:sz w:val="16"/>
          <w:szCs w:val="16"/>
          <w:lang w:val="es-MX"/>
        </w:rPr>
        <w:tab/>
        <w:t xml:space="preserve">                           </w:t>
      </w:r>
    </w:p>
    <w:p w14:paraId="24B4D016" w14:textId="742FA379" w:rsidR="00C348DD" w:rsidRPr="007A6B50" w:rsidRDefault="005A771F" w:rsidP="00C348DD">
      <w:pPr>
        <w:spacing w:after="0" w:line="240" w:lineRule="auto"/>
        <w:jc w:val="both"/>
        <w:rPr>
          <w:rFonts w:cstheme="minorHAnsi"/>
          <w:color w:val="000000" w:themeColor="text1"/>
          <w:sz w:val="16"/>
          <w:szCs w:val="16"/>
          <w:lang w:val="es-MX"/>
        </w:rPr>
      </w:pPr>
      <w:r>
        <w:rPr>
          <w:rFonts w:cstheme="minorHAnsi"/>
          <w:color w:val="000000" w:themeColor="text1"/>
          <w:sz w:val="16"/>
          <w:szCs w:val="16"/>
          <w:lang w:val="es-MX"/>
        </w:rPr>
        <w:tab/>
      </w:r>
      <w:r>
        <w:rPr>
          <w:rFonts w:cstheme="minorHAnsi"/>
          <w:color w:val="000000" w:themeColor="text1"/>
          <w:sz w:val="16"/>
          <w:szCs w:val="16"/>
          <w:lang w:val="es-MX"/>
        </w:rPr>
        <w:tab/>
        <w:t xml:space="preserve">        </w:t>
      </w:r>
      <w:r w:rsidR="00C348DD" w:rsidRPr="007A6B50">
        <w:rPr>
          <w:rFonts w:cstheme="minorHAnsi"/>
          <w:color w:val="000000" w:themeColor="text1"/>
          <w:sz w:val="16"/>
          <w:szCs w:val="16"/>
          <w:lang w:val="es-MX"/>
        </w:rPr>
        <w:t>Fuente: elaboración SEGEPLAN con información del SINIP al 03.01.2023</w:t>
      </w:r>
      <w:r>
        <w:rPr>
          <w:rFonts w:cstheme="minorHAnsi"/>
          <w:color w:val="000000" w:themeColor="text1"/>
          <w:sz w:val="16"/>
          <w:szCs w:val="16"/>
          <w:lang w:val="es-MX"/>
        </w:rPr>
        <w:t>.</w:t>
      </w:r>
    </w:p>
    <w:p w14:paraId="4F3944BB" w14:textId="77777777" w:rsidR="00C348DD" w:rsidRPr="007A6B50" w:rsidRDefault="00C348DD" w:rsidP="00C348DD">
      <w:pPr>
        <w:spacing w:after="0" w:line="240" w:lineRule="auto"/>
        <w:jc w:val="both"/>
        <w:rPr>
          <w:rFonts w:cstheme="minorHAnsi"/>
          <w:color w:val="000000" w:themeColor="text1"/>
          <w:sz w:val="24"/>
          <w:szCs w:val="24"/>
          <w:lang w:val="es-MX"/>
        </w:rPr>
      </w:pPr>
    </w:p>
    <w:p w14:paraId="6CD5FA7E" w14:textId="7F44C03C" w:rsidR="00C348DD" w:rsidRPr="007A6B50" w:rsidRDefault="00C348DD" w:rsidP="005A771F">
      <w:pPr>
        <w:spacing w:before="120" w:after="120" w:line="240" w:lineRule="auto"/>
        <w:jc w:val="both"/>
        <w:rPr>
          <w:rFonts w:cstheme="minorHAnsi"/>
          <w:color w:val="000000" w:themeColor="text1"/>
          <w:sz w:val="24"/>
          <w:szCs w:val="24"/>
          <w:lang w:val="es-MX"/>
        </w:rPr>
      </w:pPr>
      <w:r w:rsidRPr="007A6B50">
        <w:rPr>
          <w:rFonts w:cstheme="minorHAnsi"/>
          <w:color w:val="000000" w:themeColor="text1"/>
          <w:sz w:val="24"/>
          <w:szCs w:val="24"/>
          <w:lang w:val="es-MX"/>
        </w:rPr>
        <w:t>Como reflejan los datos anteriores, del total de proyectos registrados en el SNIP por las entidades a nivel nacional, las funciones que registran la mayor cantidad de proyectos con asignación presupuestaria fueron en su orden, transporte, agua, educación y saneamiento.</w:t>
      </w:r>
    </w:p>
    <w:p w14:paraId="18B23B7B" w14:textId="1CA52093" w:rsidR="001912B8" w:rsidRPr="007A6B50" w:rsidRDefault="008A63D9" w:rsidP="005A771F">
      <w:pPr>
        <w:spacing w:before="120" w:after="120" w:line="240" w:lineRule="auto"/>
        <w:rPr>
          <w:rFonts w:cstheme="minorHAnsi"/>
          <w:b/>
          <w:color w:val="002060"/>
          <w:sz w:val="28"/>
          <w:szCs w:val="28"/>
        </w:rPr>
      </w:pPr>
      <w:bookmarkStart w:id="104" w:name="_Toc62718057"/>
      <w:r w:rsidRPr="007A6B50">
        <w:rPr>
          <w:rFonts w:eastAsiaTheme="majorEastAsia" w:cstheme="minorHAnsi"/>
          <w:b/>
          <w:color w:val="002060"/>
          <w:sz w:val="28"/>
          <w:szCs w:val="28"/>
        </w:rPr>
        <w:t>I</w:t>
      </w:r>
      <w:r w:rsidR="001912B8" w:rsidRPr="007A6B50">
        <w:rPr>
          <w:rFonts w:eastAsiaTheme="majorEastAsia" w:cstheme="minorHAnsi"/>
          <w:b/>
          <w:color w:val="002060"/>
          <w:sz w:val="28"/>
          <w:szCs w:val="28"/>
        </w:rPr>
        <w:t>nversión asignada y ejecutada a nivel</w:t>
      </w:r>
      <w:r w:rsidR="00F709A7" w:rsidRPr="007A6B50">
        <w:rPr>
          <w:rFonts w:eastAsiaTheme="majorEastAsia" w:cstheme="minorHAnsi"/>
          <w:b/>
          <w:color w:val="002060"/>
          <w:sz w:val="28"/>
          <w:szCs w:val="28"/>
        </w:rPr>
        <w:t xml:space="preserve"> </w:t>
      </w:r>
      <w:r w:rsidR="001912B8" w:rsidRPr="007A6B50">
        <w:rPr>
          <w:rFonts w:eastAsiaTheme="majorEastAsia" w:cstheme="minorHAnsi"/>
          <w:b/>
          <w:color w:val="002060"/>
          <w:sz w:val="28"/>
          <w:szCs w:val="28"/>
        </w:rPr>
        <w:t>nacional por función</w:t>
      </w:r>
      <w:bookmarkEnd w:id="104"/>
    </w:p>
    <w:p w14:paraId="54CCD0CF" w14:textId="6EA8ACE2" w:rsidR="001912B8" w:rsidRPr="005A771F" w:rsidRDefault="001912B8" w:rsidP="005A771F">
      <w:pPr>
        <w:spacing w:before="120" w:after="120" w:line="240" w:lineRule="auto"/>
        <w:jc w:val="both"/>
        <w:rPr>
          <w:rFonts w:cstheme="minorHAnsi"/>
          <w:sz w:val="24"/>
          <w:szCs w:val="24"/>
        </w:rPr>
      </w:pPr>
      <w:r w:rsidRPr="007A6B50">
        <w:rPr>
          <w:rFonts w:cstheme="minorHAnsi"/>
          <w:sz w:val="24"/>
          <w:szCs w:val="24"/>
        </w:rPr>
        <w:t>Por función</w:t>
      </w:r>
      <w:r w:rsidR="002C1F2D" w:rsidRPr="007A6B50">
        <w:rPr>
          <w:rFonts w:cstheme="minorHAnsi"/>
          <w:sz w:val="24"/>
          <w:szCs w:val="24"/>
        </w:rPr>
        <w:t>,</w:t>
      </w:r>
      <w:r w:rsidRPr="007A6B50">
        <w:rPr>
          <w:rFonts w:cstheme="minorHAnsi"/>
          <w:sz w:val="24"/>
          <w:szCs w:val="24"/>
        </w:rPr>
        <w:t xml:space="preserve"> en </w:t>
      </w:r>
      <w:r w:rsidR="002C1F2D" w:rsidRPr="007A6B50">
        <w:rPr>
          <w:rFonts w:cstheme="minorHAnsi"/>
          <w:sz w:val="24"/>
          <w:szCs w:val="24"/>
        </w:rPr>
        <w:t>la tabla</w:t>
      </w:r>
      <w:r w:rsidR="005A771F">
        <w:rPr>
          <w:rFonts w:cstheme="minorHAnsi"/>
          <w:sz w:val="24"/>
          <w:szCs w:val="24"/>
        </w:rPr>
        <w:t xml:space="preserve"> siguiente,</w:t>
      </w:r>
      <w:r w:rsidRPr="007A6B50">
        <w:rPr>
          <w:rFonts w:cstheme="minorHAnsi"/>
          <w:sz w:val="24"/>
          <w:szCs w:val="24"/>
        </w:rPr>
        <w:t xml:space="preserve"> se presentan la inversión asignada y ejecutada al finalizar el tercer cuatrimestre.</w:t>
      </w:r>
    </w:p>
    <w:p w14:paraId="45518D5D" w14:textId="05873043" w:rsidR="001912B8" w:rsidRPr="007A6B50" w:rsidRDefault="002C1F2D" w:rsidP="0083517B">
      <w:pPr>
        <w:pStyle w:val="ttulosgrficas"/>
        <w:rPr>
          <w:rFonts w:asciiTheme="minorHAnsi" w:hAnsiTheme="minorHAnsi" w:cstheme="minorHAnsi"/>
          <w:color w:val="4472C4" w:themeColor="accent1"/>
        </w:rPr>
      </w:pPr>
      <w:bookmarkStart w:id="105" w:name="_Toc130199630"/>
      <w:r w:rsidRPr="007A6B50">
        <w:rPr>
          <w:rFonts w:asciiTheme="minorHAnsi" w:hAnsiTheme="minorHAnsi" w:cstheme="minorHAnsi"/>
          <w:color w:val="4472C4" w:themeColor="accent1"/>
        </w:rPr>
        <w:t xml:space="preserve">Tabla </w:t>
      </w:r>
      <w:r w:rsidR="006E5E0A" w:rsidRPr="007A6B50">
        <w:rPr>
          <w:rFonts w:asciiTheme="minorHAnsi" w:hAnsiTheme="minorHAnsi" w:cstheme="minorHAnsi"/>
          <w:color w:val="4472C4" w:themeColor="accent1"/>
        </w:rPr>
        <w:fldChar w:fldCharType="begin"/>
      </w:r>
      <w:r w:rsidR="006E5E0A" w:rsidRPr="007A6B50">
        <w:rPr>
          <w:rFonts w:asciiTheme="minorHAnsi" w:hAnsiTheme="minorHAnsi" w:cstheme="minorHAnsi"/>
          <w:color w:val="4472C4" w:themeColor="accent1"/>
        </w:rPr>
        <w:instrText xml:space="preserve"> SEQ Tabla \* ARABIC </w:instrText>
      </w:r>
      <w:r w:rsidR="006E5E0A" w:rsidRPr="007A6B50">
        <w:rPr>
          <w:rFonts w:asciiTheme="minorHAnsi" w:hAnsiTheme="minorHAnsi" w:cstheme="minorHAnsi"/>
          <w:color w:val="4472C4" w:themeColor="accent1"/>
        </w:rPr>
        <w:fldChar w:fldCharType="separate"/>
      </w:r>
      <w:r w:rsidR="00777974">
        <w:rPr>
          <w:rFonts w:asciiTheme="minorHAnsi" w:hAnsiTheme="minorHAnsi" w:cstheme="minorHAnsi"/>
          <w:noProof/>
          <w:color w:val="4472C4" w:themeColor="accent1"/>
        </w:rPr>
        <w:t>42</w:t>
      </w:r>
      <w:r w:rsidR="006E5E0A" w:rsidRPr="007A6B50">
        <w:rPr>
          <w:rFonts w:asciiTheme="minorHAnsi" w:hAnsiTheme="minorHAnsi" w:cstheme="minorHAnsi"/>
          <w:color w:val="4472C4" w:themeColor="accent1"/>
        </w:rPr>
        <w:fldChar w:fldCharType="end"/>
      </w:r>
      <w:r w:rsidR="005A771F">
        <w:rPr>
          <w:rFonts w:asciiTheme="minorHAnsi" w:hAnsiTheme="minorHAnsi" w:cstheme="minorHAnsi"/>
          <w:color w:val="4472C4" w:themeColor="accent1"/>
        </w:rPr>
        <w:t>.</w:t>
      </w:r>
      <w:r w:rsidR="003562C1" w:rsidRPr="007A6B50">
        <w:rPr>
          <w:rFonts w:asciiTheme="minorHAnsi" w:hAnsiTheme="minorHAnsi" w:cstheme="minorHAnsi"/>
          <w:color w:val="4472C4" w:themeColor="accent1"/>
        </w:rPr>
        <w:t xml:space="preserve"> </w:t>
      </w:r>
      <w:r w:rsidR="001912B8" w:rsidRPr="007A6B50">
        <w:rPr>
          <w:rFonts w:asciiTheme="minorHAnsi" w:hAnsiTheme="minorHAnsi" w:cstheme="minorHAnsi"/>
          <w:color w:val="4472C4" w:themeColor="accent1"/>
        </w:rPr>
        <w:t xml:space="preserve">Inversión asignada y ejecutada a nivel nacional por </w:t>
      </w:r>
      <w:r w:rsidR="00F709A7" w:rsidRPr="007A6B50">
        <w:rPr>
          <w:rFonts w:asciiTheme="minorHAnsi" w:hAnsiTheme="minorHAnsi" w:cstheme="minorHAnsi"/>
          <w:color w:val="4472C4" w:themeColor="accent1"/>
        </w:rPr>
        <w:t>función</w:t>
      </w:r>
      <w:r w:rsidR="001912B8" w:rsidRPr="007A6B50">
        <w:rPr>
          <w:rFonts w:asciiTheme="minorHAnsi" w:hAnsiTheme="minorHAnsi" w:cstheme="minorHAnsi"/>
          <w:color w:val="4472C4" w:themeColor="accent1"/>
        </w:rPr>
        <w:t xml:space="preserve"> y cantidad de proyectos</w:t>
      </w:r>
      <w:bookmarkEnd w:id="105"/>
    </w:p>
    <w:tbl>
      <w:tblPr>
        <w:tblStyle w:val="Tablaconcuadrcula4-nfasis52"/>
        <w:tblW w:w="5000" w:type="pct"/>
        <w:tblLook w:val="04A0" w:firstRow="1" w:lastRow="0" w:firstColumn="1" w:lastColumn="0" w:noHBand="0" w:noVBand="1"/>
      </w:tblPr>
      <w:tblGrid>
        <w:gridCol w:w="1671"/>
        <w:gridCol w:w="1077"/>
        <w:gridCol w:w="1017"/>
        <w:gridCol w:w="1245"/>
        <w:gridCol w:w="1077"/>
        <w:gridCol w:w="1079"/>
        <w:gridCol w:w="1137"/>
        <w:gridCol w:w="1047"/>
      </w:tblGrid>
      <w:tr w:rsidR="00C348DD" w:rsidRPr="007A6B50" w14:paraId="2A13345E" w14:textId="77777777" w:rsidTr="005A771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vMerge w:val="restart"/>
            <w:vAlign w:val="center"/>
            <w:hideMark/>
          </w:tcPr>
          <w:p w14:paraId="64A5DCEB" w14:textId="77777777" w:rsidR="00C348DD" w:rsidRPr="007A6B50" w:rsidRDefault="00C348DD" w:rsidP="005A771F">
            <w:pPr>
              <w:jc w:val="center"/>
              <w:rPr>
                <w:rFonts w:asciiTheme="minorHAnsi" w:eastAsia="Times New Roman" w:hAnsiTheme="minorHAnsi" w:cstheme="minorHAnsi"/>
                <w:b w:val="0"/>
                <w:bCs w:val="0"/>
                <w:color w:val="auto"/>
                <w:sz w:val="18"/>
                <w:szCs w:val="18"/>
                <w:lang w:eastAsia="es-GT"/>
              </w:rPr>
            </w:pPr>
            <w:r w:rsidRPr="007A6B50">
              <w:rPr>
                <w:rFonts w:asciiTheme="minorHAnsi" w:eastAsia="Times New Roman" w:hAnsiTheme="minorHAnsi" w:cstheme="minorHAnsi"/>
                <w:color w:val="auto"/>
                <w:sz w:val="18"/>
                <w:szCs w:val="18"/>
                <w:lang w:eastAsia="es-GT"/>
              </w:rPr>
              <w:t>Función</w:t>
            </w:r>
          </w:p>
        </w:tc>
        <w:tc>
          <w:tcPr>
            <w:tcW w:w="1786" w:type="pct"/>
            <w:gridSpan w:val="3"/>
            <w:vAlign w:val="center"/>
            <w:hideMark/>
          </w:tcPr>
          <w:p w14:paraId="4A19188F" w14:textId="77777777" w:rsidR="00C348DD" w:rsidRPr="007A6B50" w:rsidRDefault="00C348DD"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7A6B50">
              <w:rPr>
                <w:rFonts w:asciiTheme="minorHAnsi" w:eastAsia="Times New Roman" w:hAnsiTheme="minorHAnsi" w:cstheme="minorHAnsi"/>
                <w:color w:val="auto"/>
                <w:sz w:val="18"/>
                <w:szCs w:val="18"/>
                <w:lang w:eastAsia="es-GT"/>
              </w:rPr>
              <w:t>Vigente</w:t>
            </w:r>
          </w:p>
        </w:tc>
        <w:tc>
          <w:tcPr>
            <w:tcW w:w="2321" w:type="pct"/>
            <w:gridSpan w:val="4"/>
            <w:vAlign w:val="center"/>
            <w:hideMark/>
          </w:tcPr>
          <w:p w14:paraId="3FD00316" w14:textId="77777777" w:rsidR="00C348DD" w:rsidRPr="007A6B50" w:rsidRDefault="00C348DD"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7A6B50">
              <w:rPr>
                <w:rFonts w:asciiTheme="minorHAnsi" w:eastAsia="Times New Roman" w:hAnsiTheme="minorHAnsi" w:cstheme="minorHAnsi"/>
                <w:color w:val="auto"/>
                <w:sz w:val="18"/>
                <w:szCs w:val="18"/>
                <w:lang w:eastAsia="es-GT"/>
              </w:rPr>
              <w:t>Ejecutado</w:t>
            </w:r>
          </w:p>
        </w:tc>
      </w:tr>
      <w:tr w:rsidR="004B159C" w:rsidRPr="007A6B50" w14:paraId="43E981DD" w14:textId="77777777" w:rsidTr="005A771F">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893" w:type="pct"/>
            <w:vMerge/>
            <w:vAlign w:val="center"/>
            <w:hideMark/>
          </w:tcPr>
          <w:p w14:paraId="3DCCB7AA" w14:textId="77777777" w:rsidR="004B159C" w:rsidRPr="007A6B50" w:rsidRDefault="004B159C" w:rsidP="005A771F">
            <w:pPr>
              <w:jc w:val="center"/>
              <w:rPr>
                <w:rFonts w:asciiTheme="minorHAnsi" w:eastAsia="Times New Roman" w:hAnsiTheme="minorHAnsi" w:cstheme="minorHAnsi"/>
                <w:b w:val="0"/>
                <w:bCs w:val="0"/>
                <w:sz w:val="18"/>
                <w:szCs w:val="18"/>
                <w:lang w:eastAsia="es-GT"/>
              </w:rPr>
            </w:pPr>
          </w:p>
        </w:tc>
        <w:tc>
          <w:tcPr>
            <w:tcW w:w="576" w:type="pct"/>
            <w:vAlign w:val="center"/>
            <w:hideMark/>
          </w:tcPr>
          <w:p w14:paraId="71AED377"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Cantidad de proyectos</w:t>
            </w:r>
          </w:p>
        </w:tc>
        <w:tc>
          <w:tcPr>
            <w:tcW w:w="544" w:type="pct"/>
            <w:vAlign w:val="center"/>
            <w:hideMark/>
          </w:tcPr>
          <w:p w14:paraId="363467F7"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Monto</w:t>
            </w:r>
          </w:p>
          <w:p w14:paraId="13853EAF" w14:textId="0B51392B"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(Q) millones</w:t>
            </w:r>
          </w:p>
          <w:p w14:paraId="5AF36CD9" w14:textId="460AEE0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GT"/>
              </w:rPr>
            </w:pPr>
          </w:p>
        </w:tc>
        <w:tc>
          <w:tcPr>
            <w:tcW w:w="666" w:type="pct"/>
            <w:vAlign w:val="center"/>
            <w:hideMark/>
          </w:tcPr>
          <w:p w14:paraId="47A39AF8"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Porcentaje distribución</w:t>
            </w:r>
          </w:p>
        </w:tc>
        <w:tc>
          <w:tcPr>
            <w:tcW w:w="576" w:type="pct"/>
            <w:vAlign w:val="center"/>
            <w:hideMark/>
          </w:tcPr>
          <w:p w14:paraId="6A7D09A3"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Cantidad de proyectos</w:t>
            </w:r>
          </w:p>
        </w:tc>
        <w:tc>
          <w:tcPr>
            <w:tcW w:w="577" w:type="pct"/>
            <w:vAlign w:val="center"/>
            <w:hideMark/>
          </w:tcPr>
          <w:p w14:paraId="59E7A17B"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Monto (Q) millones</w:t>
            </w:r>
          </w:p>
        </w:tc>
        <w:tc>
          <w:tcPr>
            <w:tcW w:w="608" w:type="pct"/>
            <w:vAlign w:val="center"/>
            <w:hideMark/>
          </w:tcPr>
          <w:p w14:paraId="262AE1C6"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Porcentaje ejecución</w:t>
            </w:r>
          </w:p>
        </w:tc>
        <w:tc>
          <w:tcPr>
            <w:tcW w:w="560" w:type="pct"/>
            <w:vAlign w:val="center"/>
            <w:hideMark/>
          </w:tcPr>
          <w:p w14:paraId="56242698"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Promedio % avance físico</w:t>
            </w:r>
          </w:p>
        </w:tc>
      </w:tr>
      <w:tr w:rsidR="00C348DD" w:rsidRPr="007A6B50" w14:paraId="044BD914"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045DE92E"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Transporte</w:t>
            </w:r>
          </w:p>
        </w:tc>
        <w:tc>
          <w:tcPr>
            <w:tcW w:w="576" w:type="pct"/>
            <w:noWrap/>
            <w:hideMark/>
          </w:tcPr>
          <w:p w14:paraId="21C72AAE"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3,626</w:t>
            </w:r>
          </w:p>
        </w:tc>
        <w:tc>
          <w:tcPr>
            <w:tcW w:w="544" w:type="pct"/>
            <w:noWrap/>
            <w:hideMark/>
          </w:tcPr>
          <w:p w14:paraId="70BD2C0D"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6,853.62</w:t>
            </w:r>
          </w:p>
        </w:tc>
        <w:tc>
          <w:tcPr>
            <w:tcW w:w="666" w:type="pct"/>
            <w:noWrap/>
            <w:hideMark/>
          </w:tcPr>
          <w:p w14:paraId="244FDC92"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46.92%</w:t>
            </w:r>
          </w:p>
        </w:tc>
        <w:tc>
          <w:tcPr>
            <w:tcW w:w="576" w:type="pct"/>
            <w:noWrap/>
            <w:hideMark/>
          </w:tcPr>
          <w:p w14:paraId="26CD8B9B"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3,010</w:t>
            </w:r>
          </w:p>
        </w:tc>
        <w:tc>
          <w:tcPr>
            <w:tcW w:w="577" w:type="pct"/>
            <w:noWrap/>
            <w:hideMark/>
          </w:tcPr>
          <w:p w14:paraId="3671867C"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4,758.99</w:t>
            </w:r>
          </w:p>
        </w:tc>
        <w:tc>
          <w:tcPr>
            <w:tcW w:w="608" w:type="pct"/>
            <w:noWrap/>
            <w:hideMark/>
          </w:tcPr>
          <w:p w14:paraId="3C412055"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69.44%</w:t>
            </w:r>
          </w:p>
        </w:tc>
        <w:tc>
          <w:tcPr>
            <w:tcW w:w="560" w:type="pct"/>
            <w:noWrap/>
            <w:hideMark/>
          </w:tcPr>
          <w:p w14:paraId="29823C30"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76.36%</w:t>
            </w:r>
          </w:p>
        </w:tc>
      </w:tr>
      <w:tr w:rsidR="00C348DD" w:rsidRPr="007A6B50" w14:paraId="2E41D61D" w14:textId="77777777" w:rsidTr="004B1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6CD38D5C"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Agua y Saneamiento</w:t>
            </w:r>
          </w:p>
        </w:tc>
        <w:tc>
          <w:tcPr>
            <w:tcW w:w="576" w:type="pct"/>
            <w:noWrap/>
            <w:hideMark/>
          </w:tcPr>
          <w:p w14:paraId="0AE2EC00"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1,693</w:t>
            </w:r>
          </w:p>
        </w:tc>
        <w:tc>
          <w:tcPr>
            <w:tcW w:w="544" w:type="pct"/>
            <w:noWrap/>
            <w:hideMark/>
          </w:tcPr>
          <w:p w14:paraId="3E846CEE"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2,832.04</w:t>
            </w:r>
          </w:p>
        </w:tc>
        <w:tc>
          <w:tcPr>
            <w:tcW w:w="666" w:type="pct"/>
            <w:noWrap/>
            <w:hideMark/>
          </w:tcPr>
          <w:p w14:paraId="7953B163"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19.39%</w:t>
            </w:r>
          </w:p>
        </w:tc>
        <w:tc>
          <w:tcPr>
            <w:tcW w:w="576" w:type="pct"/>
            <w:noWrap/>
            <w:hideMark/>
          </w:tcPr>
          <w:p w14:paraId="1AC91562"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1,497</w:t>
            </w:r>
          </w:p>
        </w:tc>
        <w:tc>
          <w:tcPr>
            <w:tcW w:w="577" w:type="pct"/>
            <w:noWrap/>
            <w:hideMark/>
          </w:tcPr>
          <w:p w14:paraId="2F46122A"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1,752.69</w:t>
            </w:r>
          </w:p>
        </w:tc>
        <w:tc>
          <w:tcPr>
            <w:tcW w:w="608" w:type="pct"/>
            <w:noWrap/>
            <w:hideMark/>
          </w:tcPr>
          <w:p w14:paraId="2E33ACA0"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61.89%</w:t>
            </w:r>
          </w:p>
        </w:tc>
        <w:tc>
          <w:tcPr>
            <w:tcW w:w="560" w:type="pct"/>
            <w:noWrap/>
            <w:hideMark/>
          </w:tcPr>
          <w:p w14:paraId="0F724806"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76.93%</w:t>
            </w:r>
          </w:p>
        </w:tc>
      </w:tr>
      <w:tr w:rsidR="00C348DD" w:rsidRPr="007A6B50" w14:paraId="615F8546"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2EBFD866"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Educación</w:t>
            </w:r>
          </w:p>
        </w:tc>
        <w:tc>
          <w:tcPr>
            <w:tcW w:w="576" w:type="pct"/>
            <w:noWrap/>
            <w:hideMark/>
          </w:tcPr>
          <w:p w14:paraId="10DD8DEF"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1,417</w:t>
            </w:r>
          </w:p>
        </w:tc>
        <w:tc>
          <w:tcPr>
            <w:tcW w:w="544" w:type="pct"/>
            <w:noWrap/>
            <w:hideMark/>
          </w:tcPr>
          <w:p w14:paraId="1E9ACB3D"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1,450.08</w:t>
            </w:r>
          </w:p>
        </w:tc>
        <w:tc>
          <w:tcPr>
            <w:tcW w:w="666" w:type="pct"/>
            <w:noWrap/>
            <w:hideMark/>
          </w:tcPr>
          <w:p w14:paraId="3373AC97"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9.93%</w:t>
            </w:r>
          </w:p>
        </w:tc>
        <w:tc>
          <w:tcPr>
            <w:tcW w:w="576" w:type="pct"/>
            <w:noWrap/>
            <w:hideMark/>
          </w:tcPr>
          <w:p w14:paraId="77B0F6FE"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1198</w:t>
            </w:r>
          </w:p>
        </w:tc>
        <w:tc>
          <w:tcPr>
            <w:tcW w:w="577" w:type="pct"/>
            <w:noWrap/>
            <w:hideMark/>
          </w:tcPr>
          <w:p w14:paraId="5B005BD1"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917.84</w:t>
            </w:r>
          </w:p>
        </w:tc>
        <w:tc>
          <w:tcPr>
            <w:tcW w:w="608" w:type="pct"/>
            <w:noWrap/>
            <w:hideMark/>
          </w:tcPr>
          <w:p w14:paraId="37CF5058"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63.30%</w:t>
            </w:r>
          </w:p>
        </w:tc>
        <w:tc>
          <w:tcPr>
            <w:tcW w:w="560" w:type="pct"/>
            <w:noWrap/>
            <w:hideMark/>
          </w:tcPr>
          <w:p w14:paraId="274A1DA2"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75.60%</w:t>
            </w:r>
          </w:p>
        </w:tc>
      </w:tr>
      <w:tr w:rsidR="00C348DD" w:rsidRPr="007A6B50" w14:paraId="6BAFD8CB" w14:textId="77777777" w:rsidTr="004B1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2888BBD4"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Salud y Asistencia Social</w:t>
            </w:r>
          </w:p>
        </w:tc>
        <w:tc>
          <w:tcPr>
            <w:tcW w:w="576" w:type="pct"/>
            <w:noWrap/>
            <w:hideMark/>
          </w:tcPr>
          <w:p w14:paraId="209A6EFD"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482</w:t>
            </w:r>
          </w:p>
        </w:tc>
        <w:tc>
          <w:tcPr>
            <w:tcW w:w="544" w:type="pct"/>
            <w:noWrap/>
            <w:hideMark/>
          </w:tcPr>
          <w:p w14:paraId="5FA09183"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651.45</w:t>
            </w:r>
          </w:p>
        </w:tc>
        <w:tc>
          <w:tcPr>
            <w:tcW w:w="666" w:type="pct"/>
            <w:noWrap/>
            <w:hideMark/>
          </w:tcPr>
          <w:p w14:paraId="2DFB31DF"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4.46%</w:t>
            </w:r>
          </w:p>
        </w:tc>
        <w:tc>
          <w:tcPr>
            <w:tcW w:w="576" w:type="pct"/>
            <w:noWrap/>
            <w:hideMark/>
          </w:tcPr>
          <w:p w14:paraId="18B50557"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433</w:t>
            </w:r>
          </w:p>
        </w:tc>
        <w:tc>
          <w:tcPr>
            <w:tcW w:w="577" w:type="pct"/>
            <w:noWrap/>
            <w:hideMark/>
          </w:tcPr>
          <w:p w14:paraId="739A9F76"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409.98</w:t>
            </w:r>
          </w:p>
        </w:tc>
        <w:tc>
          <w:tcPr>
            <w:tcW w:w="608" w:type="pct"/>
            <w:noWrap/>
            <w:hideMark/>
          </w:tcPr>
          <w:p w14:paraId="0DE46F4D"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62.93%</w:t>
            </w:r>
          </w:p>
        </w:tc>
        <w:tc>
          <w:tcPr>
            <w:tcW w:w="560" w:type="pct"/>
            <w:noWrap/>
            <w:hideMark/>
          </w:tcPr>
          <w:p w14:paraId="0F8E9326"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74.35%</w:t>
            </w:r>
          </w:p>
        </w:tc>
      </w:tr>
      <w:tr w:rsidR="00C348DD" w:rsidRPr="007A6B50" w14:paraId="5F62848D" w14:textId="77777777" w:rsidTr="004B159C">
        <w:trPr>
          <w:trHeight w:val="495"/>
        </w:trPr>
        <w:tc>
          <w:tcPr>
            <w:cnfStyle w:val="001000000000" w:firstRow="0" w:lastRow="0" w:firstColumn="1" w:lastColumn="0" w:oddVBand="0" w:evenVBand="0" w:oddHBand="0" w:evenHBand="0" w:firstRowFirstColumn="0" w:firstRowLastColumn="0" w:lastRowFirstColumn="0" w:lastRowLastColumn="0"/>
            <w:tcW w:w="893" w:type="pct"/>
            <w:hideMark/>
          </w:tcPr>
          <w:p w14:paraId="541CC23B"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Desarrollo Urbano y Rural</w:t>
            </w:r>
          </w:p>
        </w:tc>
        <w:tc>
          <w:tcPr>
            <w:tcW w:w="576" w:type="pct"/>
            <w:noWrap/>
            <w:hideMark/>
          </w:tcPr>
          <w:p w14:paraId="6E542D38"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386</w:t>
            </w:r>
          </w:p>
        </w:tc>
        <w:tc>
          <w:tcPr>
            <w:tcW w:w="544" w:type="pct"/>
            <w:noWrap/>
            <w:hideMark/>
          </w:tcPr>
          <w:p w14:paraId="2E57AABE"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542.59</w:t>
            </w:r>
          </w:p>
        </w:tc>
        <w:tc>
          <w:tcPr>
            <w:tcW w:w="666" w:type="pct"/>
            <w:noWrap/>
            <w:hideMark/>
          </w:tcPr>
          <w:p w14:paraId="743DF5FD"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3.71%</w:t>
            </w:r>
          </w:p>
        </w:tc>
        <w:tc>
          <w:tcPr>
            <w:tcW w:w="576" w:type="pct"/>
            <w:noWrap/>
            <w:hideMark/>
          </w:tcPr>
          <w:p w14:paraId="0812E93E"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332</w:t>
            </w:r>
          </w:p>
        </w:tc>
        <w:tc>
          <w:tcPr>
            <w:tcW w:w="577" w:type="pct"/>
            <w:noWrap/>
            <w:hideMark/>
          </w:tcPr>
          <w:p w14:paraId="588AAC97"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330.68</w:t>
            </w:r>
          </w:p>
        </w:tc>
        <w:tc>
          <w:tcPr>
            <w:tcW w:w="608" w:type="pct"/>
            <w:noWrap/>
            <w:hideMark/>
          </w:tcPr>
          <w:p w14:paraId="5B0BF81E"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60.94%</w:t>
            </w:r>
          </w:p>
        </w:tc>
        <w:tc>
          <w:tcPr>
            <w:tcW w:w="560" w:type="pct"/>
            <w:noWrap/>
            <w:hideMark/>
          </w:tcPr>
          <w:p w14:paraId="753A79E0"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71.08%</w:t>
            </w:r>
          </w:p>
        </w:tc>
      </w:tr>
      <w:tr w:rsidR="00C348DD" w:rsidRPr="007A6B50" w14:paraId="15E21434" w14:textId="77777777" w:rsidTr="004B1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618410ED"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Vivienda</w:t>
            </w:r>
          </w:p>
        </w:tc>
        <w:tc>
          <w:tcPr>
            <w:tcW w:w="576" w:type="pct"/>
            <w:noWrap/>
            <w:hideMark/>
          </w:tcPr>
          <w:p w14:paraId="228A5008"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456</w:t>
            </w:r>
          </w:p>
        </w:tc>
        <w:tc>
          <w:tcPr>
            <w:tcW w:w="544" w:type="pct"/>
            <w:noWrap/>
            <w:hideMark/>
          </w:tcPr>
          <w:p w14:paraId="2F2D0704"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461.55</w:t>
            </w:r>
          </w:p>
        </w:tc>
        <w:tc>
          <w:tcPr>
            <w:tcW w:w="666" w:type="pct"/>
            <w:noWrap/>
            <w:hideMark/>
          </w:tcPr>
          <w:p w14:paraId="6D730290"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3.16%</w:t>
            </w:r>
          </w:p>
        </w:tc>
        <w:tc>
          <w:tcPr>
            <w:tcW w:w="576" w:type="pct"/>
            <w:noWrap/>
            <w:hideMark/>
          </w:tcPr>
          <w:p w14:paraId="70362D8B"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390</w:t>
            </w:r>
          </w:p>
        </w:tc>
        <w:tc>
          <w:tcPr>
            <w:tcW w:w="577" w:type="pct"/>
            <w:noWrap/>
            <w:hideMark/>
          </w:tcPr>
          <w:p w14:paraId="697E289A"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315.99</w:t>
            </w:r>
          </w:p>
        </w:tc>
        <w:tc>
          <w:tcPr>
            <w:tcW w:w="608" w:type="pct"/>
            <w:noWrap/>
            <w:hideMark/>
          </w:tcPr>
          <w:p w14:paraId="27E88692"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68.46%</w:t>
            </w:r>
          </w:p>
        </w:tc>
        <w:tc>
          <w:tcPr>
            <w:tcW w:w="560" w:type="pct"/>
            <w:noWrap/>
            <w:hideMark/>
          </w:tcPr>
          <w:p w14:paraId="1E7F54BA"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64.93%</w:t>
            </w:r>
          </w:p>
        </w:tc>
      </w:tr>
      <w:tr w:rsidR="00C348DD" w:rsidRPr="007A6B50" w14:paraId="71BC36DE"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1D2DBDF3"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Cultura y Deportes</w:t>
            </w:r>
          </w:p>
        </w:tc>
        <w:tc>
          <w:tcPr>
            <w:tcW w:w="576" w:type="pct"/>
            <w:noWrap/>
            <w:hideMark/>
          </w:tcPr>
          <w:p w14:paraId="7EDCC972"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332</w:t>
            </w:r>
          </w:p>
        </w:tc>
        <w:tc>
          <w:tcPr>
            <w:tcW w:w="544" w:type="pct"/>
            <w:noWrap/>
            <w:hideMark/>
          </w:tcPr>
          <w:p w14:paraId="77292720"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435.63</w:t>
            </w:r>
          </w:p>
        </w:tc>
        <w:tc>
          <w:tcPr>
            <w:tcW w:w="666" w:type="pct"/>
            <w:noWrap/>
            <w:hideMark/>
          </w:tcPr>
          <w:p w14:paraId="00CEFBA0"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2.98%</w:t>
            </w:r>
          </w:p>
        </w:tc>
        <w:tc>
          <w:tcPr>
            <w:tcW w:w="576" w:type="pct"/>
            <w:noWrap/>
            <w:hideMark/>
          </w:tcPr>
          <w:p w14:paraId="1F97EC7D"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304</w:t>
            </w:r>
          </w:p>
        </w:tc>
        <w:tc>
          <w:tcPr>
            <w:tcW w:w="577" w:type="pct"/>
            <w:noWrap/>
            <w:hideMark/>
          </w:tcPr>
          <w:p w14:paraId="22583634"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250.51</w:t>
            </w:r>
          </w:p>
        </w:tc>
        <w:tc>
          <w:tcPr>
            <w:tcW w:w="608" w:type="pct"/>
            <w:noWrap/>
            <w:hideMark/>
          </w:tcPr>
          <w:p w14:paraId="2D24301D"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57.50%</w:t>
            </w:r>
          </w:p>
        </w:tc>
        <w:tc>
          <w:tcPr>
            <w:tcW w:w="560" w:type="pct"/>
            <w:noWrap/>
            <w:hideMark/>
          </w:tcPr>
          <w:p w14:paraId="605681BE"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64.70%</w:t>
            </w:r>
          </w:p>
        </w:tc>
      </w:tr>
      <w:tr w:rsidR="00C348DD" w:rsidRPr="007A6B50" w14:paraId="060750AD" w14:textId="77777777" w:rsidTr="004B1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5C91C6E7"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Servicios Generales</w:t>
            </w:r>
          </w:p>
        </w:tc>
        <w:tc>
          <w:tcPr>
            <w:tcW w:w="576" w:type="pct"/>
            <w:noWrap/>
            <w:hideMark/>
          </w:tcPr>
          <w:p w14:paraId="5F886741"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314</w:t>
            </w:r>
          </w:p>
        </w:tc>
        <w:tc>
          <w:tcPr>
            <w:tcW w:w="544" w:type="pct"/>
            <w:noWrap/>
            <w:hideMark/>
          </w:tcPr>
          <w:p w14:paraId="0EEE1291"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315.05</w:t>
            </w:r>
          </w:p>
        </w:tc>
        <w:tc>
          <w:tcPr>
            <w:tcW w:w="666" w:type="pct"/>
            <w:noWrap/>
            <w:hideMark/>
          </w:tcPr>
          <w:p w14:paraId="5E4AF202"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2.16%</w:t>
            </w:r>
          </w:p>
        </w:tc>
        <w:tc>
          <w:tcPr>
            <w:tcW w:w="576" w:type="pct"/>
            <w:noWrap/>
            <w:hideMark/>
          </w:tcPr>
          <w:p w14:paraId="7C330C71"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245</w:t>
            </w:r>
          </w:p>
        </w:tc>
        <w:tc>
          <w:tcPr>
            <w:tcW w:w="577" w:type="pct"/>
            <w:noWrap/>
            <w:hideMark/>
          </w:tcPr>
          <w:p w14:paraId="4D714376"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154.47</w:t>
            </w:r>
          </w:p>
        </w:tc>
        <w:tc>
          <w:tcPr>
            <w:tcW w:w="608" w:type="pct"/>
            <w:noWrap/>
            <w:hideMark/>
          </w:tcPr>
          <w:p w14:paraId="0D35DBD0"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49.03%</w:t>
            </w:r>
          </w:p>
        </w:tc>
        <w:tc>
          <w:tcPr>
            <w:tcW w:w="560" w:type="pct"/>
            <w:noWrap/>
            <w:hideMark/>
          </w:tcPr>
          <w:p w14:paraId="663E7B26"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54.11%</w:t>
            </w:r>
          </w:p>
        </w:tc>
      </w:tr>
      <w:tr w:rsidR="00C348DD" w:rsidRPr="007A6B50" w14:paraId="5D5F7A53"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61AEB797"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Energía</w:t>
            </w:r>
          </w:p>
        </w:tc>
        <w:tc>
          <w:tcPr>
            <w:tcW w:w="576" w:type="pct"/>
            <w:noWrap/>
            <w:hideMark/>
          </w:tcPr>
          <w:p w14:paraId="06C60549"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348</w:t>
            </w:r>
          </w:p>
        </w:tc>
        <w:tc>
          <w:tcPr>
            <w:tcW w:w="544" w:type="pct"/>
            <w:noWrap/>
            <w:hideMark/>
          </w:tcPr>
          <w:p w14:paraId="75C5646F"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314.53</w:t>
            </w:r>
          </w:p>
        </w:tc>
        <w:tc>
          <w:tcPr>
            <w:tcW w:w="666" w:type="pct"/>
            <w:noWrap/>
            <w:hideMark/>
          </w:tcPr>
          <w:p w14:paraId="30AAE8E4"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2.15%</w:t>
            </w:r>
          </w:p>
        </w:tc>
        <w:tc>
          <w:tcPr>
            <w:tcW w:w="576" w:type="pct"/>
            <w:noWrap/>
            <w:hideMark/>
          </w:tcPr>
          <w:p w14:paraId="27B54254"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250</w:t>
            </w:r>
          </w:p>
        </w:tc>
        <w:tc>
          <w:tcPr>
            <w:tcW w:w="577" w:type="pct"/>
            <w:noWrap/>
            <w:hideMark/>
          </w:tcPr>
          <w:p w14:paraId="6FBE5FA3"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199.76</w:t>
            </w:r>
          </w:p>
        </w:tc>
        <w:tc>
          <w:tcPr>
            <w:tcW w:w="608" w:type="pct"/>
            <w:noWrap/>
            <w:hideMark/>
          </w:tcPr>
          <w:p w14:paraId="7567E939"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63.51%</w:t>
            </w:r>
          </w:p>
        </w:tc>
        <w:tc>
          <w:tcPr>
            <w:tcW w:w="560" w:type="pct"/>
            <w:noWrap/>
            <w:hideMark/>
          </w:tcPr>
          <w:p w14:paraId="2E6B1709"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56.81%</w:t>
            </w:r>
          </w:p>
        </w:tc>
      </w:tr>
      <w:tr w:rsidR="00C348DD" w:rsidRPr="007A6B50" w14:paraId="73B07AD6" w14:textId="77777777" w:rsidTr="004B1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32E4BBFD"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Agropecuario</w:t>
            </w:r>
          </w:p>
        </w:tc>
        <w:tc>
          <w:tcPr>
            <w:tcW w:w="576" w:type="pct"/>
            <w:noWrap/>
            <w:hideMark/>
          </w:tcPr>
          <w:p w14:paraId="0C0C99BA"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289</w:t>
            </w:r>
          </w:p>
        </w:tc>
        <w:tc>
          <w:tcPr>
            <w:tcW w:w="544" w:type="pct"/>
            <w:noWrap/>
            <w:hideMark/>
          </w:tcPr>
          <w:p w14:paraId="5A722C9E"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222.14</w:t>
            </w:r>
          </w:p>
        </w:tc>
        <w:tc>
          <w:tcPr>
            <w:tcW w:w="666" w:type="pct"/>
            <w:noWrap/>
            <w:hideMark/>
          </w:tcPr>
          <w:p w14:paraId="69267E24"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1.52%</w:t>
            </w:r>
          </w:p>
        </w:tc>
        <w:tc>
          <w:tcPr>
            <w:tcW w:w="576" w:type="pct"/>
            <w:noWrap/>
            <w:hideMark/>
          </w:tcPr>
          <w:p w14:paraId="04C215A1"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253</w:t>
            </w:r>
          </w:p>
        </w:tc>
        <w:tc>
          <w:tcPr>
            <w:tcW w:w="577" w:type="pct"/>
            <w:noWrap/>
            <w:hideMark/>
          </w:tcPr>
          <w:p w14:paraId="24C48035"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142.76</w:t>
            </w:r>
          </w:p>
        </w:tc>
        <w:tc>
          <w:tcPr>
            <w:tcW w:w="608" w:type="pct"/>
            <w:noWrap/>
            <w:hideMark/>
          </w:tcPr>
          <w:p w14:paraId="21772601"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64.27%</w:t>
            </w:r>
          </w:p>
        </w:tc>
        <w:tc>
          <w:tcPr>
            <w:tcW w:w="560" w:type="pct"/>
            <w:noWrap/>
            <w:hideMark/>
          </w:tcPr>
          <w:p w14:paraId="72F9C967"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63.38%</w:t>
            </w:r>
          </w:p>
        </w:tc>
      </w:tr>
      <w:tr w:rsidR="00C348DD" w:rsidRPr="007A6B50" w14:paraId="779499DC"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54655ED9"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Medio Ambiente</w:t>
            </w:r>
          </w:p>
        </w:tc>
        <w:tc>
          <w:tcPr>
            <w:tcW w:w="576" w:type="pct"/>
            <w:noWrap/>
            <w:hideMark/>
          </w:tcPr>
          <w:p w14:paraId="4FF49574"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128</w:t>
            </w:r>
          </w:p>
        </w:tc>
        <w:tc>
          <w:tcPr>
            <w:tcW w:w="544" w:type="pct"/>
            <w:noWrap/>
            <w:hideMark/>
          </w:tcPr>
          <w:p w14:paraId="75166F2F"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156.04</w:t>
            </w:r>
          </w:p>
        </w:tc>
        <w:tc>
          <w:tcPr>
            <w:tcW w:w="666" w:type="pct"/>
            <w:noWrap/>
            <w:hideMark/>
          </w:tcPr>
          <w:p w14:paraId="78B45B6D"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1.07%</w:t>
            </w:r>
          </w:p>
        </w:tc>
        <w:tc>
          <w:tcPr>
            <w:tcW w:w="576" w:type="pct"/>
            <w:noWrap/>
            <w:hideMark/>
          </w:tcPr>
          <w:p w14:paraId="3A246074"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117</w:t>
            </w:r>
          </w:p>
        </w:tc>
        <w:tc>
          <w:tcPr>
            <w:tcW w:w="577" w:type="pct"/>
            <w:noWrap/>
            <w:hideMark/>
          </w:tcPr>
          <w:p w14:paraId="209525B9"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110.90</w:t>
            </w:r>
          </w:p>
        </w:tc>
        <w:tc>
          <w:tcPr>
            <w:tcW w:w="608" w:type="pct"/>
            <w:noWrap/>
            <w:hideMark/>
          </w:tcPr>
          <w:p w14:paraId="14D4ED0C"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71.07%</w:t>
            </w:r>
          </w:p>
        </w:tc>
        <w:tc>
          <w:tcPr>
            <w:tcW w:w="560" w:type="pct"/>
            <w:noWrap/>
            <w:hideMark/>
          </w:tcPr>
          <w:p w14:paraId="479699BC"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66.46%</w:t>
            </w:r>
          </w:p>
        </w:tc>
      </w:tr>
      <w:tr w:rsidR="00C348DD" w:rsidRPr="007A6B50" w14:paraId="0702F5AF" w14:textId="77777777" w:rsidTr="004B159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93" w:type="pct"/>
            <w:hideMark/>
          </w:tcPr>
          <w:p w14:paraId="1ADF8196"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Otras Actividades de Servicios Económicos</w:t>
            </w:r>
          </w:p>
        </w:tc>
        <w:tc>
          <w:tcPr>
            <w:tcW w:w="576" w:type="pct"/>
            <w:noWrap/>
            <w:hideMark/>
          </w:tcPr>
          <w:p w14:paraId="0B7B2A4B"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146</w:t>
            </w:r>
          </w:p>
        </w:tc>
        <w:tc>
          <w:tcPr>
            <w:tcW w:w="544" w:type="pct"/>
            <w:noWrap/>
            <w:hideMark/>
          </w:tcPr>
          <w:p w14:paraId="0F1227B6"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124.11</w:t>
            </w:r>
          </w:p>
        </w:tc>
        <w:tc>
          <w:tcPr>
            <w:tcW w:w="666" w:type="pct"/>
            <w:noWrap/>
            <w:hideMark/>
          </w:tcPr>
          <w:p w14:paraId="468A27E4"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0.85%</w:t>
            </w:r>
          </w:p>
        </w:tc>
        <w:tc>
          <w:tcPr>
            <w:tcW w:w="576" w:type="pct"/>
            <w:noWrap/>
            <w:hideMark/>
          </w:tcPr>
          <w:p w14:paraId="3D292733"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129</w:t>
            </w:r>
          </w:p>
        </w:tc>
        <w:tc>
          <w:tcPr>
            <w:tcW w:w="577" w:type="pct"/>
            <w:noWrap/>
            <w:hideMark/>
          </w:tcPr>
          <w:p w14:paraId="6ED1B367"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87.11</w:t>
            </w:r>
          </w:p>
        </w:tc>
        <w:tc>
          <w:tcPr>
            <w:tcW w:w="608" w:type="pct"/>
            <w:noWrap/>
            <w:hideMark/>
          </w:tcPr>
          <w:p w14:paraId="7DDC7B7D"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70.19%</w:t>
            </w:r>
          </w:p>
        </w:tc>
        <w:tc>
          <w:tcPr>
            <w:tcW w:w="560" w:type="pct"/>
            <w:noWrap/>
            <w:hideMark/>
          </w:tcPr>
          <w:p w14:paraId="0E7A5B08"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62.60%</w:t>
            </w:r>
          </w:p>
        </w:tc>
      </w:tr>
      <w:tr w:rsidR="00C348DD" w:rsidRPr="007A6B50" w14:paraId="5267876E"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179801C2"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Seguridad Interna</w:t>
            </w:r>
          </w:p>
        </w:tc>
        <w:tc>
          <w:tcPr>
            <w:tcW w:w="576" w:type="pct"/>
            <w:noWrap/>
            <w:hideMark/>
          </w:tcPr>
          <w:p w14:paraId="3D883862"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42</w:t>
            </w:r>
          </w:p>
        </w:tc>
        <w:tc>
          <w:tcPr>
            <w:tcW w:w="544" w:type="pct"/>
            <w:noWrap/>
            <w:hideMark/>
          </w:tcPr>
          <w:p w14:paraId="2DE7D754"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87.28</w:t>
            </w:r>
          </w:p>
        </w:tc>
        <w:tc>
          <w:tcPr>
            <w:tcW w:w="666" w:type="pct"/>
            <w:noWrap/>
            <w:hideMark/>
          </w:tcPr>
          <w:p w14:paraId="323C6F2F"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0.60%</w:t>
            </w:r>
          </w:p>
        </w:tc>
        <w:tc>
          <w:tcPr>
            <w:tcW w:w="576" w:type="pct"/>
            <w:noWrap/>
            <w:hideMark/>
          </w:tcPr>
          <w:p w14:paraId="5382245B"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30</w:t>
            </w:r>
          </w:p>
        </w:tc>
        <w:tc>
          <w:tcPr>
            <w:tcW w:w="577" w:type="pct"/>
            <w:noWrap/>
            <w:hideMark/>
          </w:tcPr>
          <w:p w14:paraId="42B99F6F"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29.38</w:t>
            </w:r>
          </w:p>
        </w:tc>
        <w:tc>
          <w:tcPr>
            <w:tcW w:w="608" w:type="pct"/>
            <w:noWrap/>
            <w:hideMark/>
          </w:tcPr>
          <w:p w14:paraId="66264023"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33.66%</w:t>
            </w:r>
          </w:p>
        </w:tc>
        <w:tc>
          <w:tcPr>
            <w:tcW w:w="560" w:type="pct"/>
            <w:noWrap/>
            <w:hideMark/>
          </w:tcPr>
          <w:p w14:paraId="64775E3F"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53.77%</w:t>
            </w:r>
          </w:p>
        </w:tc>
      </w:tr>
      <w:tr w:rsidR="00C348DD" w:rsidRPr="007A6B50" w14:paraId="1433D38C" w14:textId="77777777" w:rsidTr="004B1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68C35A0E"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Judicial</w:t>
            </w:r>
          </w:p>
        </w:tc>
        <w:tc>
          <w:tcPr>
            <w:tcW w:w="576" w:type="pct"/>
            <w:noWrap/>
            <w:hideMark/>
          </w:tcPr>
          <w:p w14:paraId="2962B5C9"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26</w:t>
            </w:r>
          </w:p>
        </w:tc>
        <w:tc>
          <w:tcPr>
            <w:tcW w:w="544" w:type="pct"/>
            <w:noWrap/>
            <w:hideMark/>
          </w:tcPr>
          <w:p w14:paraId="4AE4ACAC"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42.97</w:t>
            </w:r>
          </w:p>
        </w:tc>
        <w:tc>
          <w:tcPr>
            <w:tcW w:w="666" w:type="pct"/>
            <w:noWrap/>
            <w:hideMark/>
          </w:tcPr>
          <w:p w14:paraId="41C1155B"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0.29%</w:t>
            </w:r>
          </w:p>
        </w:tc>
        <w:tc>
          <w:tcPr>
            <w:tcW w:w="576" w:type="pct"/>
            <w:noWrap/>
            <w:hideMark/>
          </w:tcPr>
          <w:p w14:paraId="275D19DA"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24</w:t>
            </w:r>
          </w:p>
        </w:tc>
        <w:tc>
          <w:tcPr>
            <w:tcW w:w="577" w:type="pct"/>
            <w:noWrap/>
            <w:hideMark/>
          </w:tcPr>
          <w:p w14:paraId="39B59936"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17.27</w:t>
            </w:r>
          </w:p>
        </w:tc>
        <w:tc>
          <w:tcPr>
            <w:tcW w:w="608" w:type="pct"/>
            <w:noWrap/>
            <w:hideMark/>
          </w:tcPr>
          <w:p w14:paraId="06C37E5E"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40.19%</w:t>
            </w:r>
          </w:p>
        </w:tc>
        <w:tc>
          <w:tcPr>
            <w:tcW w:w="560" w:type="pct"/>
            <w:noWrap/>
            <w:hideMark/>
          </w:tcPr>
          <w:p w14:paraId="14D39625"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45.65%</w:t>
            </w:r>
          </w:p>
        </w:tc>
      </w:tr>
      <w:tr w:rsidR="00C348DD" w:rsidRPr="007A6B50" w14:paraId="323152FF"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23476DFD"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Industria y Comercio</w:t>
            </w:r>
          </w:p>
        </w:tc>
        <w:tc>
          <w:tcPr>
            <w:tcW w:w="576" w:type="pct"/>
            <w:noWrap/>
            <w:hideMark/>
          </w:tcPr>
          <w:p w14:paraId="06534B5F"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12</w:t>
            </w:r>
          </w:p>
        </w:tc>
        <w:tc>
          <w:tcPr>
            <w:tcW w:w="544" w:type="pct"/>
            <w:noWrap/>
            <w:hideMark/>
          </w:tcPr>
          <w:p w14:paraId="447F216D"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24.53</w:t>
            </w:r>
          </w:p>
        </w:tc>
        <w:tc>
          <w:tcPr>
            <w:tcW w:w="666" w:type="pct"/>
            <w:noWrap/>
            <w:hideMark/>
          </w:tcPr>
          <w:p w14:paraId="5C3228FD"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0.17%</w:t>
            </w:r>
          </w:p>
        </w:tc>
        <w:tc>
          <w:tcPr>
            <w:tcW w:w="576" w:type="pct"/>
            <w:noWrap/>
            <w:hideMark/>
          </w:tcPr>
          <w:p w14:paraId="0B5B5C50"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w:t>
            </w:r>
          </w:p>
        </w:tc>
        <w:tc>
          <w:tcPr>
            <w:tcW w:w="577" w:type="pct"/>
            <w:noWrap/>
            <w:hideMark/>
          </w:tcPr>
          <w:p w14:paraId="4AF119D7"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14.09</w:t>
            </w:r>
          </w:p>
        </w:tc>
        <w:tc>
          <w:tcPr>
            <w:tcW w:w="608" w:type="pct"/>
            <w:noWrap/>
            <w:hideMark/>
          </w:tcPr>
          <w:p w14:paraId="1E793076"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57.43%</w:t>
            </w:r>
          </w:p>
        </w:tc>
        <w:tc>
          <w:tcPr>
            <w:tcW w:w="560" w:type="pct"/>
            <w:noWrap/>
            <w:hideMark/>
          </w:tcPr>
          <w:p w14:paraId="2A44F32A"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50.32%</w:t>
            </w:r>
          </w:p>
        </w:tc>
      </w:tr>
      <w:tr w:rsidR="00C348DD" w:rsidRPr="007A6B50" w14:paraId="64A1619E" w14:textId="77777777" w:rsidTr="004B159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93" w:type="pct"/>
            <w:hideMark/>
          </w:tcPr>
          <w:p w14:paraId="2949D814"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Otras Actividades de Administración</w:t>
            </w:r>
          </w:p>
        </w:tc>
        <w:tc>
          <w:tcPr>
            <w:tcW w:w="576" w:type="pct"/>
            <w:noWrap/>
            <w:hideMark/>
          </w:tcPr>
          <w:p w14:paraId="10F35022"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28</w:t>
            </w:r>
          </w:p>
        </w:tc>
        <w:tc>
          <w:tcPr>
            <w:tcW w:w="544" w:type="pct"/>
            <w:noWrap/>
            <w:hideMark/>
          </w:tcPr>
          <w:p w14:paraId="6155EC29"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21.60</w:t>
            </w:r>
          </w:p>
        </w:tc>
        <w:tc>
          <w:tcPr>
            <w:tcW w:w="666" w:type="pct"/>
            <w:noWrap/>
            <w:hideMark/>
          </w:tcPr>
          <w:p w14:paraId="3851C97F"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0.15%</w:t>
            </w:r>
          </w:p>
        </w:tc>
        <w:tc>
          <w:tcPr>
            <w:tcW w:w="576" w:type="pct"/>
            <w:noWrap/>
            <w:hideMark/>
          </w:tcPr>
          <w:p w14:paraId="34ABD67E"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26</w:t>
            </w:r>
          </w:p>
        </w:tc>
        <w:tc>
          <w:tcPr>
            <w:tcW w:w="577" w:type="pct"/>
            <w:noWrap/>
            <w:hideMark/>
          </w:tcPr>
          <w:p w14:paraId="3F5072F2"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11.34</w:t>
            </w:r>
          </w:p>
        </w:tc>
        <w:tc>
          <w:tcPr>
            <w:tcW w:w="608" w:type="pct"/>
            <w:noWrap/>
            <w:hideMark/>
          </w:tcPr>
          <w:p w14:paraId="0C567938"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0.08%</w:t>
            </w:r>
          </w:p>
        </w:tc>
        <w:tc>
          <w:tcPr>
            <w:tcW w:w="560" w:type="pct"/>
            <w:noWrap/>
            <w:hideMark/>
          </w:tcPr>
          <w:p w14:paraId="6C7521DF"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62.49%</w:t>
            </w:r>
          </w:p>
        </w:tc>
      </w:tr>
      <w:tr w:rsidR="00C348DD" w:rsidRPr="007A6B50" w14:paraId="04E7284B"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1E2AE31C"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Administración Fiscal</w:t>
            </w:r>
          </w:p>
        </w:tc>
        <w:tc>
          <w:tcPr>
            <w:tcW w:w="576" w:type="pct"/>
            <w:noWrap/>
            <w:hideMark/>
          </w:tcPr>
          <w:p w14:paraId="6E57748C"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24</w:t>
            </w:r>
          </w:p>
        </w:tc>
        <w:tc>
          <w:tcPr>
            <w:tcW w:w="544" w:type="pct"/>
            <w:noWrap/>
            <w:hideMark/>
          </w:tcPr>
          <w:p w14:paraId="2C1F14B9"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18.34</w:t>
            </w:r>
          </w:p>
        </w:tc>
        <w:tc>
          <w:tcPr>
            <w:tcW w:w="666" w:type="pct"/>
            <w:noWrap/>
            <w:hideMark/>
          </w:tcPr>
          <w:p w14:paraId="3F6ACC68"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0.13%</w:t>
            </w:r>
          </w:p>
        </w:tc>
        <w:tc>
          <w:tcPr>
            <w:tcW w:w="576" w:type="pct"/>
            <w:noWrap/>
            <w:hideMark/>
          </w:tcPr>
          <w:p w14:paraId="7F308B64"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18</w:t>
            </w:r>
          </w:p>
        </w:tc>
        <w:tc>
          <w:tcPr>
            <w:tcW w:w="577" w:type="pct"/>
            <w:noWrap/>
            <w:hideMark/>
          </w:tcPr>
          <w:p w14:paraId="046084D3"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8.74</w:t>
            </w:r>
          </w:p>
        </w:tc>
        <w:tc>
          <w:tcPr>
            <w:tcW w:w="608" w:type="pct"/>
            <w:noWrap/>
            <w:hideMark/>
          </w:tcPr>
          <w:p w14:paraId="05D4521F"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47.67%</w:t>
            </w:r>
          </w:p>
        </w:tc>
        <w:tc>
          <w:tcPr>
            <w:tcW w:w="560" w:type="pct"/>
            <w:noWrap/>
            <w:hideMark/>
          </w:tcPr>
          <w:p w14:paraId="3D5F1CF8"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49.14%</w:t>
            </w:r>
          </w:p>
        </w:tc>
      </w:tr>
      <w:tr w:rsidR="00C348DD" w:rsidRPr="007A6B50" w14:paraId="4E090340" w14:textId="77777777" w:rsidTr="004B1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330182B0"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Defensa</w:t>
            </w:r>
          </w:p>
        </w:tc>
        <w:tc>
          <w:tcPr>
            <w:tcW w:w="576" w:type="pct"/>
            <w:noWrap/>
            <w:hideMark/>
          </w:tcPr>
          <w:p w14:paraId="5BFF71AD"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w:t>
            </w:r>
          </w:p>
        </w:tc>
        <w:tc>
          <w:tcPr>
            <w:tcW w:w="544" w:type="pct"/>
            <w:noWrap/>
            <w:hideMark/>
          </w:tcPr>
          <w:p w14:paraId="71B8EE95"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14.80</w:t>
            </w:r>
          </w:p>
        </w:tc>
        <w:tc>
          <w:tcPr>
            <w:tcW w:w="666" w:type="pct"/>
            <w:noWrap/>
            <w:hideMark/>
          </w:tcPr>
          <w:p w14:paraId="5EA5CA2E"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0.10%</w:t>
            </w:r>
          </w:p>
        </w:tc>
        <w:tc>
          <w:tcPr>
            <w:tcW w:w="576" w:type="pct"/>
            <w:noWrap/>
            <w:hideMark/>
          </w:tcPr>
          <w:p w14:paraId="194A30E3"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w:t>
            </w:r>
          </w:p>
        </w:tc>
        <w:tc>
          <w:tcPr>
            <w:tcW w:w="577" w:type="pct"/>
            <w:noWrap/>
            <w:hideMark/>
          </w:tcPr>
          <w:p w14:paraId="4E4236B3"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4.80</w:t>
            </w:r>
          </w:p>
        </w:tc>
        <w:tc>
          <w:tcPr>
            <w:tcW w:w="608" w:type="pct"/>
            <w:noWrap/>
            <w:hideMark/>
          </w:tcPr>
          <w:p w14:paraId="5D3960BE"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32.43%</w:t>
            </w:r>
          </w:p>
        </w:tc>
        <w:tc>
          <w:tcPr>
            <w:tcW w:w="560" w:type="pct"/>
            <w:noWrap/>
            <w:hideMark/>
          </w:tcPr>
          <w:p w14:paraId="7D41528E"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33.00%</w:t>
            </w:r>
          </w:p>
        </w:tc>
      </w:tr>
      <w:tr w:rsidR="00C348DD" w:rsidRPr="007A6B50" w14:paraId="6F3C6572"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4ACE9D38"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Ciencia y Tecnología</w:t>
            </w:r>
          </w:p>
        </w:tc>
        <w:tc>
          <w:tcPr>
            <w:tcW w:w="576" w:type="pct"/>
            <w:noWrap/>
            <w:hideMark/>
          </w:tcPr>
          <w:p w14:paraId="7372478E"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17</w:t>
            </w:r>
          </w:p>
        </w:tc>
        <w:tc>
          <w:tcPr>
            <w:tcW w:w="544" w:type="pct"/>
            <w:noWrap/>
            <w:hideMark/>
          </w:tcPr>
          <w:p w14:paraId="0230071B"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14.23</w:t>
            </w:r>
          </w:p>
        </w:tc>
        <w:tc>
          <w:tcPr>
            <w:tcW w:w="666" w:type="pct"/>
            <w:noWrap/>
            <w:hideMark/>
          </w:tcPr>
          <w:p w14:paraId="078D354F"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0.10%</w:t>
            </w:r>
          </w:p>
        </w:tc>
        <w:tc>
          <w:tcPr>
            <w:tcW w:w="576" w:type="pct"/>
            <w:noWrap/>
            <w:hideMark/>
          </w:tcPr>
          <w:p w14:paraId="4F42C868"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13</w:t>
            </w:r>
          </w:p>
        </w:tc>
        <w:tc>
          <w:tcPr>
            <w:tcW w:w="577" w:type="pct"/>
            <w:noWrap/>
            <w:hideMark/>
          </w:tcPr>
          <w:p w14:paraId="500F0ACC"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8.08</w:t>
            </w:r>
          </w:p>
        </w:tc>
        <w:tc>
          <w:tcPr>
            <w:tcW w:w="608" w:type="pct"/>
            <w:noWrap/>
            <w:hideMark/>
          </w:tcPr>
          <w:p w14:paraId="6C1E1A89"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56.79%</w:t>
            </w:r>
          </w:p>
        </w:tc>
        <w:tc>
          <w:tcPr>
            <w:tcW w:w="560" w:type="pct"/>
            <w:noWrap/>
            <w:hideMark/>
          </w:tcPr>
          <w:p w14:paraId="59ECDF39"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64.89%</w:t>
            </w:r>
          </w:p>
        </w:tc>
      </w:tr>
      <w:tr w:rsidR="00C348DD" w:rsidRPr="007A6B50" w14:paraId="4945C0B9" w14:textId="77777777" w:rsidTr="004B159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93" w:type="pct"/>
            <w:hideMark/>
          </w:tcPr>
          <w:p w14:paraId="7B0CBB26"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Otras Actividades de Servicios Sociales</w:t>
            </w:r>
          </w:p>
        </w:tc>
        <w:tc>
          <w:tcPr>
            <w:tcW w:w="576" w:type="pct"/>
            <w:noWrap/>
            <w:hideMark/>
          </w:tcPr>
          <w:p w14:paraId="3274A102"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28</w:t>
            </w:r>
          </w:p>
        </w:tc>
        <w:tc>
          <w:tcPr>
            <w:tcW w:w="544" w:type="pct"/>
            <w:noWrap/>
            <w:hideMark/>
          </w:tcPr>
          <w:p w14:paraId="3F519B79"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9.05</w:t>
            </w:r>
          </w:p>
        </w:tc>
        <w:tc>
          <w:tcPr>
            <w:tcW w:w="666" w:type="pct"/>
            <w:noWrap/>
            <w:hideMark/>
          </w:tcPr>
          <w:p w14:paraId="38C65151"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0.06%</w:t>
            </w:r>
          </w:p>
        </w:tc>
        <w:tc>
          <w:tcPr>
            <w:tcW w:w="576" w:type="pct"/>
            <w:noWrap/>
            <w:hideMark/>
          </w:tcPr>
          <w:p w14:paraId="2B2A5A88"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27</w:t>
            </w:r>
          </w:p>
        </w:tc>
        <w:tc>
          <w:tcPr>
            <w:tcW w:w="577" w:type="pct"/>
            <w:noWrap/>
            <w:hideMark/>
          </w:tcPr>
          <w:p w14:paraId="12DFDF89"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7.48</w:t>
            </w:r>
          </w:p>
        </w:tc>
        <w:tc>
          <w:tcPr>
            <w:tcW w:w="608" w:type="pct"/>
            <w:noWrap/>
            <w:hideMark/>
          </w:tcPr>
          <w:p w14:paraId="318F533A"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82.56%</w:t>
            </w:r>
          </w:p>
        </w:tc>
        <w:tc>
          <w:tcPr>
            <w:tcW w:w="560" w:type="pct"/>
            <w:noWrap/>
            <w:hideMark/>
          </w:tcPr>
          <w:p w14:paraId="6278A458"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77.91%</w:t>
            </w:r>
          </w:p>
        </w:tc>
      </w:tr>
      <w:tr w:rsidR="00C348DD" w:rsidRPr="007A6B50" w14:paraId="51AF57CF"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13FF639C"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Legislativa</w:t>
            </w:r>
          </w:p>
        </w:tc>
        <w:tc>
          <w:tcPr>
            <w:tcW w:w="576" w:type="pct"/>
            <w:noWrap/>
            <w:hideMark/>
          </w:tcPr>
          <w:p w14:paraId="479D0873"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w:t>
            </w:r>
          </w:p>
        </w:tc>
        <w:tc>
          <w:tcPr>
            <w:tcW w:w="544" w:type="pct"/>
            <w:noWrap/>
            <w:hideMark/>
          </w:tcPr>
          <w:p w14:paraId="6E5A0721"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7.12</w:t>
            </w:r>
          </w:p>
        </w:tc>
        <w:tc>
          <w:tcPr>
            <w:tcW w:w="666" w:type="pct"/>
            <w:noWrap/>
            <w:hideMark/>
          </w:tcPr>
          <w:p w14:paraId="0ED077A6"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0.05%</w:t>
            </w:r>
          </w:p>
        </w:tc>
        <w:tc>
          <w:tcPr>
            <w:tcW w:w="576" w:type="pct"/>
            <w:noWrap/>
            <w:hideMark/>
          </w:tcPr>
          <w:p w14:paraId="6E8ADC1D"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w:t>
            </w:r>
          </w:p>
        </w:tc>
        <w:tc>
          <w:tcPr>
            <w:tcW w:w="577" w:type="pct"/>
            <w:noWrap/>
            <w:hideMark/>
          </w:tcPr>
          <w:p w14:paraId="602B494E"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3.60</w:t>
            </w:r>
          </w:p>
        </w:tc>
        <w:tc>
          <w:tcPr>
            <w:tcW w:w="608" w:type="pct"/>
            <w:noWrap/>
            <w:hideMark/>
          </w:tcPr>
          <w:p w14:paraId="77A83071"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50.55%</w:t>
            </w:r>
          </w:p>
        </w:tc>
        <w:tc>
          <w:tcPr>
            <w:tcW w:w="560" w:type="pct"/>
            <w:noWrap/>
            <w:hideMark/>
          </w:tcPr>
          <w:p w14:paraId="0A57499A"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74.84%</w:t>
            </w:r>
          </w:p>
        </w:tc>
      </w:tr>
      <w:tr w:rsidR="00C348DD" w:rsidRPr="007A6B50" w14:paraId="163C2DAD" w14:textId="77777777" w:rsidTr="004B1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4EC88940"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Comunicaciones</w:t>
            </w:r>
          </w:p>
        </w:tc>
        <w:tc>
          <w:tcPr>
            <w:tcW w:w="576" w:type="pct"/>
            <w:noWrap/>
            <w:hideMark/>
          </w:tcPr>
          <w:p w14:paraId="7E46290C"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w:t>
            </w:r>
          </w:p>
        </w:tc>
        <w:tc>
          <w:tcPr>
            <w:tcW w:w="544" w:type="pct"/>
            <w:noWrap/>
            <w:hideMark/>
          </w:tcPr>
          <w:p w14:paraId="64A1B887"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4.59</w:t>
            </w:r>
          </w:p>
        </w:tc>
        <w:tc>
          <w:tcPr>
            <w:tcW w:w="666" w:type="pct"/>
            <w:noWrap/>
            <w:hideMark/>
          </w:tcPr>
          <w:p w14:paraId="2B3106F5"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0.03%</w:t>
            </w:r>
          </w:p>
        </w:tc>
        <w:tc>
          <w:tcPr>
            <w:tcW w:w="576" w:type="pct"/>
            <w:noWrap/>
            <w:hideMark/>
          </w:tcPr>
          <w:p w14:paraId="12E4BEC5"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w:t>
            </w:r>
          </w:p>
        </w:tc>
        <w:tc>
          <w:tcPr>
            <w:tcW w:w="577" w:type="pct"/>
            <w:noWrap/>
            <w:hideMark/>
          </w:tcPr>
          <w:p w14:paraId="6C775644"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2.11</w:t>
            </w:r>
          </w:p>
        </w:tc>
        <w:tc>
          <w:tcPr>
            <w:tcW w:w="608" w:type="pct"/>
            <w:noWrap/>
            <w:hideMark/>
          </w:tcPr>
          <w:p w14:paraId="39357294"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46.08%</w:t>
            </w:r>
          </w:p>
        </w:tc>
        <w:tc>
          <w:tcPr>
            <w:tcW w:w="560" w:type="pct"/>
            <w:noWrap/>
            <w:hideMark/>
          </w:tcPr>
          <w:p w14:paraId="5279659E"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23.55%</w:t>
            </w:r>
          </w:p>
        </w:tc>
      </w:tr>
      <w:tr w:rsidR="00C348DD" w:rsidRPr="007A6B50" w14:paraId="3BABDBBA" w14:textId="77777777" w:rsidTr="004B159C">
        <w:trPr>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1DB10012"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Turismo</w:t>
            </w:r>
          </w:p>
        </w:tc>
        <w:tc>
          <w:tcPr>
            <w:tcW w:w="576" w:type="pct"/>
            <w:noWrap/>
            <w:hideMark/>
          </w:tcPr>
          <w:p w14:paraId="2A5C6B30"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9</w:t>
            </w:r>
          </w:p>
        </w:tc>
        <w:tc>
          <w:tcPr>
            <w:tcW w:w="544" w:type="pct"/>
            <w:noWrap/>
            <w:hideMark/>
          </w:tcPr>
          <w:p w14:paraId="3688D034"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3.85</w:t>
            </w:r>
          </w:p>
        </w:tc>
        <w:tc>
          <w:tcPr>
            <w:tcW w:w="666" w:type="pct"/>
            <w:noWrap/>
            <w:hideMark/>
          </w:tcPr>
          <w:p w14:paraId="39A82479"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0.03%</w:t>
            </w:r>
          </w:p>
        </w:tc>
        <w:tc>
          <w:tcPr>
            <w:tcW w:w="576" w:type="pct"/>
            <w:noWrap/>
            <w:hideMark/>
          </w:tcPr>
          <w:p w14:paraId="028BF7AC"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w:t>
            </w:r>
          </w:p>
        </w:tc>
        <w:tc>
          <w:tcPr>
            <w:tcW w:w="577" w:type="pct"/>
            <w:noWrap/>
            <w:hideMark/>
          </w:tcPr>
          <w:p w14:paraId="4EA9406C"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2.42</w:t>
            </w:r>
          </w:p>
        </w:tc>
        <w:tc>
          <w:tcPr>
            <w:tcW w:w="608" w:type="pct"/>
            <w:noWrap/>
            <w:hideMark/>
          </w:tcPr>
          <w:p w14:paraId="4E195F41"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62.80%</w:t>
            </w:r>
          </w:p>
        </w:tc>
        <w:tc>
          <w:tcPr>
            <w:tcW w:w="560" w:type="pct"/>
            <w:noWrap/>
            <w:hideMark/>
          </w:tcPr>
          <w:p w14:paraId="3E68204C" w14:textId="77777777" w:rsidR="00C348DD" w:rsidRPr="007A6B50" w:rsidRDefault="00C348DD" w:rsidP="00C348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63.61%</w:t>
            </w:r>
          </w:p>
        </w:tc>
      </w:tr>
      <w:tr w:rsidR="00C348DD" w:rsidRPr="007A6B50" w14:paraId="58F75EE4" w14:textId="77777777" w:rsidTr="004B1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hideMark/>
          </w:tcPr>
          <w:p w14:paraId="4B19396C" w14:textId="77777777" w:rsidR="00C348DD" w:rsidRPr="005A771F" w:rsidRDefault="00C348DD" w:rsidP="00C348DD">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Trabajo y Previsión Social</w:t>
            </w:r>
          </w:p>
        </w:tc>
        <w:tc>
          <w:tcPr>
            <w:tcW w:w="576" w:type="pct"/>
            <w:noWrap/>
            <w:hideMark/>
          </w:tcPr>
          <w:p w14:paraId="21BCCFAF"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w:t>
            </w:r>
          </w:p>
        </w:tc>
        <w:tc>
          <w:tcPr>
            <w:tcW w:w="544" w:type="pct"/>
            <w:noWrap/>
            <w:hideMark/>
          </w:tcPr>
          <w:p w14:paraId="6378322E"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1.40</w:t>
            </w:r>
          </w:p>
        </w:tc>
        <w:tc>
          <w:tcPr>
            <w:tcW w:w="666" w:type="pct"/>
            <w:noWrap/>
            <w:hideMark/>
          </w:tcPr>
          <w:p w14:paraId="152A051A"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0.01%</w:t>
            </w:r>
          </w:p>
        </w:tc>
        <w:tc>
          <w:tcPr>
            <w:tcW w:w="576" w:type="pct"/>
            <w:noWrap/>
            <w:hideMark/>
          </w:tcPr>
          <w:p w14:paraId="081269A0"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w:t>
            </w:r>
          </w:p>
        </w:tc>
        <w:tc>
          <w:tcPr>
            <w:tcW w:w="577" w:type="pct"/>
            <w:noWrap/>
            <w:hideMark/>
          </w:tcPr>
          <w:p w14:paraId="456AD4EC"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1.29</w:t>
            </w:r>
          </w:p>
        </w:tc>
        <w:tc>
          <w:tcPr>
            <w:tcW w:w="608" w:type="pct"/>
            <w:noWrap/>
            <w:hideMark/>
          </w:tcPr>
          <w:p w14:paraId="2E774B9C"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92.64%</w:t>
            </w:r>
          </w:p>
        </w:tc>
        <w:tc>
          <w:tcPr>
            <w:tcW w:w="560" w:type="pct"/>
            <w:noWrap/>
            <w:hideMark/>
          </w:tcPr>
          <w:p w14:paraId="319C6C66" w14:textId="77777777" w:rsidR="00C348DD" w:rsidRPr="007A6B50" w:rsidRDefault="00C348DD" w:rsidP="00C348D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65.50%</w:t>
            </w:r>
          </w:p>
        </w:tc>
      </w:tr>
      <w:tr w:rsidR="00C348DD" w:rsidRPr="007A6B50" w14:paraId="3BD6A27E" w14:textId="77777777" w:rsidTr="005A771F">
        <w:trPr>
          <w:trHeight w:val="315"/>
        </w:trPr>
        <w:tc>
          <w:tcPr>
            <w:cnfStyle w:val="001000000000" w:firstRow="0" w:lastRow="0" w:firstColumn="1" w:lastColumn="0" w:oddVBand="0" w:evenVBand="0" w:oddHBand="0" w:evenHBand="0" w:firstRowFirstColumn="0" w:firstRowLastColumn="0" w:lastRowFirstColumn="0" w:lastRowLastColumn="0"/>
            <w:tcW w:w="893" w:type="pct"/>
            <w:vAlign w:val="center"/>
            <w:hideMark/>
          </w:tcPr>
          <w:p w14:paraId="250048DD" w14:textId="4D765BC3" w:rsidR="00C348DD" w:rsidRPr="007A6B50" w:rsidRDefault="00C348DD" w:rsidP="005A771F">
            <w:pPr>
              <w:rPr>
                <w:rFonts w:asciiTheme="minorHAnsi" w:eastAsia="Times New Roman" w:hAnsiTheme="minorHAnsi" w:cstheme="minorHAnsi"/>
                <w:b w:val="0"/>
                <w:bCs w:val="0"/>
                <w:sz w:val="18"/>
                <w:szCs w:val="18"/>
                <w:lang w:eastAsia="es-GT"/>
              </w:rPr>
            </w:pPr>
            <w:r w:rsidRPr="007A6B50">
              <w:rPr>
                <w:rFonts w:asciiTheme="minorHAnsi" w:eastAsia="Times New Roman" w:hAnsiTheme="minorHAnsi" w:cstheme="minorHAnsi"/>
                <w:sz w:val="18"/>
                <w:szCs w:val="18"/>
                <w:lang w:eastAsia="es-GT"/>
              </w:rPr>
              <w:t>Total general</w:t>
            </w:r>
          </w:p>
        </w:tc>
        <w:tc>
          <w:tcPr>
            <w:tcW w:w="576" w:type="pct"/>
            <w:vAlign w:val="center"/>
            <w:hideMark/>
          </w:tcPr>
          <w:p w14:paraId="16F81FAD" w14:textId="77777777" w:rsidR="00C348DD" w:rsidRPr="007A6B50" w:rsidRDefault="00C348DD"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9,812</w:t>
            </w:r>
          </w:p>
        </w:tc>
        <w:tc>
          <w:tcPr>
            <w:tcW w:w="544" w:type="pct"/>
            <w:vAlign w:val="center"/>
            <w:hideMark/>
          </w:tcPr>
          <w:p w14:paraId="47E3FE13" w14:textId="77777777" w:rsidR="00C348DD" w:rsidRPr="007A6B50" w:rsidRDefault="00C348DD"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14,608.59</w:t>
            </w:r>
          </w:p>
        </w:tc>
        <w:tc>
          <w:tcPr>
            <w:tcW w:w="666" w:type="pct"/>
            <w:vAlign w:val="center"/>
            <w:hideMark/>
          </w:tcPr>
          <w:p w14:paraId="1096EAA8" w14:textId="77777777" w:rsidR="00C348DD" w:rsidRPr="007A6B50" w:rsidRDefault="00C348DD"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100.00%</w:t>
            </w:r>
          </w:p>
        </w:tc>
        <w:tc>
          <w:tcPr>
            <w:tcW w:w="576" w:type="pct"/>
            <w:vAlign w:val="center"/>
            <w:hideMark/>
          </w:tcPr>
          <w:p w14:paraId="08B4FB03" w14:textId="77777777" w:rsidR="00C348DD" w:rsidRPr="007A6B50" w:rsidRDefault="00C348DD"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8,320</w:t>
            </w:r>
          </w:p>
        </w:tc>
        <w:tc>
          <w:tcPr>
            <w:tcW w:w="577" w:type="pct"/>
            <w:vAlign w:val="center"/>
            <w:hideMark/>
          </w:tcPr>
          <w:p w14:paraId="220E5C9C" w14:textId="77777777" w:rsidR="00C348DD" w:rsidRPr="007A6B50" w:rsidRDefault="00C348DD"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9,542.27</w:t>
            </w:r>
          </w:p>
        </w:tc>
        <w:tc>
          <w:tcPr>
            <w:tcW w:w="608" w:type="pct"/>
            <w:vAlign w:val="center"/>
            <w:hideMark/>
          </w:tcPr>
          <w:p w14:paraId="1C03A132" w14:textId="77777777" w:rsidR="00C348DD" w:rsidRPr="007A6B50" w:rsidRDefault="00C348DD"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65.32%</w:t>
            </w:r>
          </w:p>
        </w:tc>
        <w:tc>
          <w:tcPr>
            <w:tcW w:w="560" w:type="pct"/>
            <w:vAlign w:val="center"/>
            <w:hideMark/>
          </w:tcPr>
          <w:p w14:paraId="524BAA71" w14:textId="77777777" w:rsidR="00C348DD" w:rsidRPr="007A6B50" w:rsidRDefault="00C348DD"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72.64%</w:t>
            </w:r>
          </w:p>
        </w:tc>
      </w:tr>
    </w:tbl>
    <w:p w14:paraId="7A8660FC" w14:textId="0BB4D507" w:rsidR="001912B8" w:rsidRPr="007A6B50" w:rsidRDefault="001912B8" w:rsidP="001912B8">
      <w:pPr>
        <w:rPr>
          <w:rFonts w:cstheme="minorHAnsi"/>
          <w:sz w:val="16"/>
          <w:szCs w:val="16"/>
        </w:rPr>
      </w:pPr>
      <w:r w:rsidRPr="007A6B50">
        <w:rPr>
          <w:rFonts w:cstheme="minorHAnsi"/>
          <w:sz w:val="16"/>
          <w:szCs w:val="16"/>
        </w:rPr>
        <w:t>Fuente: elaboración SEGEPLAN con información del SINIP al 18.01.</w:t>
      </w:r>
      <w:r w:rsidR="00BD1BD3" w:rsidRPr="007A6B50">
        <w:rPr>
          <w:rFonts w:cstheme="minorHAnsi"/>
          <w:sz w:val="16"/>
          <w:szCs w:val="16"/>
        </w:rPr>
        <w:t>2022</w:t>
      </w:r>
      <w:r w:rsidRPr="007A6B50">
        <w:rPr>
          <w:rFonts w:cstheme="minorHAnsi"/>
          <w:sz w:val="16"/>
          <w:szCs w:val="16"/>
        </w:rPr>
        <w:t>.</w:t>
      </w:r>
    </w:p>
    <w:p w14:paraId="4C09F004" w14:textId="2C5A605B" w:rsidR="008A63D9" w:rsidRPr="007A6B50" w:rsidRDefault="008A63D9" w:rsidP="005A771F">
      <w:pPr>
        <w:pStyle w:val="Prrafodelista"/>
        <w:spacing w:before="120" w:after="120" w:line="240" w:lineRule="auto"/>
        <w:ind w:left="0"/>
        <w:contextualSpacing w:val="0"/>
        <w:jc w:val="both"/>
        <w:rPr>
          <w:rFonts w:cstheme="minorHAnsi"/>
          <w:sz w:val="24"/>
          <w:szCs w:val="24"/>
        </w:rPr>
      </w:pPr>
      <w:r w:rsidRPr="007A6B50">
        <w:rPr>
          <w:rFonts w:cstheme="minorHAnsi"/>
          <w:sz w:val="24"/>
          <w:szCs w:val="24"/>
        </w:rPr>
        <w:t>De acuerdo con las orientaciones de la Política General de Gobierno, es importante resaltar que las cinco funciones que registraron los mayores montos de inversión asignada son:</w:t>
      </w:r>
    </w:p>
    <w:p w14:paraId="0BA48BD6" w14:textId="62ABBC77" w:rsidR="004B159C" w:rsidRPr="007A6B50" w:rsidRDefault="004B159C" w:rsidP="005A771F">
      <w:pPr>
        <w:pStyle w:val="Prrafodelista"/>
        <w:numPr>
          <w:ilvl w:val="0"/>
          <w:numId w:val="17"/>
        </w:numPr>
        <w:spacing w:before="120" w:after="120" w:line="240" w:lineRule="auto"/>
        <w:contextualSpacing w:val="0"/>
        <w:jc w:val="both"/>
        <w:rPr>
          <w:rFonts w:cstheme="minorHAnsi"/>
          <w:sz w:val="24"/>
          <w:szCs w:val="24"/>
        </w:rPr>
      </w:pPr>
      <w:bookmarkStart w:id="106" w:name="_Toc62718058"/>
      <w:r w:rsidRPr="007A6B50">
        <w:rPr>
          <w:rFonts w:cstheme="minorHAnsi"/>
          <w:sz w:val="24"/>
          <w:szCs w:val="24"/>
        </w:rPr>
        <w:t xml:space="preserve">Transporte, con un total de 3,626 proyectos registró el mayor peso relativo (46.92%), de los cuales 3,010 proyectos presentan un avance financiero de 69.44% y físico promedio de 76.36%.  Los proyectos en este sector son: 144 para construcción, ampliación y mejoramiento de carreteras,1,442 caminos de terracería y caminos rurales; 1,174 para construcción, ampliación y mejoramiento de calles, 6 para pasos a desnivel, 89 para construcción de puentes vehiculares, 8 proyectos para infraestructura portuaria y aeroportuaria, y 147 proyectos en otras tipologías. Con lo cual, se atiende lo establecido en el pilar Economía, </w:t>
      </w:r>
      <w:r w:rsidR="007D437A" w:rsidRPr="007A6B50">
        <w:rPr>
          <w:rFonts w:cstheme="minorHAnsi"/>
          <w:sz w:val="24"/>
          <w:szCs w:val="24"/>
        </w:rPr>
        <w:t>C</w:t>
      </w:r>
      <w:r w:rsidRPr="007A6B50">
        <w:rPr>
          <w:rFonts w:cstheme="minorHAnsi"/>
          <w:sz w:val="24"/>
          <w:szCs w:val="24"/>
        </w:rPr>
        <w:t xml:space="preserve">ompetitividad y </w:t>
      </w:r>
      <w:r w:rsidR="007D437A" w:rsidRPr="007A6B50">
        <w:rPr>
          <w:rFonts w:cstheme="minorHAnsi"/>
          <w:sz w:val="24"/>
          <w:szCs w:val="24"/>
        </w:rPr>
        <w:t>P</w:t>
      </w:r>
      <w:r w:rsidRPr="007A6B50">
        <w:rPr>
          <w:rFonts w:cstheme="minorHAnsi"/>
          <w:sz w:val="24"/>
          <w:szCs w:val="24"/>
        </w:rPr>
        <w:t>rosperidad, específicamente a las acciones estratégicas que refieren al fortalecimiento de la infraestructura estratégica funcional para apoyar la actividad económica y la generación de empleo.</w:t>
      </w:r>
    </w:p>
    <w:p w14:paraId="5B9BCE65" w14:textId="516933D2" w:rsidR="004B159C" w:rsidRPr="005A771F" w:rsidRDefault="004B159C" w:rsidP="005A771F">
      <w:pPr>
        <w:pStyle w:val="Prrafodelista"/>
        <w:numPr>
          <w:ilvl w:val="0"/>
          <w:numId w:val="17"/>
        </w:numPr>
        <w:spacing w:before="120" w:after="120" w:line="240" w:lineRule="auto"/>
        <w:contextualSpacing w:val="0"/>
        <w:jc w:val="both"/>
        <w:rPr>
          <w:rFonts w:cstheme="minorHAnsi"/>
          <w:sz w:val="24"/>
          <w:szCs w:val="24"/>
        </w:rPr>
      </w:pPr>
      <w:r w:rsidRPr="007A6B50">
        <w:rPr>
          <w:rFonts w:cstheme="minorHAnsi"/>
          <w:sz w:val="24"/>
          <w:szCs w:val="24"/>
        </w:rPr>
        <w:t xml:space="preserve">Agua y saneamiento, con 1,693 proyectos registró el 19.39% del total de la inversión a nivel nacional, posicionándose entre los de mayor prioridad, de los cuales registran ejecución 1,497 proyectos, con avance financiero de 61.89% y físico promedio de 76.93%.  En el tema de agua tienen registrada ejecución: 845 proyectos para sistemas de agua potable, 94 para pozos de agua, 14 para tanques de mampostería, 5 para sistemas de tratamiento de agua potable, 7 para depósitos de almacenamiento de agua pluvial, 1 para construcción de tanque metálico, 1 aljibe y una entrega de bombas manuales. En la parte de saneamiento tienen registrada ejecución 529 proyectos; 326 son para la construcción, ampliación o mejoramiento de sistemas de alcantarillado sanitario, 85 para sistemas de tratamiento de agua residuales, 53 para sistemas de aguas pluviales, 5 para infraestructura de tratamiento de desechos sólidos y 1 de letrinas. Con lo cual, se atiende lo establecido en el pilar Desarrollo </w:t>
      </w:r>
      <w:r w:rsidR="007D437A" w:rsidRPr="007A6B50">
        <w:rPr>
          <w:rFonts w:cstheme="minorHAnsi"/>
          <w:sz w:val="24"/>
          <w:szCs w:val="24"/>
        </w:rPr>
        <w:t>S</w:t>
      </w:r>
      <w:r w:rsidRPr="007A6B50">
        <w:rPr>
          <w:rFonts w:cstheme="minorHAnsi"/>
          <w:sz w:val="24"/>
          <w:szCs w:val="24"/>
        </w:rPr>
        <w:t>ocial, específicamente las acciones estratégicas que se refieren a mejorar la calidad de vida de la población, especialmente de los grupos más vulnerables y familias que se encuentran en pobreza y extrema pobreza.</w:t>
      </w:r>
    </w:p>
    <w:p w14:paraId="0349E69E" w14:textId="56B4ADBD" w:rsidR="004B159C" w:rsidRPr="007A6B50" w:rsidRDefault="004B159C" w:rsidP="005A771F">
      <w:pPr>
        <w:pStyle w:val="Prrafodelista"/>
        <w:numPr>
          <w:ilvl w:val="0"/>
          <w:numId w:val="17"/>
        </w:numPr>
        <w:spacing w:before="120" w:after="120" w:line="240" w:lineRule="auto"/>
        <w:contextualSpacing w:val="0"/>
        <w:jc w:val="both"/>
        <w:rPr>
          <w:rFonts w:cstheme="minorHAnsi"/>
          <w:sz w:val="24"/>
          <w:szCs w:val="24"/>
        </w:rPr>
      </w:pPr>
      <w:r w:rsidRPr="007A6B50">
        <w:rPr>
          <w:rFonts w:cstheme="minorHAnsi"/>
          <w:sz w:val="24"/>
          <w:szCs w:val="24"/>
        </w:rPr>
        <w:t xml:space="preserve">Educación, con 1,417 proyectos registró el 9.93% del total de la inversión a nivel nacional, sectorialmente se constituye en la tercera prioridad, de los cuales tiene registrada una ejecución financiera de 63.30% y avance físico promedio de 75.60%. Según la tipología de los proyectos, dentro de la ejecución están registrados 630 para infraestructura de escuelas de educación primaria, 8 para escuelas bicentenaria, 66 para escuelas de educación preprimaria, 112 para institutos de educación básica, 36 para institutos de educación diversificada </w:t>
      </w:r>
      <w:r w:rsidRPr="007A6B50">
        <w:rPr>
          <w:rFonts w:cstheme="minorHAnsi"/>
          <w:sz w:val="24"/>
          <w:szCs w:val="24"/>
        </w:rPr>
        <w:tab/>
        <w:t xml:space="preserve">y tecnológica, 5 para educación universitaria y 341 proyectos en otras tipologías a fines y complementarias al sector. Con lo cual, se atiende lo establecido en el pilar Desarrollo </w:t>
      </w:r>
      <w:r w:rsidR="007D437A" w:rsidRPr="007A6B50">
        <w:rPr>
          <w:rFonts w:cstheme="minorHAnsi"/>
          <w:sz w:val="24"/>
          <w:szCs w:val="24"/>
        </w:rPr>
        <w:t>S</w:t>
      </w:r>
      <w:r w:rsidRPr="007A6B50">
        <w:rPr>
          <w:rFonts w:cstheme="minorHAnsi"/>
          <w:sz w:val="24"/>
          <w:szCs w:val="24"/>
        </w:rPr>
        <w:t xml:space="preserve">ocial, específicamente en las acciones estratégicas en materia de </w:t>
      </w:r>
      <w:r w:rsidR="007D437A" w:rsidRPr="007A6B50">
        <w:rPr>
          <w:rFonts w:cstheme="minorHAnsi"/>
          <w:sz w:val="24"/>
          <w:szCs w:val="24"/>
        </w:rPr>
        <w:t>e</w:t>
      </w:r>
      <w:r w:rsidRPr="007A6B50">
        <w:rPr>
          <w:rFonts w:cstheme="minorHAnsi"/>
          <w:sz w:val="24"/>
          <w:szCs w:val="24"/>
        </w:rPr>
        <w:t>ducación y las metas estratégicas que refieren al aumento de la cobertura en los distintos niveles educativos.</w:t>
      </w:r>
    </w:p>
    <w:p w14:paraId="2A4651AC" w14:textId="3B31EDCB" w:rsidR="004B159C" w:rsidRPr="005A771F" w:rsidRDefault="004B159C" w:rsidP="005A771F">
      <w:pPr>
        <w:pStyle w:val="Prrafodelista"/>
        <w:numPr>
          <w:ilvl w:val="0"/>
          <w:numId w:val="17"/>
        </w:numPr>
        <w:spacing w:before="120" w:after="120" w:line="240" w:lineRule="auto"/>
        <w:contextualSpacing w:val="0"/>
        <w:jc w:val="both"/>
        <w:rPr>
          <w:rFonts w:cstheme="minorHAnsi"/>
          <w:sz w:val="24"/>
          <w:szCs w:val="24"/>
        </w:rPr>
      </w:pPr>
      <w:r w:rsidRPr="005A771F">
        <w:rPr>
          <w:rFonts w:cstheme="minorHAnsi"/>
          <w:sz w:val="24"/>
          <w:szCs w:val="24"/>
        </w:rPr>
        <w:t>Salud y Asistencia Social, con 482 proyectos registró el 4.46% del total de la inversión a nivel nacional, de los cuales 433 alcanzaron un avance financiero de 62.93% y físico promedio de 74.35%. Según tipología, los proyectos son: en el primer nivel de atención, 40 centros comunitarios de salud y 69 puestos de salud; en el segundo nivel, 52 centros de salud, 8 centros de atención integral materno infantil (CAIMI), 15 centros de atención permanente (CAP) y 3 centros de convergencia; en el tercer nivel, 7 hospitales; y 239 proyectos en otras tipologías a fines al sector. Con lo cual, se atiende lo establecido en el Pilar de Desarrollo Social, específicamente en las acciones estratégicas en materia de salud y las metas que refieren al aumento de la red hospitalaria y aumento en el número de centros de salud tipo A y B.</w:t>
      </w:r>
    </w:p>
    <w:p w14:paraId="18DBD2D1" w14:textId="1EF85114" w:rsidR="00BC4B3B" w:rsidRPr="007A6B50" w:rsidRDefault="004B159C" w:rsidP="005A771F">
      <w:pPr>
        <w:pStyle w:val="Prrafodelista"/>
        <w:numPr>
          <w:ilvl w:val="0"/>
          <w:numId w:val="17"/>
        </w:numPr>
        <w:spacing w:before="120" w:after="120" w:line="240" w:lineRule="auto"/>
        <w:contextualSpacing w:val="0"/>
        <w:jc w:val="both"/>
        <w:rPr>
          <w:rFonts w:cstheme="minorHAnsi"/>
          <w:sz w:val="24"/>
          <w:szCs w:val="24"/>
        </w:rPr>
      </w:pPr>
      <w:r w:rsidRPr="007A6B50">
        <w:rPr>
          <w:rFonts w:cstheme="minorHAnsi"/>
          <w:sz w:val="24"/>
          <w:szCs w:val="24"/>
        </w:rPr>
        <w:t xml:space="preserve">Desarrollo Urbano y Rural, con 386 proyectos. El sector concentró el 3.71% del total de la inversión a nivel nacional, de los cuales 332 proyectos tienen registrada ejecución, alcanzando un avance financiero de 60.94% y físico promedio de 71.08%. Según tipo de infraestructura y orientación estratégica, los proyectos son: 59 para infraestructura de mercados, 52 para parques, 35 para calles, 59 para salones, 57 para muros de contención, 41 para banquetas peatonales, 13 para urbanización y 16 distribuidos en otras tipologías de proyectos. Con lo cual, se atiende lo establecido en el pilar Economía, </w:t>
      </w:r>
      <w:r w:rsidR="007D437A" w:rsidRPr="007A6B50">
        <w:rPr>
          <w:rFonts w:cstheme="minorHAnsi"/>
          <w:sz w:val="24"/>
          <w:szCs w:val="24"/>
        </w:rPr>
        <w:t>C</w:t>
      </w:r>
      <w:r w:rsidRPr="007A6B50">
        <w:rPr>
          <w:rFonts w:cstheme="minorHAnsi"/>
          <w:sz w:val="24"/>
          <w:szCs w:val="24"/>
        </w:rPr>
        <w:t xml:space="preserve">ompetitividad y </w:t>
      </w:r>
      <w:r w:rsidR="007D437A" w:rsidRPr="007A6B50">
        <w:rPr>
          <w:rFonts w:cstheme="minorHAnsi"/>
          <w:sz w:val="24"/>
          <w:szCs w:val="24"/>
        </w:rPr>
        <w:t>P</w:t>
      </w:r>
      <w:r w:rsidRPr="007A6B50">
        <w:rPr>
          <w:rFonts w:cstheme="minorHAnsi"/>
          <w:sz w:val="24"/>
          <w:szCs w:val="24"/>
        </w:rPr>
        <w:t>rosperidad, específicamente a las acciones estratégicas para propiciar una base de infraestructura estratégica funcional para apoyar la actividad económica y la generación de empleo</w:t>
      </w:r>
      <w:r w:rsidR="007D437A" w:rsidRPr="007A6B50">
        <w:rPr>
          <w:rFonts w:cstheme="minorHAnsi"/>
          <w:sz w:val="24"/>
          <w:szCs w:val="24"/>
        </w:rPr>
        <w:t>.</w:t>
      </w:r>
    </w:p>
    <w:p w14:paraId="235A05D8" w14:textId="3002038B" w:rsidR="001912B8" w:rsidRPr="007A6B50" w:rsidRDefault="007037D2" w:rsidP="005A771F">
      <w:pPr>
        <w:spacing w:before="120" w:after="120" w:line="240" w:lineRule="auto"/>
        <w:rPr>
          <w:rFonts w:cstheme="minorHAnsi"/>
          <w:b/>
          <w:bCs/>
          <w:color w:val="1F3864" w:themeColor="accent1" w:themeShade="80"/>
          <w:sz w:val="28"/>
          <w:szCs w:val="28"/>
        </w:rPr>
      </w:pPr>
      <w:r w:rsidRPr="007A6B50">
        <w:rPr>
          <w:rFonts w:cstheme="minorHAnsi"/>
          <w:b/>
          <w:bCs/>
          <w:color w:val="1F3864" w:themeColor="accent1" w:themeShade="80"/>
          <w:sz w:val="28"/>
          <w:szCs w:val="28"/>
        </w:rPr>
        <w:t>D</w:t>
      </w:r>
      <w:r w:rsidR="001912B8" w:rsidRPr="007A6B50">
        <w:rPr>
          <w:rFonts w:cstheme="minorHAnsi"/>
          <w:b/>
          <w:bCs/>
          <w:color w:val="1F3864" w:themeColor="accent1" w:themeShade="80"/>
          <w:sz w:val="28"/>
          <w:szCs w:val="28"/>
        </w:rPr>
        <w:t>istribución de la inversión asignada y ejecutada a nivel nacional por territorio</w:t>
      </w:r>
      <w:bookmarkStart w:id="107" w:name="_Toc512251457"/>
      <w:bookmarkEnd w:id="106"/>
    </w:p>
    <w:p w14:paraId="508451F5" w14:textId="4FE3DCC3" w:rsidR="0061669C" w:rsidRPr="007A6B50" w:rsidRDefault="008A63D9" w:rsidP="005A771F">
      <w:pPr>
        <w:spacing w:before="120" w:after="120" w:line="240" w:lineRule="auto"/>
        <w:jc w:val="both"/>
        <w:rPr>
          <w:rFonts w:cstheme="minorHAnsi"/>
          <w:sz w:val="24"/>
          <w:szCs w:val="24"/>
        </w:rPr>
      </w:pPr>
      <w:r w:rsidRPr="007A6B50">
        <w:rPr>
          <w:rFonts w:cstheme="minorHAnsi"/>
          <w:sz w:val="24"/>
          <w:szCs w:val="24"/>
        </w:rPr>
        <w:t xml:space="preserve">La inversión pública ejecutada a nivel nacional por las distintas entidades ejecutoras de Gobierno al finalizar el tercer cuatrimestre del </w:t>
      </w:r>
      <w:r w:rsidR="00BD1BD3" w:rsidRPr="007A6B50">
        <w:rPr>
          <w:rFonts w:cstheme="minorHAnsi"/>
          <w:sz w:val="24"/>
          <w:szCs w:val="24"/>
        </w:rPr>
        <w:t>2022</w:t>
      </w:r>
      <w:r w:rsidR="007D437A" w:rsidRPr="007A6B50">
        <w:rPr>
          <w:rFonts w:cstheme="minorHAnsi"/>
          <w:sz w:val="24"/>
          <w:szCs w:val="24"/>
        </w:rPr>
        <w:t>,</w:t>
      </w:r>
      <w:r w:rsidRPr="007A6B50">
        <w:rPr>
          <w:rFonts w:cstheme="minorHAnsi"/>
          <w:sz w:val="24"/>
          <w:szCs w:val="24"/>
        </w:rPr>
        <w:t xml:space="preserve"> se clasifica y presenta </w:t>
      </w:r>
      <w:r w:rsidR="007D437A" w:rsidRPr="007A6B50">
        <w:rPr>
          <w:rFonts w:cstheme="minorHAnsi"/>
          <w:sz w:val="24"/>
          <w:szCs w:val="24"/>
        </w:rPr>
        <w:t xml:space="preserve">en </w:t>
      </w:r>
      <w:r w:rsidRPr="007A6B50">
        <w:rPr>
          <w:rFonts w:cstheme="minorHAnsi"/>
          <w:sz w:val="24"/>
          <w:szCs w:val="24"/>
        </w:rPr>
        <w:t xml:space="preserve">la tabla </w:t>
      </w:r>
      <w:r w:rsidR="005A771F">
        <w:rPr>
          <w:rFonts w:cstheme="minorHAnsi"/>
          <w:sz w:val="24"/>
          <w:szCs w:val="24"/>
        </w:rPr>
        <w:t>siguiente:</w:t>
      </w:r>
    </w:p>
    <w:p w14:paraId="2A4B63CD" w14:textId="52EECBBC" w:rsidR="001912B8" w:rsidRPr="007A6B50" w:rsidRDefault="002C1F2D" w:rsidP="005A771F">
      <w:pPr>
        <w:pStyle w:val="ttulosgrficas"/>
        <w:rPr>
          <w:rFonts w:asciiTheme="minorHAnsi" w:hAnsiTheme="minorHAnsi" w:cstheme="minorHAnsi"/>
        </w:rPr>
      </w:pPr>
      <w:bookmarkStart w:id="108" w:name="_Toc130199631"/>
      <w:r w:rsidRPr="007A6B50">
        <w:rPr>
          <w:rFonts w:asciiTheme="minorHAnsi" w:hAnsiTheme="minorHAnsi" w:cstheme="minorHAnsi"/>
          <w:color w:val="4472C4" w:themeColor="accent1"/>
        </w:rPr>
        <w:t xml:space="preserve">Tabla </w:t>
      </w:r>
      <w:r w:rsidR="006E5E0A" w:rsidRPr="007A6B50">
        <w:rPr>
          <w:rFonts w:asciiTheme="minorHAnsi" w:hAnsiTheme="minorHAnsi" w:cstheme="minorHAnsi"/>
          <w:color w:val="4472C4" w:themeColor="accent1"/>
        </w:rPr>
        <w:fldChar w:fldCharType="begin"/>
      </w:r>
      <w:r w:rsidR="006E5E0A" w:rsidRPr="007A6B50">
        <w:rPr>
          <w:rFonts w:asciiTheme="minorHAnsi" w:hAnsiTheme="minorHAnsi" w:cstheme="minorHAnsi"/>
          <w:color w:val="4472C4" w:themeColor="accent1"/>
        </w:rPr>
        <w:instrText xml:space="preserve"> SEQ Tabla \* ARABIC </w:instrText>
      </w:r>
      <w:r w:rsidR="006E5E0A" w:rsidRPr="007A6B50">
        <w:rPr>
          <w:rFonts w:asciiTheme="minorHAnsi" w:hAnsiTheme="minorHAnsi" w:cstheme="minorHAnsi"/>
          <w:color w:val="4472C4" w:themeColor="accent1"/>
        </w:rPr>
        <w:fldChar w:fldCharType="separate"/>
      </w:r>
      <w:r w:rsidR="00777974">
        <w:rPr>
          <w:rFonts w:asciiTheme="minorHAnsi" w:hAnsiTheme="minorHAnsi" w:cstheme="minorHAnsi"/>
          <w:noProof/>
          <w:color w:val="4472C4" w:themeColor="accent1"/>
        </w:rPr>
        <w:t>43</w:t>
      </w:r>
      <w:r w:rsidR="006E5E0A" w:rsidRPr="007A6B50">
        <w:rPr>
          <w:rFonts w:asciiTheme="minorHAnsi" w:hAnsiTheme="minorHAnsi" w:cstheme="minorHAnsi"/>
          <w:color w:val="4472C4" w:themeColor="accent1"/>
        </w:rPr>
        <w:fldChar w:fldCharType="end"/>
      </w:r>
      <w:r w:rsidR="005A771F">
        <w:rPr>
          <w:rFonts w:asciiTheme="minorHAnsi" w:hAnsiTheme="minorHAnsi" w:cstheme="minorHAnsi"/>
          <w:color w:val="4472C4" w:themeColor="accent1"/>
        </w:rPr>
        <w:t>.</w:t>
      </w:r>
      <w:r w:rsidR="003562C1" w:rsidRPr="007A6B50">
        <w:rPr>
          <w:rFonts w:asciiTheme="minorHAnsi" w:hAnsiTheme="minorHAnsi" w:cstheme="minorHAnsi"/>
          <w:color w:val="4472C4" w:themeColor="accent1"/>
        </w:rPr>
        <w:t xml:space="preserve"> </w:t>
      </w:r>
      <w:r w:rsidR="001912B8" w:rsidRPr="007A6B50">
        <w:rPr>
          <w:rFonts w:asciiTheme="minorHAnsi" w:hAnsiTheme="minorHAnsi" w:cstheme="minorHAnsi"/>
          <w:color w:val="4472C4" w:themeColor="accent1"/>
        </w:rPr>
        <w:t>Inversión asignada y ejecutada a nivel nacional por territorio</w:t>
      </w:r>
      <w:bookmarkEnd w:id="108"/>
      <w:r w:rsidR="001912B8" w:rsidRPr="007A6B50">
        <w:rPr>
          <w:rFonts w:asciiTheme="minorHAnsi" w:hAnsiTheme="minorHAnsi" w:cstheme="minorHAnsi"/>
        </w:rPr>
        <w:t xml:space="preserve"> </w:t>
      </w:r>
    </w:p>
    <w:tbl>
      <w:tblPr>
        <w:tblStyle w:val="Tablaconcuadrcula4-nfasis53"/>
        <w:tblW w:w="5000" w:type="pct"/>
        <w:tblLook w:val="04A0" w:firstRow="1" w:lastRow="0" w:firstColumn="1" w:lastColumn="0" w:noHBand="0" w:noVBand="1"/>
      </w:tblPr>
      <w:tblGrid>
        <w:gridCol w:w="1886"/>
        <w:gridCol w:w="997"/>
        <w:gridCol w:w="1040"/>
        <w:gridCol w:w="1169"/>
        <w:gridCol w:w="999"/>
        <w:gridCol w:w="1195"/>
        <w:gridCol w:w="1077"/>
        <w:gridCol w:w="987"/>
      </w:tblGrid>
      <w:tr w:rsidR="004B159C" w:rsidRPr="007A6B50" w14:paraId="1FC27EE2" w14:textId="77777777" w:rsidTr="005A771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vMerge w:val="restart"/>
            <w:vAlign w:val="center"/>
            <w:hideMark/>
          </w:tcPr>
          <w:p w14:paraId="458A79D5" w14:textId="77777777" w:rsidR="004B159C" w:rsidRPr="007A6B50" w:rsidRDefault="004B159C" w:rsidP="005A771F">
            <w:pPr>
              <w:jc w:val="center"/>
              <w:rPr>
                <w:rFonts w:asciiTheme="minorHAnsi" w:eastAsia="Times New Roman" w:hAnsiTheme="minorHAnsi" w:cstheme="minorHAnsi"/>
                <w:b w:val="0"/>
                <w:bCs w:val="0"/>
                <w:color w:val="auto"/>
                <w:sz w:val="18"/>
                <w:szCs w:val="18"/>
                <w:lang w:eastAsia="es-GT"/>
              </w:rPr>
            </w:pPr>
            <w:r w:rsidRPr="007A6B50">
              <w:rPr>
                <w:rFonts w:asciiTheme="minorHAnsi" w:eastAsia="Times New Roman" w:hAnsiTheme="minorHAnsi" w:cstheme="minorHAnsi"/>
                <w:color w:val="auto"/>
                <w:sz w:val="18"/>
                <w:szCs w:val="18"/>
                <w:lang w:eastAsia="es-GT"/>
              </w:rPr>
              <w:t>Departamento</w:t>
            </w:r>
          </w:p>
        </w:tc>
        <w:tc>
          <w:tcPr>
            <w:tcW w:w="1714" w:type="pct"/>
            <w:gridSpan w:val="3"/>
            <w:vAlign w:val="center"/>
            <w:hideMark/>
          </w:tcPr>
          <w:p w14:paraId="6C70C528" w14:textId="77777777" w:rsidR="004B159C" w:rsidRPr="007A6B50" w:rsidRDefault="004B159C"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7A6B50">
              <w:rPr>
                <w:rFonts w:asciiTheme="minorHAnsi" w:eastAsia="Times New Roman" w:hAnsiTheme="minorHAnsi" w:cstheme="minorHAnsi"/>
                <w:color w:val="auto"/>
                <w:sz w:val="18"/>
                <w:szCs w:val="18"/>
                <w:lang w:eastAsia="es-GT"/>
              </w:rPr>
              <w:t>Vigente</w:t>
            </w:r>
          </w:p>
        </w:tc>
        <w:tc>
          <w:tcPr>
            <w:tcW w:w="2278" w:type="pct"/>
            <w:gridSpan w:val="4"/>
            <w:vAlign w:val="center"/>
            <w:hideMark/>
          </w:tcPr>
          <w:p w14:paraId="3D487522" w14:textId="77777777" w:rsidR="004B159C" w:rsidRPr="007A6B50" w:rsidRDefault="004B159C" w:rsidP="005A771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7A6B50">
              <w:rPr>
                <w:rFonts w:asciiTheme="minorHAnsi" w:eastAsia="Times New Roman" w:hAnsiTheme="minorHAnsi" w:cstheme="minorHAnsi"/>
                <w:color w:val="auto"/>
                <w:sz w:val="18"/>
                <w:szCs w:val="18"/>
                <w:lang w:eastAsia="es-GT"/>
              </w:rPr>
              <w:t>Ejecutado</w:t>
            </w:r>
          </w:p>
        </w:tc>
      </w:tr>
      <w:tr w:rsidR="004B159C" w:rsidRPr="007A6B50" w14:paraId="2A72F71C" w14:textId="77777777" w:rsidTr="005A771F">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009" w:type="pct"/>
            <w:vMerge/>
            <w:vAlign w:val="center"/>
            <w:hideMark/>
          </w:tcPr>
          <w:p w14:paraId="038A5C4D" w14:textId="77777777" w:rsidR="004B159C" w:rsidRPr="007A6B50" w:rsidRDefault="004B159C" w:rsidP="005A771F">
            <w:pPr>
              <w:jc w:val="center"/>
              <w:rPr>
                <w:rFonts w:asciiTheme="minorHAnsi" w:eastAsia="Times New Roman" w:hAnsiTheme="minorHAnsi" w:cstheme="minorHAnsi"/>
                <w:b w:val="0"/>
                <w:bCs w:val="0"/>
                <w:sz w:val="18"/>
                <w:szCs w:val="18"/>
                <w:lang w:eastAsia="es-GT"/>
              </w:rPr>
            </w:pPr>
          </w:p>
        </w:tc>
        <w:tc>
          <w:tcPr>
            <w:tcW w:w="533" w:type="pct"/>
            <w:vAlign w:val="center"/>
            <w:hideMark/>
          </w:tcPr>
          <w:p w14:paraId="6E03B24A"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Cantidad de proyectos</w:t>
            </w:r>
          </w:p>
        </w:tc>
        <w:tc>
          <w:tcPr>
            <w:tcW w:w="556" w:type="pct"/>
            <w:vAlign w:val="center"/>
            <w:hideMark/>
          </w:tcPr>
          <w:p w14:paraId="1EDBA331" w14:textId="60167620"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Monto</w:t>
            </w:r>
          </w:p>
          <w:p w14:paraId="6B104E43" w14:textId="2266F6A5"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(Q) millones</w:t>
            </w:r>
          </w:p>
          <w:p w14:paraId="6B975AC5" w14:textId="6310E305"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p>
        </w:tc>
        <w:tc>
          <w:tcPr>
            <w:tcW w:w="625" w:type="pct"/>
            <w:vAlign w:val="center"/>
            <w:hideMark/>
          </w:tcPr>
          <w:p w14:paraId="28823047"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Porcentaje distribución</w:t>
            </w:r>
          </w:p>
        </w:tc>
        <w:tc>
          <w:tcPr>
            <w:tcW w:w="534" w:type="pct"/>
            <w:vAlign w:val="center"/>
            <w:hideMark/>
          </w:tcPr>
          <w:p w14:paraId="2582DF3F"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Cantidad de proyectos</w:t>
            </w:r>
          </w:p>
        </w:tc>
        <w:tc>
          <w:tcPr>
            <w:tcW w:w="639" w:type="pct"/>
            <w:vAlign w:val="center"/>
            <w:hideMark/>
          </w:tcPr>
          <w:p w14:paraId="28BB4A5B" w14:textId="10AB8E73"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Monto (Q) millones</w:t>
            </w:r>
          </w:p>
        </w:tc>
        <w:tc>
          <w:tcPr>
            <w:tcW w:w="576" w:type="pct"/>
            <w:vAlign w:val="center"/>
            <w:hideMark/>
          </w:tcPr>
          <w:p w14:paraId="34205010"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Porcentaje ejecución</w:t>
            </w:r>
          </w:p>
        </w:tc>
        <w:tc>
          <w:tcPr>
            <w:tcW w:w="529" w:type="pct"/>
            <w:vAlign w:val="center"/>
            <w:hideMark/>
          </w:tcPr>
          <w:p w14:paraId="56AC48D5" w14:textId="77777777" w:rsidR="004B159C" w:rsidRPr="007A6B50" w:rsidRDefault="004B159C" w:rsidP="005A771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Promedio % avance físico</w:t>
            </w:r>
          </w:p>
        </w:tc>
      </w:tr>
      <w:tr w:rsidR="004B159C" w:rsidRPr="007A6B50" w14:paraId="3C6B782E"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177EBDF3"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Alta Verapaz</w:t>
            </w:r>
          </w:p>
        </w:tc>
        <w:tc>
          <w:tcPr>
            <w:tcW w:w="533" w:type="pct"/>
            <w:noWrap/>
            <w:hideMark/>
          </w:tcPr>
          <w:p w14:paraId="7449BF68"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357</w:t>
            </w:r>
          </w:p>
        </w:tc>
        <w:tc>
          <w:tcPr>
            <w:tcW w:w="556" w:type="pct"/>
            <w:noWrap/>
            <w:hideMark/>
          </w:tcPr>
          <w:p w14:paraId="4C40F875"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818.40</w:t>
            </w:r>
          </w:p>
        </w:tc>
        <w:tc>
          <w:tcPr>
            <w:tcW w:w="625" w:type="pct"/>
            <w:noWrap/>
            <w:hideMark/>
          </w:tcPr>
          <w:p w14:paraId="73888E1F"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5.60%</w:t>
            </w:r>
          </w:p>
        </w:tc>
        <w:tc>
          <w:tcPr>
            <w:tcW w:w="534" w:type="pct"/>
            <w:noWrap/>
            <w:hideMark/>
          </w:tcPr>
          <w:p w14:paraId="58C1317F"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303</w:t>
            </w:r>
          </w:p>
        </w:tc>
        <w:tc>
          <w:tcPr>
            <w:tcW w:w="639" w:type="pct"/>
            <w:noWrap/>
            <w:hideMark/>
          </w:tcPr>
          <w:p w14:paraId="0694C742"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538.74</w:t>
            </w:r>
          </w:p>
        </w:tc>
        <w:tc>
          <w:tcPr>
            <w:tcW w:w="576" w:type="pct"/>
            <w:noWrap/>
            <w:hideMark/>
          </w:tcPr>
          <w:p w14:paraId="14ACD498"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65.83%</w:t>
            </w:r>
          </w:p>
        </w:tc>
        <w:tc>
          <w:tcPr>
            <w:tcW w:w="529" w:type="pct"/>
            <w:noWrap/>
            <w:hideMark/>
          </w:tcPr>
          <w:p w14:paraId="456485BD"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68.02%</w:t>
            </w:r>
          </w:p>
        </w:tc>
      </w:tr>
      <w:tr w:rsidR="004B159C" w:rsidRPr="007A6B50" w14:paraId="54918C97"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01EE525C"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Baja Verapaz</w:t>
            </w:r>
          </w:p>
        </w:tc>
        <w:tc>
          <w:tcPr>
            <w:tcW w:w="533" w:type="pct"/>
            <w:noWrap/>
            <w:hideMark/>
          </w:tcPr>
          <w:p w14:paraId="2EDA382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bookmarkStart w:id="109" w:name="RANGE!J6"/>
            <w:r w:rsidRPr="007A6B50">
              <w:rPr>
                <w:rFonts w:asciiTheme="minorHAnsi" w:eastAsia="Times New Roman" w:hAnsiTheme="minorHAnsi" w:cstheme="minorHAnsi"/>
                <w:sz w:val="18"/>
                <w:szCs w:val="18"/>
                <w:lang w:eastAsia="es-GT"/>
              </w:rPr>
              <w:t>211</w:t>
            </w:r>
            <w:bookmarkEnd w:id="109"/>
          </w:p>
        </w:tc>
        <w:tc>
          <w:tcPr>
            <w:tcW w:w="556" w:type="pct"/>
            <w:noWrap/>
            <w:hideMark/>
          </w:tcPr>
          <w:p w14:paraId="04A870B6"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340.55</w:t>
            </w:r>
          </w:p>
        </w:tc>
        <w:tc>
          <w:tcPr>
            <w:tcW w:w="625" w:type="pct"/>
            <w:noWrap/>
            <w:hideMark/>
          </w:tcPr>
          <w:p w14:paraId="4CF8A000"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2.33%</w:t>
            </w:r>
          </w:p>
        </w:tc>
        <w:tc>
          <w:tcPr>
            <w:tcW w:w="534" w:type="pct"/>
            <w:noWrap/>
            <w:hideMark/>
          </w:tcPr>
          <w:p w14:paraId="791F0E71"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bookmarkStart w:id="110" w:name="RANGE!M6"/>
            <w:r w:rsidRPr="007A6B50">
              <w:rPr>
                <w:rFonts w:asciiTheme="minorHAnsi" w:eastAsia="Times New Roman" w:hAnsiTheme="minorHAnsi" w:cstheme="minorHAnsi"/>
                <w:sz w:val="18"/>
                <w:szCs w:val="18"/>
                <w:lang w:eastAsia="es-GT"/>
              </w:rPr>
              <w:t>190</w:t>
            </w:r>
            <w:bookmarkEnd w:id="110"/>
          </w:p>
        </w:tc>
        <w:tc>
          <w:tcPr>
            <w:tcW w:w="639" w:type="pct"/>
            <w:noWrap/>
            <w:hideMark/>
          </w:tcPr>
          <w:p w14:paraId="3779FB37"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230.01</w:t>
            </w:r>
          </w:p>
        </w:tc>
        <w:tc>
          <w:tcPr>
            <w:tcW w:w="576" w:type="pct"/>
            <w:noWrap/>
            <w:hideMark/>
          </w:tcPr>
          <w:p w14:paraId="5DA731B0"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67.54%</w:t>
            </w:r>
          </w:p>
        </w:tc>
        <w:tc>
          <w:tcPr>
            <w:tcW w:w="529" w:type="pct"/>
            <w:noWrap/>
            <w:hideMark/>
          </w:tcPr>
          <w:p w14:paraId="722A1C6E"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69.44%</w:t>
            </w:r>
          </w:p>
        </w:tc>
      </w:tr>
      <w:tr w:rsidR="004B159C" w:rsidRPr="007A6B50" w14:paraId="2AF7B836"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6ECB5498"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Chimaltenango</w:t>
            </w:r>
          </w:p>
        </w:tc>
        <w:tc>
          <w:tcPr>
            <w:tcW w:w="533" w:type="pct"/>
            <w:noWrap/>
            <w:hideMark/>
          </w:tcPr>
          <w:p w14:paraId="09793FF6"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664</w:t>
            </w:r>
          </w:p>
        </w:tc>
        <w:tc>
          <w:tcPr>
            <w:tcW w:w="556" w:type="pct"/>
            <w:noWrap/>
            <w:hideMark/>
          </w:tcPr>
          <w:p w14:paraId="0B9773D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684.73</w:t>
            </w:r>
          </w:p>
        </w:tc>
        <w:tc>
          <w:tcPr>
            <w:tcW w:w="625" w:type="pct"/>
            <w:noWrap/>
            <w:hideMark/>
          </w:tcPr>
          <w:p w14:paraId="4C43F724"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4.69%</w:t>
            </w:r>
          </w:p>
        </w:tc>
        <w:tc>
          <w:tcPr>
            <w:tcW w:w="534" w:type="pct"/>
            <w:noWrap/>
            <w:hideMark/>
          </w:tcPr>
          <w:p w14:paraId="666CF977"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561</w:t>
            </w:r>
          </w:p>
        </w:tc>
        <w:tc>
          <w:tcPr>
            <w:tcW w:w="639" w:type="pct"/>
            <w:noWrap/>
            <w:hideMark/>
          </w:tcPr>
          <w:p w14:paraId="7DAB3ED1"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451.60</w:t>
            </w:r>
          </w:p>
        </w:tc>
        <w:tc>
          <w:tcPr>
            <w:tcW w:w="576" w:type="pct"/>
            <w:noWrap/>
            <w:hideMark/>
          </w:tcPr>
          <w:p w14:paraId="2D95CA0B"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65.95%</w:t>
            </w:r>
          </w:p>
        </w:tc>
        <w:tc>
          <w:tcPr>
            <w:tcW w:w="529" w:type="pct"/>
            <w:noWrap/>
            <w:hideMark/>
          </w:tcPr>
          <w:p w14:paraId="6674D40C"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69.56%</w:t>
            </w:r>
          </w:p>
        </w:tc>
      </w:tr>
      <w:tr w:rsidR="004B159C" w:rsidRPr="007A6B50" w14:paraId="01805764"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7C62C003"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Chiquimula</w:t>
            </w:r>
          </w:p>
        </w:tc>
        <w:tc>
          <w:tcPr>
            <w:tcW w:w="533" w:type="pct"/>
            <w:noWrap/>
            <w:hideMark/>
          </w:tcPr>
          <w:p w14:paraId="736D2F78"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396</w:t>
            </w:r>
          </w:p>
        </w:tc>
        <w:tc>
          <w:tcPr>
            <w:tcW w:w="556" w:type="pct"/>
            <w:noWrap/>
            <w:hideMark/>
          </w:tcPr>
          <w:p w14:paraId="3EC2FC84"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434.61</w:t>
            </w:r>
          </w:p>
        </w:tc>
        <w:tc>
          <w:tcPr>
            <w:tcW w:w="625" w:type="pct"/>
            <w:noWrap/>
            <w:hideMark/>
          </w:tcPr>
          <w:p w14:paraId="595E1969"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2.98%</w:t>
            </w:r>
          </w:p>
        </w:tc>
        <w:tc>
          <w:tcPr>
            <w:tcW w:w="534" w:type="pct"/>
            <w:noWrap/>
            <w:hideMark/>
          </w:tcPr>
          <w:p w14:paraId="0A01B999"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387</w:t>
            </w:r>
          </w:p>
        </w:tc>
        <w:tc>
          <w:tcPr>
            <w:tcW w:w="639" w:type="pct"/>
            <w:noWrap/>
            <w:hideMark/>
          </w:tcPr>
          <w:p w14:paraId="7F39DDFF"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296.37</w:t>
            </w:r>
          </w:p>
        </w:tc>
        <w:tc>
          <w:tcPr>
            <w:tcW w:w="576" w:type="pct"/>
            <w:noWrap/>
            <w:hideMark/>
          </w:tcPr>
          <w:p w14:paraId="6A068169"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68.19%</w:t>
            </w:r>
          </w:p>
        </w:tc>
        <w:tc>
          <w:tcPr>
            <w:tcW w:w="529" w:type="pct"/>
            <w:noWrap/>
            <w:hideMark/>
          </w:tcPr>
          <w:p w14:paraId="169F8A10"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79.45%</w:t>
            </w:r>
          </w:p>
        </w:tc>
      </w:tr>
      <w:tr w:rsidR="004B159C" w:rsidRPr="007A6B50" w14:paraId="02BA1741"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33A5470F"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El Progreso</w:t>
            </w:r>
          </w:p>
        </w:tc>
        <w:tc>
          <w:tcPr>
            <w:tcW w:w="533" w:type="pct"/>
            <w:noWrap/>
            <w:hideMark/>
          </w:tcPr>
          <w:p w14:paraId="66A3D8F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211</w:t>
            </w:r>
          </w:p>
        </w:tc>
        <w:tc>
          <w:tcPr>
            <w:tcW w:w="556" w:type="pct"/>
            <w:noWrap/>
            <w:hideMark/>
          </w:tcPr>
          <w:p w14:paraId="36C7BB96"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431.63</w:t>
            </w:r>
          </w:p>
        </w:tc>
        <w:tc>
          <w:tcPr>
            <w:tcW w:w="625" w:type="pct"/>
            <w:noWrap/>
            <w:hideMark/>
          </w:tcPr>
          <w:p w14:paraId="277433AC"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2.95%</w:t>
            </w:r>
          </w:p>
        </w:tc>
        <w:tc>
          <w:tcPr>
            <w:tcW w:w="534" w:type="pct"/>
            <w:noWrap/>
            <w:hideMark/>
          </w:tcPr>
          <w:p w14:paraId="2FEF2095"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198</w:t>
            </w:r>
          </w:p>
        </w:tc>
        <w:tc>
          <w:tcPr>
            <w:tcW w:w="639" w:type="pct"/>
            <w:noWrap/>
            <w:hideMark/>
          </w:tcPr>
          <w:p w14:paraId="03C1B878"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350.83</w:t>
            </w:r>
          </w:p>
        </w:tc>
        <w:tc>
          <w:tcPr>
            <w:tcW w:w="576" w:type="pct"/>
            <w:noWrap/>
            <w:hideMark/>
          </w:tcPr>
          <w:p w14:paraId="39CE79E2"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81.28%</w:t>
            </w:r>
          </w:p>
        </w:tc>
        <w:tc>
          <w:tcPr>
            <w:tcW w:w="529" w:type="pct"/>
            <w:noWrap/>
            <w:hideMark/>
          </w:tcPr>
          <w:p w14:paraId="4126A5F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78.76%</w:t>
            </w:r>
          </w:p>
        </w:tc>
      </w:tr>
      <w:tr w:rsidR="004B159C" w:rsidRPr="007A6B50" w14:paraId="66625983"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381ACB44"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Escuintla</w:t>
            </w:r>
          </w:p>
        </w:tc>
        <w:tc>
          <w:tcPr>
            <w:tcW w:w="533" w:type="pct"/>
            <w:noWrap/>
            <w:hideMark/>
          </w:tcPr>
          <w:p w14:paraId="76F4C17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324</w:t>
            </w:r>
          </w:p>
        </w:tc>
        <w:tc>
          <w:tcPr>
            <w:tcW w:w="556" w:type="pct"/>
            <w:noWrap/>
            <w:hideMark/>
          </w:tcPr>
          <w:p w14:paraId="26AE5024"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1,057.65</w:t>
            </w:r>
          </w:p>
        </w:tc>
        <w:tc>
          <w:tcPr>
            <w:tcW w:w="625" w:type="pct"/>
            <w:noWrap/>
            <w:hideMark/>
          </w:tcPr>
          <w:p w14:paraId="0845363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7.24%</w:t>
            </w:r>
          </w:p>
        </w:tc>
        <w:tc>
          <w:tcPr>
            <w:tcW w:w="534" w:type="pct"/>
            <w:noWrap/>
            <w:hideMark/>
          </w:tcPr>
          <w:p w14:paraId="623CC9B8"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278</w:t>
            </w:r>
          </w:p>
        </w:tc>
        <w:tc>
          <w:tcPr>
            <w:tcW w:w="639" w:type="pct"/>
            <w:noWrap/>
            <w:hideMark/>
          </w:tcPr>
          <w:p w14:paraId="51138277"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615.44</w:t>
            </w:r>
          </w:p>
        </w:tc>
        <w:tc>
          <w:tcPr>
            <w:tcW w:w="576" w:type="pct"/>
            <w:noWrap/>
            <w:hideMark/>
          </w:tcPr>
          <w:p w14:paraId="7480FB46"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58.19%</w:t>
            </w:r>
          </w:p>
        </w:tc>
        <w:tc>
          <w:tcPr>
            <w:tcW w:w="529" w:type="pct"/>
            <w:noWrap/>
            <w:hideMark/>
          </w:tcPr>
          <w:p w14:paraId="1334A9CA"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65.94%</w:t>
            </w:r>
          </w:p>
        </w:tc>
      </w:tr>
      <w:tr w:rsidR="004B159C" w:rsidRPr="007A6B50" w14:paraId="5D887586"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6610DA18"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Guatemala</w:t>
            </w:r>
          </w:p>
        </w:tc>
        <w:tc>
          <w:tcPr>
            <w:tcW w:w="533" w:type="pct"/>
            <w:noWrap/>
            <w:hideMark/>
          </w:tcPr>
          <w:p w14:paraId="2F8BACF3"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753</w:t>
            </w:r>
          </w:p>
        </w:tc>
        <w:tc>
          <w:tcPr>
            <w:tcW w:w="556" w:type="pct"/>
            <w:noWrap/>
            <w:hideMark/>
          </w:tcPr>
          <w:p w14:paraId="1C76C524"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2,090.36</w:t>
            </w:r>
          </w:p>
        </w:tc>
        <w:tc>
          <w:tcPr>
            <w:tcW w:w="625" w:type="pct"/>
            <w:noWrap/>
            <w:hideMark/>
          </w:tcPr>
          <w:p w14:paraId="1375A7E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14.31%</w:t>
            </w:r>
          </w:p>
        </w:tc>
        <w:tc>
          <w:tcPr>
            <w:tcW w:w="534" w:type="pct"/>
            <w:noWrap/>
            <w:hideMark/>
          </w:tcPr>
          <w:p w14:paraId="23B7411B"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644</w:t>
            </w:r>
          </w:p>
        </w:tc>
        <w:tc>
          <w:tcPr>
            <w:tcW w:w="639" w:type="pct"/>
            <w:noWrap/>
            <w:hideMark/>
          </w:tcPr>
          <w:p w14:paraId="484969C5"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1,222.44</w:t>
            </w:r>
          </w:p>
        </w:tc>
        <w:tc>
          <w:tcPr>
            <w:tcW w:w="576" w:type="pct"/>
            <w:noWrap/>
            <w:hideMark/>
          </w:tcPr>
          <w:p w14:paraId="436B96EA"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58.48%</w:t>
            </w:r>
          </w:p>
        </w:tc>
        <w:tc>
          <w:tcPr>
            <w:tcW w:w="529" w:type="pct"/>
            <w:noWrap/>
            <w:hideMark/>
          </w:tcPr>
          <w:p w14:paraId="11895B83"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70.66%</w:t>
            </w:r>
          </w:p>
        </w:tc>
      </w:tr>
      <w:tr w:rsidR="004B159C" w:rsidRPr="007A6B50" w14:paraId="1AA963C0"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571173B7"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Huehuetenango</w:t>
            </w:r>
          </w:p>
        </w:tc>
        <w:tc>
          <w:tcPr>
            <w:tcW w:w="533" w:type="pct"/>
            <w:noWrap/>
            <w:hideMark/>
          </w:tcPr>
          <w:p w14:paraId="53910BBF"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835</w:t>
            </w:r>
          </w:p>
        </w:tc>
        <w:tc>
          <w:tcPr>
            <w:tcW w:w="556" w:type="pct"/>
            <w:noWrap/>
            <w:hideMark/>
          </w:tcPr>
          <w:p w14:paraId="7E7C772C"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1,066.98</w:t>
            </w:r>
          </w:p>
        </w:tc>
        <w:tc>
          <w:tcPr>
            <w:tcW w:w="625" w:type="pct"/>
            <w:noWrap/>
            <w:hideMark/>
          </w:tcPr>
          <w:p w14:paraId="07F4DC8E"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7.30%</w:t>
            </w:r>
          </w:p>
        </w:tc>
        <w:tc>
          <w:tcPr>
            <w:tcW w:w="534" w:type="pct"/>
            <w:noWrap/>
            <w:hideMark/>
          </w:tcPr>
          <w:p w14:paraId="57BDF9F1"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745</w:t>
            </w:r>
          </w:p>
        </w:tc>
        <w:tc>
          <w:tcPr>
            <w:tcW w:w="639" w:type="pct"/>
            <w:noWrap/>
            <w:hideMark/>
          </w:tcPr>
          <w:p w14:paraId="2E2A81E5"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773.04</w:t>
            </w:r>
          </w:p>
        </w:tc>
        <w:tc>
          <w:tcPr>
            <w:tcW w:w="576" w:type="pct"/>
            <w:noWrap/>
            <w:hideMark/>
          </w:tcPr>
          <w:p w14:paraId="2FC604E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72.45%</w:t>
            </w:r>
          </w:p>
        </w:tc>
        <w:tc>
          <w:tcPr>
            <w:tcW w:w="529" w:type="pct"/>
            <w:noWrap/>
            <w:hideMark/>
          </w:tcPr>
          <w:p w14:paraId="5AB6320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81.79%</w:t>
            </w:r>
          </w:p>
        </w:tc>
      </w:tr>
      <w:tr w:rsidR="004B159C" w:rsidRPr="007A6B50" w14:paraId="05E3403F"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6F647B3D"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Izabal</w:t>
            </w:r>
          </w:p>
        </w:tc>
        <w:tc>
          <w:tcPr>
            <w:tcW w:w="533" w:type="pct"/>
            <w:noWrap/>
            <w:hideMark/>
          </w:tcPr>
          <w:p w14:paraId="7CD8BFBA"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154</w:t>
            </w:r>
          </w:p>
        </w:tc>
        <w:tc>
          <w:tcPr>
            <w:tcW w:w="556" w:type="pct"/>
            <w:noWrap/>
            <w:hideMark/>
          </w:tcPr>
          <w:p w14:paraId="22404A6B"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326.09</w:t>
            </w:r>
          </w:p>
        </w:tc>
        <w:tc>
          <w:tcPr>
            <w:tcW w:w="625" w:type="pct"/>
            <w:noWrap/>
            <w:hideMark/>
          </w:tcPr>
          <w:p w14:paraId="1773AA7D"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2.23%</w:t>
            </w:r>
          </w:p>
        </w:tc>
        <w:tc>
          <w:tcPr>
            <w:tcW w:w="534" w:type="pct"/>
            <w:noWrap/>
            <w:hideMark/>
          </w:tcPr>
          <w:p w14:paraId="4B60390D"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85</w:t>
            </w:r>
          </w:p>
        </w:tc>
        <w:tc>
          <w:tcPr>
            <w:tcW w:w="639" w:type="pct"/>
            <w:noWrap/>
            <w:hideMark/>
          </w:tcPr>
          <w:p w14:paraId="4579980A"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150.06</w:t>
            </w:r>
          </w:p>
        </w:tc>
        <w:tc>
          <w:tcPr>
            <w:tcW w:w="576" w:type="pct"/>
            <w:noWrap/>
            <w:hideMark/>
          </w:tcPr>
          <w:p w14:paraId="64CA9C2F"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46.02%</w:t>
            </w:r>
          </w:p>
        </w:tc>
        <w:tc>
          <w:tcPr>
            <w:tcW w:w="529" w:type="pct"/>
            <w:noWrap/>
            <w:hideMark/>
          </w:tcPr>
          <w:p w14:paraId="4BD6AE23"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47.14%</w:t>
            </w:r>
          </w:p>
        </w:tc>
      </w:tr>
      <w:tr w:rsidR="004B159C" w:rsidRPr="007A6B50" w14:paraId="2FC7A042"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7A2467F5"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Jalapa</w:t>
            </w:r>
          </w:p>
        </w:tc>
        <w:tc>
          <w:tcPr>
            <w:tcW w:w="533" w:type="pct"/>
            <w:noWrap/>
            <w:hideMark/>
          </w:tcPr>
          <w:p w14:paraId="61B50F3F"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190</w:t>
            </w:r>
          </w:p>
        </w:tc>
        <w:tc>
          <w:tcPr>
            <w:tcW w:w="556" w:type="pct"/>
            <w:noWrap/>
            <w:hideMark/>
          </w:tcPr>
          <w:p w14:paraId="7A16DDCB"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250.82</w:t>
            </w:r>
          </w:p>
        </w:tc>
        <w:tc>
          <w:tcPr>
            <w:tcW w:w="625" w:type="pct"/>
            <w:noWrap/>
            <w:hideMark/>
          </w:tcPr>
          <w:p w14:paraId="5A47A2E4"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1.72%</w:t>
            </w:r>
          </w:p>
        </w:tc>
        <w:tc>
          <w:tcPr>
            <w:tcW w:w="534" w:type="pct"/>
            <w:noWrap/>
            <w:hideMark/>
          </w:tcPr>
          <w:p w14:paraId="0940DF45"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168</w:t>
            </w:r>
          </w:p>
        </w:tc>
        <w:tc>
          <w:tcPr>
            <w:tcW w:w="639" w:type="pct"/>
            <w:noWrap/>
            <w:hideMark/>
          </w:tcPr>
          <w:p w14:paraId="18C216C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185.68</w:t>
            </w:r>
          </w:p>
        </w:tc>
        <w:tc>
          <w:tcPr>
            <w:tcW w:w="576" w:type="pct"/>
            <w:noWrap/>
            <w:hideMark/>
          </w:tcPr>
          <w:p w14:paraId="68EFEF4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74.03%</w:t>
            </w:r>
          </w:p>
        </w:tc>
        <w:tc>
          <w:tcPr>
            <w:tcW w:w="529" w:type="pct"/>
            <w:noWrap/>
            <w:hideMark/>
          </w:tcPr>
          <w:p w14:paraId="57BAAE90"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79.77%</w:t>
            </w:r>
          </w:p>
        </w:tc>
      </w:tr>
      <w:tr w:rsidR="004B159C" w:rsidRPr="007A6B50" w14:paraId="0B9E84E4"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185BC491"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Jutiapa</w:t>
            </w:r>
          </w:p>
        </w:tc>
        <w:tc>
          <w:tcPr>
            <w:tcW w:w="533" w:type="pct"/>
            <w:noWrap/>
            <w:hideMark/>
          </w:tcPr>
          <w:p w14:paraId="1390B82F"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448</w:t>
            </w:r>
          </w:p>
        </w:tc>
        <w:tc>
          <w:tcPr>
            <w:tcW w:w="556" w:type="pct"/>
            <w:noWrap/>
            <w:hideMark/>
          </w:tcPr>
          <w:p w14:paraId="31F69DD2"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548.90</w:t>
            </w:r>
          </w:p>
        </w:tc>
        <w:tc>
          <w:tcPr>
            <w:tcW w:w="625" w:type="pct"/>
            <w:noWrap/>
            <w:hideMark/>
          </w:tcPr>
          <w:p w14:paraId="5D11445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3.76%</w:t>
            </w:r>
          </w:p>
        </w:tc>
        <w:tc>
          <w:tcPr>
            <w:tcW w:w="534" w:type="pct"/>
            <w:noWrap/>
            <w:hideMark/>
          </w:tcPr>
          <w:p w14:paraId="7A77F9F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389</w:t>
            </w:r>
          </w:p>
        </w:tc>
        <w:tc>
          <w:tcPr>
            <w:tcW w:w="639" w:type="pct"/>
            <w:noWrap/>
            <w:hideMark/>
          </w:tcPr>
          <w:p w14:paraId="67BDB805"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426.46</w:t>
            </w:r>
          </w:p>
        </w:tc>
        <w:tc>
          <w:tcPr>
            <w:tcW w:w="576" w:type="pct"/>
            <w:noWrap/>
            <w:hideMark/>
          </w:tcPr>
          <w:p w14:paraId="74498DAD"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77.69%</w:t>
            </w:r>
          </w:p>
        </w:tc>
        <w:tc>
          <w:tcPr>
            <w:tcW w:w="529" w:type="pct"/>
            <w:noWrap/>
            <w:hideMark/>
          </w:tcPr>
          <w:p w14:paraId="44CD1B56"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77.68%</w:t>
            </w:r>
          </w:p>
        </w:tc>
      </w:tr>
      <w:tr w:rsidR="004B159C" w:rsidRPr="007A6B50" w14:paraId="41D16F88" w14:textId="77777777" w:rsidTr="0093773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09" w:type="pct"/>
            <w:hideMark/>
          </w:tcPr>
          <w:p w14:paraId="5B5CDFB7"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Multidepartamental Región IV</w:t>
            </w:r>
          </w:p>
        </w:tc>
        <w:tc>
          <w:tcPr>
            <w:tcW w:w="533" w:type="pct"/>
            <w:noWrap/>
            <w:hideMark/>
          </w:tcPr>
          <w:p w14:paraId="14FF54DD"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w:t>
            </w:r>
          </w:p>
        </w:tc>
        <w:tc>
          <w:tcPr>
            <w:tcW w:w="556" w:type="pct"/>
            <w:noWrap/>
            <w:hideMark/>
          </w:tcPr>
          <w:p w14:paraId="22674C8C"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11.06</w:t>
            </w:r>
          </w:p>
        </w:tc>
        <w:tc>
          <w:tcPr>
            <w:tcW w:w="625" w:type="pct"/>
            <w:noWrap/>
            <w:hideMark/>
          </w:tcPr>
          <w:p w14:paraId="6FF05B6B"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0.08%</w:t>
            </w:r>
          </w:p>
        </w:tc>
        <w:tc>
          <w:tcPr>
            <w:tcW w:w="534" w:type="pct"/>
            <w:noWrap/>
            <w:hideMark/>
          </w:tcPr>
          <w:p w14:paraId="72EFF96D"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w:t>
            </w:r>
          </w:p>
        </w:tc>
        <w:tc>
          <w:tcPr>
            <w:tcW w:w="639" w:type="pct"/>
            <w:noWrap/>
            <w:hideMark/>
          </w:tcPr>
          <w:p w14:paraId="7B40B79D"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11.06</w:t>
            </w:r>
          </w:p>
        </w:tc>
        <w:tc>
          <w:tcPr>
            <w:tcW w:w="576" w:type="pct"/>
            <w:noWrap/>
            <w:hideMark/>
          </w:tcPr>
          <w:p w14:paraId="7CD10D5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100.00%</w:t>
            </w:r>
          </w:p>
        </w:tc>
        <w:tc>
          <w:tcPr>
            <w:tcW w:w="529" w:type="pct"/>
            <w:noWrap/>
            <w:hideMark/>
          </w:tcPr>
          <w:p w14:paraId="7AF91CC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100.00%</w:t>
            </w:r>
          </w:p>
        </w:tc>
      </w:tr>
      <w:tr w:rsidR="004B159C" w:rsidRPr="007A6B50" w14:paraId="6FF13B9A" w14:textId="77777777" w:rsidTr="00937739">
        <w:trPr>
          <w:trHeight w:val="495"/>
        </w:trPr>
        <w:tc>
          <w:tcPr>
            <w:cnfStyle w:val="001000000000" w:firstRow="0" w:lastRow="0" w:firstColumn="1" w:lastColumn="0" w:oddVBand="0" w:evenVBand="0" w:oddHBand="0" w:evenHBand="0" w:firstRowFirstColumn="0" w:firstRowLastColumn="0" w:lastRowFirstColumn="0" w:lastRowLastColumn="0"/>
            <w:tcW w:w="1009" w:type="pct"/>
            <w:hideMark/>
          </w:tcPr>
          <w:p w14:paraId="1AB096A4"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Multidepartamental Región V</w:t>
            </w:r>
          </w:p>
        </w:tc>
        <w:tc>
          <w:tcPr>
            <w:tcW w:w="533" w:type="pct"/>
            <w:noWrap/>
            <w:hideMark/>
          </w:tcPr>
          <w:p w14:paraId="038FCA14"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w:t>
            </w:r>
          </w:p>
        </w:tc>
        <w:tc>
          <w:tcPr>
            <w:tcW w:w="556" w:type="pct"/>
            <w:noWrap/>
            <w:hideMark/>
          </w:tcPr>
          <w:p w14:paraId="3E481318"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21.96</w:t>
            </w:r>
          </w:p>
        </w:tc>
        <w:tc>
          <w:tcPr>
            <w:tcW w:w="625" w:type="pct"/>
            <w:noWrap/>
            <w:hideMark/>
          </w:tcPr>
          <w:p w14:paraId="6E11518A"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0.15%</w:t>
            </w:r>
          </w:p>
        </w:tc>
        <w:tc>
          <w:tcPr>
            <w:tcW w:w="534" w:type="pct"/>
            <w:noWrap/>
            <w:hideMark/>
          </w:tcPr>
          <w:p w14:paraId="29720276"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w:t>
            </w:r>
          </w:p>
        </w:tc>
        <w:tc>
          <w:tcPr>
            <w:tcW w:w="639" w:type="pct"/>
            <w:noWrap/>
            <w:hideMark/>
          </w:tcPr>
          <w:p w14:paraId="15D52EEE"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21.78</w:t>
            </w:r>
          </w:p>
        </w:tc>
        <w:tc>
          <w:tcPr>
            <w:tcW w:w="576" w:type="pct"/>
            <w:noWrap/>
            <w:hideMark/>
          </w:tcPr>
          <w:p w14:paraId="2E760D92"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99.17%</w:t>
            </w:r>
          </w:p>
        </w:tc>
        <w:tc>
          <w:tcPr>
            <w:tcW w:w="529" w:type="pct"/>
            <w:noWrap/>
            <w:hideMark/>
          </w:tcPr>
          <w:p w14:paraId="01F35ADB"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100.00%</w:t>
            </w:r>
          </w:p>
        </w:tc>
      </w:tr>
      <w:tr w:rsidR="004B159C" w:rsidRPr="007A6B50" w14:paraId="43E2A477" w14:textId="77777777" w:rsidTr="0093773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09" w:type="pct"/>
            <w:hideMark/>
          </w:tcPr>
          <w:p w14:paraId="14887E0F"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Multidepartamental Región VI</w:t>
            </w:r>
          </w:p>
        </w:tc>
        <w:tc>
          <w:tcPr>
            <w:tcW w:w="533" w:type="pct"/>
            <w:noWrap/>
            <w:hideMark/>
          </w:tcPr>
          <w:p w14:paraId="5358BA46"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w:t>
            </w:r>
          </w:p>
        </w:tc>
        <w:tc>
          <w:tcPr>
            <w:tcW w:w="556" w:type="pct"/>
            <w:noWrap/>
            <w:hideMark/>
          </w:tcPr>
          <w:p w14:paraId="0DEEEB7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5.00</w:t>
            </w:r>
          </w:p>
        </w:tc>
        <w:tc>
          <w:tcPr>
            <w:tcW w:w="625" w:type="pct"/>
            <w:noWrap/>
            <w:hideMark/>
          </w:tcPr>
          <w:p w14:paraId="21CB29FD"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0.03%</w:t>
            </w:r>
          </w:p>
        </w:tc>
        <w:tc>
          <w:tcPr>
            <w:tcW w:w="534" w:type="pct"/>
            <w:noWrap/>
            <w:hideMark/>
          </w:tcPr>
          <w:p w14:paraId="0A16A3E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w:t>
            </w:r>
          </w:p>
        </w:tc>
        <w:tc>
          <w:tcPr>
            <w:tcW w:w="639" w:type="pct"/>
            <w:noWrap/>
            <w:hideMark/>
          </w:tcPr>
          <w:p w14:paraId="2199C7D5"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4.50</w:t>
            </w:r>
          </w:p>
        </w:tc>
        <w:tc>
          <w:tcPr>
            <w:tcW w:w="576" w:type="pct"/>
            <w:noWrap/>
            <w:hideMark/>
          </w:tcPr>
          <w:p w14:paraId="2393E8BC"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90.00%</w:t>
            </w:r>
          </w:p>
        </w:tc>
        <w:tc>
          <w:tcPr>
            <w:tcW w:w="529" w:type="pct"/>
            <w:noWrap/>
            <w:hideMark/>
          </w:tcPr>
          <w:p w14:paraId="7C542A2B"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50.00%</w:t>
            </w:r>
          </w:p>
        </w:tc>
      </w:tr>
      <w:tr w:rsidR="004B159C" w:rsidRPr="007A6B50" w14:paraId="44097B90"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68CC31FC" w14:textId="4FD130A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Multi</w:t>
            </w:r>
            <w:r w:rsidR="005A771F">
              <w:rPr>
                <w:rFonts w:asciiTheme="minorHAnsi" w:eastAsia="Times New Roman" w:hAnsiTheme="minorHAnsi" w:cstheme="minorHAnsi"/>
                <w:b w:val="0"/>
                <w:sz w:val="18"/>
                <w:szCs w:val="18"/>
                <w:lang w:eastAsia="es-GT"/>
              </w:rPr>
              <w:t xml:space="preserve"> </w:t>
            </w:r>
            <w:r w:rsidRPr="005A771F">
              <w:rPr>
                <w:rFonts w:asciiTheme="minorHAnsi" w:eastAsia="Times New Roman" w:hAnsiTheme="minorHAnsi" w:cstheme="minorHAnsi"/>
                <w:b w:val="0"/>
                <w:sz w:val="18"/>
                <w:szCs w:val="18"/>
                <w:lang w:eastAsia="es-GT"/>
              </w:rPr>
              <w:t>regional - Nacional</w:t>
            </w:r>
          </w:p>
        </w:tc>
        <w:tc>
          <w:tcPr>
            <w:tcW w:w="533" w:type="pct"/>
            <w:noWrap/>
            <w:hideMark/>
          </w:tcPr>
          <w:p w14:paraId="7CA678B2"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12</w:t>
            </w:r>
          </w:p>
        </w:tc>
        <w:tc>
          <w:tcPr>
            <w:tcW w:w="556" w:type="pct"/>
            <w:noWrap/>
            <w:hideMark/>
          </w:tcPr>
          <w:p w14:paraId="197130F0"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188.44</w:t>
            </w:r>
          </w:p>
        </w:tc>
        <w:tc>
          <w:tcPr>
            <w:tcW w:w="625" w:type="pct"/>
            <w:noWrap/>
            <w:hideMark/>
          </w:tcPr>
          <w:p w14:paraId="266F2CCC"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1.29%</w:t>
            </w:r>
          </w:p>
        </w:tc>
        <w:tc>
          <w:tcPr>
            <w:tcW w:w="534" w:type="pct"/>
            <w:noWrap/>
            <w:hideMark/>
          </w:tcPr>
          <w:p w14:paraId="12165E23"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11</w:t>
            </w:r>
          </w:p>
        </w:tc>
        <w:tc>
          <w:tcPr>
            <w:tcW w:w="639" w:type="pct"/>
            <w:noWrap/>
            <w:hideMark/>
          </w:tcPr>
          <w:p w14:paraId="7F2617E3"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160.06</w:t>
            </w:r>
          </w:p>
        </w:tc>
        <w:tc>
          <w:tcPr>
            <w:tcW w:w="576" w:type="pct"/>
            <w:noWrap/>
            <w:hideMark/>
          </w:tcPr>
          <w:p w14:paraId="736F61FD"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84.94%</w:t>
            </w:r>
          </w:p>
        </w:tc>
        <w:tc>
          <w:tcPr>
            <w:tcW w:w="529" w:type="pct"/>
            <w:noWrap/>
            <w:hideMark/>
          </w:tcPr>
          <w:p w14:paraId="130F10F0"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68.09%</w:t>
            </w:r>
          </w:p>
        </w:tc>
      </w:tr>
      <w:tr w:rsidR="004B159C" w:rsidRPr="007A6B50" w14:paraId="54AFBF76"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3AD61BE1"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Petén</w:t>
            </w:r>
          </w:p>
        </w:tc>
        <w:tc>
          <w:tcPr>
            <w:tcW w:w="533" w:type="pct"/>
            <w:noWrap/>
            <w:hideMark/>
          </w:tcPr>
          <w:p w14:paraId="42F8550A"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495</w:t>
            </w:r>
          </w:p>
        </w:tc>
        <w:tc>
          <w:tcPr>
            <w:tcW w:w="556" w:type="pct"/>
            <w:noWrap/>
            <w:hideMark/>
          </w:tcPr>
          <w:p w14:paraId="4BE3335A"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847.51</w:t>
            </w:r>
          </w:p>
        </w:tc>
        <w:tc>
          <w:tcPr>
            <w:tcW w:w="625" w:type="pct"/>
            <w:noWrap/>
            <w:hideMark/>
          </w:tcPr>
          <w:p w14:paraId="6635F1EA"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5.80%</w:t>
            </w:r>
          </w:p>
        </w:tc>
        <w:tc>
          <w:tcPr>
            <w:tcW w:w="534" w:type="pct"/>
            <w:noWrap/>
            <w:hideMark/>
          </w:tcPr>
          <w:p w14:paraId="3E8E7F44"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441</w:t>
            </w:r>
          </w:p>
        </w:tc>
        <w:tc>
          <w:tcPr>
            <w:tcW w:w="639" w:type="pct"/>
            <w:noWrap/>
            <w:hideMark/>
          </w:tcPr>
          <w:p w14:paraId="7BB524B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648.94</w:t>
            </w:r>
          </w:p>
        </w:tc>
        <w:tc>
          <w:tcPr>
            <w:tcW w:w="576" w:type="pct"/>
            <w:noWrap/>
            <w:hideMark/>
          </w:tcPr>
          <w:p w14:paraId="6F4DCE6D"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76.57%</w:t>
            </w:r>
          </w:p>
        </w:tc>
        <w:tc>
          <w:tcPr>
            <w:tcW w:w="529" w:type="pct"/>
            <w:noWrap/>
            <w:hideMark/>
          </w:tcPr>
          <w:p w14:paraId="16F51EEA"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75.54%</w:t>
            </w:r>
          </w:p>
        </w:tc>
      </w:tr>
      <w:tr w:rsidR="004B159C" w:rsidRPr="007A6B50" w14:paraId="54EE987E"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75510481"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Quetzaltenango</w:t>
            </w:r>
          </w:p>
        </w:tc>
        <w:tc>
          <w:tcPr>
            <w:tcW w:w="533" w:type="pct"/>
            <w:noWrap/>
            <w:hideMark/>
          </w:tcPr>
          <w:p w14:paraId="4026C59F"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645</w:t>
            </w:r>
          </w:p>
        </w:tc>
        <w:tc>
          <w:tcPr>
            <w:tcW w:w="556" w:type="pct"/>
            <w:noWrap/>
            <w:hideMark/>
          </w:tcPr>
          <w:p w14:paraId="2A7828E0"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691.07</w:t>
            </w:r>
          </w:p>
        </w:tc>
        <w:tc>
          <w:tcPr>
            <w:tcW w:w="625" w:type="pct"/>
            <w:noWrap/>
            <w:hideMark/>
          </w:tcPr>
          <w:p w14:paraId="5EC4D11F"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4.73%</w:t>
            </w:r>
          </w:p>
        </w:tc>
        <w:tc>
          <w:tcPr>
            <w:tcW w:w="534" w:type="pct"/>
            <w:noWrap/>
            <w:hideMark/>
          </w:tcPr>
          <w:p w14:paraId="3F97717F"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554</w:t>
            </w:r>
          </w:p>
        </w:tc>
        <w:tc>
          <w:tcPr>
            <w:tcW w:w="639" w:type="pct"/>
            <w:noWrap/>
            <w:hideMark/>
          </w:tcPr>
          <w:p w14:paraId="2FE9E9CF"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371.50</w:t>
            </w:r>
          </w:p>
        </w:tc>
        <w:tc>
          <w:tcPr>
            <w:tcW w:w="576" w:type="pct"/>
            <w:noWrap/>
            <w:hideMark/>
          </w:tcPr>
          <w:p w14:paraId="3BBB676B"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53.76%</w:t>
            </w:r>
          </w:p>
        </w:tc>
        <w:tc>
          <w:tcPr>
            <w:tcW w:w="529" w:type="pct"/>
            <w:noWrap/>
            <w:hideMark/>
          </w:tcPr>
          <w:p w14:paraId="1F7B36B6"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72.68%</w:t>
            </w:r>
          </w:p>
        </w:tc>
      </w:tr>
      <w:tr w:rsidR="004B159C" w:rsidRPr="007A6B50" w14:paraId="0C762F9A"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605CF256"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Quiché</w:t>
            </w:r>
          </w:p>
        </w:tc>
        <w:tc>
          <w:tcPr>
            <w:tcW w:w="533" w:type="pct"/>
            <w:noWrap/>
            <w:hideMark/>
          </w:tcPr>
          <w:p w14:paraId="68C9C1E7"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649</w:t>
            </w:r>
          </w:p>
        </w:tc>
        <w:tc>
          <w:tcPr>
            <w:tcW w:w="556" w:type="pct"/>
            <w:noWrap/>
            <w:hideMark/>
          </w:tcPr>
          <w:p w14:paraId="1F20B401"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949.62</w:t>
            </w:r>
          </w:p>
        </w:tc>
        <w:tc>
          <w:tcPr>
            <w:tcW w:w="625" w:type="pct"/>
            <w:noWrap/>
            <w:hideMark/>
          </w:tcPr>
          <w:p w14:paraId="44A65238"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6.50%</w:t>
            </w:r>
          </w:p>
        </w:tc>
        <w:tc>
          <w:tcPr>
            <w:tcW w:w="534" w:type="pct"/>
            <w:noWrap/>
            <w:hideMark/>
          </w:tcPr>
          <w:p w14:paraId="3BAD0F9A"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474</w:t>
            </w:r>
          </w:p>
        </w:tc>
        <w:tc>
          <w:tcPr>
            <w:tcW w:w="639" w:type="pct"/>
            <w:noWrap/>
            <w:hideMark/>
          </w:tcPr>
          <w:p w14:paraId="793C57F1"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542.30</w:t>
            </w:r>
          </w:p>
        </w:tc>
        <w:tc>
          <w:tcPr>
            <w:tcW w:w="576" w:type="pct"/>
            <w:noWrap/>
            <w:hideMark/>
          </w:tcPr>
          <w:p w14:paraId="1B069FF4"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57.11%</w:t>
            </w:r>
          </w:p>
        </w:tc>
        <w:tc>
          <w:tcPr>
            <w:tcW w:w="529" w:type="pct"/>
            <w:noWrap/>
            <w:hideMark/>
          </w:tcPr>
          <w:p w14:paraId="68332097"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64.72%</w:t>
            </w:r>
          </w:p>
        </w:tc>
      </w:tr>
      <w:tr w:rsidR="004B159C" w:rsidRPr="007A6B50" w14:paraId="4554E661"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2D0CEC41"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Retalhuleu</w:t>
            </w:r>
          </w:p>
        </w:tc>
        <w:tc>
          <w:tcPr>
            <w:tcW w:w="533" w:type="pct"/>
            <w:noWrap/>
            <w:hideMark/>
          </w:tcPr>
          <w:p w14:paraId="63D05420"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280</w:t>
            </w:r>
          </w:p>
        </w:tc>
        <w:tc>
          <w:tcPr>
            <w:tcW w:w="556" w:type="pct"/>
            <w:noWrap/>
            <w:hideMark/>
          </w:tcPr>
          <w:p w14:paraId="4A3839A6"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395.85</w:t>
            </w:r>
          </w:p>
        </w:tc>
        <w:tc>
          <w:tcPr>
            <w:tcW w:w="625" w:type="pct"/>
            <w:noWrap/>
            <w:hideMark/>
          </w:tcPr>
          <w:p w14:paraId="6A086FF7"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2.71%</w:t>
            </w:r>
          </w:p>
        </w:tc>
        <w:tc>
          <w:tcPr>
            <w:tcW w:w="534" w:type="pct"/>
            <w:noWrap/>
            <w:hideMark/>
          </w:tcPr>
          <w:p w14:paraId="60BC4EB0"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262</w:t>
            </w:r>
          </w:p>
        </w:tc>
        <w:tc>
          <w:tcPr>
            <w:tcW w:w="639" w:type="pct"/>
            <w:noWrap/>
            <w:hideMark/>
          </w:tcPr>
          <w:p w14:paraId="3323AEB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311.79</w:t>
            </w:r>
          </w:p>
        </w:tc>
        <w:tc>
          <w:tcPr>
            <w:tcW w:w="576" w:type="pct"/>
            <w:noWrap/>
            <w:hideMark/>
          </w:tcPr>
          <w:p w14:paraId="7AF2C18D"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78.76%</w:t>
            </w:r>
          </w:p>
        </w:tc>
        <w:tc>
          <w:tcPr>
            <w:tcW w:w="529" w:type="pct"/>
            <w:noWrap/>
            <w:hideMark/>
          </w:tcPr>
          <w:p w14:paraId="4DF82FF7"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72.19%</w:t>
            </w:r>
          </w:p>
        </w:tc>
      </w:tr>
      <w:tr w:rsidR="004B159C" w:rsidRPr="007A6B50" w14:paraId="3A5D02F5"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6516F44C"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Sacatepéquez</w:t>
            </w:r>
          </w:p>
        </w:tc>
        <w:tc>
          <w:tcPr>
            <w:tcW w:w="533" w:type="pct"/>
            <w:noWrap/>
            <w:hideMark/>
          </w:tcPr>
          <w:p w14:paraId="3CA6F861"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405</w:t>
            </w:r>
          </w:p>
        </w:tc>
        <w:tc>
          <w:tcPr>
            <w:tcW w:w="556" w:type="pct"/>
            <w:noWrap/>
            <w:hideMark/>
          </w:tcPr>
          <w:p w14:paraId="6C9362E0"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556.96</w:t>
            </w:r>
          </w:p>
        </w:tc>
        <w:tc>
          <w:tcPr>
            <w:tcW w:w="625" w:type="pct"/>
            <w:noWrap/>
            <w:hideMark/>
          </w:tcPr>
          <w:p w14:paraId="6D4509B5"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3.81%</w:t>
            </w:r>
          </w:p>
        </w:tc>
        <w:tc>
          <w:tcPr>
            <w:tcW w:w="534" w:type="pct"/>
            <w:noWrap/>
            <w:hideMark/>
          </w:tcPr>
          <w:p w14:paraId="0C9258F9"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364</w:t>
            </w:r>
          </w:p>
        </w:tc>
        <w:tc>
          <w:tcPr>
            <w:tcW w:w="639" w:type="pct"/>
            <w:noWrap/>
            <w:hideMark/>
          </w:tcPr>
          <w:p w14:paraId="656BF171"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318.38</w:t>
            </w:r>
          </w:p>
        </w:tc>
        <w:tc>
          <w:tcPr>
            <w:tcW w:w="576" w:type="pct"/>
            <w:noWrap/>
            <w:hideMark/>
          </w:tcPr>
          <w:p w14:paraId="791A6399"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57.16%</w:t>
            </w:r>
          </w:p>
        </w:tc>
        <w:tc>
          <w:tcPr>
            <w:tcW w:w="529" w:type="pct"/>
            <w:noWrap/>
            <w:hideMark/>
          </w:tcPr>
          <w:p w14:paraId="046BE5D6"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63.55%</w:t>
            </w:r>
          </w:p>
        </w:tc>
      </w:tr>
      <w:tr w:rsidR="004B159C" w:rsidRPr="007A6B50" w14:paraId="661196D6"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1D473E08"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San Marcos</w:t>
            </w:r>
          </w:p>
        </w:tc>
        <w:tc>
          <w:tcPr>
            <w:tcW w:w="533" w:type="pct"/>
            <w:noWrap/>
            <w:hideMark/>
          </w:tcPr>
          <w:p w14:paraId="51238841"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1049</w:t>
            </w:r>
          </w:p>
        </w:tc>
        <w:tc>
          <w:tcPr>
            <w:tcW w:w="556" w:type="pct"/>
            <w:noWrap/>
            <w:hideMark/>
          </w:tcPr>
          <w:p w14:paraId="5B2F0D2A"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bookmarkStart w:id="111" w:name="_Hlk123823588"/>
            <w:r w:rsidRPr="007A6B50">
              <w:rPr>
                <w:rFonts w:asciiTheme="minorHAnsi" w:eastAsia="Times New Roman" w:hAnsiTheme="minorHAnsi" w:cstheme="minorHAnsi"/>
                <w:sz w:val="18"/>
                <w:szCs w:val="18"/>
                <w:lang w:eastAsia="es-GT"/>
              </w:rPr>
              <w:t>1,078.40</w:t>
            </w:r>
            <w:bookmarkEnd w:id="111"/>
          </w:p>
        </w:tc>
        <w:tc>
          <w:tcPr>
            <w:tcW w:w="625" w:type="pct"/>
            <w:noWrap/>
            <w:hideMark/>
          </w:tcPr>
          <w:p w14:paraId="3718DF26"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7.38%</w:t>
            </w:r>
          </w:p>
        </w:tc>
        <w:tc>
          <w:tcPr>
            <w:tcW w:w="534" w:type="pct"/>
            <w:noWrap/>
            <w:hideMark/>
          </w:tcPr>
          <w:p w14:paraId="503574F1"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822</w:t>
            </w:r>
          </w:p>
        </w:tc>
        <w:tc>
          <w:tcPr>
            <w:tcW w:w="639" w:type="pct"/>
            <w:noWrap/>
            <w:hideMark/>
          </w:tcPr>
          <w:p w14:paraId="2DD42DF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701.34</w:t>
            </w:r>
          </w:p>
        </w:tc>
        <w:tc>
          <w:tcPr>
            <w:tcW w:w="576" w:type="pct"/>
            <w:noWrap/>
            <w:hideMark/>
          </w:tcPr>
          <w:p w14:paraId="3FF47CED"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65.04%</w:t>
            </w:r>
          </w:p>
        </w:tc>
        <w:tc>
          <w:tcPr>
            <w:tcW w:w="529" w:type="pct"/>
            <w:noWrap/>
            <w:hideMark/>
          </w:tcPr>
          <w:p w14:paraId="21697747"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73.53%</w:t>
            </w:r>
          </w:p>
        </w:tc>
      </w:tr>
      <w:tr w:rsidR="004B159C" w:rsidRPr="007A6B50" w14:paraId="4A352B76"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4BD48AD9"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Santa Rosa</w:t>
            </w:r>
          </w:p>
        </w:tc>
        <w:tc>
          <w:tcPr>
            <w:tcW w:w="533" w:type="pct"/>
            <w:noWrap/>
            <w:hideMark/>
          </w:tcPr>
          <w:p w14:paraId="33DF916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356</w:t>
            </w:r>
          </w:p>
        </w:tc>
        <w:tc>
          <w:tcPr>
            <w:tcW w:w="556" w:type="pct"/>
            <w:noWrap/>
            <w:hideMark/>
          </w:tcPr>
          <w:p w14:paraId="22D91B5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453.90</w:t>
            </w:r>
          </w:p>
        </w:tc>
        <w:tc>
          <w:tcPr>
            <w:tcW w:w="625" w:type="pct"/>
            <w:noWrap/>
            <w:hideMark/>
          </w:tcPr>
          <w:p w14:paraId="7DF9CD89"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3.11%</w:t>
            </w:r>
          </w:p>
        </w:tc>
        <w:tc>
          <w:tcPr>
            <w:tcW w:w="534" w:type="pct"/>
            <w:noWrap/>
            <w:hideMark/>
          </w:tcPr>
          <w:p w14:paraId="734EFC2C"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326</w:t>
            </w:r>
          </w:p>
        </w:tc>
        <w:tc>
          <w:tcPr>
            <w:tcW w:w="639" w:type="pct"/>
            <w:noWrap/>
            <w:hideMark/>
          </w:tcPr>
          <w:p w14:paraId="382D2A7B"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325.87</w:t>
            </w:r>
          </w:p>
        </w:tc>
        <w:tc>
          <w:tcPr>
            <w:tcW w:w="576" w:type="pct"/>
            <w:noWrap/>
            <w:hideMark/>
          </w:tcPr>
          <w:p w14:paraId="37C38C5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71.79%</w:t>
            </w:r>
          </w:p>
        </w:tc>
        <w:tc>
          <w:tcPr>
            <w:tcW w:w="529" w:type="pct"/>
            <w:noWrap/>
            <w:hideMark/>
          </w:tcPr>
          <w:p w14:paraId="63EB053F"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80.38%</w:t>
            </w:r>
          </w:p>
        </w:tc>
      </w:tr>
      <w:tr w:rsidR="004B159C" w:rsidRPr="007A6B50" w14:paraId="3E63CA7D"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74D12515"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Sololá</w:t>
            </w:r>
          </w:p>
        </w:tc>
        <w:tc>
          <w:tcPr>
            <w:tcW w:w="533" w:type="pct"/>
            <w:noWrap/>
            <w:hideMark/>
          </w:tcPr>
          <w:p w14:paraId="168880F4"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431</w:t>
            </w:r>
          </w:p>
        </w:tc>
        <w:tc>
          <w:tcPr>
            <w:tcW w:w="556" w:type="pct"/>
            <w:noWrap/>
            <w:hideMark/>
          </w:tcPr>
          <w:p w14:paraId="0DC7E0E4"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452.57</w:t>
            </w:r>
          </w:p>
        </w:tc>
        <w:tc>
          <w:tcPr>
            <w:tcW w:w="625" w:type="pct"/>
            <w:noWrap/>
            <w:hideMark/>
          </w:tcPr>
          <w:p w14:paraId="480B52E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3.10%</w:t>
            </w:r>
          </w:p>
        </w:tc>
        <w:tc>
          <w:tcPr>
            <w:tcW w:w="534" w:type="pct"/>
            <w:noWrap/>
            <w:hideMark/>
          </w:tcPr>
          <w:p w14:paraId="75788471"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369</w:t>
            </w:r>
          </w:p>
        </w:tc>
        <w:tc>
          <w:tcPr>
            <w:tcW w:w="639" w:type="pct"/>
            <w:noWrap/>
            <w:hideMark/>
          </w:tcPr>
          <w:p w14:paraId="2B7DCE0D"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351.28</w:t>
            </w:r>
          </w:p>
        </w:tc>
        <w:tc>
          <w:tcPr>
            <w:tcW w:w="576" w:type="pct"/>
            <w:noWrap/>
            <w:hideMark/>
          </w:tcPr>
          <w:p w14:paraId="14568AE3"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77.62%</w:t>
            </w:r>
          </w:p>
        </w:tc>
        <w:tc>
          <w:tcPr>
            <w:tcW w:w="529" w:type="pct"/>
            <w:noWrap/>
            <w:hideMark/>
          </w:tcPr>
          <w:p w14:paraId="571AE8DA"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76.05%</w:t>
            </w:r>
          </w:p>
        </w:tc>
      </w:tr>
      <w:tr w:rsidR="004B159C" w:rsidRPr="007A6B50" w14:paraId="3A0D06B5"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155BE857"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Suchitepéquez</w:t>
            </w:r>
          </w:p>
        </w:tc>
        <w:tc>
          <w:tcPr>
            <w:tcW w:w="533" w:type="pct"/>
            <w:noWrap/>
            <w:hideMark/>
          </w:tcPr>
          <w:p w14:paraId="01ED1DA9"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367</w:t>
            </w:r>
          </w:p>
        </w:tc>
        <w:tc>
          <w:tcPr>
            <w:tcW w:w="556" w:type="pct"/>
            <w:noWrap/>
            <w:hideMark/>
          </w:tcPr>
          <w:p w14:paraId="00979DE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331.47</w:t>
            </w:r>
          </w:p>
        </w:tc>
        <w:tc>
          <w:tcPr>
            <w:tcW w:w="625" w:type="pct"/>
            <w:noWrap/>
            <w:hideMark/>
          </w:tcPr>
          <w:p w14:paraId="5390B780"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2.27%</w:t>
            </w:r>
          </w:p>
        </w:tc>
        <w:tc>
          <w:tcPr>
            <w:tcW w:w="534" w:type="pct"/>
            <w:noWrap/>
            <w:hideMark/>
          </w:tcPr>
          <w:p w14:paraId="71DC968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335</w:t>
            </w:r>
          </w:p>
        </w:tc>
        <w:tc>
          <w:tcPr>
            <w:tcW w:w="639" w:type="pct"/>
            <w:noWrap/>
            <w:hideMark/>
          </w:tcPr>
          <w:p w14:paraId="368717B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196.42</w:t>
            </w:r>
          </w:p>
        </w:tc>
        <w:tc>
          <w:tcPr>
            <w:tcW w:w="576" w:type="pct"/>
            <w:noWrap/>
            <w:hideMark/>
          </w:tcPr>
          <w:p w14:paraId="77A50E75"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59.26%</w:t>
            </w:r>
          </w:p>
        </w:tc>
        <w:tc>
          <w:tcPr>
            <w:tcW w:w="529" w:type="pct"/>
            <w:noWrap/>
            <w:hideMark/>
          </w:tcPr>
          <w:p w14:paraId="122895F1"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78.33%</w:t>
            </w:r>
          </w:p>
        </w:tc>
      </w:tr>
      <w:tr w:rsidR="004B159C" w:rsidRPr="007A6B50" w14:paraId="3CD7C875" w14:textId="77777777" w:rsidTr="00937739">
        <w:trPr>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20C72486"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Totonicapán</w:t>
            </w:r>
          </w:p>
        </w:tc>
        <w:tc>
          <w:tcPr>
            <w:tcW w:w="533" w:type="pct"/>
            <w:noWrap/>
            <w:hideMark/>
          </w:tcPr>
          <w:p w14:paraId="12D0E932"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393</w:t>
            </w:r>
          </w:p>
        </w:tc>
        <w:tc>
          <w:tcPr>
            <w:tcW w:w="556" w:type="pct"/>
            <w:noWrap/>
            <w:hideMark/>
          </w:tcPr>
          <w:p w14:paraId="738EE5B3"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340.57</w:t>
            </w:r>
          </w:p>
        </w:tc>
        <w:tc>
          <w:tcPr>
            <w:tcW w:w="625" w:type="pct"/>
            <w:noWrap/>
            <w:hideMark/>
          </w:tcPr>
          <w:p w14:paraId="4C0EE941"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2.33%</w:t>
            </w:r>
          </w:p>
        </w:tc>
        <w:tc>
          <w:tcPr>
            <w:tcW w:w="534" w:type="pct"/>
            <w:noWrap/>
            <w:hideMark/>
          </w:tcPr>
          <w:p w14:paraId="73174BBC"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260</w:t>
            </w:r>
          </w:p>
        </w:tc>
        <w:tc>
          <w:tcPr>
            <w:tcW w:w="639" w:type="pct"/>
            <w:noWrap/>
            <w:hideMark/>
          </w:tcPr>
          <w:p w14:paraId="5FC1656E"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198.19</w:t>
            </w:r>
          </w:p>
        </w:tc>
        <w:tc>
          <w:tcPr>
            <w:tcW w:w="576" w:type="pct"/>
            <w:noWrap/>
            <w:hideMark/>
          </w:tcPr>
          <w:p w14:paraId="195D09CD"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58.19%</w:t>
            </w:r>
          </w:p>
        </w:tc>
        <w:tc>
          <w:tcPr>
            <w:tcW w:w="529" w:type="pct"/>
            <w:noWrap/>
            <w:hideMark/>
          </w:tcPr>
          <w:p w14:paraId="214DB2F9" w14:textId="77777777" w:rsidR="004B159C" w:rsidRPr="007A6B50" w:rsidRDefault="004B159C" w:rsidP="004B159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60.88%</w:t>
            </w:r>
          </w:p>
        </w:tc>
      </w:tr>
      <w:tr w:rsidR="004B159C" w:rsidRPr="007A6B50" w14:paraId="2C29EABF" w14:textId="77777777" w:rsidTr="00937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9" w:type="pct"/>
            <w:hideMark/>
          </w:tcPr>
          <w:p w14:paraId="3D320DB7" w14:textId="77777777" w:rsidR="004B159C" w:rsidRPr="005A771F" w:rsidRDefault="004B159C" w:rsidP="004B159C">
            <w:pPr>
              <w:rPr>
                <w:rFonts w:asciiTheme="minorHAnsi" w:eastAsia="Times New Roman" w:hAnsiTheme="minorHAnsi" w:cstheme="minorHAnsi"/>
                <w:b w:val="0"/>
                <w:sz w:val="18"/>
                <w:szCs w:val="18"/>
                <w:lang w:eastAsia="es-GT"/>
              </w:rPr>
            </w:pPr>
            <w:r w:rsidRPr="005A771F">
              <w:rPr>
                <w:rFonts w:asciiTheme="minorHAnsi" w:eastAsia="Times New Roman" w:hAnsiTheme="minorHAnsi" w:cstheme="minorHAnsi"/>
                <w:b w:val="0"/>
                <w:sz w:val="18"/>
                <w:szCs w:val="18"/>
                <w:lang w:eastAsia="es-GT"/>
              </w:rPr>
              <w:t>Zacapa</w:t>
            </w:r>
          </w:p>
        </w:tc>
        <w:tc>
          <w:tcPr>
            <w:tcW w:w="533" w:type="pct"/>
            <w:noWrap/>
            <w:hideMark/>
          </w:tcPr>
          <w:p w14:paraId="4444FDD2"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183</w:t>
            </w:r>
          </w:p>
        </w:tc>
        <w:tc>
          <w:tcPr>
            <w:tcW w:w="556" w:type="pct"/>
            <w:noWrap/>
            <w:hideMark/>
          </w:tcPr>
          <w:p w14:paraId="25CA410D"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233.48</w:t>
            </w:r>
          </w:p>
        </w:tc>
        <w:tc>
          <w:tcPr>
            <w:tcW w:w="625" w:type="pct"/>
            <w:noWrap/>
            <w:hideMark/>
          </w:tcPr>
          <w:p w14:paraId="5B2E4871"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1.60%</w:t>
            </w:r>
          </w:p>
        </w:tc>
        <w:tc>
          <w:tcPr>
            <w:tcW w:w="534" w:type="pct"/>
            <w:noWrap/>
            <w:hideMark/>
          </w:tcPr>
          <w:p w14:paraId="199E0426"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151</w:t>
            </w:r>
          </w:p>
        </w:tc>
        <w:tc>
          <w:tcPr>
            <w:tcW w:w="639" w:type="pct"/>
            <w:noWrap/>
            <w:hideMark/>
          </w:tcPr>
          <w:p w14:paraId="5E11EB43"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138.19</w:t>
            </w:r>
          </w:p>
        </w:tc>
        <w:tc>
          <w:tcPr>
            <w:tcW w:w="576" w:type="pct"/>
            <w:noWrap/>
            <w:hideMark/>
          </w:tcPr>
          <w:p w14:paraId="707B51CA"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59.18%</w:t>
            </w:r>
          </w:p>
        </w:tc>
        <w:tc>
          <w:tcPr>
            <w:tcW w:w="529" w:type="pct"/>
            <w:noWrap/>
            <w:hideMark/>
          </w:tcPr>
          <w:p w14:paraId="45FD942A" w14:textId="77777777" w:rsidR="004B159C" w:rsidRPr="007A6B50" w:rsidRDefault="004B159C" w:rsidP="004B159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81.37%</w:t>
            </w:r>
          </w:p>
        </w:tc>
      </w:tr>
      <w:tr w:rsidR="004B159C" w:rsidRPr="007A6B50" w14:paraId="1DB29058" w14:textId="77777777" w:rsidTr="005A771F">
        <w:trPr>
          <w:trHeight w:val="315"/>
        </w:trPr>
        <w:tc>
          <w:tcPr>
            <w:cnfStyle w:val="001000000000" w:firstRow="0" w:lastRow="0" w:firstColumn="1" w:lastColumn="0" w:oddVBand="0" w:evenVBand="0" w:oddHBand="0" w:evenHBand="0" w:firstRowFirstColumn="0" w:firstRowLastColumn="0" w:lastRowFirstColumn="0" w:lastRowLastColumn="0"/>
            <w:tcW w:w="1009" w:type="pct"/>
            <w:vAlign w:val="center"/>
            <w:hideMark/>
          </w:tcPr>
          <w:p w14:paraId="5F1F72E8" w14:textId="77777777" w:rsidR="004B159C" w:rsidRPr="007A6B50" w:rsidRDefault="004B159C" w:rsidP="005A771F">
            <w:pPr>
              <w:jc w:val="center"/>
              <w:rPr>
                <w:rFonts w:asciiTheme="minorHAnsi" w:eastAsia="Times New Roman" w:hAnsiTheme="minorHAnsi" w:cstheme="minorHAnsi"/>
                <w:b w:val="0"/>
                <w:bCs w:val="0"/>
                <w:sz w:val="18"/>
                <w:szCs w:val="18"/>
                <w:lang w:eastAsia="es-GT"/>
              </w:rPr>
            </w:pPr>
            <w:r w:rsidRPr="007A6B50">
              <w:rPr>
                <w:rFonts w:asciiTheme="minorHAnsi" w:eastAsia="Times New Roman" w:hAnsiTheme="minorHAnsi" w:cstheme="minorHAnsi"/>
                <w:sz w:val="18"/>
                <w:szCs w:val="18"/>
                <w:lang w:eastAsia="es-GT"/>
              </w:rPr>
              <w:t>Total general</w:t>
            </w:r>
          </w:p>
        </w:tc>
        <w:tc>
          <w:tcPr>
            <w:tcW w:w="533" w:type="pct"/>
            <w:vAlign w:val="center"/>
            <w:hideMark/>
          </w:tcPr>
          <w:p w14:paraId="54882019" w14:textId="77777777" w:rsidR="004B159C" w:rsidRPr="007A6B50" w:rsidRDefault="004B159C"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9,812</w:t>
            </w:r>
          </w:p>
        </w:tc>
        <w:tc>
          <w:tcPr>
            <w:tcW w:w="556" w:type="pct"/>
            <w:vAlign w:val="center"/>
            <w:hideMark/>
          </w:tcPr>
          <w:p w14:paraId="0544358E" w14:textId="77777777" w:rsidR="004B159C" w:rsidRPr="007A6B50" w:rsidRDefault="004B159C"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14,608.59</w:t>
            </w:r>
          </w:p>
        </w:tc>
        <w:tc>
          <w:tcPr>
            <w:tcW w:w="625" w:type="pct"/>
            <w:vAlign w:val="center"/>
            <w:hideMark/>
          </w:tcPr>
          <w:p w14:paraId="24C72D3A" w14:textId="77777777" w:rsidR="004B159C" w:rsidRPr="007A6B50" w:rsidRDefault="004B159C"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100.00%</w:t>
            </w:r>
          </w:p>
        </w:tc>
        <w:tc>
          <w:tcPr>
            <w:tcW w:w="534" w:type="pct"/>
            <w:vAlign w:val="center"/>
            <w:hideMark/>
          </w:tcPr>
          <w:p w14:paraId="081EDD18" w14:textId="77777777" w:rsidR="004B159C" w:rsidRPr="007A6B50" w:rsidRDefault="004B159C"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8,320</w:t>
            </w:r>
          </w:p>
        </w:tc>
        <w:tc>
          <w:tcPr>
            <w:tcW w:w="639" w:type="pct"/>
            <w:vAlign w:val="center"/>
            <w:hideMark/>
          </w:tcPr>
          <w:p w14:paraId="23149F16" w14:textId="77777777" w:rsidR="004B159C" w:rsidRPr="007A6B50" w:rsidRDefault="004B159C"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9,542.27</w:t>
            </w:r>
          </w:p>
        </w:tc>
        <w:tc>
          <w:tcPr>
            <w:tcW w:w="576" w:type="pct"/>
            <w:vAlign w:val="center"/>
            <w:hideMark/>
          </w:tcPr>
          <w:p w14:paraId="6927DFC3" w14:textId="77777777" w:rsidR="004B159C" w:rsidRPr="007A6B50" w:rsidRDefault="004B159C"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65.32%</w:t>
            </w:r>
          </w:p>
        </w:tc>
        <w:tc>
          <w:tcPr>
            <w:tcW w:w="529" w:type="pct"/>
            <w:vAlign w:val="center"/>
            <w:hideMark/>
          </w:tcPr>
          <w:p w14:paraId="39C034B3" w14:textId="77777777" w:rsidR="004B159C" w:rsidRPr="007A6B50" w:rsidRDefault="004B159C" w:rsidP="005A771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es-GT"/>
              </w:rPr>
            </w:pPr>
            <w:r w:rsidRPr="007A6B50">
              <w:rPr>
                <w:rFonts w:asciiTheme="minorHAnsi" w:eastAsia="Times New Roman" w:hAnsiTheme="minorHAnsi" w:cstheme="minorHAnsi"/>
                <w:b/>
                <w:bCs/>
                <w:sz w:val="18"/>
                <w:szCs w:val="18"/>
                <w:lang w:eastAsia="es-GT"/>
              </w:rPr>
              <w:t>72.64%</w:t>
            </w:r>
          </w:p>
        </w:tc>
      </w:tr>
    </w:tbl>
    <w:p w14:paraId="77BB4900" w14:textId="62FB0B63" w:rsidR="001912B8" w:rsidRPr="007A6B50" w:rsidRDefault="001912B8" w:rsidP="001912B8">
      <w:pPr>
        <w:rPr>
          <w:rFonts w:cstheme="minorHAnsi"/>
          <w:sz w:val="16"/>
          <w:szCs w:val="16"/>
        </w:rPr>
      </w:pPr>
      <w:r w:rsidRPr="007A6B50">
        <w:rPr>
          <w:rFonts w:cstheme="minorHAnsi"/>
          <w:sz w:val="16"/>
          <w:szCs w:val="16"/>
        </w:rPr>
        <w:t>Fuente: elaboración SEGEPLAN con información del SNIP</w:t>
      </w:r>
      <w:r w:rsidR="00BC4B3B" w:rsidRPr="007A6B50">
        <w:rPr>
          <w:rFonts w:cstheme="minorHAnsi"/>
          <w:sz w:val="16"/>
          <w:szCs w:val="16"/>
        </w:rPr>
        <w:t>.</w:t>
      </w:r>
    </w:p>
    <w:p w14:paraId="59DB791F" w14:textId="77777777" w:rsidR="0009174B" w:rsidRPr="007A6B50" w:rsidRDefault="0009174B" w:rsidP="005A771F">
      <w:pPr>
        <w:spacing w:before="120" w:after="120" w:line="240" w:lineRule="auto"/>
        <w:jc w:val="both"/>
        <w:rPr>
          <w:rFonts w:cstheme="minorHAnsi"/>
          <w:sz w:val="24"/>
          <w:szCs w:val="24"/>
        </w:rPr>
      </w:pPr>
      <w:bookmarkStart w:id="112" w:name="_Toc66379897"/>
      <w:bookmarkEnd w:id="107"/>
      <w:r w:rsidRPr="007A6B50">
        <w:rPr>
          <w:rFonts w:cstheme="minorHAnsi"/>
          <w:sz w:val="24"/>
          <w:szCs w:val="24"/>
        </w:rPr>
        <w:t xml:space="preserve">En cuanto a la inversión pública ejecutada a nivel departamental, se estableció que los cinco departamentos que concentraron los mayores montos de inversión ejecutada son: </w:t>
      </w:r>
    </w:p>
    <w:p w14:paraId="53C27945" w14:textId="77777777" w:rsidR="0009174B" w:rsidRPr="007A6B50" w:rsidRDefault="0009174B" w:rsidP="005A771F">
      <w:pPr>
        <w:numPr>
          <w:ilvl w:val="0"/>
          <w:numId w:val="25"/>
        </w:numPr>
        <w:spacing w:before="120" w:after="120" w:line="240" w:lineRule="auto"/>
        <w:jc w:val="both"/>
        <w:rPr>
          <w:rFonts w:cstheme="minorHAnsi"/>
          <w:sz w:val="24"/>
          <w:szCs w:val="24"/>
        </w:rPr>
      </w:pPr>
      <w:r w:rsidRPr="007A6B50">
        <w:rPr>
          <w:rFonts w:cstheme="minorHAnsi"/>
          <w:sz w:val="24"/>
          <w:szCs w:val="24"/>
        </w:rPr>
        <w:t xml:space="preserve">El departamento de Guatemala registró el mayor peso relativo, 14.31% (Q2,090.36 millones) del total de la inversión vigente para 753 proyectos. De esos, 644 mostraron ejecución. De acuerdo con las clasificaciones por sector y tipología de proyectos, los más relevantes en su vinculación estratégica que registraron ejecución son: </w:t>
      </w:r>
      <w:bookmarkStart w:id="113" w:name="_Hlk113202830"/>
      <w:r w:rsidRPr="007A6B50">
        <w:rPr>
          <w:rFonts w:cstheme="minorHAnsi"/>
          <w:sz w:val="24"/>
          <w:szCs w:val="24"/>
        </w:rPr>
        <w:t xml:space="preserve">153 proyectos en infraestructura de agua y saneamiento (32 pozos, 61 sistemas de agua potable, 7 sistemas de aguas pluviales, 32 sistemas de alcantarillado sanitario, 20 sistemas de tratamiento de aguas residuales y 1 tanque de mampostería); </w:t>
      </w:r>
      <w:bookmarkStart w:id="114" w:name="_Hlk113201464"/>
      <w:bookmarkEnd w:id="113"/>
      <w:r w:rsidRPr="007A6B50">
        <w:rPr>
          <w:rFonts w:cstheme="minorHAnsi"/>
          <w:sz w:val="24"/>
          <w:szCs w:val="24"/>
        </w:rPr>
        <w:t xml:space="preserve">en transporte 140 proyectos (107 para calles, 4 para pasos a desnivel, 6 para carreteras, 15 para caminos rurales, 3 para puentes vehiculares y 1 Otras tipologías afines); </w:t>
      </w:r>
      <w:bookmarkEnd w:id="114"/>
      <w:r w:rsidRPr="007A6B50">
        <w:rPr>
          <w:rFonts w:cstheme="minorHAnsi"/>
          <w:sz w:val="24"/>
          <w:szCs w:val="24"/>
        </w:rPr>
        <w:t>104 proyectos para desarrollo urbano y rural (19 para calles, 30 para muros de contención, 9 para parques, 32 para banquetas peatonales, 4 para mercados y 9 en otras tipologías afines); 94 para el sector educación (48 para infraestructura de escuelas de educación primaria, 6 para educación preprimaria, 6 institutos de educación tecnológica, 7 institutos de educación básica, 1 para educación superior y 26 en otras tipologías de apoyo al sector).</w:t>
      </w:r>
    </w:p>
    <w:p w14:paraId="66B33231" w14:textId="77777777" w:rsidR="0009174B" w:rsidRPr="007A6B50" w:rsidRDefault="0009174B" w:rsidP="005A771F">
      <w:pPr>
        <w:numPr>
          <w:ilvl w:val="0"/>
          <w:numId w:val="25"/>
        </w:numPr>
        <w:spacing w:before="120" w:after="120" w:line="240" w:lineRule="auto"/>
        <w:ind w:left="714" w:hanging="357"/>
        <w:jc w:val="both"/>
        <w:rPr>
          <w:rFonts w:cstheme="minorHAnsi"/>
          <w:sz w:val="24"/>
          <w:szCs w:val="24"/>
        </w:rPr>
      </w:pPr>
      <w:r w:rsidRPr="007A6B50">
        <w:rPr>
          <w:rFonts w:cstheme="minorHAnsi"/>
          <w:sz w:val="24"/>
          <w:szCs w:val="24"/>
        </w:rPr>
        <w:t>San Marcos, tiene registrado el 7.38% del total de la inversión vigente (Q1,078.40 millones) para 1,049 proyectos. De esos, 822 muestran ejecución y según sector y tipología de los proyectos los más relevantes son: en transporte 412 proyectos (153 para infraestructura para calles, 228 para caminos rurales, 6 para carreteras, 5 carreteras de terracería, 5 para puentes vehiculares, 1 para puente de hamaca y 14 en otras tipológicas afines);</w:t>
      </w:r>
      <w:bookmarkStart w:id="115" w:name="_Hlk113206985"/>
      <w:r w:rsidRPr="007A6B50">
        <w:rPr>
          <w:rFonts w:cstheme="minorHAnsi"/>
          <w:sz w:val="24"/>
          <w:szCs w:val="24"/>
        </w:rPr>
        <w:t xml:space="preserve"> 98 proyectos en infraestructura de agua y saneamiento (23 para sistemas de alcantarillado sanitario, 67 para sistemas de agua potable, 3 para sistemas de aguas pluviales, 4 para sistema de tratamiento de aguas residuales y 1 para sistema de tratamiento de agua potable); </w:t>
      </w:r>
      <w:bookmarkStart w:id="116" w:name="_Hlk113207504"/>
      <w:bookmarkEnd w:id="115"/>
      <w:r w:rsidRPr="007A6B50">
        <w:rPr>
          <w:rFonts w:cstheme="minorHAnsi"/>
          <w:sz w:val="24"/>
          <w:szCs w:val="24"/>
        </w:rPr>
        <w:t>91 para infraestructura en educación (49 para escuelas de primaria, 4 para institutos de diversificada y tecnológica, 11 para institutos de educación básica, 4 para escuelas de preprimaria y 23 en otras tipologías afines al sector)</w:t>
      </w:r>
      <w:bookmarkEnd w:id="116"/>
      <w:r w:rsidRPr="007A6B50">
        <w:rPr>
          <w:rFonts w:cstheme="minorHAnsi"/>
          <w:sz w:val="24"/>
          <w:szCs w:val="24"/>
        </w:rPr>
        <w:t xml:space="preserve">; 34 proyectos para salud y asistencia social (3 para centros de atención permanente (CAP), 1 para centro de atención integral materno infantil (CAIMI), 3 para centros de salud, 9 para puestos de salud,  2 para centro comunitario, 5 para infraestructura de edificios y 11 de otra tipología de apoyo al sector);  y 20 proyectos para desarrollo urbano y rural (9 para infraestructura de salones, 4 para muros de contención, 3 para parque, 1 para banquetas peatonales, 2 para mercado y para gaviones). </w:t>
      </w:r>
    </w:p>
    <w:p w14:paraId="039971BF" w14:textId="29C87E00" w:rsidR="0009174B" w:rsidRPr="007A6B50" w:rsidRDefault="0009174B" w:rsidP="005A771F">
      <w:pPr>
        <w:numPr>
          <w:ilvl w:val="0"/>
          <w:numId w:val="25"/>
        </w:numPr>
        <w:spacing w:before="120" w:after="120" w:line="240" w:lineRule="auto"/>
        <w:ind w:left="714" w:hanging="357"/>
        <w:jc w:val="both"/>
        <w:rPr>
          <w:rFonts w:cstheme="minorHAnsi"/>
          <w:sz w:val="24"/>
          <w:szCs w:val="24"/>
        </w:rPr>
      </w:pPr>
      <w:r w:rsidRPr="007A6B50">
        <w:rPr>
          <w:rFonts w:cstheme="minorHAnsi"/>
          <w:sz w:val="24"/>
          <w:szCs w:val="24"/>
        </w:rPr>
        <w:t xml:space="preserve">Huehuetenango, tiene registrado el 7.30% del total de la inversión vigente (Q1,066.98 millones) para 835 proyectos. De esos, 745 muestran ejecución y según sector y tipología de los proyectos los más relevantes que registraron ejecución son: transporte 278 proyectos (33 para infraestructura de carretera, 124 para caminos rurales, 65 para calles, 12 para puentes vehiculares, 24 para carreteras de terracería, 3 para puentes colgantes peatonales, 1 puente peatonal y 15 en otras tipologías afines); </w:t>
      </w:r>
      <w:bookmarkStart w:id="117" w:name="_Hlk113210016"/>
      <w:r w:rsidRPr="007A6B50">
        <w:rPr>
          <w:rFonts w:cstheme="minorHAnsi"/>
          <w:sz w:val="24"/>
          <w:szCs w:val="24"/>
        </w:rPr>
        <w:t>110 proyectos en infraestructura de agua y saneamiento (72 para sistemas de agua potable, 25 para sistemas de alcantarillado sanitario, 4 para pozos, 2 para sistema de tratamiento de aguas residuales,1 para sistema de tratamiento de desechos sólidos, 1 para sistema de tratamiento de aguas pluviales,1 para sistema de tratamiento de agua potable,1 tanque de mampostería, 1 para depósito de almacenamiento de agua pluvial, 1 para aljibe y 1 para bombas manuales);</w:t>
      </w:r>
      <w:bookmarkEnd w:id="117"/>
      <w:r w:rsidRPr="007A6B50">
        <w:rPr>
          <w:rFonts w:cstheme="minorHAnsi"/>
          <w:sz w:val="24"/>
          <w:szCs w:val="24"/>
        </w:rPr>
        <w:t xml:space="preserve"> 109 proyectos para infraestructura en educación (71 escuelas de primaria, 1 centro de capacitación, 4 para instalaciones deportivas, 3 para instituto de diversificado, 8 para institutos de educación básica,1 para escuela de educación preprimaria y 21 para otras tipologías afines al sector); 39 proyectos para salud y asistencia social (1 para infraestructura de hospital, 5 para centros de salud, 2 centros de atención permanente (CAP), 7 puestos de salud, 5 para edificios, 2 para centro de convergencia, 2 para centros comunitarios, 5 para cementerios y 10 para otras tipologías de apoyo al sector); y 33 proyectos para desarrollo urbano y rural (5 para infraestructura de mercados, 20 para salones, 1 para parques, 6 para muros de contención y 1 para urbanización). </w:t>
      </w:r>
    </w:p>
    <w:p w14:paraId="30AD6E1A" w14:textId="77777777" w:rsidR="0009174B" w:rsidRPr="007A6B50" w:rsidRDefault="0009174B" w:rsidP="005A771F">
      <w:pPr>
        <w:numPr>
          <w:ilvl w:val="0"/>
          <w:numId w:val="25"/>
        </w:numPr>
        <w:spacing w:before="120" w:after="120" w:line="240" w:lineRule="auto"/>
        <w:ind w:left="714" w:hanging="357"/>
        <w:jc w:val="both"/>
        <w:rPr>
          <w:rFonts w:cstheme="minorHAnsi"/>
          <w:sz w:val="24"/>
          <w:szCs w:val="24"/>
        </w:rPr>
      </w:pPr>
      <w:r w:rsidRPr="007A6B50">
        <w:rPr>
          <w:rFonts w:cstheme="minorHAnsi"/>
          <w:sz w:val="24"/>
          <w:szCs w:val="24"/>
        </w:rPr>
        <w:t>Escuintla tiene registrado el 7.24% del total de la inversión vigente (Q1,057.65 millones) para 324 proyectos. De esos, 278 muestran ejecución y según sector y tipología de los proyectos los más relevantes son: transporte 88 proyectos (10 para infraestructura aeroportuaria, 49 para infraestructura de calles, 3 para carreteras, 5 para puentes vehiculares, 1 para muro perimetral,11 para caminos rurales, 1 para señalizadores viales, 3 para carretera de terracería y 5 de apoyo para el sector</w:t>
      </w:r>
      <w:bookmarkStart w:id="118" w:name="_Hlk113213060"/>
      <w:r w:rsidRPr="007A6B50">
        <w:rPr>
          <w:rFonts w:cstheme="minorHAnsi"/>
          <w:sz w:val="24"/>
          <w:szCs w:val="24"/>
        </w:rPr>
        <w:t xml:space="preserve">); 33 proyectos en infraestructura de agua y saneamiento (19 para sistema de agua potable, 4 para sistema de aguas pluviales, 3 para sistema de tratamiento aguas residuales, 7 para sistema de alcantarillado sanitario, </w:t>
      </w:r>
      <w:bookmarkEnd w:id="118"/>
      <w:r w:rsidRPr="007A6B50">
        <w:rPr>
          <w:rFonts w:cstheme="minorHAnsi"/>
          <w:sz w:val="24"/>
          <w:szCs w:val="24"/>
        </w:rPr>
        <w:t>44 para infraestructura en educación (15 para escuelas de educación primaria, 2 escuela bicentenario, 1 para biblioteca, 4 para institutos de educación básica, 2 para institutos de educación diversificada, 1 escuela de educación preprimaria, 1 para educación universitaria y 18 para otras tipologías afines al sector); 16 proyectos en infraestructura para salud y asistencia social (1 para centro de salud,3 para  puestos de salud, 1 para hospital, 2 para cementerios, 1 para edificios y 8 para otras tipologías afines al sector); 8 proyectos para infraestructura de desarrollo urbano y rural (2 para urbanización, 1 para parque, 6 para calle, 3 para mercados, 1 para banqueta peatonal y 1 para salón).</w:t>
      </w:r>
    </w:p>
    <w:p w14:paraId="08659A64" w14:textId="77777777" w:rsidR="0009174B" w:rsidRPr="007A6B50" w:rsidRDefault="0009174B" w:rsidP="005A771F">
      <w:pPr>
        <w:numPr>
          <w:ilvl w:val="0"/>
          <w:numId w:val="25"/>
        </w:numPr>
        <w:spacing w:before="120" w:after="120" w:line="240" w:lineRule="auto"/>
        <w:ind w:left="714" w:hanging="357"/>
        <w:jc w:val="both"/>
        <w:rPr>
          <w:rFonts w:cstheme="minorHAnsi"/>
          <w:sz w:val="24"/>
          <w:szCs w:val="24"/>
        </w:rPr>
      </w:pPr>
      <w:r w:rsidRPr="007A6B50">
        <w:rPr>
          <w:rFonts w:cstheme="minorHAnsi"/>
          <w:sz w:val="24"/>
          <w:szCs w:val="24"/>
        </w:rPr>
        <w:t xml:space="preserve">El Quiché, tiene registrado el 6.50% del total de la inversión vigente (Q949.62 millones) para 649 proyectos; de estos, 474 proyectos muestran ejecución. Según sector y tipología de los proyectos los más relevantes que registraron ejecución son: transporte 178 proyectos (13 para infraestructura de carreteras, 101 para caminos rurales, 54 para calles, 3 para carreteras de terracería, 4 para puente vehicular y 3 para otras tipologías afines al sector); 80 proyectos en infraestructura de agua y saneamiento (47 para sistema de agua potable, 16 para pozos, 6 sistema de tratamiento aguas residuales, 10 sistema de alcantarillado sanitario  y  1 para sistema de tratamiento de desechos sólidos); </w:t>
      </w:r>
      <w:r w:rsidRPr="007A6B50">
        <w:rPr>
          <w:rFonts w:cstheme="minorHAnsi"/>
          <w:sz w:val="24"/>
          <w:szCs w:val="24"/>
        </w:rPr>
        <w:tab/>
        <w:t>97 para infraestructura en educación (67 para escuelas de educación primaria, 5 para institutos de educación básica, 2 instituto de educación diversificada y tecnológica, 1 para centro universitario, 2 para escuelas de educación preprimaria, 1 para centro de capacitación, 1 para instalaciones deportivas y 18 para otras tipologías afines al sector); 22 proyectos en infraestructura para salud y asistencia social (3 para centros de atención permanente (CAP), 5 para edificios, 6 para  puestos de salud, 1 para centro de salud, 2 para cementerio,1 para hospital y 4 para otras tipologías afines al sector); 8 proyectos para infraestructura del sector de desarrollo urbano y rural (2 para parques, 2 para muros de contención, 3 para mercados y 1 para salón).</w:t>
      </w:r>
    </w:p>
    <w:p w14:paraId="4F374BF4" w14:textId="1769BCBD" w:rsidR="004B159C" w:rsidRPr="007A6B50" w:rsidRDefault="004B159C" w:rsidP="005134C1">
      <w:pPr>
        <w:spacing w:after="0" w:line="240" w:lineRule="auto"/>
        <w:jc w:val="both"/>
        <w:rPr>
          <w:rFonts w:cstheme="minorHAnsi"/>
          <w:sz w:val="24"/>
          <w:szCs w:val="24"/>
        </w:rPr>
      </w:pPr>
    </w:p>
    <w:p w14:paraId="2C24A2BC" w14:textId="74D2C373" w:rsidR="004B159C" w:rsidRDefault="004B159C" w:rsidP="005134C1">
      <w:pPr>
        <w:spacing w:after="0" w:line="240" w:lineRule="auto"/>
        <w:jc w:val="both"/>
        <w:rPr>
          <w:rFonts w:cstheme="minorHAnsi"/>
          <w:sz w:val="24"/>
          <w:szCs w:val="24"/>
        </w:rPr>
      </w:pPr>
    </w:p>
    <w:p w14:paraId="54A10498" w14:textId="403A11C3" w:rsidR="0093034A" w:rsidRDefault="0093034A" w:rsidP="005134C1">
      <w:pPr>
        <w:spacing w:after="0" w:line="240" w:lineRule="auto"/>
        <w:jc w:val="both"/>
        <w:rPr>
          <w:rFonts w:cstheme="minorHAnsi"/>
          <w:sz w:val="24"/>
          <w:szCs w:val="24"/>
        </w:rPr>
      </w:pPr>
    </w:p>
    <w:p w14:paraId="0EC837D1" w14:textId="3211F577" w:rsidR="0093034A" w:rsidRDefault="0093034A" w:rsidP="005134C1">
      <w:pPr>
        <w:spacing w:after="0" w:line="240" w:lineRule="auto"/>
        <w:jc w:val="both"/>
        <w:rPr>
          <w:rFonts w:cstheme="minorHAnsi"/>
          <w:sz w:val="24"/>
          <w:szCs w:val="24"/>
        </w:rPr>
      </w:pPr>
    </w:p>
    <w:p w14:paraId="760293F8" w14:textId="5BF384B5" w:rsidR="0093034A" w:rsidRDefault="0093034A" w:rsidP="005134C1">
      <w:pPr>
        <w:spacing w:after="0" w:line="240" w:lineRule="auto"/>
        <w:jc w:val="both"/>
        <w:rPr>
          <w:rFonts w:cstheme="minorHAnsi"/>
          <w:sz w:val="24"/>
          <w:szCs w:val="24"/>
        </w:rPr>
      </w:pPr>
    </w:p>
    <w:p w14:paraId="2836F816" w14:textId="5FD81FC9" w:rsidR="0093034A" w:rsidRDefault="0093034A" w:rsidP="005134C1">
      <w:pPr>
        <w:spacing w:after="0" w:line="240" w:lineRule="auto"/>
        <w:jc w:val="both"/>
        <w:rPr>
          <w:rFonts w:cstheme="minorHAnsi"/>
          <w:sz w:val="24"/>
          <w:szCs w:val="24"/>
        </w:rPr>
      </w:pPr>
    </w:p>
    <w:p w14:paraId="014839EA" w14:textId="4AE27BF5" w:rsidR="0093034A" w:rsidRDefault="0093034A" w:rsidP="005134C1">
      <w:pPr>
        <w:spacing w:after="0" w:line="240" w:lineRule="auto"/>
        <w:jc w:val="both"/>
        <w:rPr>
          <w:rFonts w:cstheme="minorHAnsi"/>
          <w:sz w:val="24"/>
          <w:szCs w:val="24"/>
        </w:rPr>
      </w:pPr>
    </w:p>
    <w:p w14:paraId="6DBA3773" w14:textId="1BEE2D17" w:rsidR="0093034A" w:rsidRDefault="0093034A" w:rsidP="005134C1">
      <w:pPr>
        <w:spacing w:after="0" w:line="240" w:lineRule="auto"/>
        <w:jc w:val="both"/>
        <w:rPr>
          <w:rFonts w:cstheme="minorHAnsi"/>
          <w:sz w:val="24"/>
          <w:szCs w:val="24"/>
        </w:rPr>
      </w:pPr>
    </w:p>
    <w:p w14:paraId="1B449E01" w14:textId="326E4D41" w:rsidR="0093034A" w:rsidRDefault="0093034A" w:rsidP="005134C1">
      <w:pPr>
        <w:spacing w:after="0" w:line="240" w:lineRule="auto"/>
        <w:jc w:val="both"/>
        <w:rPr>
          <w:rFonts w:cstheme="minorHAnsi"/>
          <w:sz w:val="24"/>
          <w:szCs w:val="24"/>
        </w:rPr>
      </w:pPr>
    </w:p>
    <w:p w14:paraId="4C9675A1" w14:textId="432B721C" w:rsidR="0093034A" w:rsidRDefault="0093034A" w:rsidP="005134C1">
      <w:pPr>
        <w:spacing w:after="0" w:line="240" w:lineRule="auto"/>
        <w:jc w:val="both"/>
        <w:rPr>
          <w:rFonts w:cstheme="minorHAnsi"/>
          <w:sz w:val="24"/>
          <w:szCs w:val="24"/>
        </w:rPr>
      </w:pPr>
    </w:p>
    <w:p w14:paraId="74C58717" w14:textId="58DC8546" w:rsidR="0093034A" w:rsidRDefault="0093034A" w:rsidP="005134C1">
      <w:pPr>
        <w:spacing w:after="0" w:line="240" w:lineRule="auto"/>
        <w:jc w:val="both"/>
        <w:rPr>
          <w:rFonts w:cstheme="minorHAnsi"/>
          <w:sz w:val="24"/>
          <w:szCs w:val="24"/>
        </w:rPr>
      </w:pPr>
    </w:p>
    <w:p w14:paraId="1EF1BB74" w14:textId="3AB10FA2" w:rsidR="0093034A" w:rsidRDefault="0093034A" w:rsidP="005134C1">
      <w:pPr>
        <w:spacing w:after="0" w:line="240" w:lineRule="auto"/>
        <w:jc w:val="both"/>
        <w:rPr>
          <w:rFonts w:cstheme="minorHAnsi"/>
          <w:sz w:val="24"/>
          <w:szCs w:val="24"/>
        </w:rPr>
      </w:pPr>
    </w:p>
    <w:p w14:paraId="35B1800F" w14:textId="758AA0DA" w:rsidR="0093034A" w:rsidRDefault="0093034A" w:rsidP="005134C1">
      <w:pPr>
        <w:spacing w:after="0" w:line="240" w:lineRule="auto"/>
        <w:jc w:val="both"/>
        <w:rPr>
          <w:rFonts w:cstheme="minorHAnsi"/>
          <w:sz w:val="24"/>
          <w:szCs w:val="24"/>
        </w:rPr>
      </w:pPr>
    </w:p>
    <w:p w14:paraId="6249D07E" w14:textId="44D05102" w:rsidR="0093034A" w:rsidRDefault="0093034A" w:rsidP="005134C1">
      <w:pPr>
        <w:spacing w:after="0" w:line="240" w:lineRule="auto"/>
        <w:jc w:val="both"/>
        <w:rPr>
          <w:rFonts w:cstheme="minorHAnsi"/>
          <w:sz w:val="24"/>
          <w:szCs w:val="24"/>
        </w:rPr>
      </w:pPr>
    </w:p>
    <w:p w14:paraId="06C08E66" w14:textId="77777777" w:rsidR="0093034A" w:rsidRPr="007A6B50" w:rsidRDefault="0093034A" w:rsidP="005134C1">
      <w:pPr>
        <w:spacing w:after="0" w:line="240" w:lineRule="auto"/>
        <w:jc w:val="both"/>
        <w:rPr>
          <w:rFonts w:cstheme="minorHAnsi"/>
          <w:sz w:val="24"/>
          <w:szCs w:val="24"/>
        </w:rPr>
      </w:pPr>
    </w:p>
    <w:p w14:paraId="208B43CA" w14:textId="19B453C2" w:rsidR="004B159C" w:rsidRPr="007A6B50" w:rsidRDefault="004B159C" w:rsidP="005134C1">
      <w:pPr>
        <w:spacing w:after="0" w:line="240" w:lineRule="auto"/>
        <w:jc w:val="both"/>
        <w:rPr>
          <w:rFonts w:cstheme="minorHAnsi"/>
          <w:sz w:val="24"/>
          <w:szCs w:val="24"/>
        </w:rPr>
      </w:pPr>
    </w:p>
    <w:p w14:paraId="35FDF5DF" w14:textId="6ACE2EEC" w:rsidR="004B159C" w:rsidRPr="007A6B50" w:rsidRDefault="004B159C" w:rsidP="005134C1">
      <w:pPr>
        <w:spacing w:after="0" w:line="240" w:lineRule="auto"/>
        <w:jc w:val="both"/>
        <w:rPr>
          <w:rFonts w:cstheme="minorHAnsi"/>
          <w:sz w:val="24"/>
          <w:szCs w:val="24"/>
        </w:rPr>
      </w:pPr>
    </w:p>
    <w:p w14:paraId="02EAF572" w14:textId="0AD6C480" w:rsidR="004B159C" w:rsidRPr="007A6B50" w:rsidRDefault="004B159C" w:rsidP="005134C1">
      <w:pPr>
        <w:spacing w:after="0" w:line="240" w:lineRule="auto"/>
        <w:jc w:val="both"/>
        <w:rPr>
          <w:rFonts w:cstheme="minorHAnsi"/>
          <w:sz w:val="24"/>
          <w:szCs w:val="24"/>
        </w:rPr>
      </w:pPr>
    </w:p>
    <w:p w14:paraId="54F7A557" w14:textId="4C4C3D45" w:rsidR="00F85BD4" w:rsidRPr="007A6B50" w:rsidRDefault="72A5A7BC" w:rsidP="00F07855">
      <w:pPr>
        <w:pStyle w:val="Ttulo1"/>
        <w:numPr>
          <w:ilvl w:val="0"/>
          <w:numId w:val="105"/>
        </w:numPr>
        <w:ind w:left="284"/>
        <w:jc w:val="both"/>
        <w:rPr>
          <w:rFonts w:asciiTheme="minorHAnsi" w:hAnsiTheme="minorHAnsi" w:cstheme="minorHAnsi"/>
        </w:rPr>
      </w:pPr>
      <w:bookmarkStart w:id="119" w:name="_Toc130301110"/>
      <w:r w:rsidRPr="007A6B50">
        <w:rPr>
          <w:rFonts w:asciiTheme="minorHAnsi" w:hAnsiTheme="minorHAnsi" w:cstheme="minorHAnsi"/>
        </w:rPr>
        <w:t>Avance de metas y cumplimiento de la calidad del gasto de la cooperación internacional no reembolsable</w:t>
      </w:r>
      <w:bookmarkEnd w:id="112"/>
      <w:bookmarkEnd w:id="119"/>
    </w:p>
    <w:p w14:paraId="11570428" w14:textId="4385FE7B" w:rsidR="00CE3D5C" w:rsidRPr="007A6B50" w:rsidRDefault="00CE3D5C" w:rsidP="008341A8">
      <w:pPr>
        <w:spacing w:before="120" w:after="120" w:line="240" w:lineRule="auto"/>
        <w:jc w:val="both"/>
        <w:rPr>
          <w:rFonts w:cstheme="minorHAnsi"/>
          <w:sz w:val="24"/>
          <w:szCs w:val="24"/>
        </w:rPr>
      </w:pPr>
      <w:bookmarkStart w:id="120" w:name="_Toc17812378"/>
      <w:bookmarkStart w:id="121" w:name="_Toc17877697"/>
      <w:bookmarkStart w:id="122" w:name="_Toc17878275"/>
      <w:bookmarkStart w:id="123" w:name="_Toc17878411"/>
      <w:bookmarkStart w:id="124" w:name="_Toc17878462"/>
      <w:bookmarkStart w:id="125" w:name="_Toc17882702"/>
      <w:bookmarkStart w:id="126" w:name="_Toc19519203"/>
      <w:bookmarkStart w:id="127" w:name="_Toc66379898"/>
      <w:bookmarkEnd w:id="120"/>
      <w:bookmarkEnd w:id="121"/>
      <w:bookmarkEnd w:id="122"/>
      <w:bookmarkEnd w:id="123"/>
      <w:bookmarkEnd w:id="124"/>
      <w:bookmarkEnd w:id="125"/>
      <w:bookmarkEnd w:id="126"/>
      <w:r w:rsidRPr="007A6B50">
        <w:rPr>
          <w:rFonts w:cstheme="minorHAnsi"/>
          <w:sz w:val="24"/>
          <w:szCs w:val="24"/>
        </w:rPr>
        <w:t xml:space="preserve">La asignación presupuestaria aprobada para las donaciones externas para el año </w:t>
      </w:r>
      <w:r w:rsidR="00BD1BD3" w:rsidRPr="007A6B50">
        <w:rPr>
          <w:rFonts w:cstheme="minorHAnsi"/>
          <w:sz w:val="24"/>
          <w:szCs w:val="24"/>
        </w:rPr>
        <w:t>2022</w:t>
      </w:r>
      <w:r w:rsidRPr="007A6B50">
        <w:rPr>
          <w:rFonts w:cstheme="minorHAnsi"/>
          <w:sz w:val="24"/>
          <w:szCs w:val="24"/>
        </w:rPr>
        <w:t xml:space="preserve"> correspondiente a instituciones de gobierno central </w:t>
      </w:r>
      <w:r w:rsidR="00C07B85" w:rsidRPr="007A6B50">
        <w:rPr>
          <w:rFonts w:cstheme="minorHAnsi"/>
          <w:sz w:val="24"/>
          <w:szCs w:val="24"/>
        </w:rPr>
        <w:t>fueron</w:t>
      </w:r>
      <w:r w:rsidRPr="007A6B50">
        <w:rPr>
          <w:rFonts w:cstheme="minorHAnsi"/>
          <w:sz w:val="24"/>
          <w:szCs w:val="24"/>
        </w:rPr>
        <w:t xml:space="preserve"> de Q.2</w:t>
      </w:r>
      <w:r w:rsidR="00C25A92" w:rsidRPr="007A6B50">
        <w:rPr>
          <w:rFonts w:cstheme="minorHAnsi"/>
          <w:sz w:val="24"/>
          <w:szCs w:val="24"/>
        </w:rPr>
        <w:t>25.77</w:t>
      </w:r>
      <w:r w:rsidRPr="007A6B50">
        <w:rPr>
          <w:rFonts w:cstheme="minorHAnsi"/>
          <w:sz w:val="24"/>
          <w:szCs w:val="24"/>
        </w:rPr>
        <w:t xml:space="preserve"> millones y Q.1</w:t>
      </w:r>
      <w:r w:rsidR="00365C67" w:rsidRPr="007A6B50">
        <w:rPr>
          <w:rFonts w:cstheme="minorHAnsi"/>
          <w:sz w:val="24"/>
          <w:szCs w:val="24"/>
        </w:rPr>
        <w:t>55</w:t>
      </w:r>
      <w:r w:rsidR="00C07B85" w:rsidRPr="007A6B50">
        <w:rPr>
          <w:rFonts w:cstheme="minorHAnsi"/>
          <w:sz w:val="24"/>
          <w:szCs w:val="24"/>
        </w:rPr>
        <w:t>.</w:t>
      </w:r>
      <w:r w:rsidR="00365C67" w:rsidRPr="007A6B50">
        <w:rPr>
          <w:rFonts w:cstheme="minorHAnsi"/>
          <w:sz w:val="24"/>
          <w:szCs w:val="24"/>
        </w:rPr>
        <w:t>77</w:t>
      </w:r>
      <w:r w:rsidRPr="007A6B50">
        <w:rPr>
          <w:rFonts w:cstheme="minorHAnsi"/>
          <w:sz w:val="24"/>
          <w:szCs w:val="24"/>
        </w:rPr>
        <w:t xml:space="preserve"> millones para entidades descentralizadas, para un total de Q.</w:t>
      </w:r>
      <w:r w:rsidR="00C07B85" w:rsidRPr="007A6B50">
        <w:rPr>
          <w:rFonts w:cstheme="minorHAnsi"/>
          <w:sz w:val="24"/>
          <w:szCs w:val="24"/>
        </w:rPr>
        <w:t>38</w:t>
      </w:r>
      <w:r w:rsidR="00AD4792" w:rsidRPr="007A6B50">
        <w:rPr>
          <w:rFonts w:cstheme="minorHAnsi"/>
          <w:sz w:val="24"/>
          <w:szCs w:val="24"/>
        </w:rPr>
        <w:t>1</w:t>
      </w:r>
      <w:r w:rsidR="00C07B85" w:rsidRPr="007A6B50">
        <w:rPr>
          <w:rFonts w:cstheme="minorHAnsi"/>
          <w:sz w:val="24"/>
          <w:szCs w:val="24"/>
        </w:rPr>
        <w:t>.</w:t>
      </w:r>
      <w:r w:rsidR="00AD4792" w:rsidRPr="007A6B50">
        <w:rPr>
          <w:rFonts w:cstheme="minorHAnsi"/>
          <w:sz w:val="24"/>
          <w:szCs w:val="24"/>
        </w:rPr>
        <w:t>54</w:t>
      </w:r>
      <w:r w:rsidRPr="007A6B50">
        <w:rPr>
          <w:rFonts w:cstheme="minorHAnsi"/>
          <w:sz w:val="24"/>
          <w:szCs w:val="24"/>
        </w:rPr>
        <w:t xml:space="preserve"> millones. Al cierre del mes de diciembre, las modificaciones presupuestarias a dicho presupuesto </w:t>
      </w:r>
      <w:r w:rsidR="003756C9" w:rsidRPr="007A6B50">
        <w:rPr>
          <w:rFonts w:cstheme="minorHAnsi"/>
          <w:sz w:val="24"/>
          <w:szCs w:val="24"/>
        </w:rPr>
        <w:t xml:space="preserve">aumentaron </w:t>
      </w:r>
      <w:r w:rsidR="00CB1C4C" w:rsidRPr="007A6B50">
        <w:rPr>
          <w:rFonts w:cstheme="minorHAnsi"/>
          <w:sz w:val="24"/>
          <w:szCs w:val="24"/>
        </w:rPr>
        <w:t xml:space="preserve">en Q3.43 </w:t>
      </w:r>
      <w:r w:rsidRPr="007A6B50">
        <w:rPr>
          <w:rFonts w:cstheme="minorHAnsi"/>
          <w:sz w:val="24"/>
          <w:szCs w:val="24"/>
        </w:rPr>
        <w:t xml:space="preserve">para las entidades de Gobierno Central, y lo </w:t>
      </w:r>
      <w:r w:rsidR="00C07B85" w:rsidRPr="007A6B50">
        <w:rPr>
          <w:rFonts w:cstheme="minorHAnsi"/>
          <w:sz w:val="24"/>
          <w:szCs w:val="24"/>
        </w:rPr>
        <w:t>aumentan en</w:t>
      </w:r>
      <w:r w:rsidRPr="007A6B50">
        <w:rPr>
          <w:rFonts w:cstheme="minorHAnsi"/>
          <w:sz w:val="24"/>
          <w:szCs w:val="24"/>
        </w:rPr>
        <w:t xml:space="preserve"> Q.</w:t>
      </w:r>
      <w:r w:rsidR="00ED6767" w:rsidRPr="007A6B50">
        <w:rPr>
          <w:rFonts w:cstheme="minorHAnsi"/>
          <w:sz w:val="24"/>
          <w:szCs w:val="24"/>
        </w:rPr>
        <w:t>59</w:t>
      </w:r>
      <w:r w:rsidRPr="007A6B50">
        <w:rPr>
          <w:rFonts w:cstheme="minorHAnsi"/>
          <w:sz w:val="24"/>
          <w:szCs w:val="24"/>
        </w:rPr>
        <w:t>.</w:t>
      </w:r>
      <w:r w:rsidR="00ED6767" w:rsidRPr="007A6B50">
        <w:rPr>
          <w:rFonts w:cstheme="minorHAnsi"/>
          <w:sz w:val="24"/>
          <w:szCs w:val="24"/>
        </w:rPr>
        <w:t>50</w:t>
      </w:r>
      <w:r w:rsidRPr="007A6B50">
        <w:rPr>
          <w:rFonts w:cstheme="minorHAnsi"/>
          <w:sz w:val="24"/>
          <w:szCs w:val="24"/>
        </w:rPr>
        <w:t xml:space="preserve"> millones para las entidades descentralizadas.</w:t>
      </w:r>
      <w:r w:rsidR="00217A77" w:rsidRPr="007A6B50">
        <w:rPr>
          <w:rFonts w:cstheme="minorHAnsi"/>
          <w:sz w:val="24"/>
          <w:szCs w:val="24"/>
        </w:rPr>
        <w:t xml:space="preserve"> </w:t>
      </w:r>
      <w:r w:rsidRPr="007A6B50">
        <w:rPr>
          <w:rFonts w:cstheme="minorHAnsi"/>
          <w:sz w:val="24"/>
          <w:szCs w:val="24"/>
        </w:rPr>
        <w:t>Estas modificaciones dejan un presupuesto vigente de Q.</w:t>
      </w:r>
      <w:r w:rsidR="00217A77" w:rsidRPr="007A6B50">
        <w:rPr>
          <w:rFonts w:cstheme="minorHAnsi"/>
          <w:sz w:val="24"/>
          <w:szCs w:val="24"/>
        </w:rPr>
        <w:t>229</w:t>
      </w:r>
      <w:r w:rsidR="00C35883" w:rsidRPr="007A6B50">
        <w:rPr>
          <w:rFonts w:cstheme="minorHAnsi"/>
          <w:sz w:val="24"/>
          <w:szCs w:val="24"/>
        </w:rPr>
        <w:t>.20</w:t>
      </w:r>
      <w:r w:rsidRPr="007A6B50">
        <w:rPr>
          <w:rFonts w:cstheme="minorHAnsi"/>
          <w:sz w:val="24"/>
          <w:szCs w:val="24"/>
        </w:rPr>
        <w:t xml:space="preserve"> millones para gobierno central y de Q.</w:t>
      </w:r>
      <w:r w:rsidR="00C07B85" w:rsidRPr="007A6B50">
        <w:rPr>
          <w:rFonts w:cstheme="minorHAnsi"/>
          <w:sz w:val="24"/>
          <w:szCs w:val="24"/>
        </w:rPr>
        <w:t>2</w:t>
      </w:r>
      <w:r w:rsidR="00C35883" w:rsidRPr="007A6B50">
        <w:rPr>
          <w:rFonts w:cstheme="minorHAnsi"/>
          <w:sz w:val="24"/>
          <w:szCs w:val="24"/>
        </w:rPr>
        <w:t>15</w:t>
      </w:r>
      <w:r w:rsidRPr="007A6B50">
        <w:rPr>
          <w:rFonts w:cstheme="minorHAnsi"/>
          <w:sz w:val="24"/>
          <w:szCs w:val="24"/>
        </w:rPr>
        <w:t>.</w:t>
      </w:r>
      <w:r w:rsidR="00C35883" w:rsidRPr="007A6B50">
        <w:rPr>
          <w:rFonts w:cstheme="minorHAnsi"/>
          <w:sz w:val="24"/>
          <w:szCs w:val="24"/>
        </w:rPr>
        <w:t>28</w:t>
      </w:r>
      <w:r w:rsidRPr="007A6B50">
        <w:rPr>
          <w:rFonts w:cstheme="minorHAnsi"/>
          <w:sz w:val="24"/>
          <w:szCs w:val="24"/>
        </w:rPr>
        <w:t xml:space="preserve"> millones para entidades descentralizadas.</w:t>
      </w:r>
    </w:p>
    <w:p w14:paraId="52471DB0" w14:textId="4354D94E" w:rsidR="00CE3D5C" w:rsidRPr="007A6B50" w:rsidRDefault="00CE3D5C" w:rsidP="008341A8">
      <w:pPr>
        <w:spacing w:before="120" w:after="120" w:line="240" w:lineRule="auto"/>
        <w:jc w:val="both"/>
        <w:rPr>
          <w:rFonts w:cstheme="minorHAnsi"/>
          <w:sz w:val="24"/>
          <w:szCs w:val="24"/>
        </w:rPr>
      </w:pPr>
      <w:r w:rsidRPr="007A6B50">
        <w:rPr>
          <w:rFonts w:cstheme="minorHAnsi"/>
          <w:sz w:val="24"/>
          <w:szCs w:val="24"/>
        </w:rPr>
        <w:t xml:space="preserve">La ejecución acumulada al 31 de diciembre del </w:t>
      </w:r>
      <w:r w:rsidR="00BD1BD3" w:rsidRPr="007A6B50">
        <w:rPr>
          <w:rFonts w:cstheme="minorHAnsi"/>
          <w:sz w:val="24"/>
          <w:szCs w:val="24"/>
        </w:rPr>
        <w:t>2022</w:t>
      </w:r>
      <w:r w:rsidRPr="007A6B50">
        <w:rPr>
          <w:rFonts w:cstheme="minorHAnsi"/>
          <w:sz w:val="24"/>
          <w:szCs w:val="24"/>
        </w:rPr>
        <w:t xml:space="preserve"> asc</w:t>
      </w:r>
      <w:r w:rsidR="00C07B85" w:rsidRPr="007A6B50">
        <w:rPr>
          <w:rFonts w:cstheme="minorHAnsi"/>
          <w:sz w:val="24"/>
          <w:szCs w:val="24"/>
        </w:rPr>
        <w:t>endió</w:t>
      </w:r>
      <w:r w:rsidRPr="007A6B50">
        <w:rPr>
          <w:rFonts w:cstheme="minorHAnsi"/>
          <w:sz w:val="24"/>
          <w:szCs w:val="24"/>
        </w:rPr>
        <w:t xml:space="preserve"> a Q.</w:t>
      </w:r>
      <w:r w:rsidRPr="007A6B50">
        <w:rPr>
          <w:rFonts w:cstheme="minorHAnsi"/>
          <w:sz w:val="24"/>
          <w:szCs w:val="24"/>
        </w:rPr>
        <w:fldChar w:fldCharType="begin"/>
      </w:r>
      <w:r w:rsidRPr="007A6B50">
        <w:rPr>
          <w:rFonts w:cstheme="minorHAnsi"/>
          <w:sz w:val="24"/>
          <w:szCs w:val="24"/>
        </w:rPr>
        <w:instrText xml:space="preserve"> LINK Excel.Sheet.12 "M:\\Jairon Garcia\\Escritorio\\INFORME DEL CONGRESO\\05 Mayo\\190301 Cuadros para informe abril 2019.xlsx" "Consolidado !F13C4" \a \f 5 \h  \* MERGEFORMAT </w:instrText>
      </w:r>
      <w:r w:rsidRPr="007A6B50">
        <w:rPr>
          <w:rFonts w:cstheme="minorHAnsi"/>
          <w:sz w:val="24"/>
          <w:szCs w:val="24"/>
        </w:rPr>
        <w:fldChar w:fldCharType="separate"/>
      </w:r>
      <w:r w:rsidRPr="007A6B50">
        <w:rPr>
          <w:rFonts w:cstheme="minorHAnsi"/>
          <w:sz w:val="24"/>
          <w:szCs w:val="24"/>
        </w:rPr>
        <w:t xml:space="preserve"> </w:t>
      </w:r>
      <w:r w:rsidR="00C35883" w:rsidRPr="007A6B50">
        <w:rPr>
          <w:rFonts w:cstheme="minorHAnsi"/>
          <w:sz w:val="24"/>
          <w:szCs w:val="24"/>
        </w:rPr>
        <w:t>338.18</w:t>
      </w:r>
      <w:r w:rsidRPr="007A6B50">
        <w:rPr>
          <w:rFonts w:cstheme="minorHAnsi"/>
          <w:sz w:val="24"/>
          <w:szCs w:val="24"/>
        </w:rPr>
        <w:t xml:space="preserve"> </w:t>
      </w:r>
      <w:r w:rsidRPr="007A6B50">
        <w:rPr>
          <w:rFonts w:cstheme="minorHAnsi"/>
          <w:sz w:val="24"/>
          <w:szCs w:val="24"/>
        </w:rPr>
        <w:fldChar w:fldCharType="end"/>
      </w:r>
      <w:r w:rsidRPr="007A6B50">
        <w:rPr>
          <w:rFonts w:cstheme="minorHAnsi"/>
          <w:sz w:val="24"/>
          <w:szCs w:val="24"/>
        </w:rPr>
        <w:t xml:space="preserve">millones, equivalentes a un </w:t>
      </w:r>
      <w:r w:rsidR="00C35883" w:rsidRPr="007A6B50">
        <w:rPr>
          <w:rFonts w:cstheme="minorHAnsi"/>
          <w:sz w:val="24"/>
          <w:szCs w:val="24"/>
        </w:rPr>
        <w:t>76.09</w:t>
      </w:r>
      <w:r w:rsidRPr="007A6B50">
        <w:rPr>
          <w:rFonts w:cstheme="minorHAnsi"/>
          <w:sz w:val="24"/>
          <w:szCs w:val="24"/>
        </w:rPr>
        <w:t>% promedio respecto al presupuesto vigente (Gobierno Central y Descentralizadas).  La ejecución acumulada de las instituciones de gobierno central asciende a Q.</w:t>
      </w:r>
      <w:r w:rsidR="002E2FBB" w:rsidRPr="007A6B50">
        <w:rPr>
          <w:rFonts w:cstheme="minorHAnsi"/>
          <w:sz w:val="24"/>
          <w:szCs w:val="24"/>
        </w:rPr>
        <w:t>203.54</w:t>
      </w:r>
      <w:r w:rsidRPr="007A6B50">
        <w:rPr>
          <w:rFonts w:cstheme="minorHAnsi"/>
          <w:sz w:val="24"/>
          <w:szCs w:val="24"/>
        </w:rPr>
        <w:t xml:space="preserve"> millones equivalentes a un </w:t>
      </w:r>
      <w:r w:rsidR="002E2FBB" w:rsidRPr="007A6B50">
        <w:rPr>
          <w:rFonts w:cstheme="minorHAnsi"/>
          <w:sz w:val="24"/>
          <w:szCs w:val="24"/>
        </w:rPr>
        <w:t>88.80</w:t>
      </w:r>
      <w:r w:rsidRPr="007A6B50">
        <w:rPr>
          <w:rFonts w:eastAsia="Times New Roman" w:cstheme="minorHAnsi"/>
          <w:sz w:val="24"/>
          <w:szCs w:val="24"/>
        </w:rPr>
        <w:t xml:space="preserve">% </w:t>
      </w:r>
      <w:r w:rsidRPr="007A6B50">
        <w:rPr>
          <w:rFonts w:cstheme="minorHAnsi"/>
          <w:sz w:val="24"/>
          <w:szCs w:val="24"/>
        </w:rPr>
        <w:t xml:space="preserve">de su presupuesto vigente.  Asimismo, el presupuesto para entidades descentralizadas reporta una ejecución acumulada al 31 de diciembre de </w:t>
      </w:r>
      <w:r w:rsidR="00BD1BD3" w:rsidRPr="007A6B50">
        <w:rPr>
          <w:rFonts w:cstheme="minorHAnsi"/>
          <w:sz w:val="24"/>
          <w:szCs w:val="24"/>
        </w:rPr>
        <w:t>2022</w:t>
      </w:r>
      <w:r w:rsidRPr="007A6B50">
        <w:rPr>
          <w:rFonts w:cstheme="minorHAnsi"/>
          <w:sz w:val="24"/>
          <w:szCs w:val="24"/>
        </w:rPr>
        <w:t xml:space="preserve"> de Q.</w:t>
      </w:r>
      <w:r w:rsidR="00C07B85" w:rsidRPr="007A6B50">
        <w:rPr>
          <w:rFonts w:cstheme="minorHAnsi"/>
          <w:sz w:val="24"/>
          <w:szCs w:val="24"/>
        </w:rPr>
        <w:t>134.</w:t>
      </w:r>
      <w:r w:rsidR="009C48C4" w:rsidRPr="007A6B50">
        <w:rPr>
          <w:rFonts w:cstheme="minorHAnsi"/>
          <w:sz w:val="24"/>
          <w:szCs w:val="24"/>
        </w:rPr>
        <w:t>64</w:t>
      </w:r>
      <w:r w:rsidRPr="007A6B50">
        <w:rPr>
          <w:rFonts w:eastAsia="Times New Roman" w:cstheme="minorHAnsi"/>
          <w:sz w:val="24"/>
          <w:szCs w:val="24"/>
        </w:rPr>
        <w:t xml:space="preserve"> </w:t>
      </w:r>
      <w:r w:rsidRPr="007A6B50">
        <w:rPr>
          <w:rFonts w:cstheme="minorHAnsi"/>
          <w:sz w:val="24"/>
          <w:szCs w:val="24"/>
        </w:rPr>
        <w:t xml:space="preserve">millones, equivalentes a un </w:t>
      </w:r>
      <w:r w:rsidR="0082305E" w:rsidRPr="007A6B50">
        <w:rPr>
          <w:rFonts w:cstheme="minorHAnsi"/>
          <w:sz w:val="24"/>
          <w:szCs w:val="24"/>
        </w:rPr>
        <w:t>6</w:t>
      </w:r>
      <w:r w:rsidR="009C48C4" w:rsidRPr="007A6B50">
        <w:rPr>
          <w:rFonts w:cstheme="minorHAnsi"/>
          <w:sz w:val="24"/>
          <w:szCs w:val="24"/>
        </w:rPr>
        <w:t>2.54</w:t>
      </w:r>
      <w:r w:rsidRPr="007A6B50">
        <w:rPr>
          <w:rFonts w:eastAsia="Times New Roman" w:cstheme="minorHAnsi"/>
          <w:sz w:val="24"/>
          <w:szCs w:val="24"/>
        </w:rPr>
        <w:t xml:space="preserve">% </w:t>
      </w:r>
      <w:r w:rsidRPr="007A6B50">
        <w:rPr>
          <w:rFonts w:cstheme="minorHAnsi"/>
          <w:sz w:val="24"/>
          <w:szCs w:val="24"/>
        </w:rPr>
        <w:t>de su presupuesto vigente.</w:t>
      </w:r>
    </w:p>
    <w:p w14:paraId="13A1CF55" w14:textId="76A1FB86" w:rsidR="00CE3D5C" w:rsidRPr="007A6B50" w:rsidRDefault="00CE3D5C" w:rsidP="008341A8">
      <w:pPr>
        <w:tabs>
          <w:tab w:val="num" w:pos="360"/>
        </w:tabs>
        <w:spacing w:before="120" w:after="120" w:line="240" w:lineRule="auto"/>
        <w:rPr>
          <w:rFonts w:eastAsiaTheme="majorEastAsia" w:cstheme="minorHAnsi"/>
          <w:b/>
          <w:color w:val="002060"/>
          <w:sz w:val="28"/>
          <w:szCs w:val="28"/>
        </w:rPr>
      </w:pPr>
      <w:bookmarkStart w:id="128" w:name="_Toc31818086"/>
      <w:bookmarkEnd w:id="127"/>
      <w:r w:rsidRPr="007A6B50">
        <w:rPr>
          <w:rFonts w:eastAsiaTheme="majorEastAsia" w:cstheme="minorHAnsi"/>
          <w:b/>
          <w:color w:val="002060"/>
          <w:sz w:val="28"/>
          <w:szCs w:val="28"/>
        </w:rPr>
        <w:t>Presupuesto Donaciones Externas</w:t>
      </w:r>
      <w:bookmarkEnd w:id="128"/>
    </w:p>
    <w:p w14:paraId="5A7C133C" w14:textId="1C2B333C" w:rsidR="00CE3D5C" w:rsidRPr="008341A8" w:rsidRDefault="00CE3D5C" w:rsidP="008341A8">
      <w:pPr>
        <w:spacing w:before="120" w:after="120" w:line="240" w:lineRule="auto"/>
        <w:jc w:val="both"/>
        <w:rPr>
          <w:rFonts w:eastAsia="MS PGothic" w:cstheme="minorHAnsi"/>
          <w:sz w:val="24"/>
          <w:szCs w:val="24"/>
          <w:lang w:eastAsia="es-GT"/>
        </w:rPr>
      </w:pPr>
      <w:r w:rsidRPr="007A6B50">
        <w:rPr>
          <w:rFonts w:eastAsia="MS PGothic" w:cstheme="minorHAnsi"/>
          <w:sz w:val="24"/>
          <w:szCs w:val="24"/>
          <w:lang w:eastAsia="es-GT"/>
        </w:rPr>
        <w:t>La asignación global para la fuente 61 “Donaciones Externas” asciende a Q.</w:t>
      </w:r>
      <w:r w:rsidR="0082305E" w:rsidRPr="007A6B50">
        <w:rPr>
          <w:rFonts w:eastAsia="MS PGothic" w:cstheme="minorHAnsi"/>
          <w:sz w:val="24"/>
          <w:szCs w:val="24"/>
          <w:lang w:eastAsia="es-GT"/>
        </w:rPr>
        <w:t>38</w:t>
      </w:r>
      <w:r w:rsidR="00E7305D" w:rsidRPr="007A6B50">
        <w:rPr>
          <w:rFonts w:eastAsia="MS PGothic" w:cstheme="minorHAnsi"/>
          <w:sz w:val="24"/>
          <w:szCs w:val="24"/>
          <w:lang w:eastAsia="es-GT"/>
        </w:rPr>
        <w:t>1</w:t>
      </w:r>
      <w:r w:rsidR="0082305E" w:rsidRPr="007A6B50">
        <w:rPr>
          <w:rFonts w:eastAsia="MS PGothic" w:cstheme="minorHAnsi"/>
          <w:sz w:val="24"/>
          <w:szCs w:val="24"/>
          <w:lang w:eastAsia="es-GT"/>
        </w:rPr>
        <w:t>.</w:t>
      </w:r>
      <w:r w:rsidR="00E7305D" w:rsidRPr="007A6B50">
        <w:rPr>
          <w:rFonts w:eastAsia="MS PGothic" w:cstheme="minorHAnsi"/>
          <w:sz w:val="24"/>
          <w:szCs w:val="24"/>
          <w:lang w:eastAsia="es-GT"/>
        </w:rPr>
        <w:t>54</w:t>
      </w:r>
      <w:r w:rsidRPr="007A6B50">
        <w:rPr>
          <w:rFonts w:eastAsia="MS PGothic" w:cstheme="minorHAnsi"/>
          <w:sz w:val="24"/>
          <w:szCs w:val="24"/>
          <w:lang w:eastAsia="es-GT"/>
        </w:rPr>
        <w:t xml:space="preserve"> millones.  Al 31 de diciembre de </w:t>
      </w:r>
      <w:r w:rsidR="00BD1BD3" w:rsidRPr="007A6B50">
        <w:rPr>
          <w:rFonts w:eastAsia="MS PGothic" w:cstheme="minorHAnsi"/>
          <w:sz w:val="24"/>
          <w:szCs w:val="24"/>
          <w:lang w:eastAsia="es-GT"/>
        </w:rPr>
        <w:t>2022</w:t>
      </w:r>
      <w:r w:rsidRPr="007A6B50">
        <w:rPr>
          <w:rFonts w:eastAsia="MS PGothic" w:cstheme="minorHAnsi"/>
          <w:sz w:val="24"/>
          <w:szCs w:val="24"/>
          <w:lang w:eastAsia="es-GT"/>
        </w:rPr>
        <w:t xml:space="preserve">, se han realizado modificaciones presupuestarias </w:t>
      </w:r>
      <w:r w:rsidR="0082305E" w:rsidRPr="007A6B50">
        <w:rPr>
          <w:rFonts w:eastAsia="MS PGothic" w:cstheme="minorHAnsi"/>
          <w:sz w:val="24"/>
          <w:szCs w:val="24"/>
          <w:lang w:eastAsia="es-GT"/>
        </w:rPr>
        <w:t xml:space="preserve">neta </w:t>
      </w:r>
      <w:r w:rsidRPr="007A6B50">
        <w:rPr>
          <w:rFonts w:eastAsia="MS PGothic" w:cstheme="minorHAnsi"/>
          <w:sz w:val="24"/>
          <w:szCs w:val="24"/>
          <w:lang w:eastAsia="es-GT"/>
        </w:rPr>
        <w:t>por Q.</w:t>
      </w:r>
      <w:r w:rsidR="0066109C" w:rsidRPr="007A6B50">
        <w:rPr>
          <w:rFonts w:eastAsia="MS PGothic" w:cstheme="minorHAnsi"/>
          <w:sz w:val="24"/>
          <w:szCs w:val="24"/>
          <w:lang w:eastAsia="es-GT"/>
        </w:rPr>
        <w:t>62.93</w:t>
      </w:r>
      <w:r w:rsidRPr="007A6B50">
        <w:rPr>
          <w:rFonts w:eastAsia="MS PGothic" w:cstheme="minorHAnsi"/>
          <w:sz w:val="24"/>
          <w:szCs w:val="24"/>
          <w:lang w:eastAsia="es-GT"/>
        </w:rPr>
        <w:t xml:space="preserve"> millones para contar con un presupuesto vigente de Q.</w:t>
      </w:r>
      <w:r w:rsidR="0066109C" w:rsidRPr="007A6B50">
        <w:rPr>
          <w:rFonts w:eastAsia="MS PGothic" w:cstheme="minorHAnsi"/>
          <w:sz w:val="24"/>
          <w:szCs w:val="24"/>
          <w:lang w:eastAsia="es-GT"/>
        </w:rPr>
        <w:t>444.48</w:t>
      </w:r>
      <w:r w:rsidRPr="007A6B50">
        <w:rPr>
          <w:rFonts w:eastAsia="MS PGothic" w:cstheme="minorHAnsi"/>
          <w:sz w:val="24"/>
          <w:szCs w:val="24"/>
          <w:lang w:eastAsia="es-GT"/>
        </w:rPr>
        <w:t xml:space="preserve"> millones, y una ejecución acumulada promedio de </w:t>
      </w:r>
      <w:r w:rsidR="0066109C" w:rsidRPr="007A6B50">
        <w:rPr>
          <w:rFonts w:eastAsia="MS PGothic" w:cstheme="minorHAnsi"/>
          <w:sz w:val="24"/>
          <w:szCs w:val="24"/>
          <w:lang w:eastAsia="es-GT"/>
        </w:rPr>
        <w:t>76</w:t>
      </w:r>
      <w:r w:rsidR="0082305E" w:rsidRPr="007A6B50">
        <w:rPr>
          <w:rFonts w:eastAsia="MS PGothic" w:cstheme="minorHAnsi"/>
          <w:sz w:val="24"/>
          <w:szCs w:val="24"/>
          <w:lang w:eastAsia="es-GT"/>
        </w:rPr>
        <w:t>.</w:t>
      </w:r>
      <w:r w:rsidR="0066109C" w:rsidRPr="007A6B50">
        <w:rPr>
          <w:rFonts w:eastAsia="MS PGothic" w:cstheme="minorHAnsi"/>
          <w:sz w:val="24"/>
          <w:szCs w:val="24"/>
          <w:lang w:eastAsia="es-GT"/>
        </w:rPr>
        <w:t>09</w:t>
      </w:r>
      <w:r w:rsidRPr="007A6B50">
        <w:rPr>
          <w:rFonts w:eastAsia="MS PGothic" w:cstheme="minorHAnsi"/>
          <w:sz w:val="24"/>
          <w:szCs w:val="24"/>
          <w:lang w:eastAsia="es-GT"/>
        </w:rPr>
        <w:t xml:space="preserve">%, como se observa en </w:t>
      </w:r>
      <w:r w:rsidR="00FC7FBF" w:rsidRPr="007A6B50">
        <w:rPr>
          <w:rFonts w:eastAsia="MS PGothic" w:cstheme="minorHAnsi"/>
          <w:sz w:val="24"/>
          <w:szCs w:val="24"/>
          <w:lang w:eastAsia="es-GT"/>
        </w:rPr>
        <w:t>la tabla</w:t>
      </w:r>
      <w:r w:rsidR="008341A8">
        <w:rPr>
          <w:rFonts w:eastAsia="MS PGothic" w:cstheme="minorHAnsi"/>
          <w:sz w:val="24"/>
          <w:szCs w:val="24"/>
          <w:lang w:eastAsia="es-GT"/>
        </w:rPr>
        <w:t xml:space="preserve"> siguiente:</w:t>
      </w:r>
      <w:r w:rsidRPr="007A6B50">
        <w:rPr>
          <w:rFonts w:eastAsia="MS PGothic" w:cstheme="minorHAnsi"/>
          <w:sz w:val="24"/>
          <w:szCs w:val="24"/>
          <w:lang w:eastAsia="es-GT"/>
        </w:rPr>
        <w:t xml:space="preserve"> </w:t>
      </w:r>
      <w:bookmarkStart w:id="129" w:name="_Hlk31806518"/>
    </w:p>
    <w:p w14:paraId="3DB71D70" w14:textId="2C459D46" w:rsidR="007D4C7A" w:rsidRPr="008341A8" w:rsidRDefault="002C1F2D" w:rsidP="008341A8">
      <w:pPr>
        <w:pStyle w:val="ttulosgrficas"/>
        <w:rPr>
          <w:rFonts w:asciiTheme="minorHAnsi" w:hAnsiTheme="minorHAnsi" w:cstheme="minorHAnsi"/>
          <w:color w:val="4472C4" w:themeColor="accent1"/>
          <w:lang w:eastAsia="es-GT"/>
        </w:rPr>
      </w:pPr>
      <w:bookmarkStart w:id="130" w:name="_Toc130199632"/>
      <w:r w:rsidRPr="007A6B50">
        <w:rPr>
          <w:rFonts w:asciiTheme="minorHAnsi" w:hAnsiTheme="minorHAnsi" w:cstheme="minorHAnsi"/>
          <w:color w:val="4472C4" w:themeColor="accent1"/>
          <w:lang w:eastAsia="es-GT"/>
        </w:rPr>
        <w:t xml:space="preserve">Tabla </w:t>
      </w:r>
      <w:r w:rsidR="006E5E0A" w:rsidRPr="007A6B50">
        <w:rPr>
          <w:rFonts w:asciiTheme="minorHAnsi" w:hAnsiTheme="minorHAnsi" w:cstheme="minorHAnsi"/>
          <w:color w:val="4472C4" w:themeColor="accent1"/>
          <w:lang w:eastAsia="es-GT"/>
        </w:rPr>
        <w:fldChar w:fldCharType="begin"/>
      </w:r>
      <w:r w:rsidR="006E5E0A" w:rsidRPr="007A6B50">
        <w:rPr>
          <w:rFonts w:asciiTheme="minorHAnsi" w:hAnsiTheme="minorHAnsi" w:cstheme="minorHAnsi"/>
          <w:color w:val="4472C4" w:themeColor="accent1"/>
          <w:lang w:eastAsia="es-GT"/>
        </w:rPr>
        <w:instrText xml:space="preserve"> SEQ Tabla \* ARABIC </w:instrText>
      </w:r>
      <w:r w:rsidR="006E5E0A" w:rsidRPr="007A6B50">
        <w:rPr>
          <w:rFonts w:asciiTheme="minorHAnsi" w:hAnsiTheme="minorHAnsi" w:cstheme="minorHAnsi"/>
          <w:color w:val="4472C4" w:themeColor="accent1"/>
          <w:lang w:eastAsia="es-GT"/>
        </w:rPr>
        <w:fldChar w:fldCharType="separate"/>
      </w:r>
      <w:r w:rsidR="00777974">
        <w:rPr>
          <w:rFonts w:asciiTheme="minorHAnsi" w:hAnsiTheme="minorHAnsi" w:cstheme="minorHAnsi"/>
          <w:noProof/>
          <w:color w:val="4472C4" w:themeColor="accent1"/>
          <w:lang w:eastAsia="es-GT"/>
        </w:rPr>
        <w:t>44</w:t>
      </w:r>
      <w:r w:rsidR="006E5E0A" w:rsidRPr="007A6B50">
        <w:rPr>
          <w:rFonts w:asciiTheme="minorHAnsi" w:hAnsiTheme="minorHAnsi" w:cstheme="minorHAnsi"/>
          <w:color w:val="4472C4" w:themeColor="accent1"/>
          <w:lang w:eastAsia="es-GT"/>
        </w:rPr>
        <w:fldChar w:fldCharType="end"/>
      </w:r>
      <w:r w:rsidR="008341A8">
        <w:rPr>
          <w:rFonts w:asciiTheme="minorHAnsi" w:hAnsiTheme="minorHAnsi" w:cstheme="minorHAnsi"/>
          <w:color w:val="4472C4" w:themeColor="accent1"/>
          <w:lang w:eastAsia="es-GT"/>
        </w:rPr>
        <w:t>.</w:t>
      </w:r>
      <w:r w:rsidR="003562C1" w:rsidRPr="007A6B50">
        <w:rPr>
          <w:rFonts w:asciiTheme="minorHAnsi" w:hAnsiTheme="minorHAnsi" w:cstheme="minorHAnsi"/>
          <w:color w:val="4472C4" w:themeColor="accent1"/>
          <w:lang w:eastAsia="es-GT"/>
        </w:rPr>
        <w:t xml:space="preserve"> </w:t>
      </w:r>
      <w:r w:rsidR="00CE3D5C" w:rsidRPr="007A6B50">
        <w:rPr>
          <w:rFonts w:asciiTheme="minorHAnsi" w:hAnsiTheme="minorHAnsi" w:cstheme="minorHAnsi"/>
          <w:color w:val="4472C4" w:themeColor="accent1"/>
          <w:lang w:eastAsia="es-GT"/>
        </w:rPr>
        <w:t xml:space="preserve">Presupuesto </w:t>
      </w:r>
      <w:r w:rsidR="008341A8">
        <w:rPr>
          <w:rFonts w:asciiTheme="minorHAnsi" w:hAnsiTheme="minorHAnsi" w:cstheme="minorHAnsi"/>
          <w:color w:val="4472C4" w:themeColor="accent1"/>
          <w:lang w:eastAsia="es-GT"/>
        </w:rPr>
        <w:t>a</w:t>
      </w:r>
      <w:r w:rsidR="00CE3D5C" w:rsidRPr="007A6B50">
        <w:rPr>
          <w:rFonts w:asciiTheme="minorHAnsi" w:hAnsiTheme="minorHAnsi" w:cstheme="minorHAnsi"/>
          <w:color w:val="4472C4" w:themeColor="accent1"/>
          <w:lang w:eastAsia="es-GT"/>
        </w:rPr>
        <w:t>signado</w:t>
      </w:r>
      <w:r w:rsidR="008341A8">
        <w:rPr>
          <w:rFonts w:asciiTheme="minorHAnsi" w:hAnsiTheme="minorHAnsi" w:cstheme="minorHAnsi"/>
          <w:color w:val="4472C4" w:themeColor="accent1"/>
          <w:lang w:eastAsia="es-GT"/>
        </w:rPr>
        <w:t>, v</w:t>
      </w:r>
      <w:r w:rsidR="00CE3D5C" w:rsidRPr="007A6B50">
        <w:rPr>
          <w:rFonts w:asciiTheme="minorHAnsi" w:hAnsiTheme="minorHAnsi" w:cstheme="minorHAnsi"/>
          <w:color w:val="4472C4" w:themeColor="accent1"/>
          <w:lang w:eastAsia="es-GT"/>
        </w:rPr>
        <w:t>igente</w:t>
      </w:r>
      <w:r w:rsidR="008341A8">
        <w:rPr>
          <w:rFonts w:asciiTheme="minorHAnsi" w:hAnsiTheme="minorHAnsi" w:cstheme="minorHAnsi"/>
          <w:color w:val="4472C4" w:themeColor="accent1"/>
          <w:lang w:eastAsia="es-GT"/>
        </w:rPr>
        <w:t xml:space="preserve"> y e</w:t>
      </w:r>
      <w:r w:rsidR="00CE3D5C" w:rsidRPr="007A6B50">
        <w:rPr>
          <w:rFonts w:asciiTheme="minorHAnsi" w:hAnsiTheme="minorHAnsi" w:cstheme="minorHAnsi"/>
          <w:color w:val="4472C4" w:themeColor="accent1"/>
          <w:lang w:eastAsia="es-GT"/>
        </w:rPr>
        <w:t>jecu</w:t>
      </w:r>
      <w:r w:rsidR="008341A8">
        <w:rPr>
          <w:rFonts w:asciiTheme="minorHAnsi" w:hAnsiTheme="minorHAnsi" w:cstheme="minorHAnsi"/>
          <w:color w:val="4472C4" w:themeColor="accent1"/>
          <w:lang w:eastAsia="es-GT"/>
        </w:rPr>
        <w:t>tado, a diciem</w:t>
      </w:r>
      <w:r w:rsidR="00CE3D5C" w:rsidRPr="007A6B50">
        <w:rPr>
          <w:rFonts w:asciiTheme="minorHAnsi" w:hAnsiTheme="minorHAnsi" w:cstheme="minorHAnsi"/>
          <w:color w:val="4472C4" w:themeColor="accent1"/>
          <w:lang w:eastAsia="es-GT"/>
        </w:rPr>
        <w:t xml:space="preserve">bre </w:t>
      </w:r>
      <w:r w:rsidR="00BD1BD3" w:rsidRPr="007A6B50">
        <w:rPr>
          <w:rFonts w:asciiTheme="minorHAnsi" w:hAnsiTheme="minorHAnsi" w:cstheme="minorHAnsi"/>
          <w:color w:val="4472C4" w:themeColor="accent1"/>
          <w:lang w:eastAsia="es-GT"/>
        </w:rPr>
        <w:t>2022</w:t>
      </w:r>
      <w:bookmarkEnd w:id="130"/>
    </w:p>
    <w:tbl>
      <w:tblPr>
        <w:tblStyle w:val="Tabladelista4-nfasis5"/>
        <w:tblW w:w="9370" w:type="dxa"/>
        <w:tblBorders>
          <w:insideV w:val="single" w:sz="4" w:space="0" w:color="9CC2E5" w:themeColor="accent5" w:themeTint="99"/>
        </w:tblBorders>
        <w:tblLook w:val="04A0" w:firstRow="1" w:lastRow="0" w:firstColumn="1" w:lastColumn="0" w:noHBand="0" w:noVBand="1"/>
      </w:tblPr>
      <w:tblGrid>
        <w:gridCol w:w="2919"/>
        <w:gridCol w:w="2151"/>
        <w:gridCol w:w="1162"/>
        <w:gridCol w:w="1888"/>
        <w:gridCol w:w="1250"/>
      </w:tblGrid>
      <w:tr w:rsidR="00CE3D5C" w:rsidRPr="007A6B50" w14:paraId="277EFC84" w14:textId="77777777" w:rsidTr="008341A8">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919" w:type="dxa"/>
            <w:vAlign w:val="center"/>
            <w:hideMark/>
          </w:tcPr>
          <w:p w14:paraId="44368173" w14:textId="58B34D74" w:rsidR="00CE3D5C" w:rsidRPr="008341A8" w:rsidRDefault="00CE3D5C" w:rsidP="008341A8">
            <w:pPr>
              <w:jc w:val="center"/>
              <w:rPr>
                <w:rFonts w:eastAsia="Times New Roman" w:cstheme="minorHAnsi"/>
                <w:b w:val="0"/>
                <w:bCs w:val="0"/>
                <w:iCs/>
                <w:color w:val="auto"/>
                <w:lang w:eastAsia="es-GT"/>
              </w:rPr>
            </w:pPr>
            <w:r w:rsidRPr="008341A8">
              <w:rPr>
                <w:rFonts w:eastAsia="Times New Roman" w:cstheme="minorHAnsi"/>
                <w:iCs/>
                <w:color w:val="auto"/>
                <w:lang w:eastAsia="es-GT"/>
              </w:rPr>
              <w:t>Tipo de Institución</w:t>
            </w:r>
          </w:p>
        </w:tc>
        <w:tc>
          <w:tcPr>
            <w:tcW w:w="2151" w:type="dxa"/>
            <w:vAlign w:val="center"/>
            <w:hideMark/>
          </w:tcPr>
          <w:p w14:paraId="7A10F742" w14:textId="697953E3" w:rsidR="00CE3D5C" w:rsidRPr="008341A8" w:rsidRDefault="00CE3D5C" w:rsidP="008341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lang w:eastAsia="es-GT"/>
              </w:rPr>
            </w:pPr>
            <w:r w:rsidRPr="008341A8">
              <w:rPr>
                <w:rFonts w:eastAsia="Times New Roman" w:cstheme="minorHAnsi"/>
                <w:iCs/>
                <w:color w:val="auto"/>
                <w:lang w:eastAsia="es-GT"/>
              </w:rPr>
              <w:t>Asignado</w:t>
            </w:r>
          </w:p>
        </w:tc>
        <w:tc>
          <w:tcPr>
            <w:tcW w:w="1162" w:type="dxa"/>
            <w:vAlign w:val="center"/>
            <w:hideMark/>
          </w:tcPr>
          <w:p w14:paraId="77EAA10D" w14:textId="44819A9F" w:rsidR="00CE3D5C" w:rsidRPr="008341A8" w:rsidRDefault="00CE3D5C" w:rsidP="008341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lang w:eastAsia="es-GT"/>
              </w:rPr>
            </w:pPr>
            <w:r w:rsidRPr="008341A8">
              <w:rPr>
                <w:rFonts w:eastAsia="Times New Roman" w:cstheme="minorHAnsi"/>
                <w:iCs/>
                <w:color w:val="auto"/>
                <w:lang w:eastAsia="es-GT"/>
              </w:rPr>
              <w:t>Vigente</w:t>
            </w:r>
          </w:p>
        </w:tc>
        <w:tc>
          <w:tcPr>
            <w:tcW w:w="1888" w:type="dxa"/>
            <w:vAlign w:val="center"/>
            <w:hideMark/>
          </w:tcPr>
          <w:p w14:paraId="7F315625" w14:textId="487E9E45" w:rsidR="00CE3D5C" w:rsidRPr="008341A8" w:rsidRDefault="00CE3D5C" w:rsidP="008341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lang w:eastAsia="es-GT"/>
              </w:rPr>
            </w:pPr>
            <w:r w:rsidRPr="008341A8">
              <w:rPr>
                <w:rFonts w:eastAsia="Times New Roman" w:cstheme="minorHAnsi"/>
                <w:iCs/>
                <w:color w:val="auto"/>
                <w:lang w:eastAsia="es-GT"/>
              </w:rPr>
              <w:t>Ejecución</w:t>
            </w:r>
          </w:p>
        </w:tc>
        <w:tc>
          <w:tcPr>
            <w:tcW w:w="1250" w:type="dxa"/>
            <w:vAlign w:val="center"/>
            <w:hideMark/>
          </w:tcPr>
          <w:p w14:paraId="22C2D556" w14:textId="2E10B9D5" w:rsidR="00CE3D5C" w:rsidRPr="008341A8" w:rsidRDefault="00CE3D5C" w:rsidP="008341A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lang w:eastAsia="es-GT"/>
              </w:rPr>
            </w:pPr>
            <w:r w:rsidRPr="008341A8">
              <w:rPr>
                <w:rFonts w:eastAsia="Times New Roman" w:cstheme="minorHAnsi"/>
                <w:iCs/>
                <w:color w:val="auto"/>
                <w:lang w:eastAsia="es-GT"/>
              </w:rPr>
              <w:t>% de ejecución</w:t>
            </w:r>
          </w:p>
        </w:tc>
      </w:tr>
      <w:tr w:rsidR="00240827" w:rsidRPr="007A6B50" w14:paraId="4849A2F8" w14:textId="77777777" w:rsidTr="008341A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19" w:type="dxa"/>
            <w:hideMark/>
          </w:tcPr>
          <w:p w14:paraId="4DAA173D" w14:textId="77777777" w:rsidR="00240827" w:rsidRPr="008341A8" w:rsidRDefault="00240827" w:rsidP="00240827">
            <w:pPr>
              <w:rPr>
                <w:rFonts w:eastAsia="Times New Roman" w:cstheme="minorHAnsi"/>
                <w:b w:val="0"/>
                <w:iCs/>
                <w:lang w:eastAsia="es-GT"/>
              </w:rPr>
            </w:pPr>
            <w:r w:rsidRPr="008341A8">
              <w:rPr>
                <w:rFonts w:eastAsia="Times New Roman" w:cstheme="minorHAnsi"/>
                <w:b w:val="0"/>
                <w:iCs/>
                <w:lang w:eastAsia="es-GT"/>
              </w:rPr>
              <w:t xml:space="preserve">Gobierno Central </w:t>
            </w:r>
          </w:p>
        </w:tc>
        <w:tc>
          <w:tcPr>
            <w:tcW w:w="2151" w:type="dxa"/>
            <w:hideMark/>
          </w:tcPr>
          <w:p w14:paraId="114A5D59" w14:textId="6FF676B3" w:rsidR="00240827" w:rsidRPr="007A6B50" w:rsidRDefault="00240827" w:rsidP="0024082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225.77</w:t>
            </w:r>
          </w:p>
        </w:tc>
        <w:tc>
          <w:tcPr>
            <w:tcW w:w="1162" w:type="dxa"/>
            <w:noWrap/>
            <w:hideMark/>
          </w:tcPr>
          <w:p w14:paraId="6CEBDF2B" w14:textId="4713121D" w:rsidR="00240827" w:rsidRPr="007A6B50" w:rsidRDefault="00240827" w:rsidP="0024082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229.20</w:t>
            </w:r>
          </w:p>
        </w:tc>
        <w:tc>
          <w:tcPr>
            <w:tcW w:w="1888" w:type="dxa"/>
            <w:noWrap/>
            <w:hideMark/>
          </w:tcPr>
          <w:p w14:paraId="2FDD6B89" w14:textId="502E87D8" w:rsidR="00240827" w:rsidRPr="007A6B50" w:rsidRDefault="00240827" w:rsidP="0024082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203.54</w:t>
            </w:r>
          </w:p>
        </w:tc>
        <w:tc>
          <w:tcPr>
            <w:tcW w:w="1250" w:type="dxa"/>
            <w:noWrap/>
            <w:hideMark/>
          </w:tcPr>
          <w:p w14:paraId="5C73246F" w14:textId="3ABDC034" w:rsidR="00240827" w:rsidRPr="007A6B50" w:rsidRDefault="00240827" w:rsidP="0024082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88.80%</w:t>
            </w:r>
          </w:p>
        </w:tc>
      </w:tr>
      <w:tr w:rsidR="00240827" w:rsidRPr="007A6B50" w14:paraId="0B4EA31F" w14:textId="77777777" w:rsidTr="008341A8">
        <w:trPr>
          <w:trHeight w:val="296"/>
        </w:trPr>
        <w:tc>
          <w:tcPr>
            <w:cnfStyle w:val="001000000000" w:firstRow="0" w:lastRow="0" w:firstColumn="1" w:lastColumn="0" w:oddVBand="0" w:evenVBand="0" w:oddHBand="0" w:evenHBand="0" w:firstRowFirstColumn="0" w:firstRowLastColumn="0" w:lastRowFirstColumn="0" w:lastRowLastColumn="0"/>
            <w:tcW w:w="2919" w:type="dxa"/>
            <w:hideMark/>
          </w:tcPr>
          <w:p w14:paraId="4BFDEC78" w14:textId="77777777" w:rsidR="00240827" w:rsidRPr="008341A8" w:rsidRDefault="00240827" w:rsidP="00240827">
            <w:pPr>
              <w:rPr>
                <w:rFonts w:eastAsia="Times New Roman" w:cstheme="minorHAnsi"/>
                <w:b w:val="0"/>
                <w:iCs/>
                <w:lang w:eastAsia="es-GT"/>
              </w:rPr>
            </w:pPr>
            <w:r w:rsidRPr="008341A8">
              <w:rPr>
                <w:rFonts w:eastAsia="Times New Roman" w:cstheme="minorHAnsi"/>
                <w:b w:val="0"/>
                <w:iCs/>
                <w:lang w:eastAsia="es-GT"/>
              </w:rPr>
              <w:t>Descentralizadas</w:t>
            </w:r>
          </w:p>
        </w:tc>
        <w:tc>
          <w:tcPr>
            <w:tcW w:w="2151" w:type="dxa"/>
            <w:hideMark/>
          </w:tcPr>
          <w:p w14:paraId="67659268" w14:textId="784EC502" w:rsidR="00240827" w:rsidRPr="007A6B50" w:rsidRDefault="00240827" w:rsidP="0024082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155.77</w:t>
            </w:r>
          </w:p>
        </w:tc>
        <w:tc>
          <w:tcPr>
            <w:tcW w:w="1162" w:type="dxa"/>
            <w:noWrap/>
            <w:hideMark/>
          </w:tcPr>
          <w:p w14:paraId="3EAE7F51" w14:textId="7DC54597" w:rsidR="00240827" w:rsidRPr="007A6B50" w:rsidRDefault="00240827" w:rsidP="0024082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215.28</w:t>
            </w:r>
          </w:p>
        </w:tc>
        <w:tc>
          <w:tcPr>
            <w:tcW w:w="1888" w:type="dxa"/>
            <w:noWrap/>
            <w:hideMark/>
          </w:tcPr>
          <w:p w14:paraId="4757109B" w14:textId="1F72E9E5" w:rsidR="00240827" w:rsidRPr="007A6B50" w:rsidRDefault="00240827" w:rsidP="0024082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134.64</w:t>
            </w:r>
          </w:p>
        </w:tc>
        <w:tc>
          <w:tcPr>
            <w:tcW w:w="1250" w:type="dxa"/>
            <w:noWrap/>
            <w:hideMark/>
          </w:tcPr>
          <w:p w14:paraId="7224DD67" w14:textId="57C84BFC" w:rsidR="00240827" w:rsidRPr="007A6B50" w:rsidRDefault="00240827" w:rsidP="0024082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62.54%</w:t>
            </w:r>
          </w:p>
        </w:tc>
      </w:tr>
      <w:tr w:rsidR="00240827" w:rsidRPr="007A6B50" w14:paraId="5EDBD371" w14:textId="77777777" w:rsidTr="008341A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19" w:type="dxa"/>
            <w:hideMark/>
          </w:tcPr>
          <w:p w14:paraId="62D4828C" w14:textId="77777777" w:rsidR="00240827" w:rsidRPr="007A6B50" w:rsidRDefault="00240827" w:rsidP="00240827">
            <w:pPr>
              <w:rPr>
                <w:rFonts w:eastAsia="Times New Roman" w:cstheme="minorHAnsi"/>
                <w:b w:val="0"/>
                <w:iCs/>
                <w:lang w:eastAsia="es-GT"/>
              </w:rPr>
            </w:pPr>
            <w:r w:rsidRPr="007A6B50">
              <w:rPr>
                <w:rFonts w:eastAsia="Times New Roman" w:cstheme="minorHAnsi"/>
                <w:iCs/>
                <w:lang w:eastAsia="es-GT"/>
              </w:rPr>
              <w:t>Total</w:t>
            </w:r>
          </w:p>
        </w:tc>
        <w:tc>
          <w:tcPr>
            <w:tcW w:w="2151" w:type="dxa"/>
            <w:hideMark/>
          </w:tcPr>
          <w:p w14:paraId="0DA12E19" w14:textId="42E9D70E" w:rsidR="00240827" w:rsidRPr="008341A8" w:rsidRDefault="00240827" w:rsidP="0024082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Cs/>
                <w:lang w:eastAsia="es-GT"/>
              </w:rPr>
            </w:pPr>
            <w:r w:rsidRPr="008341A8">
              <w:rPr>
                <w:rFonts w:cstheme="minorHAnsi"/>
                <w:b/>
              </w:rPr>
              <w:t>381.54</w:t>
            </w:r>
          </w:p>
        </w:tc>
        <w:tc>
          <w:tcPr>
            <w:tcW w:w="1162" w:type="dxa"/>
            <w:noWrap/>
            <w:hideMark/>
          </w:tcPr>
          <w:p w14:paraId="7B722482" w14:textId="3F4C1E58" w:rsidR="00240827" w:rsidRPr="008341A8" w:rsidRDefault="00240827" w:rsidP="0024082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Cs/>
                <w:lang w:eastAsia="es-GT"/>
              </w:rPr>
            </w:pPr>
            <w:r w:rsidRPr="008341A8">
              <w:rPr>
                <w:rFonts w:cstheme="minorHAnsi"/>
                <w:b/>
              </w:rPr>
              <w:t>444.48</w:t>
            </w:r>
          </w:p>
        </w:tc>
        <w:tc>
          <w:tcPr>
            <w:tcW w:w="1888" w:type="dxa"/>
            <w:noWrap/>
            <w:hideMark/>
          </w:tcPr>
          <w:p w14:paraId="64EF8E9A" w14:textId="19DD72FC" w:rsidR="00240827" w:rsidRPr="008341A8" w:rsidRDefault="00240827" w:rsidP="0024082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Cs/>
                <w:lang w:eastAsia="es-GT"/>
              </w:rPr>
            </w:pPr>
            <w:r w:rsidRPr="008341A8">
              <w:rPr>
                <w:rFonts w:cstheme="minorHAnsi"/>
                <w:b/>
              </w:rPr>
              <w:t>338.18</w:t>
            </w:r>
          </w:p>
        </w:tc>
        <w:tc>
          <w:tcPr>
            <w:tcW w:w="1250" w:type="dxa"/>
            <w:noWrap/>
            <w:hideMark/>
          </w:tcPr>
          <w:p w14:paraId="553EA20E" w14:textId="53F01688" w:rsidR="00240827" w:rsidRPr="008341A8" w:rsidRDefault="00240827" w:rsidP="0024082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Cs/>
                <w:lang w:eastAsia="es-GT"/>
              </w:rPr>
            </w:pPr>
            <w:r w:rsidRPr="008341A8">
              <w:rPr>
                <w:rFonts w:cstheme="minorHAnsi"/>
                <w:b/>
              </w:rPr>
              <w:t>76.09%</w:t>
            </w:r>
          </w:p>
        </w:tc>
      </w:tr>
    </w:tbl>
    <w:p w14:paraId="0CB6FBD6" w14:textId="62E7FE8E" w:rsidR="008341A8" w:rsidRDefault="00CE3D5C" w:rsidP="008341A8">
      <w:pPr>
        <w:spacing w:after="0" w:line="240" w:lineRule="auto"/>
        <w:jc w:val="both"/>
        <w:rPr>
          <w:rFonts w:eastAsia="MS PGothic" w:cstheme="minorHAnsi"/>
          <w:bCs/>
          <w:iCs/>
          <w:sz w:val="16"/>
          <w:szCs w:val="18"/>
          <w:lang w:eastAsia="es-GT"/>
        </w:rPr>
      </w:pPr>
      <w:r w:rsidRPr="007A6B50">
        <w:rPr>
          <w:rFonts w:eastAsia="MS PGothic" w:cstheme="minorHAnsi"/>
          <w:bCs/>
          <w:iCs/>
          <w:sz w:val="16"/>
          <w:szCs w:val="18"/>
          <w:lang w:eastAsia="es-GT"/>
        </w:rPr>
        <w:t>Fuente: Elaboración propia SEGEPLAN con datos del Sistema de Contabilidad integrada -SICOIN-</w:t>
      </w:r>
      <w:r w:rsidR="00240827" w:rsidRPr="007A6B50">
        <w:rPr>
          <w:rFonts w:eastAsia="MS PGothic" w:cstheme="minorHAnsi"/>
          <w:bCs/>
          <w:iCs/>
          <w:sz w:val="16"/>
          <w:szCs w:val="18"/>
          <w:lang w:eastAsia="es-GT"/>
        </w:rPr>
        <w:t xml:space="preserve"> </w:t>
      </w:r>
      <w:r w:rsidR="007D4C7A" w:rsidRPr="007A6B50">
        <w:rPr>
          <w:rFonts w:eastAsia="MS PGothic" w:cstheme="minorHAnsi"/>
          <w:bCs/>
          <w:iCs/>
          <w:sz w:val="16"/>
          <w:szCs w:val="18"/>
          <w:lang w:eastAsia="es-GT"/>
        </w:rPr>
        <w:t xml:space="preserve"> E</w:t>
      </w:r>
      <w:r w:rsidRPr="007A6B50">
        <w:rPr>
          <w:rFonts w:eastAsia="MS PGothic" w:cstheme="minorHAnsi"/>
          <w:bCs/>
          <w:iCs/>
          <w:sz w:val="16"/>
          <w:szCs w:val="18"/>
          <w:lang w:eastAsia="es-GT"/>
        </w:rPr>
        <w:t xml:space="preserve">jercicio Fiscal </w:t>
      </w:r>
      <w:r w:rsidR="00BD1BD3" w:rsidRPr="007A6B50">
        <w:rPr>
          <w:rFonts w:eastAsia="MS PGothic" w:cstheme="minorHAnsi"/>
          <w:bCs/>
          <w:iCs/>
          <w:sz w:val="16"/>
          <w:szCs w:val="18"/>
          <w:lang w:eastAsia="es-GT"/>
        </w:rPr>
        <w:t>2022</w:t>
      </w:r>
      <w:r w:rsidRPr="007A6B50">
        <w:rPr>
          <w:rFonts w:eastAsia="MS PGothic" w:cstheme="minorHAnsi"/>
          <w:bCs/>
          <w:iCs/>
          <w:sz w:val="16"/>
          <w:szCs w:val="18"/>
          <w:lang w:eastAsia="es-GT"/>
        </w:rPr>
        <w:t>.</w:t>
      </w:r>
      <w:r w:rsidR="008341A8">
        <w:rPr>
          <w:rFonts w:eastAsia="MS PGothic" w:cstheme="minorHAnsi"/>
          <w:bCs/>
          <w:iCs/>
          <w:sz w:val="16"/>
          <w:szCs w:val="18"/>
          <w:lang w:eastAsia="es-GT"/>
        </w:rPr>
        <w:t xml:space="preserve"> </w:t>
      </w:r>
    </w:p>
    <w:p w14:paraId="742AC770" w14:textId="5465C97F" w:rsidR="0093034A" w:rsidRPr="005C4219" w:rsidRDefault="008341A8" w:rsidP="005C4219">
      <w:pPr>
        <w:spacing w:after="0" w:line="240" w:lineRule="auto"/>
        <w:jc w:val="both"/>
        <w:rPr>
          <w:rFonts w:eastAsia="MS PGothic" w:cstheme="minorHAnsi"/>
          <w:bCs/>
          <w:iCs/>
          <w:sz w:val="16"/>
          <w:szCs w:val="18"/>
          <w:lang w:eastAsia="es-GT"/>
        </w:rPr>
      </w:pPr>
      <w:r>
        <w:rPr>
          <w:rFonts w:eastAsia="MS PGothic" w:cstheme="minorHAnsi"/>
          <w:bCs/>
          <w:iCs/>
          <w:sz w:val="16"/>
          <w:szCs w:val="18"/>
          <w:lang w:eastAsia="es-GT"/>
        </w:rPr>
        <w:t>En millones de quetzales.</w:t>
      </w:r>
      <w:bookmarkEnd w:id="129"/>
    </w:p>
    <w:p w14:paraId="0AD7A5E0" w14:textId="2BD68A2E" w:rsidR="00CE3D5C" w:rsidRPr="007A6B50" w:rsidRDefault="00CE3D5C" w:rsidP="005C4219">
      <w:pPr>
        <w:spacing w:before="120" w:after="120" w:line="240" w:lineRule="auto"/>
        <w:jc w:val="both"/>
        <w:rPr>
          <w:rFonts w:eastAsia="MS PGothic" w:cstheme="minorHAnsi"/>
          <w:sz w:val="24"/>
          <w:szCs w:val="24"/>
          <w:lang w:eastAsia="es-GT"/>
        </w:rPr>
      </w:pPr>
      <w:r w:rsidRPr="007A6B50">
        <w:rPr>
          <w:rFonts w:eastAsia="MS PGothic" w:cstheme="minorHAnsi"/>
          <w:sz w:val="24"/>
          <w:szCs w:val="24"/>
          <w:lang w:eastAsia="es-GT"/>
        </w:rPr>
        <w:t>En la</w:t>
      </w:r>
      <w:r w:rsidR="00FC7FBF" w:rsidRPr="007A6B50">
        <w:rPr>
          <w:rFonts w:eastAsia="MS PGothic" w:cstheme="minorHAnsi"/>
          <w:sz w:val="24"/>
          <w:szCs w:val="24"/>
          <w:lang w:eastAsia="es-GT"/>
        </w:rPr>
        <w:t xml:space="preserve"> </w:t>
      </w:r>
      <w:r w:rsidRPr="007A6B50">
        <w:rPr>
          <w:rFonts w:eastAsia="MS PGothic" w:cstheme="minorHAnsi"/>
          <w:sz w:val="24"/>
          <w:szCs w:val="24"/>
          <w:lang w:eastAsia="es-GT"/>
        </w:rPr>
        <w:t>gráfica</w:t>
      </w:r>
      <w:r w:rsidR="00FC7FBF" w:rsidRPr="007A6B50">
        <w:rPr>
          <w:rFonts w:eastAsia="MS PGothic" w:cstheme="minorHAnsi"/>
          <w:sz w:val="24"/>
          <w:szCs w:val="24"/>
          <w:lang w:eastAsia="es-GT"/>
        </w:rPr>
        <w:t xml:space="preserve"> </w:t>
      </w:r>
      <w:r w:rsidR="005C4219">
        <w:rPr>
          <w:rFonts w:eastAsia="MS PGothic" w:cstheme="minorHAnsi"/>
          <w:sz w:val="24"/>
          <w:szCs w:val="24"/>
          <w:lang w:eastAsia="es-GT"/>
        </w:rPr>
        <w:t>siguiente</w:t>
      </w:r>
      <w:r w:rsidRPr="007A6B50">
        <w:rPr>
          <w:rFonts w:eastAsia="MS PGothic" w:cstheme="minorHAnsi"/>
          <w:sz w:val="24"/>
          <w:szCs w:val="24"/>
          <w:lang w:eastAsia="es-GT"/>
        </w:rPr>
        <w:t xml:space="preserve">, se puede observar el comportamiento de los presupuestos para administración central e instituciones descentralizadas: </w:t>
      </w:r>
    </w:p>
    <w:p w14:paraId="155A18F1" w14:textId="77777777" w:rsidR="00517E4A" w:rsidRDefault="00517E4A" w:rsidP="005C4219">
      <w:pPr>
        <w:pStyle w:val="ttulosgrficas"/>
        <w:rPr>
          <w:rFonts w:asciiTheme="minorHAnsi" w:hAnsiTheme="minorHAnsi" w:cstheme="minorHAnsi"/>
          <w:color w:val="4472C4" w:themeColor="accent1"/>
          <w:lang w:eastAsia="es-GT"/>
        </w:rPr>
      </w:pPr>
      <w:bookmarkStart w:id="131" w:name="_Toc67377816"/>
      <w:bookmarkStart w:id="132" w:name="_Toc67381559"/>
      <w:bookmarkStart w:id="133" w:name="_Toc130204480"/>
    </w:p>
    <w:p w14:paraId="6D0203A8" w14:textId="77777777" w:rsidR="00517E4A" w:rsidRDefault="00517E4A" w:rsidP="005C4219">
      <w:pPr>
        <w:pStyle w:val="ttulosgrficas"/>
        <w:rPr>
          <w:rFonts w:asciiTheme="minorHAnsi" w:hAnsiTheme="minorHAnsi" w:cstheme="minorHAnsi"/>
          <w:color w:val="4472C4" w:themeColor="accent1"/>
          <w:lang w:eastAsia="es-GT"/>
        </w:rPr>
      </w:pPr>
    </w:p>
    <w:p w14:paraId="7125D249" w14:textId="77777777" w:rsidR="00517E4A" w:rsidRDefault="00517E4A" w:rsidP="005C4219">
      <w:pPr>
        <w:pStyle w:val="ttulosgrficas"/>
        <w:rPr>
          <w:rFonts w:asciiTheme="minorHAnsi" w:hAnsiTheme="minorHAnsi" w:cstheme="minorHAnsi"/>
          <w:color w:val="4472C4" w:themeColor="accent1"/>
          <w:lang w:eastAsia="es-GT"/>
        </w:rPr>
      </w:pPr>
    </w:p>
    <w:p w14:paraId="6DDB2F15" w14:textId="77777777" w:rsidR="00517E4A" w:rsidRDefault="00517E4A" w:rsidP="005C4219">
      <w:pPr>
        <w:pStyle w:val="ttulosgrficas"/>
        <w:rPr>
          <w:rFonts w:asciiTheme="minorHAnsi" w:hAnsiTheme="minorHAnsi" w:cstheme="minorHAnsi"/>
          <w:color w:val="4472C4" w:themeColor="accent1"/>
          <w:lang w:eastAsia="es-GT"/>
        </w:rPr>
      </w:pPr>
    </w:p>
    <w:p w14:paraId="79C8EFBF" w14:textId="77777777" w:rsidR="00517E4A" w:rsidRDefault="00517E4A" w:rsidP="005C4219">
      <w:pPr>
        <w:pStyle w:val="ttulosgrficas"/>
        <w:rPr>
          <w:rFonts w:asciiTheme="minorHAnsi" w:hAnsiTheme="minorHAnsi" w:cstheme="minorHAnsi"/>
          <w:color w:val="4472C4" w:themeColor="accent1"/>
          <w:lang w:eastAsia="es-GT"/>
        </w:rPr>
      </w:pPr>
    </w:p>
    <w:p w14:paraId="6CAE9839" w14:textId="77777777" w:rsidR="00517E4A" w:rsidRDefault="00517E4A" w:rsidP="005C4219">
      <w:pPr>
        <w:pStyle w:val="ttulosgrficas"/>
        <w:rPr>
          <w:rFonts w:asciiTheme="minorHAnsi" w:hAnsiTheme="minorHAnsi" w:cstheme="minorHAnsi"/>
          <w:color w:val="4472C4" w:themeColor="accent1"/>
          <w:lang w:eastAsia="es-GT"/>
        </w:rPr>
      </w:pPr>
    </w:p>
    <w:p w14:paraId="4362894B" w14:textId="77777777" w:rsidR="00517E4A" w:rsidRDefault="00517E4A" w:rsidP="005C4219">
      <w:pPr>
        <w:pStyle w:val="ttulosgrficas"/>
        <w:rPr>
          <w:rFonts w:asciiTheme="minorHAnsi" w:hAnsiTheme="minorHAnsi" w:cstheme="minorHAnsi"/>
          <w:color w:val="4472C4" w:themeColor="accent1"/>
          <w:lang w:eastAsia="es-GT"/>
        </w:rPr>
      </w:pPr>
    </w:p>
    <w:p w14:paraId="6241D1B5" w14:textId="77777777" w:rsidR="00517E4A" w:rsidRDefault="00517E4A" w:rsidP="005C4219">
      <w:pPr>
        <w:pStyle w:val="ttulosgrficas"/>
        <w:rPr>
          <w:rFonts w:asciiTheme="minorHAnsi" w:hAnsiTheme="minorHAnsi" w:cstheme="minorHAnsi"/>
          <w:color w:val="4472C4" w:themeColor="accent1"/>
          <w:lang w:eastAsia="es-GT"/>
        </w:rPr>
      </w:pPr>
    </w:p>
    <w:p w14:paraId="1695C47E" w14:textId="77777777" w:rsidR="00517E4A" w:rsidRDefault="00517E4A" w:rsidP="005C4219">
      <w:pPr>
        <w:pStyle w:val="ttulosgrficas"/>
        <w:rPr>
          <w:rFonts w:asciiTheme="minorHAnsi" w:hAnsiTheme="minorHAnsi" w:cstheme="minorHAnsi"/>
          <w:color w:val="4472C4" w:themeColor="accent1"/>
          <w:lang w:eastAsia="es-GT"/>
        </w:rPr>
      </w:pPr>
    </w:p>
    <w:p w14:paraId="3159D282" w14:textId="77777777" w:rsidR="00517E4A" w:rsidRDefault="00517E4A" w:rsidP="005C4219">
      <w:pPr>
        <w:pStyle w:val="ttulosgrficas"/>
        <w:rPr>
          <w:rFonts w:asciiTheme="minorHAnsi" w:hAnsiTheme="minorHAnsi" w:cstheme="minorHAnsi"/>
          <w:color w:val="4472C4" w:themeColor="accent1"/>
          <w:lang w:eastAsia="es-GT"/>
        </w:rPr>
      </w:pPr>
    </w:p>
    <w:p w14:paraId="0C6F5D6A" w14:textId="219CA916" w:rsidR="0056431A" w:rsidRPr="00184B3A" w:rsidRDefault="003E1E24" w:rsidP="005C4219">
      <w:pPr>
        <w:pStyle w:val="ttulosgrficas"/>
        <w:rPr>
          <w:rFonts w:asciiTheme="minorHAnsi" w:hAnsiTheme="minorHAnsi" w:cstheme="minorHAnsi"/>
          <w:color w:val="4472C4" w:themeColor="accent1"/>
          <w:lang w:eastAsia="es-GT"/>
        </w:rPr>
      </w:pPr>
      <w:r w:rsidRPr="00184B3A">
        <w:rPr>
          <w:rFonts w:asciiTheme="minorHAnsi" w:hAnsiTheme="minorHAnsi" w:cstheme="minorHAnsi"/>
          <w:color w:val="4472C4" w:themeColor="accent1"/>
          <w:lang w:eastAsia="es-GT"/>
        </w:rPr>
        <w:t xml:space="preserve">Gráfica </w:t>
      </w:r>
      <w:r w:rsidR="007F134F" w:rsidRPr="00184B3A">
        <w:rPr>
          <w:rFonts w:asciiTheme="minorHAnsi" w:hAnsiTheme="minorHAnsi" w:cstheme="minorHAnsi"/>
          <w:color w:val="4472C4" w:themeColor="accent1"/>
          <w:lang w:eastAsia="es-GT"/>
        </w:rPr>
        <w:fldChar w:fldCharType="begin"/>
      </w:r>
      <w:r w:rsidR="007F134F" w:rsidRPr="00184B3A">
        <w:rPr>
          <w:rFonts w:asciiTheme="minorHAnsi" w:hAnsiTheme="minorHAnsi" w:cstheme="minorHAnsi"/>
          <w:color w:val="4472C4" w:themeColor="accent1"/>
          <w:lang w:eastAsia="es-GT"/>
        </w:rPr>
        <w:instrText xml:space="preserve"> SEQ Gráfica \* ARABIC </w:instrText>
      </w:r>
      <w:r w:rsidR="007F134F" w:rsidRPr="00184B3A">
        <w:rPr>
          <w:rFonts w:asciiTheme="minorHAnsi" w:hAnsiTheme="minorHAnsi" w:cstheme="minorHAnsi"/>
          <w:color w:val="4472C4" w:themeColor="accent1"/>
          <w:lang w:eastAsia="es-GT"/>
        </w:rPr>
        <w:fldChar w:fldCharType="separate"/>
      </w:r>
      <w:r w:rsidR="00777974">
        <w:rPr>
          <w:rFonts w:asciiTheme="minorHAnsi" w:hAnsiTheme="minorHAnsi" w:cstheme="minorHAnsi"/>
          <w:noProof/>
          <w:color w:val="4472C4" w:themeColor="accent1"/>
          <w:lang w:eastAsia="es-GT"/>
        </w:rPr>
        <w:t>12</w:t>
      </w:r>
      <w:bookmarkEnd w:id="131"/>
      <w:bookmarkEnd w:id="132"/>
      <w:r w:rsidR="007F134F" w:rsidRPr="00184B3A">
        <w:rPr>
          <w:rFonts w:asciiTheme="minorHAnsi" w:hAnsiTheme="minorHAnsi" w:cstheme="minorHAnsi"/>
          <w:color w:val="4472C4" w:themeColor="accent1"/>
          <w:lang w:eastAsia="es-GT"/>
        </w:rPr>
        <w:fldChar w:fldCharType="end"/>
      </w:r>
      <w:r w:rsidR="005C4219" w:rsidRPr="00184B3A">
        <w:rPr>
          <w:rFonts w:asciiTheme="minorHAnsi" w:hAnsiTheme="minorHAnsi" w:cstheme="minorHAnsi"/>
          <w:color w:val="4472C4" w:themeColor="accent1"/>
          <w:lang w:eastAsia="es-GT"/>
        </w:rPr>
        <w:t>.</w:t>
      </w:r>
      <w:r w:rsidR="003562C1" w:rsidRPr="00184B3A">
        <w:rPr>
          <w:rFonts w:asciiTheme="minorHAnsi" w:hAnsiTheme="minorHAnsi" w:cstheme="minorHAnsi"/>
          <w:color w:val="4472C4" w:themeColor="accent1"/>
          <w:lang w:eastAsia="es-GT"/>
        </w:rPr>
        <w:t xml:space="preserve"> </w:t>
      </w:r>
      <w:r w:rsidR="00CE3D5C" w:rsidRPr="00184B3A">
        <w:rPr>
          <w:rFonts w:asciiTheme="minorHAnsi" w:hAnsiTheme="minorHAnsi" w:cstheme="minorHAnsi"/>
          <w:color w:val="4472C4" w:themeColor="accent1"/>
          <w:lang w:eastAsia="es-GT"/>
        </w:rPr>
        <w:t xml:space="preserve">Presupuesto de donaciones </w:t>
      </w:r>
      <w:r w:rsidR="00936E17" w:rsidRPr="00184B3A">
        <w:rPr>
          <w:rFonts w:asciiTheme="minorHAnsi" w:hAnsiTheme="minorHAnsi" w:cstheme="minorHAnsi"/>
          <w:color w:val="4472C4" w:themeColor="accent1"/>
          <w:lang w:eastAsia="es-GT"/>
        </w:rPr>
        <w:t xml:space="preserve">a </w:t>
      </w:r>
      <w:r w:rsidR="008F7682" w:rsidRPr="00184B3A">
        <w:rPr>
          <w:rFonts w:asciiTheme="minorHAnsi" w:hAnsiTheme="minorHAnsi" w:cstheme="minorHAnsi"/>
          <w:color w:val="4472C4" w:themeColor="accent1"/>
          <w:lang w:eastAsia="es-GT"/>
        </w:rPr>
        <w:t>diciembre</w:t>
      </w:r>
      <w:r w:rsidR="00CE3D5C" w:rsidRPr="00184B3A">
        <w:rPr>
          <w:rFonts w:asciiTheme="minorHAnsi" w:hAnsiTheme="minorHAnsi" w:cstheme="minorHAnsi"/>
          <w:color w:val="4472C4" w:themeColor="accent1"/>
          <w:lang w:eastAsia="es-GT"/>
        </w:rPr>
        <w:t xml:space="preserve"> </w:t>
      </w:r>
      <w:r w:rsidR="00BD1BD3" w:rsidRPr="00184B3A">
        <w:rPr>
          <w:rFonts w:asciiTheme="minorHAnsi" w:hAnsiTheme="minorHAnsi" w:cstheme="minorHAnsi"/>
          <w:color w:val="4472C4" w:themeColor="accent1"/>
          <w:lang w:eastAsia="es-GT"/>
        </w:rPr>
        <w:t>2022</w:t>
      </w:r>
      <w:bookmarkEnd w:id="133"/>
    </w:p>
    <w:p w14:paraId="33DC633C" w14:textId="4CDCAAE2" w:rsidR="00252DB0" w:rsidRPr="00184B3A" w:rsidRDefault="00A157BA" w:rsidP="00252DB0">
      <w:pPr>
        <w:spacing w:after="0" w:line="240" w:lineRule="auto"/>
        <w:jc w:val="center"/>
        <w:rPr>
          <w:rFonts w:eastAsia="MS PGothic" w:cstheme="minorHAnsi"/>
          <w:b/>
          <w:bCs/>
          <w:i/>
          <w:iCs/>
          <w:sz w:val="20"/>
          <w:szCs w:val="20"/>
          <w:lang w:eastAsia="es-GT"/>
        </w:rPr>
      </w:pPr>
      <w:r w:rsidRPr="00184B3A">
        <w:rPr>
          <w:noProof/>
        </w:rPr>
        <w:drawing>
          <wp:anchor distT="0" distB="0" distL="114300" distR="114300" simplePos="0" relativeHeight="251758080" behindDoc="0" locked="0" layoutInCell="1" allowOverlap="1" wp14:anchorId="28E27DE3" wp14:editId="14B7D60A">
            <wp:simplePos x="0" y="0"/>
            <wp:positionH relativeFrom="column">
              <wp:posOffset>929640</wp:posOffset>
            </wp:positionH>
            <wp:positionV relativeFrom="paragraph">
              <wp:posOffset>19685</wp:posOffset>
            </wp:positionV>
            <wp:extent cx="3984625" cy="2087245"/>
            <wp:effectExtent l="19050" t="19050" r="15875" b="27305"/>
            <wp:wrapSquare wrapText="bothSides"/>
            <wp:docPr id="227935787" name="Imagen 22793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l="1595" t="1897" r="26429" b="2910"/>
                    <a:stretch/>
                  </pic:blipFill>
                  <pic:spPr bwMode="auto">
                    <a:xfrm>
                      <a:off x="0" y="0"/>
                      <a:ext cx="3984625" cy="208724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B3B" w:rsidRPr="00184B3A">
        <w:rPr>
          <w:rFonts w:eastAsia="MS PGothic" w:cstheme="minorHAnsi"/>
          <w:bCs/>
          <w:iCs/>
          <w:sz w:val="16"/>
          <w:szCs w:val="16"/>
          <w:lang w:eastAsia="es-GT"/>
        </w:rPr>
        <w:t xml:space="preserve">     </w:t>
      </w:r>
    </w:p>
    <w:p w14:paraId="7354108D" w14:textId="77777777" w:rsidR="00A157BA" w:rsidRDefault="005C4219" w:rsidP="00CE3D5C">
      <w:pPr>
        <w:spacing w:after="0" w:line="240" w:lineRule="auto"/>
        <w:jc w:val="both"/>
        <w:rPr>
          <w:rFonts w:eastAsia="MS PGothic" w:cstheme="minorHAnsi"/>
          <w:bCs/>
          <w:iCs/>
          <w:sz w:val="16"/>
          <w:szCs w:val="16"/>
          <w:lang w:eastAsia="es-GT"/>
        </w:rPr>
      </w:pPr>
      <w:r w:rsidRPr="00184B3A">
        <w:rPr>
          <w:rFonts w:eastAsia="MS PGothic" w:cstheme="minorHAnsi"/>
          <w:bCs/>
          <w:iCs/>
          <w:sz w:val="16"/>
          <w:szCs w:val="16"/>
          <w:lang w:eastAsia="es-GT"/>
        </w:rPr>
        <w:tab/>
      </w:r>
      <w:r w:rsidR="00184B3A">
        <w:rPr>
          <w:rFonts w:eastAsia="MS PGothic" w:cstheme="minorHAnsi"/>
          <w:bCs/>
          <w:iCs/>
          <w:sz w:val="16"/>
          <w:szCs w:val="16"/>
          <w:lang w:eastAsia="es-GT"/>
        </w:rPr>
        <w:tab/>
      </w:r>
      <w:r w:rsidR="00184B3A">
        <w:rPr>
          <w:rFonts w:eastAsia="MS PGothic" w:cstheme="minorHAnsi"/>
          <w:bCs/>
          <w:iCs/>
          <w:sz w:val="16"/>
          <w:szCs w:val="16"/>
          <w:lang w:eastAsia="es-GT"/>
        </w:rPr>
        <w:tab/>
      </w:r>
    </w:p>
    <w:p w14:paraId="123FCB1C" w14:textId="77777777" w:rsidR="00A157BA" w:rsidRDefault="00A157BA" w:rsidP="00CE3D5C">
      <w:pPr>
        <w:spacing w:after="0" w:line="240" w:lineRule="auto"/>
        <w:jc w:val="both"/>
        <w:rPr>
          <w:rFonts w:eastAsia="MS PGothic" w:cstheme="minorHAnsi"/>
          <w:bCs/>
          <w:iCs/>
          <w:sz w:val="16"/>
          <w:szCs w:val="16"/>
          <w:lang w:eastAsia="es-GT"/>
        </w:rPr>
      </w:pPr>
    </w:p>
    <w:p w14:paraId="54AF40CD" w14:textId="77777777" w:rsidR="00A157BA" w:rsidRDefault="00A157BA" w:rsidP="00CE3D5C">
      <w:pPr>
        <w:spacing w:after="0" w:line="240" w:lineRule="auto"/>
        <w:jc w:val="both"/>
        <w:rPr>
          <w:rFonts w:eastAsia="MS PGothic" w:cstheme="minorHAnsi"/>
          <w:bCs/>
          <w:iCs/>
          <w:sz w:val="16"/>
          <w:szCs w:val="16"/>
          <w:lang w:eastAsia="es-GT"/>
        </w:rPr>
      </w:pPr>
    </w:p>
    <w:p w14:paraId="156BAAF5" w14:textId="77777777" w:rsidR="00A157BA" w:rsidRDefault="00A157BA" w:rsidP="00CE3D5C">
      <w:pPr>
        <w:spacing w:after="0" w:line="240" w:lineRule="auto"/>
        <w:jc w:val="both"/>
        <w:rPr>
          <w:rFonts w:eastAsia="MS PGothic" w:cstheme="minorHAnsi"/>
          <w:bCs/>
          <w:iCs/>
          <w:sz w:val="16"/>
          <w:szCs w:val="16"/>
          <w:lang w:eastAsia="es-GT"/>
        </w:rPr>
      </w:pPr>
    </w:p>
    <w:p w14:paraId="759FBEF0" w14:textId="77777777" w:rsidR="00A157BA" w:rsidRDefault="00A157BA" w:rsidP="00CE3D5C">
      <w:pPr>
        <w:spacing w:after="0" w:line="240" w:lineRule="auto"/>
        <w:jc w:val="both"/>
        <w:rPr>
          <w:rFonts w:eastAsia="MS PGothic" w:cstheme="minorHAnsi"/>
          <w:bCs/>
          <w:iCs/>
          <w:sz w:val="16"/>
          <w:szCs w:val="16"/>
          <w:lang w:eastAsia="es-GT"/>
        </w:rPr>
      </w:pPr>
    </w:p>
    <w:p w14:paraId="4D0AEE06" w14:textId="77777777" w:rsidR="00A157BA" w:rsidRDefault="00A157BA" w:rsidP="00CE3D5C">
      <w:pPr>
        <w:spacing w:after="0" w:line="240" w:lineRule="auto"/>
        <w:jc w:val="both"/>
        <w:rPr>
          <w:rFonts w:eastAsia="MS PGothic" w:cstheme="minorHAnsi"/>
          <w:bCs/>
          <w:iCs/>
          <w:sz w:val="16"/>
          <w:szCs w:val="16"/>
          <w:lang w:eastAsia="es-GT"/>
        </w:rPr>
      </w:pPr>
    </w:p>
    <w:p w14:paraId="18D4A6A4" w14:textId="77777777" w:rsidR="00A157BA" w:rsidRDefault="00A157BA" w:rsidP="00CE3D5C">
      <w:pPr>
        <w:spacing w:after="0" w:line="240" w:lineRule="auto"/>
        <w:jc w:val="both"/>
        <w:rPr>
          <w:rFonts w:eastAsia="MS PGothic" w:cstheme="minorHAnsi"/>
          <w:bCs/>
          <w:iCs/>
          <w:sz w:val="16"/>
          <w:szCs w:val="16"/>
          <w:lang w:eastAsia="es-GT"/>
        </w:rPr>
      </w:pPr>
    </w:p>
    <w:p w14:paraId="58E71D67" w14:textId="77777777" w:rsidR="00A157BA" w:rsidRDefault="00A157BA" w:rsidP="00CE3D5C">
      <w:pPr>
        <w:spacing w:after="0" w:line="240" w:lineRule="auto"/>
        <w:jc w:val="both"/>
        <w:rPr>
          <w:rFonts w:eastAsia="MS PGothic" w:cstheme="minorHAnsi"/>
          <w:bCs/>
          <w:iCs/>
          <w:sz w:val="16"/>
          <w:szCs w:val="16"/>
          <w:lang w:eastAsia="es-GT"/>
        </w:rPr>
      </w:pPr>
    </w:p>
    <w:p w14:paraId="3870DB62" w14:textId="77777777" w:rsidR="00A157BA" w:rsidRDefault="00A157BA" w:rsidP="00CE3D5C">
      <w:pPr>
        <w:spacing w:after="0" w:line="240" w:lineRule="auto"/>
        <w:jc w:val="both"/>
        <w:rPr>
          <w:rFonts w:eastAsia="MS PGothic" w:cstheme="minorHAnsi"/>
          <w:bCs/>
          <w:iCs/>
          <w:sz w:val="16"/>
          <w:szCs w:val="16"/>
          <w:lang w:eastAsia="es-GT"/>
        </w:rPr>
      </w:pPr>
    </w:p>
    <w:p w14:paraId="0E8C3D95" w14:textId="77777777" w:rsidR="00A157BA" w:rsidRDefault="00A157BA" w:rsidP="00CE3D5C">
      <w:pPr>
        <w:spacing w:after="0" w:line="240" w:lineRule="auto"/>
        <w:jc w:val="both"/>
        <w:rPr>
          <w:rFonts w:eastAsia="MS PGothic" w:cstheme="minorHAnsi"/>
          <w:bCs/>
          <w:iCs/>
          <w:sz w:val="16"/>
          <w:szCs w:val="16"/>
          <w:lang w:eastAsia="es-GT"/>
        </w:rPr>
      </w:pPr>
    </w:p>
    <w:p w14:paraId="2584B405" w14:textId="77777777" w:rsidR="00A157BA" w:rsidRDefault="00A157BA" w:rsidP="00CE3D5C">
      <w:pPr>
        <w:spacing w:after="0" w:line="240" w:lineRule="auto"/>
        <w:jc w:val="both"/>
        <w:rPr>
          <w:rFonts w:eastAsia="MS PGothic" w:cstheme="minorHAnsi"/>
          <w:bCs/>
          <w:iCs/>
          <w:sz w:val="16"/>
          <w:szCs w:val="16"/>
          <w:lang w:eastAsia="es-GT"/>
        </w:rPr>
      </w:pPr>
    </w:p>
    <w:p w14:paraId="2CB41549" w14:textId="77777777" w:rsidR="00A157BA" w:rsidRDefault="00A157BA" w:rsidP="00CE3D5C">
      <w:pPr>
        <w:spacing w:after="0" w:line="240" w:lineRule="auto"/>
        <w:jc w:val="both"/>
        <w:rPr>
          <w:rFonts w:eastAsia="MS PGothic" w:cstheme="minorHAnsi"/>
          <w:bCs/>
          <w:iCs/>
          <w:sz w:val="16"/>
          <w:szCs w:val="16"/>
          <w:lang w:eastAsia="es-GT"/>
        </w:rPr>
      </w:pPr>
    </w:p>
    <w:p w14:paraId="2E6D6A77" w14:textId="77777777" w:rsidR="00A157BA" w:rsidRDefault="00A157BA" w:rsidP="00CE3D5C">
      <w:pPr>
        <w:spacing w:after="0" w:line="240" w:lineRule="auto"/>
        <w:jc w:val="both"/>
        <w:rPr>
          <w:rFonts w:eastAsia="MS PGothic" w:cstheme="minorHAnsi"/>
          <w:bCs/>
          <w:iCs/>
          <w:sz w:val="16"/>
          <w:szCs w:val="16"/>
          <w:lang w:eastAsia="es-GT"/>
        </w:rPr>
      </w:pPr>
    </w:p>
    <w:p w14:paraId="4F8B0890" w14:textId="77777777" w:rsidR="00A157BA" w:rsidRDefault="00A157BA" w:rsidP="00CE3D5C">
      <w:pPr>
        <w:spacing w:after="0" w:line="240" w:lineRule="auto"/>
        <w:jc w:val="both"/>
        <w:rPr>
          <w:rFonts w:eastAsia="MS PGothic" w:cstheme="minorHAnsi"/>
          <w:bCs/>
          <w:iCs/>
          <w:sz w:val="16"/>
          <w:szCs w:val="16"/>
          <w:lang w:eastAsia="es-GT"/>
        </w:rPr>
      </w:pPr>
    </w:p>
    <w:p w14:paraId="23C62A2B" w14:textId="77777777" w:rsidR="00A157BA" w:rsidRDefault="00A157BA" w:rsidP="00CE3D5C">
      <w:pPr>
        <w:spacing w:after="0" w:line="240" w:lineRule="auto"/>
        <w:jc w:val="both"/>
        <w:rPr>
          <w:rFonts w:eastAsia="MS PGothic" w:cstheme="minorHAnsi"/>
          <w:bCs/>
          <w:iCs/>
          <w:sz w:val="16"/>
          <w:szCs w:val="16"/>
          <w:lang w:eastAsia="es-GT"/>
        </w:rPr>
      </w:pPr>
    </w:p>
    <w:p w14:paraId="0768BEB7" w14:textId="77777777" w:rsidR="00A157BA" w:rsidRDefault="00A157BA" w:rsidP="00CE3D5C">
      <w:pPr>
        <w:spacing w:after="0" w:line="240" w:lineRule="auto"/>
        <w:jc w:val="both"/>
        <w:rPr>
          <w:rFonts w:eastAsia="MS PGothic" w:cstheme="minorHAnsi"/>
          <w:bCs/>
          <w:iCs/>
          <w:sz w:val="16"/>
          <w:szCs w:val="16"/>
          <w:lang w:eastAsia="es-GT"/>
        </w:rPr>
      </w:pPr>
    </w:p>
    <w:p w14:paraId="75EE7317" w14:textId="48EAB574" w:rsidR="005C4219" w:rsidRPr="00184B3A" w:rsidRDefault="00A157BA" w:rsidP="00CE3D5C">
      <w:pPr>
        <w:spacing w:after="0" w:line="240" w:lineRule="auto"/>
        <w:jc w:val="both"/>
        <w:rPr>
          <w:rFonts w:eastAsia="MS PGothic" w:cstheme="minorHAnsi"/>
          <w:bCs/>
          <w:iCs/>
          <w:sz w:val="16"/>
          <w:szCs w:val="16"/>
          <w:lang w:eastAsia="es-GT"/>
        </w:rPr>
      </w:pPr>
      <w:r>
        <w:rPr>
          <w:rFonts w:eastAsia="MS PGothic" w:cstheme="minorHAnsi"/>
          <w:bCs/>
          <w:iCs/>
          <w:sz w:val="16"/>
          <w:szCs w:val="16"/>
          <w:lang w:eastAsia="es-GT"/>
        </w:rPr>
        <w:tab/>
      </w:r>
      <w:r>
        <w:rPr>
          <w:rFonts w:eastAsia="MS PGothic" w:cstheme="minorHAnsi"/>
          <w:bCs/>
          <w:iCs/>
          <w:sz w:val="16"/>
          <w:szCs w:val="16"/>
          <w:lang w:eastAsia="es-GT"/>
        </w:rPr>
        <w:tab/>
      </w:r>
      <w:r w:rsidR="00CE3D5C" w:rsidRPr="00184B3A">
        <w:rPr>
          <w:rFonts w:eastAsia="MS PGothic" w:cstheme="minorHAnsi"/>
          <w:bCs/>
          <w:iCs/>
          <w:sz w:val="16"/>
          <w:szCs w:val="16"/>
          <w:lang w:eastAsia="es-GT"/>
        </w:rPr>
        <w:t>Fuente: Elaboración propia SEGEPLAN con datos del Sistema de Contabilidad Integrada –SICOIN y SICOINDES-</w:t>
      </w:r>
      <w:r>
        <w:rPr>
          <w:rFonts w:eastAsia="MS PGothic" w:cstheme="minorHAnsi"/>
          <w:bCs/>
          <w:iCs/>
          <w:sz w:val="16"/>
          <w:szCs w:val="16"/>
          <w:lang w:eastAsia="es-GT"/>
        </w:rPr>
        <w:t>.</w:t>
      </w:r>
      <w:r w:rsidR="00CE3D5C" w:rsidRPr="00184B3A">
        <w:rPr>
          <w:rFonts w:eastAsia="MS PGothic" w:cstheme="minorHAnsi"/>
          <w:bCs/>
          <w:iCs/>
          <w:sz w:val="16"/>
          <w:szCs w:val="16"/>
          <w:lang w:eastAsia="es-GT"/>
        </w:rPr>
        <w:t xml:space="preserve"> </w:t>
      </w:r>
    </w:p>
    <w:p w14:paraId="42BC9B35" w14:textId="7EE335F2" w:rsidR="00CE3D5C" w:rsidRPr="00184B3A" w:rsidRDefault="005C4219" w:rsidP="005C4219">
      <w:pPr>
        <w:spacing w:after="0" w:line="240" w:lineRule="auto"/>
        <w:jc w:val="both"/>
        <w:rPr>
          <w:rFonts w:eastAsia="MS PGothic" w:cstheme="minorHAnsi"/>
          <w:bCs/>
          <w:iCs/>
          <w:sz w:val="16"/>
          <w:szCs w:val="16"/>
          <w:lang w:eastAsia="es-GT"/>
        </w:rPr>
      </w:pPr>
      <w:r w:rsidRPr="00184B3A">
        <w:rPr>
          <w:rFonts w:eastAsia="MS PGothic" w:cstheme="minorHAnsi"/>
          <w:bCs/>
          <w:iCs/>
          <w:sz w:val="16"/>
          <w:szCs w:val="16"/>
          <w:lang w:eastAsia="es-GT"/>
        </w:rPr>
        <w:tab/>
      </w:r>
      <w:r w:rsidR="00184B3A">
        <w:rPr>
          <w:rFonts w:eastAsia="MS PGothic" w:cstheme="minorHAnsi"/>
          <w:bCs/>
          <w:iCs/>
          <w:sz w:val="16"/>
          <w:szCs w:val="16"/>
          <w:lang w:eastAsia="es-GT"/>
        </w:rPr>
        <w:tab/>
      </w:r>
      <w:r w:rsidRPr="00184B3A">
        <w:rPr>
          <w:rFonts w:eastAsia="MS PGothic" w:cstheme="minorHAnsi"/>
          <w:iCs/>
          <w:sz w:val="16"/>
          <w:szCs w:val="16"/>
          <w:lang w:eastAsia="es-GT"/>
        </w:rPr>
        <w:t>En millones de quetzales.</w:t>
      </w:r>
      <w:r w:rsidR="00CE3D5C" w:rsidRPr="00184B3A">
        <w:rPr>
          <w:rFonts w:eastAsia="MS PGothic" w:cstheme="minorHAnsi"/>
          <w:iCs/>
          <w:sz w:val="16"/>
          <w:szCs w:val="16"/>
          <w:lang w:eastAsia="es-GT"/>
        </w:rPr>
        <w:t xml:space="preserve"> </w:t>
      </w:r>
    </w:p>
    <w:p w14:paraId="589B191E" w14:textId="6059D479" w:rsidR="00CE3D5C" w:rsidRPr="007A6B50" w:rsidRDefault="00CE3D5C" w:rsidP="005C4219">
      <w:pPr>
        <w:spacing w:before="120" w:after="120" w:line="240" w:lineRule="auto"/>
        <w:jc w:val="both"/>
        <w:rPr>
          <w:rFonts w:eastAsia="MS PGothic" w:cstheme="minorHAnsi"/>
          <w:sz w:val="24"/>
          <w:szCs w:val="24"/>
          <w:lang w:eastAsia="es-GT"/>
        </w:rPr>
      </w:pPr>
      <w:r w:rsidRPr="00184B3A">
        <w:rPr>
          <w:rFonts w:eastAsia="MS PGothic" w:cstheme="minorHAnsi"/>
          <w:sz w:val="24"/>
          <w:szCs w:val="24"/>
          <w:lang w:eastAsia="es-GT"/>
        </w:rPr>
        <w:t>Como se puede observar, la ejecución acumulada al 31 de diciembre</w:t>
      </w:r>
      <w:r w:rsidRPr="007A6B50">
        <w:rPr>
          <w:rFonts w:eastAsia="MS PGothic" w:cstheme="minorHAnsi"/>
          <w:sz w:val="24"/>
          <w:szCs w:val="24"/>
          <w:lang w:eastAsia="es-GT"/>
        </w:rPr>
        <w:t xml:space="preserve"> de </w:t>
      </w:r>
      <w:r w:rsidR="00BD1BD3" w:rsidRPr="007A6B50">
        <w:rPr>
          <w:rFonts w:eastAsia="MS PGothic" w:cstheme="minorHAnsi"/>
          <w:sz w:val="24"/>
          <w:szCs w:val="24"/>
          <w:lang w:eastAsia="es-GT"/>
        </w:rPr>
        <w:t>2022</w:t>
      </w:r>
      <w:r w:rsidRPr="007A6B50">
        <w:rPr>
          <w:rFonts w:eastAsia="MS PGothic" w:cstheme="minorHAnsi"/>
          <w:sz w:val="24"/>
          <w:szCs w:val="24"/>
          <w:lang w:eastAsia="es-GT"/>
        </w:rPr>
        <w:t xml:space="preserve"> para cada una de las asignaciones presupuestarias alcanza el </w:t>
      </w:r>
      <w:r w:rsidR="000605EB" w:rsidRPr="007A6B50">
        <w:rPr>
          <w:rFonts w:eastAsia="MS PGothic" w:cstheme="minorHAnsi"/>
          <w:sz w:val="24"/>
          <w:szCs w:val="24"/>
          <w:lang w:eastAsia="es-GT"/>
        </w:rPr>
        <w:t>88.80</w:t>
      </w:r>
      <w:r w:rsidRPr="007A6B50">
        <w:rPr>
          <w:rFonts w:eastAsia="MS PGothic" w:cstheme="minorHAnsi"/>
          <w:sz w:val="24"/>
          <w:szCs w:val="24"/>
          <w:lang w:eastAsia="es-GT"/>
        </w:rPr>
        <w:t xml:space="preserve">% para el Gobierno Central, y el </w:t>
      </w:r>
      <w:r w:rsidR="005E7A40" w:rsidRPr="007A6B50">
        <w:rPr>
          <w:rFonts w:eastAsia="MS PGothic" w:cstheme="minorHAnsi"/>
          <w:sz w:val="24"/>
          <w:szCs w:val="24"/>
          <w:lang w:eastAsia="es-GT"/>
        </w:rPr>
        <w:t>6</w:t>
      </w:r>
      <w:r w:rsidR="000605EB" w:rsidRPr="007A6B50">
        <w:rPr>
          <w:rFonts w:eastAsia="MS PGothic" w:cstheme="minorHAnsi"/>
          <w:sz w:val="24"/>
          <w:szCs w:val="24"/>
          <w:lang w:eastAsia="es-GT"/>
        </w:rPr>
        <w:t>2.54</w:t>
      </w:r>
      <w:r w:rsidRPr="007A6B50">
        <w:rPr>
          <w:rFonts w:eastAsia="MS PGothic" w:cstheme="minorHAnsi"/>
          <w:sz w:val="24"/>
          <w:szCs w:val="24"/>
          <w:lang w:eastAsia="es-GT"/>
        </w:rPr>
        <w:t>% para entidades descentralizadas, para hacer un promedio ponderado entre ambas</w:t>
      </w:r>
      <w:r w:rsidR="008A5415" w:rsidRPr="007A6B50">
        <w:rPr>
          <w:rFonts w:eastAsia="MS PGothic" w:cstheme="minorHAnsi"/>
          <w:sz w:val="24"/>
          <w:szCs w:val="24"/>
          <w:lang w:eastAsia="es-GT"/>
        </w:rPr>
        <w:t xml:space="preserve"> es</w:t>
      </w:r>
      <w:r w:rsidRPr="007A6B50">
        <w:rPr>
          <w:rFonts w:eastAsia="MS PGothic" w:cstheme="minorHAnsi"/>
          <w:sz w:val="24"/>
          <w:szCs w:val="24"/>
          <w:lang w:eastAsia="es-GT"/>
        </w:rPr>
        <w:t xml:space="preserve"> de </w:t>
      </w:r>
      <w:r w:rsidR="00AB63C1" w:rsidRPr="007A6B50">
        <w:rPr>
          <w:rFonts w:eastAsia="MS PGothic" w:cstheme="minorHAnsi"/>
          <w:sz w:val="24"/>
          <w:szCs w:val="24"/>
          <w:lang w:eastAsia="es-GT"/>
        </w:rPr>
        <w:t>76.09</w:t>
      </w:r>
      <w:r w:rsidRPr="007A6B50">
        <w:rPr>
          <w:rFonts w:eastAsia="MS PGothic" w:cstheme="minorHAnsi"/>
          <w:sz w:val="24"/>
          <w:szCs w:val="24"/>
          <w:lang w:eastAsia="es-GT"/>
        </w:rPr>
        <w:t>%, con un monto absoluto de Q.</w:t>
      </w:r>
      <w:r w:rsidR="00AB63C1" w:rsidRPr="007A6B50">
        <w:rPr>
          <w:rFonts w:eastAsia="MS PGothic" w:cstheme="minorHAnsi"/>
          <w:sz w:val="24"/>
          <w:szCs w:val="24"/>
          <w:lang w:eastAsia="es-GT"/>
        </w:rPr>
        <w:t>338.18</w:t>
      </w:r>
      <w:r w:rsidRPr="007A6B50">
        <w:rPr>
          <w:rFonts w:eastAsia="MS PGothic" w:cstheme="minorHAnsi"/>
          <w:sz w:val="24"/>
          <w:szCs w:val="24"/>
          <w:lang w:eastAsia="es-GT"/>
        </w:rPr>
        <w:t xml:space="preserve"> millones, incluido el monto de transferencias para Obligaciones del Estado.</w:t>
      </w:r>
    </w:p>
    <w:p w14:paraId="511F7E12" w14:textId="6B838279" w:rsidR="00CE3D5C" w:rsidRPr="007A6B50" w:rsidRDefault="00CE3D5C" w:rsidP="005C4219">
      <w:pPr>
        <w:tabs>
          <w:tab w:val="num" w:pos="360"/>
        </w:tabs>
        <w:spacing w:before="120" w:after="120" w:line="240" w:lineRule="auto"/>
        <w:rPr>
          <w:rFonts w:eastAsiaTheme="majorEastAsia" w:cstheme="minorHAnsi"/>
          <w:b/>
          <w:color w:val="002060"/>
          <w:sz w:val="28"/>
          <w:szCs w:val="28"/>
        </w:rPr>
      </w:pPr>
      <w:bookmarkStart w:id="134" w:name="_Toc31818087"/>
      <w:r w:rsidRPr="007A6B50">
        <w:rPr>
          <w:rFonts w:eastAsiaTheme="majorEastAsia" w:cstheme="minorHAnsi"/>
          <w:b/>
          <w:color w:val="002060"/>
          <w:sz w:val="28"/>
          <w:szCs w:val="28"/>
        </w:rPr>
        <w:t>Ejecución administración central</w:t>
      </w:r>
      <w:bookmarkEnd w:id="134"/>
    </w:p>
    <w:p w14:paraId="1749547F" w14:textId="1896A790" w:rsidR="00CE3D5C" w:rsidRPr="007A6B50" w:rsidRDefault="00CE3D5C" w:rsidP="005C4219">
      <w:pPr>
        <w:spacing w:before="120" w:after="120" w:line="240" w:lineRule="auto"/>
        <w:jc w:val="both"/>
        <w:rPr>
          <w:rFonts w:eastAsia="MS PGothic" w:cstheme="minorHAnsi"/>
          <w:b/>
          <w:bCs/>
          <w:i/>
          <w:iCs/>
          <w:sz w:val="20"/>
          <w:szCs w:val="20"/>
          <w:lang w:eastAsia="es-GT"/>
        </w:rPr>
      </w:pPr>
      <w:r w:rsidRPr="007A6B50">
        <w:rPr>
          <w:rFonts w:eastAsia="MS PGothic" w:cstheme="minorHAnsi"/>
          <w:sz w:val="24"/>
          <w:szCs w:val="24"/>
          <w:lang w:eastAsia="es-GT"/>
        </w:rPr>
        <w:t xml:space="preserve">La ejecución total acumulada del presupuesto de donaciones asignado a las instituciones de gobierno central al 31 de diciembre de </w:t>
      </w:r>
      <w:r w:rsidR="00BD1BD3" w:rsidRPr="007A6B50">
        <w:rPr>
          <w:rFonts w:eastAsia="MS PGothic" w:cstheme="minorHAnsi"/>
          <w:sz w:val="24"/>
          <w:szCs w:val="24"/>
          <w:lang w:eastAsia="es-GT"/>
        </w:rPr>
        <w:t>2022</w:t>
      </w:r>
      <w:r w:rsidRPr="007A6B50">
        <w:rPr>
          <w:rFonts w:eastAsia="MS PGothic" w:cstheme="minorHAnsi"/>
          <w:sz w:val="24"/>
          <w:szCs w:val="24"/>
          <w:lang w:eastAsia="es-GT"/>
        </w:rPr>
        <w:t>, asciende a Q.</w:t>
      </w:r>
      <w:r w:rsidR="009A2A99" w:rsidRPr="007A6B50">
        <w:rPr>
          <w:rFonts w:eastAsia="MS PGothic" w:cstheme="minorHAnsi"/>
          <w:sz w:val="24"/>
          <w:szCs w:val="24"/>
          <w:lang w:eastAsia="es-GT"/>
        </w:rPr>
        <w:t>225.77</w:t>
      </w:r>
      <w:r w:rsidRPr="007A6B50">
        <w:rPr>
          <w:rFonts w:eastAsia="MS PGothic" w:cstheme="minorHAnsi"/>
          <w:sz w:val="24"/>
          <w:szCs w:val="24"/>
          <w:lang w:eastAsia="es-GT"/>
        </w:rPr>
        <w:t xml:space="preserve"> millones.  El porcentaje de ejecución acumulada es de </w:t>
      </w:r>
      <w:r w:rsidR="00DE3673" w:rsidRPr="007A6B50">
        <w:rPr>
          <w:rFonts w:eastAsia="MS PGothic" w:cstheme="minorHAnsi"/>
          <w:sz w:val="24"/>
          <w:szCs w:val="24"/>
          <w:lang w:eastAsia="es-GT"/>
        </w:rPr>
        <w:t>88.80</w:t>
      </w:r>
      <w:r w:rsidRPr="007A6B50">
        <w:rPr>
          <w:rFonts w:eastAsia="MS PGothic" w:cstheme="minorHAnsi"/>
          <w:sz w:val="24"/>
          <w:szCs w:val="24"/>
          <w:lang w:eastAsia="es-GT"/>
        </w:rPr>
        <w:t xml:space="preserve">% y se clasificó según </w:t>
      </w:r>
      <w:r w:rsidR="00FC7FBF" w:rsidRPr="007A6B50">
        <w:rPr>
          <w:rFonts w:eastAsia="MS PGothic" w:cstheme="minorHAnsi"/>
          <w:sz w:val="24"/>
          <w:szCs w:val="24"/>
          <w:lang w:eastAsia="es-GT"/>
        </w:rPr>
        <w:t>la tabla</w:t>
      </w:r>
      <w:r w:rsidR="005C4219">
        <w:rPr>
          <w:rFonts w:eastAsia="MS PGothic" w:cstheme="minorHAnsi"/>
          <w:sz w:val="24"/>
          <w:szCs w:val="24"/>
          <w:lang w:eastAsia="es-GT"/>
        </w:rPr>
        <w:t xml:space="preserve"> siguiente:</w:t>
      </w:r>
      <w:r w:rsidRPr="007A6B50">
        <w:rPr>
          <w:rFonts w:eastAsia="MS PGothic" w:cstheme="minorHAnsi"/>
          <w:sz w:val="24"/>
          <w:szCs w:val="24"/>
          <w:lang w:eastAsia="es-GT"/>
        </w:rPr>
        <w:t xml:space="preserve"> </w:t>
      </w:r>
    </w:p>
    <w:p w14:paraId="0F561CC6" w14:textId="6EC26CA3" w:rsidR="00DB696A" w:rsidRPr="007A6B50" w:rsidRDefault="00FC7FBF" w:rsidP="00DB696A">
      <w:pPr>
        <w:pStyle w:val="ttulosgrficas"/>
        <w:rPr>
          <w:rFonts w:asciiTheme="minorHAnsi" w:hAnsiTheme="minorHAnsi" w:cstheme="minorHAnsi"/>
          <w:lang w:eastAsia="es-GT"/>
        </w:rPr>
      </w:pPr>
      <w:bookmarkStart w:id="135" w:name="_Toc130199633"/>
      <w:r w:rsidRPr="007A6B50">
        <w:rPr>
          <w:rFonts w:asciiTheme="minorHAnsi" w:hAnsiTheme="minorHAnsi" w:cstheme="minorHAnsi"/>
          <w:lang w:eastAsia="es-GT"/>
        </w:rPr>
        <w:t xml:space="preserve">Tabla </w:t>
      </w:r>
      <w:r w:rsidR="006E5E0A" w:rsidRPr="007A6B50">
        <w:rPr>
          <w:rFonts w:asciiTheme="minorHAnsi" w:hAnsiTheme="minorHAnsi" w:cstheme="minorHAnsi"/>
          <w:lang w:eastAsia="es-GT"/>
        </w:rPr>
        <w:fldChar w:fldCharType="begin"/>
      </w:r>
      <w:r w:rsidR="006E5E0A" w:rsidRPr="007A6B50">
        <w:rPr>
          <w:rFonts w:asciiTheme="minorHAnsi" w:hAnsiTheme="minorHAnsi" w:cstheme="minorHAnsi"/>
          <w:lang w:eastAsia="es-GT"/>
        </w:rPr>
        <w:instrText xml:space="preserve"> SEQ Tabla \* ARABIC </w:instrText>
      </w:r>
      <w:r w:rsidR="006E5E0A" w:rsidRPr="007A6B50">
        <w:rPr>
          <w:rFonts w:asciiTheme="minorHAnsi" w:hAnsiTheme="minorHAnsi" w:cstheme="minorHAnsi"/>
          <w:lang w:eastAsia="es-GT"/>
        </w:rPr>
        <w:fldChar w:fldCharType="separate"/>
      </w:r>
      <w:r w:rsidR="00777974">
        <w:rPr>
          <w:rFonts w:asciiTheme="minorHAnsi" w:hAnsiTheme="minorHAnsi" w:cstheme="minorHAnsi"/>
          <w:noProof/>
          <w:lang w:eastAsia="es-GT"/>
        </w:rPr>
        <w:t>45</w:t>
      </w:r>
      <w:r w:rsidR="006E5E0A" w:rsidRPr="007A6B50">
        <w:rPr>
          <w:rFonts w:asciiTheme="minorHAnsi" w:hAnsiTheme="minorHAnsi" w:cstheme="minorHAnsi"/>
          <w:lang w:eastAsia="es-GT"/>
        </w:rPr>
        <w:fldChar w:fldCharType="end"/>
      </w:r>
      <w:r w:rsidR="005C4219">
        <w:rPr>
          <w:rFonts w:asciiTheme="minorHAnsi" w:hAnsiTheme="minorHAnsi" w:cstheme="minorHAnsi"/>
          <w:lang w:eastAsia="es-GT"/>
        </w:rPr>
        <w:t>.</w:t>
      </w:r>
      <w:r w:rsidR="003562C1" w:rsidRPr="007A6B50">
        <w:rPr>
          <w:rFonts w:asciiTheme="minorHAnsi" w:hAnsiTheme="minorHAnsi" w:cstheme="minorHAnsi"/>
          <w:lang w:eastAsia="es-GT"/>
        </w:rPr>
        <w:t xml:space="preserve"> </w:t>
      </w:r>
      <w:r w:rsidR="00CE3D5C" w:rsidRPr="007A6B50">
        <w:rPr>
          <w:rFonts w:asciiTheme="minorHAnsi" w:hAnsiTheme="minorHAnsi" w:cstheme="minorHAnsi"/>
          <w:lang w:eastAsia="es-GT"/>
        </w:rPr>
        <w:t>Ejecución por tipo de institución</w:t>
      </w:r>
      <w:r w:rsidR="00936E17" w:rsidRPr="007A6B50">
        <w:rPr>
          <w:rFonts w:asciiTheme="minorHAnsi" w:hAnsiTheme="minorHAnsi" w:cstheme="minorHAnsi"/>
          <w:lang w:eastAsia="es-GT"/>
        </w:rPr>
        <w:t xml:space="preserve"> a</w:t>
      </w:r>
      <w:r w:rsidR="00CE3D5C" w:rsidRPr="007A6B50">
        <w:rPr>
          <w:rFonts w:asciiTheme="minorHAnsi" w:hAnsiTheme="minorHAnsi" w:cstheme="minorHAnsi"/>
          <w:lang w:eastAsia="es-GT"/>
        </w:rPr>
        <w:t xml:space="preserve"> diciembre </w:t>
      </w:r>
      <w:r w:rsidR="00BD1BD3" w:rsidRPr="007A6B50">
        <w:rPr>
          <w:rFonts w:asciiTheme="minorHAnsi" w:hAnsiTheme="minorHAnsi" w:cstheme="minorHAnsi"/>
          <w:lang w:eastAsia="es-GT"/>
        </w:rPr>
        <w:t>2022</w:t>
      </w:r>
      <w:bookmarkEnd w:id="135"/>
    </w:p>
    <w:p w14:paraId="723FC524" w14:textId="4D92AF26" w:rsidR="00E158F1" w:rsidRPr="007A6B50" w:rsidRDefault="00DB696A" w:rsidP="00DB696A">
      <w:pPr>
        <w:pStyle w:val="ttulosgrficas"/>
        <w:rPr>
          <w:rFonts w:asciiTheme="minorHAnsi" w:hAnsiTheme="minorHAnsi" w:cstheme="minorHAnsi"/>
          <w:b w:val="0"/>
          <w:bCs w:val="0"/>
          <w:lang w:eastAsia="es-GT"/>
        </w:rPr>
      </w:pPr>
      <w:r w:rsidRPr="007A6B50">
        <w:rPr>
          <w:rFonts w:asciiTheme="minorHAnsi" w:hAnsiTheme="minorHAnsi" w:cstheme="minorHAnsi"/>
          <w:bCs w:val="0"/>
          <w:lang w:eastAsia="es-GT"/>
        </w:rPr>
        <w:t>(Cifras expresadas en millones de quetzales)</w:t>
      </w:r>
      <w:r w:rsidRPr="007A6B50">
        <w:rPr>
          <w:rFonts w:asciiTheme="minorHAnsi" w:hAnsiTheme="minorHAnsi" w:cstheme="minorHAnsi"/>
          <w:b w:val="0"/>
          <w:bCs w:val="0"/>
          <w:lang w:eastAsia="es-GT"/>
        </w:rPr>
        <w:t xml:space="preserve"> </w:t>
      </w:r>
    </w:p>
    <w:tbl>
      <w:tblPr>
        <w:tblStyle w:val="Tablaconcuadrcula4-nfasis5"/>
        <w:tblW w:w="9343" w:type="dxa"/>
        <w:jc w:val="center"/>
        <w:tblLook w:val="04A0" w:firstRow="1" w:lastRow="0" w:firstColumn="1" w:lastColumn="0" w:noHBand="0" w:noVBand="1"/>
      </w:tblPr>
      <w:tblGrid>
        <w:gridCol w:w="2837"/>
        <w:gridCol w:w="1682"/>
        <w:gridCol w:w="1682"/>
        <w:gridCol w:w="1682"/>
        <w:gridCol w:w="1460"/>
      </w:tblGrid>
      <w:tr w:rsidR="00CE3D5C" w:rsidRPr="007A6B50" w14:paraId="47F4B1DF" w14:textId="77777777" w:rsidTr="005C4219">
        <w:trPr>
          <w:cnfStyle w:val="100000000000" w:firstRow="1" w:lastRow="0" w:firstColumn="0" w:lastColumn="0" w:oddVBand="0" w:evenVBand="0" w:oddHBand="0"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2837" w:type="dxa"/>
            <w:vAlign w:val="center"/>
            <w:hideMark/>
          </w:tcPr>
          <w:p w14:paraId="433AC225" w14:textId="66A6FFF9" w:rsidR="00CE3D5C" w:rsidRPr="005C4219" w:rsidRDefault="00CE3D5C" w:rsidP="005C4219">
            <w:pPr>
              <w:jc w:val="center"/>
              <w:rPr>
                <w:rFonts w:asciiTheme="minorHAnsi" w:eastAsia="Times New Roman" w:hAnsiTheme="minorHAnsi" w:cstheme="minorHAnsi"/>
                <w:b w:val="0"/>
                <w:bCs w:val="0"/>
                <w:color w:val="auto"/>
                <w:sz w:val="18"/>
                <w:szCs w:val="18"/>
                <w:lang w:eastAsia="es-GT"/>
              </w:rPr>
            </w:pPr>
            <w:r w:rsidRPr="005C4219">
              <w:rPr>
                <w:rFonts w:asciiTheme="minorHAnsi" w:eastAsia="Times New Roman" w:hAnsiTheme="minorHAnsi" w:cstheme="minorHAnsi"/>
                <w:color w:val="auto"/>
                <w:sz w:val="18"/>
                <w:szCs w:val="18"/>
                <w:lang w:eastAsia="es-GT"/>
              </w:rPr>
              <w:t>Tipo de Institución</w:t>
            </w:r>
          </w:p>
        </w:tc>
        <w:tc>
          <w:tcPr>
            <w:tcW w:w="1682" w:type="dxa"/>
            <w:vAlign w:val="center"/>
            <w:hideMark/>
          </w:tcPr>
          <w:p w14:paraId="6AD0513B" w14:textId="2FB6EA4B" w:rsidR="00936E17" w:rsidRPr="005C4219" w:rsidRDefault="00936E17" w:rsidP="005C421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5C4219">
              <w:rPr>
                <w:rFonts w:asciiTheme="minorHAnsi" w:eastAsia="Times New Roman" w:hAnsiTheme="minorHAnsi" w:cstheme="minorHAnsi"/>
                <w:color w:val="auto"/>
                <w:sz w:val="18"/>
                <w:szCs w:val="18"/>
                <w:lang w:eastAsia="es-GT"/>
              </w:rPr>
              <w:t>Presupuesto</w:t>
            </w:r>
          </w:p>
          <w:p w14:paraId="4036F037" w14:textId="17471C3C" w:rsidR="00CE3D5C" w:rsidRPr="005C4219" w:rsidRDefault="00CE3D5C" w:rsidP="005C421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5C4219">
              <w:rPr>
                <w:rFonts w:asciiTheme="minorHAnsi" w:eastAsia="Times New Roman" w:hAnsiTheme="minorHAnsi" w:cstheme="minorHAnsi"/>
                <w:color w:val="auto"/>
                <w:sz w:val="18"/>
                <w:szCs w:val="18"/>
                <w:lang w:eastAsia="es-GT"/>
              </w:rPr>
              <w:t>Asignado</w:t>
            </w:r>
          </w:p>
        </w:tc>
        <w:tc>
          <w:tcPr>
            <w:tcW w:w="1682" w:type="dxa"/>
            <w:vAlign w:val="center"/>
            <w:hideMark/>
          </w:tcPr>
          <w:p w14:paraId="16AA419A" w14:textId="1E12ED3C" w:rsidR="00CE3D5C" w:rsidRPr="005C4219" w:rsidRDefault="00936E17" w:rsidP="005C421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5C4219">
              <w:rPr>
                <w:rFonts w:asciiTheme="minorHAnsi" w:eastAsia="Times New Roman" w:hAnsiTheme="minorHAnsi" w:cstheme="minorHAnsi"/>
                <w:color w:val="auto"/>
                <w:sz w:val="18"/>
                <w:szCs w:val="18"/>
                <w:lang w:eastAsia="es-GT"/>
              </w:rPr>
              <w:t>Presupuesto</w:t>
            </w:r>
            <w:r w:rsidR="00CE3D5C" w:rsidRPr="005C4219">
              <w:rPr>
                <w:rFonts w:asciiTheme="minorHAnsi" w:eastAsia="Times New Roman" w:hAnsiTheme="minorHAnsi" w:cstheme="minorHAnsi"/>
                <w:color w:val="auto"/>
                <w:sz w:val="18"/>
                <w:szCs w:val="18"/>
                <w:lang w:eastAsia="es-GT"/>
              </w:rPr>
              <w:t xml:space="preserve"> Vigente</w:t>
            </w:r>
          </w:p>
        </w:tc>
        <w:tc>
          <w:tcPr>
            <w:tcW w:w="1682" w:type="dxa"/>
            <w:vAlign w:val="center"/>
            <w:hideMark/>
          </w:tcPr>
          <w:p w14:paraId="34CA9F5A" w14:textId="77777777" w:rsidR="00936E17" w:rsidRPr="005C4219" w:rsidRDefault="00936E17" w:rsidP="005C421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5C4219">
              <w:rPr>
                <w:rFonts w:asciiTheme="minorHAnsi" w:eastAsia="Times New Roman" w:hAnsiTheme="minorHAnsi" w:cstheme="minorHAnsi"/>
                <w:color w:val="auto"/>
                <w:sz w:val="18"/>
                <w:szCs w:val="18"/>
                <w:lang w:eastAsia="es-GT"/>
              </w:rPr>
              <w:t>Presupuesto</w:t>
            </w:r>
          </w:p>
          <w:p w14:paraId="1CA37FB3" w14:textId="5723DC8E" w:rsidR="00CE3D5C" w:rsidRPr="005C4219" w:rsidRDefault="00CE3D5C" w:rsidP="005C421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5C4219">
              <w:rPr>
                <w:rFonts w:asciiTheme="minorHAnsi" w:eastAsia="Times New Roman" w:hAnsiTheme="minorHAnsi" w:cstheme="minorHAnsi"/>
                <w:color w:val="auto"/>
                <w:sz w:val="18"/>
                <w:szCs w:val="18"/>
                <w:lang w:eastAsia="es-GT"/>
              </w:rPr>
              <w:t>Ejecutado</w:t>
            </w:r>
          </w:p>
        </w:tc>
        <w:tc>
          <w:tcPr>
            <w:tcW w:w="1460" w:type="dxa"/>
            <w:vAlign w:val="center"/>
            <w:hideMark/>
          </w:tcPr>
          <w:p w14:paraId="4766A5D5" w14:textId="109AF929" w:rsidR="00CE3D5C" w:rsidRPr="005C4219" w:rsidRDefault="00CE3D5C" w:rsidP="005C421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8"/>
                <w:szCs w:val="18"/>
                <w:lang w:eastAsia="es-GT"/>
              </w:rPr>
            </w:pPr>
            <w:r w:rsidRPr="005C4219">
              <w:rPr>
                <w:rFonts w:asciiTheme="minorHAnsi" w:eastAsia="Times New Roman" w:hAnsiTheme="minorHAnsi" w:cstheme="minorHAnsi"/>
                <w:color w:val="auto"/>
                <w:sz w:val="18"/>
                <w:szCs w:val="18"/>
                <w:lang w:eastAsia="es-GT"/>
              </w:rPr>
              <w:t>% de ejecución</w:t>
            </w:r>
          </w:p>
        </w:tc>
      </w:tr>
      <w:tr w:rsidR="003D5B1B" w:rsidRPr="007A6B50" w14:paraId="6F2DAAB3" w14:textId="77777777" w:rsidTr="005C4219">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837" w:type="dxa"/>
            <w:hideMark/>
          </w:tcPr>
          <w:p w14:paraId="11589B85" w14:textId="77777777" w:rsidR="003D5B1B" w:rsidRPr="005C4219" w:rsidRDefault="003D5B1B" w:rsidP="001D7B49">
            <w:pPr>
              <w:rPr>
                <w:rFonts w:asciiTheme="minorHAnsi" w:eastAsia="Times New Roman" w:hAnsiTheme="minorHAnsi" w:cstheme="minorHAnsi"/>
                <w:b w:val="0"/>
                <w:sz w:val="18"/>
                <w:szCs w:val="18"/>
                <w:lang w:eastAsia="es-GT"/>
              </w:rPr>
            </w:pPr>
            <w:r w:rsidRPr="005C4219">
              <w:rPr>
                <w:rFonts w:asciiTheme="minorHAnsi" w:eastAsia="Times New Roman" w:hAnsiTheme="minorHAnsi" w:cstheme="minorHAnsi"/>
                <w:b w:val="0"/>
                <w:sz w:val="18"/>
                <w:szCs w:val="18"/>
                <w:lang w:eastAsia="es-GT"/>
              </w:rPr>
              <w:t>Ministerios</w:t>
            </w:r>
          </w:p>
        </w:tc>
        <w:tc>
          <w:tcPr>
            <w:tcW w:w="1682" w:type="dxa"/>
            <w:hideMark/>
          </w:tcPr>
          <w:p w14:paraId="0F52F930" w14:textId="6E5099CD" w:rsidR="003D5B1B" w:rsidRPr="007A6B50" w:rsidRDefault="003D5B1B" w:rsidP="000527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116.74</w:t>
            </w:r>
          </w:p>
        </w:tc>
        <w:tc>
          <w:tcPr>
            <w:tcW w:w="1682" w:type="dxa"/>
            <w:hideMark/>
          </w:tcPr>
          <w:p w14:paraId="7D2E5EEE" w14:textId="3862A7F7" w:rsidR="003D5B1B" w:rsidRPr="007A6B50" w:rsidRDefault="003D5B1B" w:rsidP="000527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90.39</w:t>
            </w:r>
          </w:p>
        </w:tc>
        <w:tc>
          <w:tcPr>
            <w:tcW w:w="1682" w:type="dxa"/>
            <w:hideMark/>
          </w:tcPr>
          <w:p w14:paraId="76FCCF03" w14:textId="78E3AC97" w:rsidR="003D5B1B" w:rsidRPr="007A6B50" w:rsidRDefault="003D5B1B" w:rsidP="000527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77.30</w:t>
            </w:r>
          </w:p>
        </w:tc>
        <w:tc>
          <w:tcPr>
            <w:tcW w:w="1460" w:type="dxa"/>
            <w:noWrap/>
            <w:hideMark/>
          </w:tcPr>
          <w:p w14:paraId="5B9E9E59" w14:textId="5FCA1003" w:rsidR="003D5B1B" w:rsidRPr="007A6B50" w:rsidRDefault="003D5B1B" w:rsidP="000527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33.73%</w:t>
            </w:r>
          </w:p>
        </w:tc>
      </w:tr>
      <w:tr w:rsidR="003D5B1B" w:rsidRPr="007A6B50" w14:paraId="625EFCBC" w14:textId="77777777" w:rsidTr="005C4219">
        <w:trPr>
          <w:trHeight w:val="287"/>
          <w:jc w:val="center"/>
        </w:trPr>
        <w:tc>
          <w:tcPr>
            <w:cnfStyle w:val="001000000000" w:firstRow="0" w:lastRow="0" w:firstColumn="1" w:lastColumn="0" w:oddVBand="0" w:evenVBand="0" w:oddHBand="0" w:evenHBand="0" w:firstRowFirstColumn="0" w:firstRowLastColumn="0" w:lastRowFirstColumn="0" w:lastRowLastColumn="0"/>
            <w:tcW w:w="2837" w:type="dxa"/>
            <w:hideMark/>
          </w:tcPr>
          <w:p w14:paraId="45FA8439" w14:textId="77777777" w:rsidR="003D5B1B" w:rsidRPr="005C4219" w:rsidRDefault="003D5B1B" w:rsidP="003D5B1B">
            <w:pPr>
              <w:rPr>
                <w:rFonts w:asciiTheme="minorHAnsi" w:eastAsia="Times New Roman" w:hAnsiTheme="minorHAnsi" w:cstheme="minorHAnsi"/>
                <w:b w:val="0"/>
                <w:sz w:val="18"/>
                <w:szCs w:val="18"/>
                <w:lang w:eastAsia="es-GT"/>
              </w:rPr>
            </w:pPr>
            <w:r w:rsidRPr="005C4219">
              <w:rPr>
                <w:rFonts w:asciiTheme="minorHAnsi" w:eastAsia="Times New Roman" w:hAnsiTheme="minorHAnsi" w:cstheme="minorHAnsi"/>
                <w:b w:val="0"/>
                <w:sz w:val="18"/>
                <w:szCs w:val="18"/>
                <w:lang w:eastAsia="es-GT"/>
              </w:rPr>
              <w:t>Secretarías y Otras</w:t>
            </w:r>
          </w:p>
        </w:tc>
        <w:tc>
          <w:tcPr>
            <w:tcW w:w="1682" w:type="dxa"/>
            <w:hideMark/>
          </w:tcPr>
          <w:p w14:paraId="36AF4777" w14:textId="130B260A" w:rsidR="003D5B1B" w:rsidRPr="007A6B50" w:rsidRDefault="003D5B1B" w:rsidP="000527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24.73</w:t>
            </w:r>
          </w:p>
        </w:tc>
        <w:tc>
          <w:tcPr>
            <w:tcW w:w="1682" w:type="dxa"/>
            <w:hideMark/>
          </w:tcPr>
          <w:p w14:paraId="7D556204" w14:textId="13750287" w:rsidR="003D5B1B" w:rsidRPr="007A6B50" w:rsidRDefault="003D5B1B" w:rsidP="000527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20.11</w:t>
            </w:r>
          </w:p>
        </w:tc>
        <w:tc>
          <w:tcPr>
            <w:tcW w:w="1682" w:type="dxa"/>
            <w:hideMark/>
          </w:tcPr>
          <w:p w14:paraId="4F9E1FB9" w14:textId="14C46449" w:rsidR="003D5B1B" w:rsidRPr="007A6B50" w:rsidRDefault="003D5B1B" w:rsidP="000527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15.85</w:t>
            </w:r>
          </w:p>
        </w:tc>
        <w:tc>
          <w:tcPr>
            <w:tcW w:w="1460" w:type="dxa"/>
            <w:noWrap/>
            <w:hideMark/>
          </w:tcPr>
          <w:p w14:paraId="0033E82F" w14:textId="0BB73EEF" w:rsidR="003D5B1B" w:rsidRPr="007A6B50" w:rsidRDefault="003D5B1B" w:rsidP="000527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6.91%</w:t>
            </w:r>
          </w:p>
        </w:tc>
      </w:tr>
      <w:tr w:rsidR="003D5B1B" w:rsidRPr="007A6B50" w14:paraId="319078ED" w14:textId="77777777" w:rsidTr="005C4219">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837" w:type="dxa"/>
            <w:hideMark/>
          </w:tcPr>
          <w:p w14:paraId="711291D6" w14:textId="77777777" w:rsidR="003D5B1B" w:rsidRPr="005C4219" w:rsidRDefault="003D5B1B" w:rsidP="003D5B1B">
            <w:pPr>
              <w:rPr>
                <w:rFonts w:asciiTheme="minorHAnsi" w:eastAsia="Times New Roman" w:hAnsiTheme="minorHAnsi" w:cstheme="minorHAnsi"/>
                <w:b w:val="0"/>
                <w:sz w:val="18"/>
                <w:szCs w:val="18"/>
                <w:lang w:eastAsia="es-GT"/>
              </w:rPr>
            </w:pPr>
            <w:r w:rsidRPr="005C4219">
              <w:rPr>
                <w:rFonts w:asciiTheme="minorHAnsi" w:eastAsia="Times New Roman" w:hAnsiTheme="minorHAnsi" w:cstheme="minorHAnsi"/>
                <w:b w:val="0"/>
                <w:sz w:val="18"/>
                <w:szCs w:val="18"/>
                <w:lang w:eastAsia="es-GT"/>
              </w:rPr>
              <w:t xml:space="preserve">Obligaciones a Cargo del Tesoro </w:t>
            </w:r>
          </w:p>
        </w:tc>
        <w:tc>
          <w:tcPr>
            <w:tcW w:w="1682" w:type="dxa"/>
            <w:hideMark/>
          </w:tcPr>
          <w:p w14:paraId="7071A94A" w14:textId="02FA0E84" w:rsidR="003D5B1B" w:rsidRPr="007A6B50" w:rsidRDefault="003D5B1B" w:rsidP="000527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84.30</w:t>
            </w:r>
          </w:p>
        </w:tc>
        <w:tc>
          <w:tcPr>
            <w:tcW w:w="1682" w:type="dxa"/>
            <w:hideMark/>
          </w:tcPr>
          <w:p w14:paraId="5378611C" w14:textId="2BD72626" w:rsidR="003D5B1B" w:rsidRPr="007A6B50" w:rsidRDefault="003D5B1B" w:rsidP="000527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118.70</w:t>
            </w:r>
          </w:p>
        </w:tc>
        <w:tc>
          <w:tcPr>
            <w:tcW w:w="1682" w:type="dxa"/>
            <w:hideMark/>
          </w:tcPr>
          <w:p w14:paraId="4C32584C" w14:textId="60297EF7" w:rsidR="003D5B1B" w:rsidRPr="007A6B50" w:rsidRDefault="003D5B1B" w:rsidP="000527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110.40</w:t>
            </w:r>
          </w:p>
        </w:tc>
        <w:tc>
          <w:tcPr>
            <w:tcW w:w="1460" w:type="dxa"/>
            <w:noWrap/>
            <w:hideMark/>
          </w:tcPr>
          <w:p w14:paraId="42722F61" w14:textId="3B0AF8B7" w:rsidR="003D5B1B" w:rsidRPr="007A6B50" w:rsidRDefault="003D5B1B" w:rsidP="000527A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48.17%</w:t>
            </w:r>
          </w:p>
        </w:tc>
      </w:tr>
      <w:tr w:rsidR="003D5B1B" w:rsidRPr="007A6B50" w14:paraId="70575611" w14:textId="77777777" w:rsidTr="005C4219">
        <w:trPr>
          <w:trHeight w:val="316"/>
          <w:jc w:val="center"/>
        </w:trPr>
        <w:tc>
          <w:tcPr>
            <w:cnfStyle w:val="001000000000" w:firstRow="0" w:lastRow="0" w:firstColumn="1" w:lastColumn="0" w:oddVBand="0" w:evenVBand="0" w:oddHBand="0" w:evenHBand="0" w:firstRowFirstColumn="0" w:firstRowLastColumn="0" w:lastRowFirstColumn="0" w:lastRowLastColumn="0"/>
            <w:tcW w:w="2837" w:type="dxa"/>
            <w:hideMark/>
          </w:tcPr>
          <w:p w14:paraId="0E7BEA07" w14:textId="4A486747" w:rsidR="003D5B1B" w:rsidRPr="007A6B50" w:rsidRDefault="003D5B1B" w:rsidP="003D5B1B">
            <w:pPr>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lang w:eastAsia="es-GT"/>
              </w:rPr>
              <w:t>Total</w:t>
            </w:r>
          </w:p>
        </w:tc>
        <w:tc>
          <w:tcPr>
            <w:tcW w:w="1682" w:type="dxa"/>
            <w:hideMark/>
          </w:tcPr>
          <w:p w14:paraId="42CDBE6C" w14:textId="6F85A4F3" w:rsidR="003D5B1B" w:rsidRPr="005C4219" w:rsidRDefault="003D5B1B" w:rsidP="000527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es-GT"/>
              </w:rPr>
            </w:pPr>
            <w:r w:rsidRPr="005C4219">
              <w:rPr>
                <w:rFonts w:asciiTheme="minorHAnsi" w:hAnsiTheme="minorHAnsi" w:cstheme="minorHAnsi"/>
                <w:b/>
              </w:rPr>
              <w:t>225.77</w:t>
            </w:r>
          </w:p>
        </w:tc>
        <w:tc>
          <w:tcPr>
            <w:tcW w:w="1682" w:type="dxa"/>
            <w:hideMark/>
          </w:tcPr>
          <w:p w14:paraId="6A0F11B2" w14:textId="672CADE0" w:rsidR="003D5B1B" w:rsidRPr="005C4219" w:rsidRDefault="003D5B1B" w:rsidP="000527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es-GT"/>
              </w:rPr>
            </w:pPr>
            <w:r w:rsidRPr="005C4219">
              <w:rPr>
                <w:rFonts w:asciiTheme="minorHAnsi" w:hAnsiTheme="minorHAnsi" w:cstheme="minorHAnsi"/>
                <w:b/>
              </w:rPr>
              <w:t>229.20</w:t>
            </w:r>
          </w:p>
        </w:tc>
        <w:tc>
          <w:tcPr>
            <w:tcW w:w="1682" w:type="dxa"/>
            <w:hideMark/>
          </w:tcPr>
          <w:p w14:paraId="5F26B90C" w14:textId="725E2418" w:rsidR="003D5B1B" w:rsidRPr="005C4219" w:rsidRDefault="003D5B1B" w:rsidP="000527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es-GT"/>
              </w:rPr>
            </w:pPr>
            <w:r w:rsidRPr="005C4219">
              <w:rPr>
                <w:rFonts w:asciiTheme="minorHAnsi" w:hAnsiTheme="minorHAnsi" w:cstheme="minorHAnsi"/>
                <w:b/>
              </w:rPr>
              <w:t>203.54</w:t>
            </w:r>
          </w:p>
        </w:tc>
        <w:tc>
          <w:tcPr>
            <w:tcW w:w="1460" w:type="dxa"/>
            <w:noWrap/>
            <w:hideMark/>
          </w:tcPr>
          <w:p w14:paraId="6B95E3F6" w14:textId="0DFDFA3A" w:rsidR="003D5B1B" w:rsidRPr="005C4219" w:rsidRDefault="003D5B1B" w:rsidP="000527A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es-GT"/>
              </w:rPr>
            </w:pPr>
            <w:r w:rsidRPr="005C4219">
              <w:rPr>
                <w:rFonts w:asciiTheme="minorHAnsi" w:hAnsiTheme="minorHAnsi" w:cstheme="minorHAnsi"/>
                <w:b/>
              </w:rPr>
              <w:t>88.80%</w:t>
            </w:r>
          </w:p>
        </w:tc>
      </w:tr>
    </w:tbl>
    <w:p w14:paraId="780D3F5E" w14:textId="508C835F" w:rsidR="00CE3D5C" w:rsidRPr="007A6B50" w:rsidRDefault="000810BD" w:rsidP="005C4219">
      <w:pPr>
        <w:spacing w:after="0" w:line="240" w:lineRule="auto"/>
        <w:rPr>
          <w:rFonts w:eastAsia="MS PGothic" w:cstheme="minorHAnsi"/>
          <w:bCs/>
          <w:iCs/>
          <w:sz w:val="16"/>
          <w:szCs w:val="18"/>
          <w:lang w:eastAsia="es-GT"/>
        </w:rPr>
      </w:pPr>
      <w:r w:rsidRPr="007A6B50">
        <w:rPr>
          <w:rFonts w:eastAsia="MS PGothic" w:cstheme="minorHAnsi"/>
          <w:bCs/>
          <w:i/>
          <w:iCs/>
          <w:sz w:val="16"/>
          <w:szCs w:val="18"/>
          <w:lang w:eastAsia="es-GT"/>
        </w:rPr>
        <w:t xml:space="preserve">   </w:t>
      </w:r>
      <w:r w:rsidR="00CE3D5C" w:rsidRPr="007A6B50">
        <w:rPr>
          <w:rFonts w:eastAsia="MS PGothic" w:cstheme="minorHAnsi"/>
          <w:bCs/>
          <w:iCs/>
          <w:sz w:val="16"/>
          <w:szCs w:val="18"/>
          <w:lang w:eastAsia="es-GT"/>
        </w:rPr>
        <w:t xml:space="preserve">Fuente: Elaboración propia SEGEPLAN </w:t>
      </w:r>
      <w:r w:rsidR="00691B67" w:rsidRPr="007A6B50">
        <w:rPr>
          <w:rFonts w:eastAsia="MS PGothic" w:cstheme="minorHAnsi"/>
          <w:bCs/>
          <w:iCs/>
          <w:sz w:val="16"/>
          <w:szCs w:val="18"/>
          <w:lang w:eastAsia="es-GT"/>
        </w:rPr>
        <w:t xml:space="preserve">con </w:t>
      </w:r>
      <w:r w:rsidR="00CE3D5C" w:rsidRPr="007A6B50">
        <w:rPr>
          <w:rFonts w:eastAsia="MS PGothic" w:cstheme="minorHAnsi"/>
          <w:bCs/>
          <w:iCs/>
          <w:sz w:val="16"/>
          <w:szCs w:val="18"/>
          <w:lang w:eastAsia="es-GT"/>
        </w:rPr>
        <w:t xml:space="preserve">datos del Sistema de Contabilidad </w:t>
      </w:r>
      <w:r w:rsidR="00691B67" w:rsidRPr="007A6B50">
        <w:rPr>
          <w:rFonts w:eastAsia="MS PGothic" w:cstheme="minorHAnsi"/>
          <w:bCs/>
          <w:iCs/>
          <w:sz w:val="16"/>
          <w:szCs w:val="18"/>
          <w:lang w:eastAsia="es-GT"/>
        </w:rPr>
        <w:t>I</w:t>
      </w:r>
      <w:r w:rsidR="00CE3D5C" w:rsidRPr="007A6B50">
        <w:rPr>
          <w:rFonts w:eastAsia="MS PGothic" w:cstheme="minorHAnsi"/>
          <w:bCs/>
          <w:iCs/>
          <w:sz w:val="16"/>
          <w:szCs w:val="18"/>
          <w:lang w:eastAsia="es-GT"/>
        </w:rPr>
        <w:t>ntegra</w:t>
      </w:r>
      <w:r w:rsidR="00B759FC" w:rsidRPr="007A6B50">
        <w:rPr>
          <w:rFonts w:eastAsia="MS PGothic" w:cstheme="minorHAnsi"/>
          <w:bCs/>
          <w:iCs/>
          <w:sz w:val="16"/>
          <w:szCs w:val="18"/>
          <w:lang w:eastAsia="es-GT"/>
        </w:rPr>
        <w:t>da</w:t>
      </w:r>
      <w:r w:rsidR="00E158F1" w:rsidRPr="007A6B50">
        <w:rPr>
          <w:rFonts w:eastAsia="MS PGothic" w:cstheme="minorHAnsi"/>
          <w:bCs/>
          <w:iCs/>
          <w:sz w:val="16"/>
          <w:szCs w:val="18"/>
          <w:lang w:eastAsia="es-GT"/>
        </w:rPr>
        <w:t xml:space="preserve"> -</w:t>
      </w:r>
      <w:r w:rsidR="00CE3D5C" w:rsidRPr="007A6B50">
        <w:rPr>
          <w:rFonts w:eastAsia="MS PGothic" w:cstheme="minorHAnsi"/>
          <w:bCs/>
          <w:iCs/>
          <w:sz w:val="16"/>
          <w:szCs w:val="18"/>
          <w:lang w:eastAsia="es-GT"/>
        </w:rPr>
        <w:t>SICOIN-</w:t>
      </w:r>
      <w:r w:rsidR="005C4219">
        <w:rPr>
          <w:rFonts w:eastAsia="MS PGothic" w:cstheme="minorHAnsi"/>
          <w:bCs/>
          <w:iCs/>
          <w:sz w:val="16"/>
          <w:szCs w:val="18"/>
          <w:lang w:eastAsia="es-GT"/>
        </w:rPr>
        <w:t xml:space="preserve">. </w:t>
      </w:r>
      <w:r w:rsidR="00CE3D5C" w:rsidRPr="007A6B50">
        <w:rPr>
          <w:rFonts w:eastAsia="MS PGothic" w:cstheme="minorHAnsi"/>
          <w:bCs/>
          <w:iCs/>
          <w:sz w:val="16"/>
          <w:szCs w:val="18"/>
          <w:lang w:eastAsia="es-GT"/>
        </w:rPr>
        <w:t xml:space="preserve">Ejercicio Fiscal </w:t>
      </w:r>
      <w:r w:rsidR="00BD1BD3" w:rsidRPr="007A6B50">
        <w:rPr>
          <w:rFonts w:eastAsia="MS PGothic" w:cstheme="minorHAnsi"/>
          <w:bCs/>
          <w:iCs/>
          <w:sz w:val="16"/>
          <w:szCs w:val="18"/>
          <w:lang w:eastAsia="es-GT"/>
        </w:rPr>
        <w:t>2022</w:t>
      </w:r>
      <w:r w:rsidR="00E158F1" w:rsidRPr="007A6B50">
        <w:rPr>
          <w:rFonts w:eastAsia="MS PGothic" w:cstheme="minorHAnsi"/>
          <w:bCs/>
          <w:iCs/>
          <w:sz w:val="16"/>
          <w:szCs w:val="18"/>
          <w:lang w:eastAsia="es-GT"/>
        </w:rPr>
        <w:t>.</w:t>
      </w:r>
    </w:p>
    <w:p w14:paraId="7B7894D5" w14:textId="77777777" w:rsidR="00517E4A" w:rsidRDefault="00517E4A" w:rsidP="00517E4A">
      <w:pPr>
        <w:spacing w:before="120" w:after="120" w:line="240" w:lineRule="auto"/>
        <w:jc w:val="both"/>
        <w:rPr>
          <w:rFonts w:eastAsia="MS PGothic" w:cstheme="minorHAnsi"/>
          <w:sz w:val="24"/>
          <w:szCs w:val="24"/>
          <w:lang w:eastAsia="es-GT"/>
        </w:rPr>
      </w:pPr>
    </w:p>
    <w:p w14:paraId="05AE518B" w14:textId="5DED80F1" w:rsidR="00CE3D5C" w:rsidRPr="007A6B50" w:rsidRDefault="00CE3D5C" w:rsidP="00517E4A">
      <w:pPr>
        <w:spacing w:before="120" w:after="120" w:line="240" w:lineRule="auto"/>
        <w:jc w:val="both"/>
        <w:rPr>
          <w:rFonts w:eastAsia="MS PGothic" w:cstheme="minorHAnsi"/>
          <w:sz w:val="24"/>
          <w:szCs w:val="24"/>
          <w:lang w:eastAsia="es-GT"/>
        </w:rPr>
      </w:pPr>
      <w:r w:rsidRPr="007A6B50">
        <w:rPr>
          <w:rFonts w:eastAsia="MS PGothic" w:cstheme="minorHAnsi"/>
          <w:sz w:val="24"/>
          <w:szCs w:val="24"/>
          <w:lang w:eastAsia="es-GT"/>
        </w:rPr>
        <w:t xml:space="preserve">La ejecución detallada por institución se puede observar en </w:t>
      </w:r>
      <w:r w:rsidR="00FC7FBF" w:rsidRPr="007A6B50">
        <w:rPr>
          <w:rFonts w:eastAsia="MS PGothic" w:cstheme="minorHAnsi"/>
          <w:sz w:val="24"/>
          <w:szCs w:val="24"/>
          <w:lang w:eastAsia="es-GT"/>
        </w:rPr>
        <w:t xml:space="preserve">la </w:t>
      </w:r>
      <w:r w:rsidR="005C4219">
        <w:rPr>
          <w:rFonts w:eastAsia="MS PGothic" w:cstheme="minorHAnsi"/>
          <w:sz w:val="24"/>
          <w:szCs w:val="24"/>
          <w:lang w:eastAsia="es-GT"/>
        </w:rPr>
        <w:t>tabla siguiente:</w:t>
      </w:r>
    </w:p>
    <w:p w14:paraId="7CFB5D50" w14:textId="7A7E7219" w:rsidR="00CE3D5C" w:rsidRPr="007A6B50" w:rsidRDefault="00FC7FBF" w:rsidP="008F7682">
      <w:pPr>
        <w:pStyle w:val="ttulosgrficas"/>
        <w:rPr>
          <w:rFonts w:asciiTheme="minorHAnsi" w:hAnsiTheme="minorHAnsi" w:cstheme="minorHAnsi"/>
          <w:lang w:eastAsia="es-GT"/>
        </w:rPr>
      </w:pPr>
      <w:bookmarkStart w:id="136" w:name="_Toc130199634"/>
      <w:r w:rsidRPr="007A6B50">
        <w:rPr>
          <w:rFonts w:asciiTheme="minorHAnsi" w:hAnsiTheme="minorHAnsi" w:cstheme="minorHAnsi"/>
          <w:lang w:eastAsia="es-GT"/>
        </w:rPr>
        <w:t xml:space="preserve">Tabla </w:t>
      </w:r>
      <w:r w:rsidR="006E5E0A" w:rsidRPr="007A6B50">
        <w:rPr>
          <w:rFonts w:asciiTheme="minorHAnsi" w:hAnsiTheme="minorHAnsi" w:cstheme="minorHAnsi"/>
          <w:lang w:eastAsia="es-GT"/>
        </w:rPr>
        <w:fldChar w:fldCharType="begin"/>
      </w:r>
      <w:r w:rsidR="006E5E0A" w:rsidRPr="007A6B50">
        <w:rPr>
          <w:rFonts w:asciiTheme="minorHAnsi" w:hAnsiTheme="minorHAnsi" w:cstheme="minorHAnsi"/>
          <w:lang w:eastAsia="es-GT"/>
        </w:rPr>
        <w:instrText xml:space="preserve"> SEQ Tabla \* ARABIC </w:instrText>
      </w:r>
      <w:r w:rsidR="006E5E0A" w:rsidRPr="007A6B50">
        <w:rPr>
          <w:rFonts w:asciiTheme="minorHAnsi" w:hAnsiTheme="minorHAnsi" w:cstheme="minorHAnsi"/>
          <w:lang w:eastAsia="es-GT"/>
        </w:rPr>
        <w:fldChar w:fldCharType="separate"/>
      </w:r>
      <w:r w:rsidR="00777974">
        <w:rPr>
          <w:rFonts w:asciiTheme="minorHAnsi" w:hAnsiTheme="minorHAnsi" w:cstheme="minorHAnsi"/>
          <w:noProof/>
          <w:lang w:eastAsia="es-GT"/>
        </w:rPr>
        <w:t>46</w:t>
      </w:r>
      <w:r w:rsidR="006E5E0A" w:rsidRPr="007A6B50">
        <w:rPr>
          <w:rFonts w:asciiTheme="minorHAnsi" w:hAnsiTheme="minorHAnsi" w:cstheme="minorHAnsi"/>
          <w:lang w:eastAsia="es-GT"/>
        </w:rPr>
        <w:fldChar w:fldCharType="end"/>
      </w:r>
      <w:r w:rsidR="005C4219">
        <w:rPr>
          <w:rFonts w:asciiTheme="minorHAnsi" w:hAnsiTheme="minorHAnsi" w:cstheme="minorHAnsi"/>
          <w:lang w:eastAsia="es-GT"/>
        </w:rPr>
        <w:t>.</w:t>
      </w:r>
      <w:r w:rsidR="003562C1" w:rsidRPr="007A6B50">
        <w:rPr>
          <w:rFonts w:asciiTheme="minorHAnsi" w:hAnsiTheme="minorHAnsi" w:cstheme="minorHAnsi"/>
          <w:lang w:eastAsia="es-GT"/>
        </w:rPr>
        <w:t xml:space="preserve"> </w:t>
      </w:r>
      <w:r w:rsidR="00CE3D5C" w:rsidRPr="007A6B50">
        <w:rPr>
          <w:rFonts w:asciiTheme="minorHAnsi" w:hAnsiTheme="minorHAnsi" w:cstheme="minorHAnsi"/>
          <w:lang w:eastAsia="es-GT"/>
        </w:rPr>
        <w:t>Ejecución de donaciones</w:t>
      </w:r>
      <w:r w:rsidR="00936E17" w:rsidRPr="007A6B50">
        <w:rPr>
          <w:rFonts w:asciiTheme="minorHAnsi" w:hAnsiTheme="minorHAnsi" w:cstheme="minorHAnsi"/>
          <w:lang w:eastAsia="es-GT"/>
        </w:rPr>
        <w:t xml:space="preserve"> a diciembre </w:t>
      </w:r>
      <w:r w:rsidR="00BD1BD3" w:rsidRPr="007A6B50">
        <w:rPr>
          <w:rFonts w:asciiTheme="minorHAnsi" w:hAnsiTheme="minorHAnsi" w:cstheme="minorHAnsi"/>
          <w:lang w:eastAsia="es-GT"/>
        </w:rPr>
        <w:t>2022</w:t>
      </w:r>
      <w:bookmarkEnd w:id="136"/>
    </w:p>
    <w:p w14:paraId="2041262C" w14:textId="50B96C3E" w:rsidR="00E158F1" w:rsidRPr="007A6B50" w:rsidRDefault="00104DBF" w:rsidP="00104DBF">
      <w:pPr>
        <w:pStyle w:val="ttulosgrficas"/>
        <w:rPr>
          <w:rFonts w:asciiTheme="minorHAnsi" w:hAnsiTheme="minorHAnsi" w:cstheme="minorHAnsi"/>
          <w:b w:val="0"/>
          <w:bCs w:val="0"/>
          <w:lang w:eastAsia="es-GT"/>
        </w:rPr>
      </w:pPr>
      <w:r w:rsidRPr="007A6B50">
        <w:rPr>
          <w:rFonts w:asciiTheme="minorHAnsi" w:hAnsiTheme="minorHAnsi" w:cstheme="minorHAnsi"/>
          <w:bCs w:val="0"/>
          <w:lang w:eastAsia="es-GT"/>
        </w:rPr>
        <w:t>(Cifras expresadas en millones de quetzales)</w:t>
      </w:r>
      <w:r w:rsidRPr="007A6B50">
        <w:rPr>
          <w:rFonts w:asciiTheme="minorHAnsi" w:hAnsiTheme="minorHAnsi" w:cstheme="minorHAnsi"/>
          <w:b w:val="0"/>
          <w:bCs w:val="0"/>
          <w:lang w:eastAsia="es-GT"/>
        </w:rPr>
        <w:t xml:space="preserve"> </w:t>
      </w:r>
    </w:p>
    <w:tbl>
      <w:tblPr>
        <w:tblStyle w:val="Tabladelista4-nfasis5"/>
        <w:tblW w:w="9640" w:type="dxa"/>
        <w:tblLook w:val="04A0" w:firstRow="1" w:lastRow="0" w:firstColumn="1" w:lastColumn="0" w:noHBand="0" w:noVBand="1"/>
      </w:tblPr>
      <w:tblGrid>
        <w:gridCol w:w="3303"/>
        <w:gridCol w:w="1578"/>
        <w:gridCol w:w="1578"/>
        <w:gridCol w:w="1712"/>
        <w:gridCol w:w="1469"/>
      </w:tblGrid>
      <w:tr w:rsidR="005C4219" w:rsidRPr="007A6B50" w14:paraId="629F30EA" w14:textId="77777777" w:rsidTr="00813082">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03" w:type="dxa"/>
            <w:vAlign w:val="center"/>
            <w:hideMark/>
          </w:tcPr>
          <w:p w14:paraId="41AF6596" w14:textId="06D54B40" w:rsidR="005C4219" w:rsidRPr="005C4219" w:rsidRDefault="005C4219" w:rsidP="005C4219">
            <w:pPr>
              <w:jc w:val="center"/>
              <w:rPr>
                <w:rFonts w:eastAsia="Times New Roman" w:cstheme="minorHAnsi"/>
                <w:b w:val="0"/>
                <w:bCs w:val="0"/>
                <w:iCs/>
                <w:color w:val="auto"/>
                <w:sz w:val="18"/>
                <w:szCs w:val="18"/>
                <w:lang w:eastAsia="es-GT"/>
              </w:rPr>
            </w:pPr>
            <w:r w:rsidRPr="005C4219">
              <w:rPr>
                <w:rFonts w:eastAsia="Times New Roman" w:cstheme="minorHAnsi"/>
                <w:iCs/>
                <w:color w:val="auto"/>
                <w:sz w:val="18"/>
                <w:szCs w:val="18"/>
                <w:lang w:eastAsia="es-GT"/>
              </w:rPr>
              <w:t>Institución</w:t>
            </w:r>
          </w:p>
        </w:tc>
        <w:tc>
          <w:tcPr>
            <w:tcW w:w="1578" w:type="dxa"/>
            <w:vAlign w:val="center"/>
            <w:hideMark/>
          </w:tcPr>
          <w:p w14:paraId="27681600" w14:textId="77777777" w:rsidR="005C4219" w:rsidRPr="005C4219" w:rsidRDefault="005C4219"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sz w:val="18"/>
                <w:szCs w:val="18"/>
                <w:lang w:eastAsia="es-GT"/>
              </w:rPr>
            </w:pPr>
            <w:r w:rsidRPr="005C4219">
              <w:rPr>
                <w:rFonts w:eastAsia="Times New Roman" w:cstheme="minorHAnsi"/>
                <w:iCs/>
                <w:color w:val="auto"/>
                <w:sz w:val="18"/>
                <w:szCs w:val="18"/>
                <w:lang w:eastAsia="es-GT"/>
              </w:rPr>
              <w:t>Presupuesto</w:t>
            </w:r>
          </w:p>
          <w:p w14:paraId="00D90AF4" w14:textId="3FB48694" w:rsidR="005C4219" w:rsidRPr="005C4219" w:rsidRDefault="005C4219"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sz w:val="18"/>
                <w:szCs w:val="18"/>
                <w:lang w:eastAsia="es-GT"/>
              </w:rPr>
            </w:pPr>
            <w:r w:rsidRPr="005C4219">
              <w:rPr>
                <w:rFonts w:eastAsia="Times New Roman" w:cstheme="minorHAnsi"/>
                <w:iCs/>
                <w:color w:val="auto"/>
                <w:sz w:val="18"/>
                <w:szCs w:val="18"/>
                <w:lang w:eastAsia="es-GT"/>
              </w:rPr>
              <w:t>Asignado</w:t>
            </w:r>
          </w:p>
        </w:tc>
        <w:tc>
          <w:tcPr>
            <w:tcW w:w="1578" w:type="dxa"/>
            <w:vAlign w:val="center"/>
            <w:hideMark/>
          </w:tcPr>
          <w:p w14:paraId="1C0489D9" w14:textId="77777777" w:rsidR="005C4219" w:rsidRPr="005C4219" w:rsidRDefault="005C4219"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sz w:val="18"/>
                <w:szCs w:val="18"/>
                <w:lang w:eastAsia="es-GT"/>
              </w:rPr>
            </w:pPr>
            <w:r w:rsidRPr="005C4219">
              <w:rPr>
                <w:rFonts w:eastAsia="Times New Roman" w:cstheme="minorHAnsi"/>
                <w:iCs/>
                <w:color w:val="auto"/>
                <w:sz w:val="18"/>
                <w:szCs w:val="18"/>
                <w:lang w:eastAsia="es-GT"/>
              </w:rPr>
              <w:t>Presupuesto</w:t>
            </w:r>
          </w:p>
          <w:p w14:paraId="2185F5DA" w14:textId="0B9BBBAD" w:rsidR="005C4219" w:rsidRPr="005C4219" w:rsidRDefault="005C4219"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sz w:val="18"/>
                <w:szCs w:val="18"/>
                <w:lang w:eastAsia="es-GT"/>
              </w:rPr>
            </w:pPr>
            <w:r w:rsidRPr="005C4219">
              <w:rPr>
                <w:rFonts w:eastAsia="Times New Roman" w:cstheme="minorHAnsi"/>
                <w:iCs/>
                <w:color w:val="auto"/>
                <w:sz w:val="18"/>
                <w:szCs w:val="18"/>
                <w:lang w:eastAsia="es-GT"/>
              </w:rPr>
              <w:t>Vigente</w:t>
            </w:r>
          </w:p>
        </w:tc>
        <w:tc>
          <w:tcPr>
            <w:tcW w:w="1712" w:type="dxa"/>
            <w:vAlign w:val="center"/>
            <w:hideMark/>
          </w:tcPr>
          <w:p w14:paraId="2B35836A" w14:textId="6036CD9B" w:rsidR="005C4219" w:rsidRPr="005C4219" w:rsidRDefault="005C4219"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sz w:val="18"/>
                <w:szCs w:val="18"/>
                <w:lang w:eastAsia="es-GT"/>
              </w:rPr>
            </w:pPr>
            <w:r w:rsidRPr="005C4219">
              <w:rPr>
                <w:rFonts w:eastAsia="Times New Roman" w:cstheme="minorHAnsi"/>
                <w:iCs/>
                <w:color w:val="auto"/>
                <w:sz w:val="18"/>
                <w:szCs w:val="18"/>
                <w:lang w:eastAsia="es-GT"/>
              </w:rPr>
              <w:t xml:space="preserve">Presupuesto </w:t>
            </w:r>
            <w:r>
              <w:rPr>
                <w:rFonts w:eastAsia="Times New Roman" w:cstheme="minorHAnsi"/>
                <w:iCs/>
                <w:color w:val="auto"/>
                <w:sz w:val="18"/>
                <w:szCs w:val="18"/>
                <w:lang w:eastAsia="es-GT"/>
              </w:rPr>
              <w:t>E</w:t>
            </w:r>
            <w:r w:rsidRPr="005C4219">
              <w:rPr>
                <w:rFonts w:eastAsia="Times New Roman" w:cstheme="minorHAnsi"/>
                <w:iCs/>
                <w:color w:val="auto"/>
                <w:sz w:val="18"/>
                <w:szCs w:val="18"/>
                <w:lang w:eastAsia="es-GT"/>
              </w:rPr>
              <w:t>jecutado</w:t>
            </w:r>
          </w:p>
        </w:tc>
        <w:tc>
          <w:tcPr>
            <w:tcW w:w="1469" w:type="dxa"/>
            <w:vAlign w:val="center"/>
            <w:hideMark/>
          </w:tcPr>
          <w:p w14:paraId="3EFF48F8" w14:textId="521613B7" w:rsidR="005C4219" w:rsidRPr="005C4219" w:rsidRDefault="005C4219"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iCs/>
                <w:color w:val="auto"/>
                <w:sz w:val="18"/>
                <w:szCs w:val="18"/>
                <w:lang w:eastAsia="es-GT"/>
              </w:rPr>
            </w:pPr>
            <w:r w:rsidRPr="005C4219">
              <w:rPr>
                <w:rFonts w:eastAsia="Times New Roman" w:cstheme="minorHAnsi"/>
                <w:iCs/>
                <w:color w:val="auto"/>
                <w:sz w:val="18"/>
                <w:szCs w:val="18"/>
                <w:lang w:eastAsia="es-GT"/>
              </w:rPr>
              <w:t>% Ejecución</w:t>
            </w:r>
          </w:p>
        </w:tc>
      </w:tr>
      <w:tr w:rsidR="005C4219" w:rsidRPr="007A6B50" w14:paraId="3E5BFE36" w14:textId="77777777" w:rsidTr="0081308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03" w:type="dxa"/>
            <w:noWrap/>
            <w:hideMark/>
          </w:tcPr>
          <w:p w14:paraId="5FD79051" w14:textId="53F4B239" w:rsidR="005C4219" w:rsidRPr="005C4219" w:rsidRDefault="005C4219" w:rsidP="005C4219">
            <w:pPr>
              <w:rPr>
                <w:rFonts w:eastAsia="Times New Roman" w:cstheme="minorHAnsi"/>
                <w:b w:val="0"/>
                <w:iCs/>
                <w:sz w:val="18"/>
                <w:szCs w:val="18"/>
                <w:lang w:eastAsia="es-GT"/>
              </w:rPr>
            </w:pPr>
            <w:r w:rsidRPr="005C4219">
              <w:rPr>
                <w:rFonts w:cstheme="minorHAnsi"/>
                <w:b w:val="0"/>
                <w:sz w:val="18"/>
                <w:szCs w:val="18"/>
              </w:rPr>
              <w:t>MINFIN</w:t>
            </w:r>
          </w:p>
        </w:tc>
        <w:tc>
          <w:tcPr>
            <w:tcW w:w="1578" w:type="dxa"/>
            <w:noWrap/>
            <w:vAlign w:val="center"/>
            <w:hideMark/>
          </w:tcPr>
          <w:p w14:paraId="6BC86FCE" w14:textId="4445A15B"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Pr>
                <w:rFonts w:eastAsia="Times New Roman" w:cstheme="minorHAnsi"/>
                <w:iCs/>
                <w:lang w:eastAsia="es-GT"/>
              </w:rPr>
              <w:t>0.00</w:t>
            </w:r>
          </w:p>
        </w:tc>
        <w:tc>
          <w:tcPr>
            <w:tcW w:w="1578" w:type="dxa"/>
            <w:noWrap/>
            <w:hideMark/>
          </w:tcPr>
          <w:p w14:paraId="03761FC3" w14:textId="69CE3878"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422D19">
              <w:rPr>
                <w:rFonts w:eastAsia="Times New Roman" w:cstheme="minorHAnsi"/>
                <w:iCs/>
                <w:lang w:eastAsia="es-GT"/>
              </w:rPr>
              <w:t>0.00</w:t>
            </w:r>
          </w:p>
        </w:tc>
        <w:tc>
          <w:tcPr>
            <w:tcW w:w="1712" w:type="dxa"/>
            <w:noWrap/>
            <w:hideMark/>
          </w:tcPr>
          <w:p w14:paraId="65AD1AEF" w14:textId="26DFA294"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422D19">
              <w:rPr>
                <w:rFonts w:eastAsia="Times New Roman" w:cstheme="minorHAnsi"/>
                <w:iCs/>
                <w:lang w:eastAsia="es-GT"/>
              </w:rPr>
              <w:t>0.00</w:t>
            </w:r>
          </w:p>
        </w:tc>
        <w:tc>
          <w:tcPr>
            <w:tcW w:w="1469" w:type="dxa"/>
            <w:noWrap/>
            <w:vAlign w:val="center"/>
            <w:hideMark/>
          </w:tcPr>
          <w:p w14:paraId="3CEF2B46" w14:textId="701B9746"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0.00%</w:t>
            </w:r>
          </w:p>
        </w:tc>
      </w:tr>
      <w:tr w:rsidR="005C4219" w:rsidRPr="007A6B50" w14:paraId="11575037" w14:textId="77777777" w:rsidTr="00813082">
        <w:trPr>
          <w:trHeight w:val="236"/>
        </w:trPr>
        <w:tc>
          <w:tcPr>
            <w:cnfStyle w:val="001000000000" w:firstRow="0" w:lastRow="0" w:firstColumn="1" w:lastColumn="0" w:oddVBand="0" w:evenVBand="0" w:oddHBand="0" w:evenHBand="0" w:firstRowFirstColumn="0" w:firstRowLastColumn="0" w:lastRowFirstColumn="0" w:lastRowLastColumn="0"/>
            <w:tcW w:w="3303" w:type="dxa"/>
            <w:noWrap/>
            <w:hideMark/>
          </w:tcPr>
          <w:p w14:paraId="707CB275" w14:textId="07C3CA47"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MINEDUC</w:t>
            </w:r>
          </w:p>
        </w:tc>
        <w:tc>
          <w:tcPr>
            <w:tcW w:w="1578" w:type="dxa"/>
            <w:noWrap/>
            <w:vAlign w:val="center"/>
            <w:hideMark/>
          </w:tcPr>
          <w:p w14:paraId="7AD72870" w14:textId="6A5CD586"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0.25</w:t>
            </w:r>
          </w:p>
        </w:tc>
        <w:tc>
          <w:tcPr>
            <w:tcW w:w="1578" w:type="dxa"/>
            <w:noWrap/>
            <w:vAlign w:val="center"/>
            <w:hideMark/>
          </w:tcPr>
          <w:p w14:paraId="2B374D4B" w14:textId="5688AE30"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1.51</w:t>
            </w:r>
          </w:p>
        </w:tc>
        <w:tc>
          <w:tcPr>
            <w:tcW w:w="1712" w:type="dxa"/>
            <w:noWrap/>
            <w:vAlign w:val="center"/>
            <w:hideMark/>
          </w:tcPr>
          <w:p w14:paraId="039D12C9" w14:textId="15DC5D13"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0.66</w:t>
            </w:r>
          </w:p>
        </w:tc>
        <w:tc>
          <w:tcPr>
            <w:tcW w:w="1469" w:type="dxa"/>
            <w:noWrap/>
            <w:vAlign w:val="center"/>
            <w:hideMark/>
          </w:tcPr>
          <w:p w14:paraId="3BE66902" w14:textId="0FD6A39D"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43.71%</w:t>
            </w:r>
          </w:p>
        </w:tc>
      </w:tr>
      <w:tr w:rsidR="005C4219" w:rsidRPr="007A6B50" w14:paraId="65B70088" w14:textId="77777777" w:rsidTr="0081308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03" w:type="dxa"/>
            <w:noWrap/>
            <w:hideMark/>
          </w:tcPr>
          <w:p w14:paraId="516593F1" w14:textId="5AD3F6CC"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MSPAS</w:t>
            </w:r>
          </w:p>
        </w:tc>
        <w:tc>
          <w:tcPr>
            <w:tcW w:w="1578" w:type="dxa"/>
            <w:noWrap/>
            <w:vAlign w:val="center"/>
            <w:hideMark/>
          </w:tcPr>
          <w:p w14:paraId="40E96A01" w14:textId="7B0C495B"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18.39</w:t>
            </w:r>
          </w:p>
        </w:tc>
        <w:tc>
          <w:tcPr>
            <w:tcW w:w="1578" w:type="dxa"/>
            <w:noWrap/>
            <w:vAlign w:val="center"/>
            <w:hideMark/>
          </w:tcPr>
          <w:p w14:paraId="55947FF4" w14:textId="0E6C197C"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20.04</w:t>
            </w:r>
          </w:p>
        </w:tc>
        <w:tc>
          <w:tcPr>
            <w:tcW w:w="1712" w:type="dxa"/>
            <w:noWrap/>
            <w:vAlign w:val="center"/>
            <w:hideMark/>
          </w:tcPr>
          <w:p w14:paraId="3CFD9A71" w14:textId="6496776D"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11.86</w:t>
            </w:r>
          </w:p>
        </w:tc>
        <w:tc>
          <w:tcPr>
            <w:tcW w:w="1469" w:type="dxa"/>
            <w:noWrap/>
            <w:vAlign w:val="center"/>
            <w:hideMark/>
          </w:tcPr>
          <w:p w14:paraId="681AC2FB" w14:textId="76478545"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59.18%</w:t>
            </w:r>
          </w:p>
        </w:tc>
      </w:tr>
      <w:tr w:rsidR="005C4219" w:rsidRPr="007A6B50" w14:paraId="50FF9FFB" w14:textId="77777777" w:rsidTr="00813082">
        <w:trPr>
          <w:trHeight w:val="236"/>
        </w:trPr>
        <w:tc>
          <w:tcPr>
            <w:cnfStyle w:val="001000000000" w:firstRow="0" w:lastRow="0" w:firstColumn="1" w:lastColumn="0" w:oddVBand="0" w:evenVBand="0" w:oddHBand="0" w:evenHBand="0" w:firstRowFirstColumn="0" w:firstRowLastColumn="0" w:lastRowFirstColumn="0" w:lastRowLastColumn="0"/>
            <w:tcW w:w="3303" w:type="dxa"/>
            <w:noWrap/>
            <w:hideMark/>
          </w:tcPr>
          <w:p w14:paraId="5ED2D7F3" w14:textId="3956E182"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MINTRAB</w:t>
            </w:r>
          </w:p>
        </w:tc>
        <w:tc>
          <w:tcPr>
            <w:tcW w:w="1578" w:type="dxa"/>
            <w:noWrap/>
            <w:vAlign w:val="center"/>
            <w:hideMark/>
          </w:tcPr>
          <w:p w14:paraId="59B37AB0" w14:textId="27B35C64"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Pr>
                <w:rFonts w:eastAsia="Times New Roman" w:cstheme="minorHAnsi"/>
                <w:iCs/>
                <w:lang w:eastAsia="es-GT"/>
              </w:rPr>
              <w:t>0.00</w:t>
            </w:r>
          </w:p>
        </w:tc>
        <w:tc>
          <w:tcPr>
            <w:tcW w:w="1578" w:type="dxa"/>
            <w:noWrap/>
            <w:vAlign w:val="center"/>
            <w:hideMark/>
          </w:tcPr>
          <w:p w14:paraId="5576A3FA" w14:textId="4F702B9F"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2.85</w:t>
            </w:r>
          </w:p>
        </w:tc>
        <w:tc>
          <w:tcPr>
            <w:tcW w:w="1712" w:type="dxa"/>
            <w:noWrap/>
            <w:vAlign w:val="center"/>
            <w:hideMark/>
          </w:tcPr>
          <w:p w14:paraId="437D9931" w14:textId="2D967A60"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2.27</w:t>
            </w:r>
          </w:p>
        </w:tc>
        <w:tc>
          <w:tcPr>
            <w:tcW w:w="1469" w:type="dxa"/>
            <w:noWrap/>
            <w:vAlign w:val="center"/>
            <w:hideMark/>
          </w:tcPr>
          <w:p w14:paraId="446AD1CE" w14:textId="49610438"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79.65%</w:t>
            </w:r>
          </w:p>
        </w:tc>
      </w:tr>
      <w:tr w:rsidR="005C4219" w:rsidRPr="007A6B50" w14:paraId="2FCEF904" w14:textId="77777777" w:rsidTr="0081308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03" w:type="dxa"/>
            <w:noWrap/>
            <w:hideMark/>
          </w:tcPr>
          <w:p w14:paraId="6C09EB03" w14:textId="776EE587"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MINECO</w:t>
            </w:r>
          </w:p>
        </w:tc>
        <w:tc>
          <w:tcPr>
            <w:tcW w:w="1578" w:type="dxa"/>
            <w:noWrap/>
            <w:vAlign w:val="center"/>
            <w:hideMark/>
          </w:tcPr>
          <w:p w14:paraId="5389D0A5" w14:textId="680495F6"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19.30</w:t>
            </w:r>
          </w:p>
        </w:tc>
        <w:tc>
          <w:tcPr>
            <w:tcW w:w="1578" w:type="dxa"/>
            <w:noWrap/>
            <w:vAlign w:val="center"/>
            <w:hideMark/>
          </w:tcPr>
          <w:p w14:paraId="69161BD6" w14:textId="18BCA5CD"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4.40</w:t>
            </w:r>
          </w:p>
        </w:tc>
        <w:tc>
          <w:tcPr>
            <w:tcW w:w="1712" w:type="dxa"/>
            <w:noWrap/>
            <w:vAlign w:val="center"/>
            <w:hideMark/>
          </w:tcPr>
          <w:p w14:paraId="1036CF0A" w14:textId="3CDB1901"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2.06</w:t>
            </w:r>
          </w:p>
        </w:tc>
        <w:tc>
          <w:tcPr>
            <w:tcW w:w="1469" w:type="dxa"/>
            <w:noWrap/>
            <w:vAlign w:val="center"/>
            <w:hideMark/>
          </w:tcPr>
          <w:p w14:paraId="21B1747F" w14:textId="797C2475"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46.82%</w:t>
            </w:r>
          </w:p>
        </w:tc>
      </w:tr>
      <w:tr w:rsidR="005C4219" w:rsidRPr="007A6B50" w14:paraId="52B8C8FF" w14:textId="77777777" w:rsidTr="00813082">
        <w:trPr>
          <w:trHeight w:val="236"/>
        </w:trPr>
        <w:tc>
          <w:tcPr>
            <w:cnfStyle w:val="001000000000" w:firstRow="0" w:lastRow="0" w:firstColumn="1" w:lastColumn="0" w:oddVBand="0" w:evenVBand="0" w:oddHBand="0" w:evenHBand="0" w:firstRowFirstColumn="0" w:firstRowLastColumn="0" w:lastRowFirstColumn="0" w:lastRowLastColumn="0"/>
            <w:tcW w:w="3303" w:type="dxa"/>
            <w:noWrap/>
            <w:hideMark/>
          </w:tcPr>
          <w:p w14:paraId="08BA4115" w14:textId="7FE670BF"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MAGA</w:t>
            </w:r>
          </w:p>
        </w:tc>
        <w:tc>
          <w:tcPr>
            <w:tcW w:w="1578" w:type="dxa"/>
            <w:noWrap/>
            <w:vAlign w:val="center"/>
            <w:hideMark/>
          </w:tcPr>
          <w:p w14:paraId="6C5F7667" w14:textId="0D409DF4"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42.80</w:t>
            </w:r>
          </w:p>
        </w:tc>
        <w:tc>
          <w:tcPr>
            <w:tcW w:w="1578" w:type="dxa"/>
            <w:noWrap/>
            <w:vAlign w:val="center"/>
            <w:hideMark/>
          </w:tcPr>
          <w:p w14:paraId="254E3AF7" w14:textId="0C7C5503"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36.13</w:t>
            </w:r>
          </w:p>
        </w:tc>
        <w:tc>
          <w:tcPr>
            <w:tcW w:w="1712" w:type="dxa"/>
            <w:noWrap/>
            <w:vAlign w:val="center"/>
            <w:hideMark/>
          </w:tcPr>
          <w:p w14:paraId="4538DEC9" w14:textId="6566146B"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35.60</w:t>
            </w:r>
          </w:p>
        </w:tc>
        <w:tc>
          <w:tcPr>
            <w:tcW w:w="1469" w:type="dxa"/>
            <w:noWrap/>
            <w:vAlign w:val="center"/>
            <w:hideMark/>
          </w:tcPr>
          <w:p w14:paraId="31C7A2AE" w14:textId="21897C07"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98.53%</w:t>
            </w:r>
          </w:p>
        </w:tc>
      </w:tr>
      <w:tr w:rsidR="005C4219" w:rsidRPr="007A6B50" w14:paraId="639D1479" w14:textId="77777777" w:rsidTr="0081308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03" w:type="dxa"/>
            <w:hideMark/>
          </w:tcPr>
          <w:p w14:paraId="2AB7303D" w14:textId="3EBBC47C"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CIV</w:t>
            </w:r>
          </w:p>
        </w:tc>
        <w:tc>
          <w:tcPr>
            <w:tcW w:w="1578" w:type="dxa"/>
            <w:noWrap/>
            <w:vAlign w:val="center"/>
            <w:hideMark/>
          </w:tcPr>
          <w:p w14:paraId="50C26C20" w14:textId="237A0FDA"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Pr>
                <w:rFonts w:eastAsia="Times New Roman" w:cstheme="minorHAnsi"/>
                <w:iCs/>
                <w:lang w:eastAsia="es-GT"/>
              </w:rPr>
              <w:t>0.00</w:t>
            </w:r>
          </w:p>
        </w:tc>
        <w:tc>
          <w:tcPr>
            <w:tcW w:w="1578" w:type="dxa"/>
            <w:noWrap/>
            <w:vAlign w:val="center"/>
            <w:hideMark/>
          </w:tcPr>
          <w:p w14:paraId="4DBAEAE8" w14:textId="5F2BAA14"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4.81</w:t>
            </w:r>
          </w:p>
        </w:tc>
        <w:tc>
          <w:tcPr>
            <w:tcW w:w="1712" w:type="dxa"/>
            <w:noWrap/>
            <w:vAlign w:val="center"/>
            <w:hideMark/>
          </w:tcPr>
          <w:p w14:paraId="16D2939C" w14:textId="19AFFFFF"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4.75</w:t>
            </w:r>
          </w:p>
        </w:tc>
        <w:tc>
          <w:tcPr>
            <w:tcW w:w="1469" w:type="dxa"/>
            <w:noWrap/>
            <w:vAlign w:val="center"/>
            <w:hideMark/>
          </w:tcPr>
          <w:p w14:paraId="27758C88" w14:textId="46529571"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98.75%</w:t>
            </w:r>
          </w:p>
        </w:tc>
      </w:tr>
      <w:tr w:rsidR="005C4219" w:rsidRPr="007A6B50" w14:paraId="5D3B886B" w14:textId="77777777" w:rsidTr="00813082">
        <w:trPr>
          <w:trHeight w:val="236"/>
        </w:trPr>
        <w:tc>
          <w:tcPr>
            <w:cnfStyle w:val="001000000000" w:firstRow="0" w:lastRow="0" w:firstColumn="1" w:lastColumn="0" w:oddVBand="0" w:evenVBand="0" w:oddHBand="0" w:evenHBand="0" w:firstRowFirstColumn="0" w:firstRowLastColumn="0" w:lastRowFirstColumn="0" w:lastRowLastColumn="0"/>
            <w:tcW w:w="3303" w:type="dxa"/>
            <w:hideMark/>
          </w:tcPr>
          <w:p w14:paraId="29290263" w14:textId="2C59FFCC"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MEM</w:t>
            </w:r>
          </w:p>
        </w:tc>
        <w:tc>
          <w:tcPr>
            <w:tcW w:w="1578" w:type="dxa"/>
            <w:noWrap/>
            <w:vAlign w:val="center"/>
            <w:hideMark/>
          </w:tcPr>
          <w:p w14:paraId="254D5055" w14:textId="66F220E1"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36.00</w:t>
            </w:r>
          </w:p>
        </w:tc>
        <w:tc>
          <w:tcPr>
            <w:tcW w:w="1578" w:type="dxa"/>
            <w:noWrap/>
            <w:vAlign w:val="center"/>
            <w:hideMark/>
          </w:tcPr>
          <w:p w14:paraId="220F817B" w14:textId="5A9F48D1"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16.79</w:t>
            </w:r>
          </w:p>
        </w:tc>
        <w:tc>
          <w:tcPr>
            <w:tcW w:w="1712" w:type="dxa"/>
            <w:noWrap/>
            <w:vAlign w:val="center"/>
            <w:hideMark/>
          </w:tcPr>
          <w:p w14:paraId="47E712CA" w14:textId="7FB858E8"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16.73</w:t>
            </w:r>
          </w:p>
        </w:tc>
        <w:tc>
          <w:tcPr>
            <w:tcW w:w="1469" w:type="dxa"/>
            <w:noWrap/>
            <w:vAlign w:val="center"/>
            <w:hideMark/>
          </w:tcPr>
          <w:p w14:paraId="06C8B7B0" w14:textId="389ECAF3"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99.64%</w:t>
            </w:r>
          </w:p>
        </w:tc>
      </w:tr>
      <w:tr w:rsidR="005C4219" w:rsidRPr="007A6B50" w14:paraId="1C98C468" w14:textId="77777777" w:rsidTr="0081308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03" w:type="dxa"/>
            <w:hideMark/>
          </w:tcPr>
          <w:p w14:paraId="5ED088D9" w14:textId="1723FF18"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MARN</w:t>
            </w:r>
          </w:p>
        </w:tc>
        <w:tc>
          <w:tcPr>
            <w:tcW w:w="1578" w:type="dxa"/>
            <w:noWrap/>
            <w:vAlign w:val="center"/>
            <w:hideMark/>
          </w:tcPr>
          <w:p w14:paraId="011EC374" w14:textId="61D475C2"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Pr>
                <w:rFonts w:eastAsia="Times New Roman" w:cstheme="minorHAnsi"/>
                <w:iCs/>
                <w:lang w:eastAsia="es-GT"/>
              </w:rPr>
              <w:t>0.00</w:t>
            </w:r>
          </w:p>
        </w:tc>
        <w:tc>
          <w:tcPr>
            <w:tcW w:w="1578" w:type="dxa"/>
            <w:noWrap/>
            <w:vAlign w:val="center"/>
            <w:hideMark/>
          </w:tcPr>
          <w:p w14:paraId="143CEBB8" w14:textId="4FBEC419"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3.86</w:t>
            </w:r>
          </w:p>
        </w:tc>
        <w:tc>
          <w:tcPr>
            <w:tcW w:w="1712" w:type="dxa"/>
            <w:noWrap/>
            <w:vAlign w:val="center"/>
            <w:hideMark/>
          </w:tcPr>
          <w:p w14:paraId="002BBCA1" w14:textId="1520F879"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3.37</w:t>
            </w:r>
          </w:p>
        </w:tc>
        <w:tc>
          <w:tcPr>
            <w:tcW w:w="1469" w:type="dxa"/>
            <w:noWrap/>
            <w:vAlign w:val="center"/>
            <w:hideMark/>
          </w:tcPr>
          <w:p w14:paraId="28F00FBE" w14:textId="4618D7DE"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87.31%</w:t>
            </w:r>
          </w:p>
        </w:tc>
      </w:tr>
      <w:tr w:rsidR="005C4219" w:rsidRPr="007A6B50" w14:paraId="4BC2D83F" w14:textId="77777777" w:rsidTr="00813082">
        <w:trPr>
          <w:trHeight w:val="251"/>
        </w:trPr>
        <w:tc>
          <w:tcPr>
            <w:cnfStyle w:val="001000000000" w:firstRow="0" w:lastRow="0" w:firstColumn="1" w:lastColumn="0" w:oddVBand="0" w:evenVBand="0" w:oddHBand="0" w:evenHBand="0" w:firstRowFirstColumn="0" w:firstRowLastColumn="0" w:lastRowFirstColumn="0" w:lastRowLastColumn="0"/>
            <w:tcW w:w="3303" w:type="dxa"/>
            <w:hideMark/>
          </w:tcPr>
          <w:p w14:paraId="2089E6B2" w14:textId="52C7BD06"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MIDES</w:t>
            </w:r>
          </w:p>
        </w:tc>
        <w:tc>
          <w:tcPr>
            <w:tcW w:w="1578" w:type="dxa"/>
            <w:noWrap/>
            <w:vAlign w:val="center"/>
            <w:hideMark/>
          </w:tcPr>
          <w:p w14:paraId="65640FF8" w14:textId="7DFAF7BA"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84.30</w:t>
            </w:r>
          </w:p>
        </w:tc>
        <w:tc>
          <w:tcPr>
            <w:tcW w:w="1578" w:type="dxa"/>
            <w:noWrap/>
            <w:vAlign w:val="center"/>
            <w:hideMark/>
          </w:tcPr>
          <w:p w14:paraId="4AC5825C" w14:textId="04F79618"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118.70</w:t>
            </w:r>
          </w:p>
        </w:tc>
        <w:tc>
          <w:tcPr>
            <w:tcW w:w="1712" w:type="dxa"/>
            <w:noWrap/>
            <w:vAlign w:val="center"/>
            <w:hideMark/>
          </w:tcPr>
          <w:p w14:paraId="1626DCBD" w14:textId="73346B4F"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110.40</w:t>
            </w:r>
          </w:p>
        </w:tc>
        <w:tc>
          <w:tcPr>
            <w:tcW w:w="1469" w:type="dxa"/>
            <w:noWrap/>
            <w:vAlign w:val="center"/>
            <w:hideMark/>
          </w:tcPr>
          <w:p w14:paraId="6BEF05EA" w14:textId="5F88F3C1"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93.00%</w:t>
            </w:r>
          </w:p>
        </w:tc>
      </w:tr>
      <w:tr w:rsidR="005C4219" w:rsidRPr="007A6B50" w14:paraId="6CC00F5F" w14:textId="77777777" w:rsidTr="0081308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03" w:type="dxa"/>
            <w:hideMark/>
          </w:tcPr>
          <w:p w14:paraId="3C94C38E" w14:textId="11F72528" w:rsidR="005C4219" w:rsidRPr="005C4219" w:rsidRDefault="005C4219" w:rsidP="00077D41">
            <w:pPr>
              <w:rPr>
                <w:rFonts w:eastAsia="Times New Roman" w:cstheme="minorHAnsi"/>
                <w:b w:val="0"/>
                <w:iCs/>
                <w:sz w:val="18"/>
                <w:szCs w:val="18"/>
                <w:lang w:eastAsia="es-GT"/>
              </w:rPr>
            </w:pPr>
            <w:r w:rsidRPr="005C4219">
              <w:rPr>
                <w:rFonts w:cstheme="minorHAnsi"/>
                <w:b w:val="0"/>
                <w:sz w:val="18"/>
                <w:szCs w:val="18"/>
              </w:rPr>
              <w:t>OBLIGACIONES DEL ESTADO A CARGO DEL TESORO</w:t>
            </w:r>
          </w:p>
        </w:tc>
        <w:tc>
          <w:tcPr>
            <w:tcW w:w="1578" w:type="dxa"/>
            <w:noWrap/>
            <w:vAlign w:val="center"/>
            <w:hideMark/>
          </w:tcPr>
          <w:p w14:paraId="321EFF78" w14:textId="1FFD86A2"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23.00</w:t>
            </w:r>
          </w:p>
        </w:tc>
        <w:tc>
          <w:tcPr>
            <w:tcW w:w="1578" w:type="dxa"/>
            <w:noWrap/>
            <w:vAlign w:val="center"/>
            <w:hideMark/>
          </w:tcPr>
          <w:p w14:paraId="6A3B731C" w14:textId="3CBF60BA"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20.00</w:t>
            </w:r>
          </w:p>
        </w:tc>
        <w:tc>
          <w:tcPr>
            <w:tcW w:w="1712" w:type="dxa"/>
            <w:noWrap/>
            <w:vAlign w:val="center"/>
            <w:hideMark/>
          </w:tcPr>
          <w:p w14:paraId="05BBF52F" w14:textId="1DFF1FA9"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7A6B50">
              <w:rPr>
                <w:rFonts w:cstheme="minorHAnsi"/>
              </w:rPr>
              <w:t>15.85</w:t>
            </w:r>
          </w:p>
        </w:tc>
        <w:tc>
          <w:tcPr>
            <w:tcW w:w="1469" w:type="dxa"/>
            <w:noWrap/>
            <w:vAlign w:val="center"/>
            <w:hideMark/>
          </w:tcPr>
          <w:p w14:paraId="16B9B0CB" w14:textId="3F12B7FA"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79.23%</w:t>
            </w:r>
          </w:p>
        </w:tc>
      </w:tr>
      <w:tr w:rsidR="005C4219" w:rsidRPr="007A6B50" w14:paraId="5E035E00" w14:textId="77777777" w:rsidTr="00813082">
        <w:trPr>
          <w:trHeight w:val="236"/>
        </w:trPr>
        <w:tc>
          <w:tcPr>
            <w:cnfStyle w:val="001000000000" w:firstRow="0" w:lastRow="0" w:firstColumn="1" w:lastColumn="0" w:oddVBand="0" w:evenVBand="0" w:oddHBand="0" w:evenHBand="0" w:firstRowFirstColumn="0" w:firstRowLastColumn="0" w:lastRowFirstColumn="0" w:lastRowLastColumn="0"/>
            <w:tcW w:w="3303" w:type="dxa"/>
            <w:hideMark/>
          </w:tcPr>
          <w:p w14:paraId="58F16968" w14:textId="1D43DEFE" w:rsidR="005C4219" w:rsidRPr="005C4219" w:rsidRDefault="005C4219" w:rsidP="005C4219">
            <w:pPr>
              <w:rPr>
                <w:rFonts w:eastAsia="Times New Roman" w:cstheme="minorHAnsi"/>
                <w:b w:val="0"/>
                <w:iCs/>
                <w:sz w:val="18"/>
                <w:szCs w:val="18"/>
                <w:lang w:eastAsia="es-GT"/>
              </w:rPr>
            </w:pPr>
            <w:r w:rsidRPr="005C4219">
              <w:rPr>
                <w:rFonts w:cstheme="minorHAnsi"/>
                <w:b w:val="0"/>
                <w:sz w:val="18"/>
                <w:szCs w:val="18"/>
              </w:rPr>
              <w:t>CONAP</w:t>
            </w:r>
          </w:p>
        </w:tc>
        <w:tc>
          <w:tcPr>
            <w:tcW w:w="1578" w:type="dxa"/>
            <w:noWrap/>
            <w:vAlign w:val="center"/>
            <w:hideMark/>
          </w:tcPr>
          <w:p w14:paraId="4065B01F" w14:textId="07100A19"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Pr>
                <w:rFonts w:eastAsia="Times New Roman" w:cstheme="minorHAnsi"/>
                <w:iCs/>
                <w:lang w:eastAsia="es-GT"/>
              </w:rPr>
              <w:t>0.00</w:t>
            </w:r>
          </w:p>
        </w:tc>
        <w:tc>
          <w:tcPr>
            <w:tcW w:w="1578" w:type="dxa"/>
            <w:noWrap/>
            <w:vAlign w:val="center"/>
            <w:hideMark/>
          </w:tcPr>
          <w:p w14:paraId="182259F9" w14:textId="5432CF13"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7A6B50">
              <w:rPr>
                <w:rFonts w:cstheme="minorHAnsi"/>
              </w:rPr>
              <w:t>0.11</w:t>
            </w:r>
          </w:p>
        </w:tc>
        <w:tc>
          <w:tcPr>
            <w:tcW w:w="1712" w:type="dxa"/>
            <w:noWrap/>
            <w:hideMark/>
          </w:tcPr>
          <w:p w14:paraId="78E26E95" w14:textId="062C2FED"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color w:val="000000"/>
                <w:lang w:eastAsia="es-GT"/>
              </w:rPr>
            </w:pPr>
            <w:r w:rsidRPr="00DD1BC0">
              <w:rPr>
                <w:rFonts w:eastAsia="Times New Roman" w:cstheme="minorHAnsi"/>
                <w:iCs/>
                <w:lang w:eastAsia="es-GT"/>
              </w:rPr>
              <w:t>0.00</w:t>
            </w:r>
          </w:p>
        </w:tc>
        <w:tc>
          <w:tcPr>
            <w:tcW w:w="1469" w:type="dxa"/>
            <w:noWrap/>
            <w:vAlign w:val="center"/>
            <w:hideMark/>
          </w:tcPr>
          <w:p w14:paraId="21B95520" w14:textId="77C0CBB8" w:rsidR="005C4219" w:rsidRPr="007A6B50" w:rsidRDefault="005C4219"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s-GT"/>
              </w:rPr>
            </w:pPr>
            <w:r w:rsidRPr="007A6B50">
              <w:rPr>
                <w:rFonts w:cstheme="minorHAnsi"/>
              </w:rPr>
              <w:t>0.00%</w:t>
            </w:r>
          </w:p>
        </w:tc>
      </w:tr>
      <w:tr w:rsidR="005C4219" w:rsidRPr="007A6B50" w14:paraId="1C282BB2" w14:textId="77777777" w:rsidTr="0081308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03" w:type="dxa"/>
            <w:hideMark/>
          </w:tcPr>
          <w:p w14:paraId="4A209E59" w14:textId="2D7B12AF" w:rsidR="005C4219" w:rsidRPr="005C4219" w:rsidRDefault="005C4219" w:rsidP="005C4219">
            <w:pPr>
              <w:rPr>
                <w:rFonts w:eastAsia="Times New Roman" w:cstheme="minorHAnsi"/>
                <w:b w:val="0"/>
                <w:iCs/>
                <w:sz w:val="18"/>
                <w:szCs w:val="18"/>
                <w:lang w:eastAsia="es-GT"/>
              </w:rPr>
            </w:pPr>
            <w:r w:rsidRPr="005C4219">
              <w:rPr>
                <w:rFonts w:cstheme="minorHAnsi"/>
                <w:b w:val="0"/>
                <w:sz w:val="18"/>
                <w:szCs w:val="18"/>
              </w:rPr>
              <w:t>SEGEPLAN</w:t>
            </w:r>
          </w:p>
        </w:tc>
        <w:tc>
          <w:tcPr>
            <w:tcW w:w="1578" w:type="dxa"/>
            <w:noWrap/>
            <w:vAlign w:val="center"/>
            <w:hideMark/>
          </w:tcPr>
          <w:p w14:paraId="6067A66E" w14:textId="5C8176ED"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1.73</w:t>
            </w:r>
          </w:p>
        </w:tc>
        <w:tc>
          <w:tcPr>
            <w:tcW w:w="1578" w:type="dxa"/>
            <w:noWrap/>
            <w:vAlign w:val="center"/>
            <w:hideMark/>
          </w:tcPr>
          <w:p w14:paraId="0368AB99" w14:textId="396C0A59"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Pr>
                <w:rFonts w:eastAsia="Times New Roman" w:cstheme="minorHAnsi"/>
                <w:iCs/>
                <w:lang w:eastAsia="es-GT"/>
              </w:rPr>
              <w:t>0.00</w:t>
            </w:r>
          </w:p>
        </w:tc>
        <w:tc>
          <w:tcPr>
            <w:tcW w:w="1712" w:type="dxa"/>
            <w:noWrap/>
            <w:hideMark/>
          </w:tcPr>
          <w:p w14:paraId="618BB3B1" w14:textId="2C4BBA0B"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color w:val="000000"/>
                <w:lang w:eastAsia="es-GT"/>
              </w:rPr>
            </w:pPr>
            <w:r w:rsidRPr="00DD1BC0">
              <w:rPr>
                <w:rFonts w:eastAsia="Times New Roman" w:cstheme="minorHAnsi"/>
                <w:iCs/>
                <w:lang w:eastAsia="es-GT"/>
              </w:rPr>
              <w:t>0.00</w:t>
            </w:r>
          </w:p>
        </w:tc>
        <w:tc>
          <w:tcPr>
            <w:tcW w:w="1469" w:type="dxa"/>
            <w:noWrap/>
            <w:vAlign w:val="center"/>
            <w:hideMark/>
          </w:tcPr>
          <w:p w14:paraId="47798676" w14:textId="2375ADC7" w:rsidR="005C4219" w:rsidRPr="007A6B50" w:rsidRDefault="005C4219"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Cs/>
                <w:lang w:eastAsia="es-GT"/>
              </w:rPr>
            </w:pPr>
            <w:r w:rsidRPr="007A6B50">
              <w:rPr>
                <w:rFonts w:cstheme="minorHAnsi"/>
              </w:rPr>
              <w:t>0.00%</w:t>
            </w:r>
          </w:p>
        </w:tc>
      </w:tr>
      <w:tr w:rsidR="005C4219" w:rsidRPr="007A6B50" w14:paraId="1AE0B2CA" w14:textId="77777777" w:rsidTr="00813082">
        <w:trPr>
          <w:trHeight w:val="251"/>
        </w:trPr>
        <w:tc>
          <w:tcPr>
            <w:cnfStyle w:val="001000000000" w:firstRow="0" w:lastRow="0" w:firstColumn="1" w:lastColumn="0" w:oddVBand="0" w:evenVBand="0" w:oddHBand="0" w:evenHBand="0" w:firstRowFirstColumn="0" w:firstRowLastColumn="0" w:lastRowFirstColumn="0" w:lastRowLastColumn="0"/>
            <w:tcW w:w="3303" w:type="dxa"/>
            <w:hideMark/>
          </w:tcPr>
          <w:p w14:paraId="2E8595EE" w14:textId="77777777" w:rsidR="005C4219" w:rsidRPr="005C4219" w:rsidRDefault="005C4219" w:rsidP="00077D41">
            <w:pPr>
              <w:rPr>
                <w:rFonts w:eastAsia="Times New Roman" w:cstheme="minorHAnsi"/>
                <w:bCs w:val="0"/>
                <w:iCs/>
                <w:sz w:val="18"/>
                <w:szCs w:val="18"/>
                <w:lang w:eastAsia="es-GT"/>
              </w:rPr>
            </w:pPr>
            <w:r w:rsidRPr="005C4219">
              <w:rPr>
                <w:rFonts w:eastAsia="Times New Roman" w:cstheme="minorHAnsi"/>
                <w:bCs w:val="0"/>
                <w:iCs/>
                <w:sz w:val="18"/>
                <w:szCs w:val="18"/>
                <w:lang w:eastAsia="es-GT"/>
              </w:rPr>
              <w:t xml:space="preserve"> TOTAL </w:t>
            </w:r>
          </w:p>
        </w:tc>
        <w:tc>
          <w:tcPr>
            <w:tcW w:w="1578" w:type="dxa"/>
          </w:tcPr>
          <w:p w14:paraId="55D58B00" w14:textId="051FA855" w:rsidR="005C4219" w:rsidRPr="005C4219" w:rsidRDefault="005C4219" w:rsidP="00077D41">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C4219">
              <w:rPr>
                <w:rFonts w:cstheme="minorHAnsi"/>
                <w:b/>
              </w:rPr>
              <w:t>225.77</w:t>
            </w:r>
          </w:p>
        </w:tc>
        <w:tc>
          <w:tcPr>
            <w:tcW w:w="1578" w:type="dxa"/>
          </w:tcPr>
          <w:p w14:paraId="7C425A09" w14:textId="791712FE" w:rsidR="005C4219" w:rsidRPr="005C4219" w:rsidRDefault="005C4219" w:rsidP="00077D41">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C4219">
              <w:rPr>
                <w:rFonts w:cstheme="minorHAnsi"/>
                <w:b/>
              </w:rPr>
              <w:t>229.20</w:t>
            </w:r>
          </w:p>
        </w:tc>
        <w:tc>
          <w:tcPr>
            <w:tcW w:w="1712" w:type="dxa"/>
          </w:tcPr>
          <w:p w14:paraId="1884FFB6" w14:textId="183705BB" w:rsidR="005C4219" w:rsidRPr="005C4219" w:rsidRDefault="005C4219" w:rsidP="00077D41">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C4219">
              <w:rPr>
                <w:rFonts w:cstheme="minorHAnsi"/>
                <w:b/>
              </w:rPr>
              <w:t>203.54</w:t>
            </w:r>
          </w:p>
        </w:tc>
        <w:tc>
          <w:tcPr>
            <w:tcW w:w="1469" w:type="dxa"/>
            <w:noWrap/>
          </w:tcPr>
          <w:p w14:paraId="4152A715" w14:textId="786E7AC1" w:rsidR="005C4219" w:rsidRPr="005C4219" w:rsidRDefault="005C4219" w:rsidP="00077D41">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5C4219">
              <w:rPr>
                <w:rFonts w:cstheme="minorHAnsi"/>
                <w:b/>
              </w:rPr>
              <w:t>88.80%</w:t>
            </w:r>
          </w:p>
        </w:tc>
      </w:tr>
    </w:tbl>
    <w:p w14:paraId="3937A0E9" w14:textId="20983C2E" w:rsidR="00CE3D5C" w:rsidRPr="007A6B50" w:rsidRDefault="00CE3D5C" w:rsidP="00E158F1">
      <w:pPr>
        <w:spacing w:after="0" w:line="240" w:lineRule="auto"/>
        <w:rPr>
          <w:rFonts w:eastAsia="MS PGothic" w:cstheme="minorHAnsi"/>
          <w:bCs/>
          <w:iCs/>
          <w:sz w:val="16"/>
          <w:szCs w:val="20"/>
          <w:lang w:eastAsia="es-GT"/>
        </w:rPr>
      </w:pPr>
      <w:r w:rsidRPr="007A6B50">
        <w:rPr>
          <w:rFonts w:eastAsia="MS PGothic" w:cstheme="minorHAnsi"/>
          <w:bCs/>
          <w:iCs/>
          <w:sz w:val="16"/>
          <w:szCs w:val="20"/>
          <w:lang w:eastAsia="es-GT"/>
        </w:rPr>
        <w:t xml:space="preserve">Fuente: Elaboración propia SEGEPLAN con base a datos del Sistema de Contabilidad Integrada -SICOIN- Ejercicio </w:t>
      </w:r>
      <w:r w:rsidR="005C4219">
        <w:rPr>
          <w:rFonts w:eastAsia="MS PGothic" w:cstheme="minorHAnsi"/>
          <w:bCs/>
          <w:iCs/>
          <w:sz w:val="16"/>
          <w:szCs w:val="20"/>
          <w:lang w:eastAsia="es-GT"/>
        </w:rPr>
        <w:t>f</w:t>
      </w:r>
      <w:r w:rsidRPr="007A6B50">
        <w:rPr>
          <w:rFonts w:eastAsia="MS PGothic" w:cstheme="minorHAnsi"/>
          <w:bCs/>
          <w:iCs/>
          <w:sz w:val="16"/>
          <w:szCs w:val="20"/>
          <w:lang w:eastAsia="es-GT"/>
        </w:rPr>
        <w:t xml:space="preserve">iscal </w:t>
      </w:r>
      <w:r w:rsidR="00BD1BD3" w:rsidRPr="007A6B50">
        <w:rPr>
          <w:rFonts w:eastAsia="MS PGothic" w:cstheme="minorHAnsi"/>
          <w:bCs/>
          <w:iCs/>
          <w:sz w:val="16"/>
          <w:szCs w:val="20"/>
          <w:lang w:eastAsia="es-GT"/>
        </w:rPr>
        <w:t>2022</w:t>
      </w:r>
      <w:r w:rsidRPr="007A6B50">
        <w:rPr>
          <w:rFonts w:eastAsia="MS PGothic" w:cstheme="minorHAnsi"/>
          <w:bCs/>
          <w:iCs/>
          <w:sz w:val="16"/>
          <w:szCs w:val="20"/>
          <w:lang w:eastAsia="es-GT"/>
        </w:rPr>
        <w:t>.</w:t>
      </w:r>
    </w:p>
    <w:p w14:paraId="70BD1673" w14:textId="3D266637" w:rsidR="00CE3D5C" w:rsidRPr="007A6B50" w:rsidRDefault="00CE3D5C" w:rsidP="005C4219">
      <w:pPr>
        <w:spacing w:before="120" w:after="120" w:line="240" w:lineRule="auto"/>
        <w:jc w:val="both"/>
        <w:rPr>
          <w:rFonts w:eastAsia="MS PGothic" w:cstheme="minorHAnsi"/>
          <w:sz w:val="24"/>
          <w:szCs w:val="24"/>
          <w:lang w:eastAsia="es-GT"/>
        </w:rPr>
      </w:pPr>
      <w:r w:rsidRPr="007A6B50">
        <w:rPr>
          <w:rFonts w:eastAsia="MS PGothic" w:cstheme="minorHAnsi"/>
          <w:sz w:val="24"/>
          <w:szCs w:val="24"/>
          <w:lang w:eastAsia="es-GT"/>
        </w:rPr>
        <w:t xml:space="preserve">El detalle de la ejecución por programa o proyecto es el siguiente: </w:t>
      </w:r>
      <w:r w:rsidR="00FC7FBF" w:rsidRPr="007A6B50">
        <w:rPr>
          <w:rFonts w:eastAsia="MS PGothic" w:cstheme="minorHAnsi"/>
          <w:sz w:val="24"/>
          <w:szCs w:val="24"/>
          <w:lang w:eastAsia="es-GT"/>
        </w:rPr>
        <w:t xml:space="preserve">Ver tabla </w:t>
      </w:r>
      <w:r w:rsidR="005C4219">
        <w:rPr>
          <w:rFonts w:eastAsia="MS PGothic" w:cstheme="minorHAnsi"/>
          <w:sz w:val="24"/>
          <w:szCs w:val="24"/>
          <w:lang w:eastAsia="es-GT"/>
        </w:rPr>
        <w:t>siguiente:</w:t>
      </w:r>
    </w:p>
    <w:p w14:paraId="64A23ED9" w14:textId="77A1304E" w:rsidR="00CE3D5C" w:rsidRPr="007A6B50" w:rsidRDefault="00FC7FBF" w:rsidP="005C4219">
      <w:pPr>
        <w:pStyle w:val="ttulosgrficas"/>
        <w:rPr>
          <w:rFonts w:asciiTheme="minorHAnsi" w:hAnsiTheme="minorHAnsi" w:cstheme="minorHAnsi"/>
          <w:lang w:eastAsia="es-GT"/>
        </w:rPr>
      </w:pPr>
      <w:bookmarkStart w:id="137" w:name="_Hlk98416685"/>
      <w:bookmarkStart w:id="138" w:name="_Toc130199635"/>
      <w:r w:rsidRPr="007A6B50">
        <w:rPr>
          <w:rFonts w:asciiTheme="minorHAnsi" w:hAnsiTheme="minorHAnsi" w:cstheme="minorHAnsi"/>
          <w:lang w:eastAsia="es-GT"/>
        </w:rPr>
        <w:t xml:space="preserve">Tabla </w:t>
      </w:r>
      <w:r w:rsidR="006E5E0A" w:rsidRPr="007A6B50">
        <w:rPr>
          <w:rFonts w:asciiTheme="minorHAnsi" w:hAnsiTheme="minorHAnsi" w:cstheme="minorHAnsi"/>
          <w:lang w:eastAsia="es-GT"/>
        </w:rPr>
        <w:fldChar w:fldCharType="begin"/>
      </w:r>
      <w:r w:rsidR="006E5E0A" w:rsidRPr="007A6B50">
        <w:rPr>
          <w:rFonts w:asciiTheme="minorHAnsi" w:hAnsiTheme="minorHAnsi" w:cstheme="minorHAnsi"/>
          <w:lang w:eastAsia="es-GT"/>
        </w:rPr>
        <w:instrText xml:space="preserve"> SEQ Tabla \* ARABIC </w:instrText>
      </w:r>
      <w:r w:rsidR="006E5E0A" w:rsidRPr="007A6B50">
        <w:rPr>
          <w:rFonts w:asciiTheme="minorHAnsi" w:hAnsiTheme="minorHAnsi" w:cstheme="minorHAnsi"/>
          <w:lang w:eastAsia="es-GT"/>
        </w:rPr>
        <w:fldChar w:fldCharType="separate"/>
      </w:r>
      <w:r w:rsidR="00777974">
        <w:rPr>
          <w:rFonts w:asciiTheme="minorHAnsi" w:hAnsiTheme="minorHAnsi" w:cstheme="minorHAnsi"/>
          <w:noProof/>
          <w:lang w:eastAsia="es-GT"/>
        </w:rPr>
        <w:t>47</w:t>
      </w:r>
      <w:r w:rsidR="006E5E0A" w:rsidRPr="007A6B50">
        <w:rPr>
          <w:rFonts w:asciiTheme="minorHAnsi" w:hAnsiTheme="minorHAnsi" w:cstheme="minorHAnsi"/>
          <w:lang w:eastAsia="es-GT"/>
        </w:rPr>
        <w:fldChar w:fldCharType="end"/>
      </w:r>
      <w:bookmarkEnd w:id="137"/>
      <w:r w:rsidR="005C4219">
        <w:rPr>
          <w:rFonts w:asciiTheme="minorHAnsi" w:hAnsiTheme="minorHAnsi" w:cstheme="minorHAnsi"/>
          <w:lang w:eastAsia="es-GT"/>
        </w:rPr>
        <w:t>.</w:t>
      </w:r>
      <w:r w:rsidR="003562C1" w:rsidRPr="007A6B50">
        <w:rPr>
          <w:rFonts w:asciiTheme="minorHAnsi" w:hAnsiTheme="minorHAnsi" w:cstheme="minorHAnsi"/>
          <w:lang w:eastAsia="es-GT"/>
        </w:rPr>
        <w:t xml:space="preserve"> </w:t>
      </w:r>
      <w:r w:rsidR="00CE3D5C" w:rsidRPr="007A6B50">
        <w:rPr>
          <w:rFonts w:asciiTheme="minorHAnsi" w:hAnsiTheme="minorHAnsi" w:cstheme="minorHAnsi"/>
          <w:lang w:eastAsia="es-GT"/>
        </w:rPr>
        <w:t>Ejecución por programa o proyecto</w:t>
      </w:r>
      <w:r w:rsidR="00936E17" w:rsidRPr="007A6B50">
        <w:rPr>
          <w:rFonts w:asciiTheme="minorHAnsi" w:hAnsiTheme="minorHAnsi" w:cstheme="minorHAnsi"/>
          <w:lang w:eastAsia="es-GT"/>
        </w:rPr>
        <w:t xml:space="preserve"> </w:t>
      </w:r>
      <w:r w:rsidR="00BD1BD3" w:rsidRPr="007A6B50">
        <w:rPr>
          <w:rFonts w:asciiTheme="minorHAnsi" w:hAnsiTheme="minorHAnsi" w:cstheme="minorHAnsi"/>
          <w:lang w:eastAsia="es-GT"/>
        </w:rPr>
        <w:t>2022</w:t>
      </w:r>
      <w:bookmarkEnd w:id="138"/>
      <w:r w:rsidR="00CE3D5C" w:rsidRPr="007A6B50">
        <w:rPr>
          <w:rFonts w:asciiTheme="minorHAnsi" w:hAnsiTheme="minorHAnsi" w:cstheme="minorHAnsi"/>
          <w:lang w:eastAsia="es-GT"/>
        </w:rPr>
        <w:t xml:space="preserve"> </w:t>
      </w:r>
    </w:p>
    <w:tbl>
      <w:tblPr>
        <w:tblStyle w:val="Tabladelista4-nfasis5"/>
        <w:tblW w:w="9769" w:type="dxa"/>
        <w:tblBorders>
          <w:insideV w:val="single" w:sz="4" w:space="0" w:color="9CC2E5" w:themeColor="accent5" w:themeTint="99"/>
        </w:tblBorders>
        <w:tblLook w:val="04A0" w:firstRow="1" w:lastRow="0" w:firstColumn="1" w:lastColumn="0" w:noHBand="0" w:noVBand="1"/>
      </w:tblPr>
      <w:tblGrid>
        <w:gridCol w:w="540"/>
        <w:gridCol w:w="945"/>
        <w:gridCol w:w="590"/>
        <w:gridCol w:w="599"/>
        <w:gridCol w:w="3217"/>
        <w:gridCol w:w="1453"/>
        <w:gridCol w:w="1453"/>
        <w:gridCol w:w="972"/>
      </w:tblGrid>
      <w:tr w:rsidR="00606CB8" w:rsidRPr="007A6B50" w14:paraId="0FB49EEB" w14:textId="77777777" w:rsidTr="005C4219">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10DA8E3C" w14:textId="6F6C14C1" w:rsidR="00606CB8" w:rsidRPr="005C4219" w:rsidRDefault="00606CB8" w:rsidP="005C4219">
            <w:pPr>
              <w:jc w:val="center"/>
              <w:rPr>
                <w:rFonts w:eastAsia="Times New Roman" w:cstheme="minorHAnsi"/>
                <w:color w:val="auto"/>
                <w:sz w:val="16"/>
                <w:szCs w:val="16"/>
                <w:lang w:eastAsia="es-GT"/>
              </w:rPr>
            </w:pPr>
            <w:bookmarkStart w:id="139" w:name="_Toc31818088"/>
            <w:r w:rsidRPr="005C4219">
              <w:rPr>
                <w:rFonts w:eastAsia="Times New Roman" w:cstheme="minorHAnsi"/>
                <w:color w:val="auto"/>
                <w:sz w:val="16"/>
                <w:szCs w:val="16"/>
                <w:lang w:eastAsia="es-GT"/>
              </w:rPr>
              <w:t>No.</w:t>
            </w:r>
          </w:p>
        </w:tc>
        <w:tc>
          <w:tcPr>
            <w:tcW w:w="945" w:type="dxa"/>
            <w:vAlign w:val="center"/>
            <w:hideMark/>
          </w:tcPr>
          <w:p w14:paraId="2B8F3EBB" w14:textId="77777777" w:rsidR="00606CB8" w:rsidRPr="005C4219" w:rsidRDefault="00606CB8"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GT"/>
              </w:rPr>
            </w:pPr>
            <w:r w:rsidRPr="005C4219">
              <w:rPr>
                <w:rFonts w:eastAsia="Times New Roman" w:cstheme="minorHAnsi"/>
                <w:color w:val="auto"/>
                <w:sz w:val="16"/>
                <w:szCs w:val="16"/>
                <w:lang w:eastAsia="es-GT"/>
              </w:rPr>
              <w:t>Unidad Ejecutora</w:t>
            </w:r>
          </w:p>
        </w:tc>
        <w:tc>
          <w:tcPr>
            <w:tcW w:w="590" w:type="dxa"/>
            <w:vAlign w:val="center"/>
            <w:hideMark/>
          </w:tcPr>
          <w:p w14:paraId="316668D9" w14:textId="3C198E4F" w:rsidR="00606CB8" w:rsidRPr="005C4219" w:rsidRDefault="00606CB8"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GT"/>
              </w:rPr>
            </w:pPr>
            <w:r w:rsidRPr="005C4219">
              <w:rPr>
                <w:rFonts w:eastAsia="Times New Roman" w:cstheme="minorHAnsi"/>
                <w:color w:val="auto"/>
                <w:sz w:val="16"/>
                <w:szCs w:val="16"/>
                <w:lang w:eastAsia="es-GT"/>
              </w:rPr>
              <w:t>Org</w:t>
            </w:r>
            <w:r w:rsidR="00E5007D">
              <w:rPr>
                <w:rFonts w:eastAsia="Times New Roman" w:cstheme="minorHAnsi"/>
                <w:color w:val="auto"/>
                <w:sz w:val="16"/>
                <w:szCs w:val="16"/>
                <w:lang w:eastAsia="es-GT"/>
              </w:rPr>
              <w:t>.</w:t>
            </w:r>
          </w:p>
        </w:tc>
        <w:tc>
          <w:tcPr>
            <w:tcW w:w="599" w:type="dxa"/>
            <w:vAlign w:val="center"/>
            <w:hideMark/>
          </w:tcPr>
          <w:p w14:paraId="40D1094D" w14:textId="77777777" w:rsidR="00606CB8" w:rsidRPr="005C4219" w:rsidRDefault="00606CB8"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GT"/>
              </w:rPr>
            </w:pPr>
            <w:r w:rsidRPr="005C4219">
              <w:rPr>
                <w:rFonts w:eastAsia="Times New Roman" w:cstheme="minorHAnsi"/>
                <w:color w:val="auto"/>
                <w:sz w:val="16"/>
                <w:szCs w:val="16"/>
                <w:lang w:eastAsia="es-GT"/>
              </w:rPr>
              <w:t>Corr.</w:t>
            </w:r>
          </w:p>
        </w:tc>
        <w:tc>
          <w:tcPr>
            <w:tcW w:w="3217" w:type="dxa"/>
            <w:vAlign w:val="center"/>
            <w:hideMark/>
          </w:tcPr>
          <w:p w14:paraId="2E5E98DA" w14:textId="77777777" w:rsidR="00606CB8" w:rsidRPr="005C4219" w:rsidRDefault="00606CB8"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GT"/>
              </w:rPr>
            </w:pPr>
            <w:r w:rsidRPr="005C4219">
              <w:rPr>
                <w:rFonts w:eastAsia="Times New Roman" w:cstheme="minorHAnsi"/>
                <w:color w:val="auto"/>
                <w:sz w:val="16"/>
                <w:szCs w:val="16"/>
                <w:lang w:eastAsia="es-GT"/>
              </w:rPr>
              <w:t>Nombre del Programa / Proyecto</w:t>
            </w:r>
          </w:p>
        </w:tc>
        <w:tc>
          <w:tcPr>
            <w:tcW w:w="1453" w:type="dxa"/>
            <w:vAlign w:val="center"/>
            <w:hideMark/>
          </w:tcPr>
          <w:p w14:paraId="7E1AC0C7" w14:textId="77777777" w:rsidR="00606CB8" w:rsidRPr="005C4219" w:rsidRDefault="00606CB8"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GT"/>
              </w:rPr>
            </w:pPr>
            <w:r w:rsidRPr="005C4219">
              <w:rPr>
                <w:rFonts w:eastAsia="Times New Roman" w:cstheme="minorHAnsi"/>
                <w:color w:val="auto"/>
                <w:sz w:val="16"/>
                <w:szCs w:val="16"/>
                <w:lang w:eastAsia="es-GT"/>
              </w:rPr>
              <w:t>Presupuesto Vigente</w:t>
            </w:r>
          </w:p>
        </w:tc>
        <w:tc>
          <w:tcPr>
            <w:tcW w:w="1453" w:type="dxa"/>
            <w:vAlign w:val="center"/>
            <w:hideMark/>
          </w:tcPr>
          <w:p w14:paraId="63628D79" w14:textId="77777777" w:rsidR="00606CB8" w:rsidRPr="005C4219" w:rsidRDefault="00606CB8"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GT"/>
              </w:rPr>
            </w:pPr>
            <w:r w:rsidRPr="005C4219">
              <w:rPr>
                <w:rFonts w:eastAsia="Times New Roman" w:cstheme="minorHAnsi"/>
                <w:color w:val="auto"/>
                <w:sz w:val="16"/>
                <w:szCs w:val="16"/>
                <w:lang w:eastAsia="es-GT"/>
              </w:rPr>
              <w:t>Ejecución al 31/12/2022</w:t>
            </w:r>
          </w:p>
        </w:tc>
        <w:tc>
          <w:tcPr>
            <w:tcW w:w="972" w:type="dxa"/>
            <w:vAlign w:val="center"/>
            <w:hideMark/>
          </w:tcPr>
          <w:p w14:paraId="56DA4C79" w14:textId="20652FD5" w:rsidR="00606CB8" w:rsidRPr="005C4219" w:rsidRDefault="00606CB8" w:rsidP="005C421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GT"/>
              </w:rPr>
            </w:pPr>
            <w:r w:rsidRPr="005C4219">
              <w:rPr>
                <w:rFonts w:eastAsia="Times New Roman" w:cstheme="minorHAnsi"/>
                <w:color w:val="auto"/>
                <w:sz w:val="16"/>
                <w:szCs w:val="16"/>
                <w:lang w:eastAsia="es-GT"/>
              </w:rPr>
              <w:t>% de Ejecución</w:t>
            </w:r>
          </w:p>
        </w:tc>
      </w:tr>
      <w:tr w:rsidR="00606CB8" w:rsidRPr="007A6B50" w14:paraId="2CC27473" w14:textId="77777777" w:rsidTr="005C42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1F41527F"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w:t>
            </w:r>
          </w:p>
        </w:tc>
        <w:tc>
          <w:tcPr>
            <w:tcW w:w="945" w:type="dxa"/>
            <w:noWrap/>
            <w:vAlign w:val="center"/>
            <w:hideMark/>
          </w:tcPr>
          <w:p w14:paraId="2806A3A9"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MINGOB</w:t>
            </w:r>
          </w:p>
        </w:tc>
        <w:tc>
          <w:tcPr>
            <w:tcW w:w="590" w:type="dxa"/>
            <w:noWrap/>
            <w:vAlign w:val="center"/>
            <w:hideMark/>
          </w:tcPr>
          <w:p w14:paraId="21C155D9"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603</w:t>
            </w:r>
          </w:p>
        </w:tc>
        <w:tc>
          <w:tcPr>
            <w:tcW w:w="599" w:type="dxa"/>
            <w:noWrap/>
            <w:vAlign w:val="center"/>
            <w:hideMark/>
          </w:tcPr>
          <w:p w14:paraId="11073C4D"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91</w:t>
            </w:r>
          </w:p>
        </w:tc>
        <w:tc>
          <w:tcPr>
            <w:tcW w:w="3217" w:type="dxa"/>
            <w:vAlign w:val="center"/>
            <w:hideMark/>
          </w:tcPr>
          <w:p w14:paraId="5DA120F9" w14:textId="70FAB575"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Implementación del Pacto por la Seguridad, Justicia y la Paz</w:t>
            </w:r>
            <w:r w:rsidR="01D9CEE3" w:rsidRPr="007A6B50">
              <w:rPr>
                <w:rFonts w:eastAsia="Times New Roman" w:cstheme="minorHAnsi"/>
                <w:sz w:val="16"/>
                <w:szCs w:val="16"/>
                <w:lang w:eastAsia="es-GT"/>
              </w:rPr>
              <w:t>.</w:t>
            </w:r>
          </w:p>
        </w:tc>
        <w:tc>
          <w:tcPr>
            <w:tcW w:w="1453" w:type="dxa"/>
            <w:noWrap/>
            <w:vAlign w:val="center"/>
            <w:hideMark/>
          </w:tcPr>
          <w:p w14:paraId="097AE9D8"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Q1.00</w:t>
            </w:r>
          </w:p>
        </w:tc>
        <w:tc>
          <w:tcPr>
            <w:tcW w:w="1453" w:type="dxa"/>
            <w:noWrap/>
            <w:vAlign w:val="center"/>
            <w:hideMark/>
          </w:tcPr>
          <w:p w14:paraId="4B69C0D6"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Q0.66</w:t>
            </w:r>
          </w:p>
        </w:tc>
        <w:tc>
          <w:tcPr>
            <w:tcW w:w="972" w:type="dxa"/>
            <w:noWrap/>
            <w:vAlign w:val="center"/>
            <w:hideMark/>
          </w:tcPr>
          <w:p w14:paraId="3317A284"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66.00%</w:t>
            </w:r>
          </w:p>
        </w:tc>
      </w:tr>
      <w:tr w:rsidR="00967B06" w:rsidRPr="007A6B50" w14:paraId="2C0ADF94" w14:textId="77777777" w:rsidTr="005C4219">
        <w:trPr>
          <w:trHeight w:val="31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3AFA3918"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w:t>
            </w:r>
          </w:p>
        </w:tc>
        <w:tc>
          <w:tcPr>
            <w:tcW w:w="945" w:type="dxa"/>
            <w:vMerge w:val="restart"/>
            <w:noWrap/>
            <w:vAlign w:val="center"/>
            <w:hideMark/>
          </w:tcPr>
          <w:p w14:paraId="2C6D14FA"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MINEDUC</w:t>
            </w:r>
          </w:p>
        </w:tc>
        <w:tc>
          <w:tcPr>
            <w:tcW w:w="590" w:type="dxa"/>
            <w:noWrap/>
            <w:vAlign w:val="center"/>
            <w:hideMark/>
          </w:tcPr>
          <w:p w14:paraId="6FCA8AB1"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505</w:t>
            </w:r>
          </w:p>
        </w:tc>
        <w:tc>
          <w:tcPr>
            <w:tcW w:w="599" w:type="dxa"/>
            <w:noWrap/>
            <w:vAlign w:val="center"/>
            <w:hideMark/>
          </w:tcPr>
          <w:p w14:paraId="48379A44"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13</w:t>
            </w:r>
          </w:p>
        </w:tc>
        <w:tc>
          <w:tcPr>
            <w:tcW w:w="3217" w:type="dxa"/>
            <w:vAlign w:val="center"/>
            <w:hideMark/>
          </w:tcPr>
          <w:p w14:paraId="1826072F" w14:textId="49E70E7E"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Educación Primaria Rural/PRONADE III</w:t>
            </w:r>
            <w:r w:rsidR="01D9CEE3" w:rsidRPr="007A6B50">
              <w:rPr>
                <w:rFonts w:eastAsia="Times New Roman" w:cstheme="minorHAnsi"/>
                <w:sz w:val="16"/>
                <w:szCs w:val="16"/>
                <w:lang w:eastAsia="es-GT"/>
              </w:rPr>
              <w:t>.</w:t>
            </w:r>
          </w:p>
        </w:tc>
        <w:tc>
          <w:tcPr>
            <w:tcW w:w="1453" w:type="dxa"/>
            <w:noWrap/>
            <w:vAlign w:val="center"/>
            <w:hideMark/>
          </w:tcPr>
          <w:p w14:paraId="05EE5FCF"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1453" w:type="dxa"/>
            <w:noWrap/>
            <w:vAlign w:val="center"/>
            <w:hideMark/>
          </w:tcPr>
          <w:p w14:paraId="24DE317D"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972" w:type="dxa"/>
            <w:noWrap/>
            <w:vAlign w:val="center"/>
            <w:hideMark/>
          </w:tcPr>
          <w:p w14:paraId="7B1D3F1B"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606CB8" w:rsidRPr="007A6B50" w14:paraId="1D3E2D02" w14:textId="77777777" w:rsidTr="005C42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382FF27B"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3</w:t>
            </w:r>
          </w:p>
        </w:tc>
        <w:tc>
          <w:tcPr>
            <w:tcW w:w="945" w:type="dxa"/>
            <w:vMerge/>
            <w:vAlign w:val="center"/>
            <w:hideMark/>
          </w:tcPr>
          <w:p w14:paraId="227617A0"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27751EC8"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505</w:t>
            </w:r>
          </w:p>
        </w:tc>
        <w:tc>
          <w:tcPr>
            <w:tcW w:w="599" w:type="dxa"/>
            <w:noWrap/>
            <w:vAlign w:val="center"/>
            <w:hideMark/>
          </w:tcPr>
          <w:p w14:paraId="532AA756"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18</w:t>
            </w:r>
          </w:p>
        </w:tc>
        <w:tc>
          <w:tcPr>
            <w:tcW w:w="3217" w:type="dxa"/>
            <w:vAlign w:val="center"/>
            <w:hideMark/>
          </w:tcPr>
          <w:p w14:paraId="26626F6D" w14:textId="2592D79F"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Programa de Educación Rural en Guatemala (PROEDUC IV</w:t>
            </w:r>
            <w:r w:rsidR="01D9CEE3" w:rsidRPr="007A6B50">
              <w:rPr>
                <w:rFonts w:eastAsia="Times New Roman" w:cstheme="minorHAnsi"/>
                <w:sz w:val="16"/>
                <w:szCs w:val="16"/>
                <w:lang w:eastAsia="es-GT"/>
              </w:rPr>
              <w:t>).</w:t>
            </w:r>
          </w:p>
        </w:tc>
        <w:tc>
          <w:tcPr>
            <w:tcW w:w="1453" w:type="dxa"/>
            <w:noWrap/>
            <w:vAlign w:val="center"/>
            <w:hideMark/>
          </w:tcPr>
          <w:p w14:paraId="295972A1"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Q1,508,814.00</w:t>
            </w:r>
          </w:p>
        </w:tc>
        <w:tc>
          <w:tcPr>
            <w:tcW w:w="1453" w:type="dxa"/>
            <w:noWrap/>
            <w:vAlign w:val="center"/>
            <w:hideMark/>
          </w:tcPr>
          <w:p w14:paraId="678F4FA5"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Q655,450.00</w:t>
            </w:r>
          </w:p>
        </w:tc>
        <w:tc>
          <w:tcPr>
            <w:tcW w:w="972" w:type="dxa"/>
            <w:noWrap/>
            <w:vAlign w:val="center"/>
            <w:hideMark/>
          </w:tcPr>
          <w:p w14:paraId="7FEF5FE1"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43.44%</w:t>
            </w:r>
          </w:p>
        </w:tc>
      </w:tr>
      <w:tr w:rsidR="00967B06" w:rsidRPr="007A6B50" w14:paraId="66873876" w14:textId="77777777" w:rsidTr="005C4219">
        <w:trPr>
          <w:trHeight w:val="76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75515959"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4</w:t>
            </w:r>
          </w:p>
        </w:tc>
        <w:tc>
          <w:tcPr>
            <w:tcW w:w="945" w:type="dxa"/>
            <w:vMerge w:val="restart"/>
            <w:noWrap/>
            <w:vAlign w:val="center"/>
            <w:hideMark/>
          </w:tcPr>
          <w:p w14:paraId="4CDDB14E"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MSPAS</w:t>
            </w:r>
          </w:p>
        </w:tc>
        <w:tc>
          <w:tcPr>
            <w:tcW w:w="590" w:type="dxa"/>
            <w:noWrap/>
            <w:vAlign w:val="center"/>
            <w:hideMark/>
          </w:tcPr>
          <w:p w14:paraId="6FE7CE7B"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401</w:t>
            </w:r>
          </w:p>
        </w:tc>
        <w:tc>
          <w:tcPr>
            <w:tcW w:w="599" w:type="dxa"/>
            <w:noWrap/>
            <w:vAlign w:val="center"/>
            <w:hideMark/>
          </w:tcPr>
          <w:p w14:paraId="2AE93A06"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39</w:t>
            </w:r>
          </w:p>
        </w:tc>
        <w:tc>
          <w:tcPr>
            <w:tcW w:w="3217" w:type="dxa"/>
            <w:vAlign w:val="center"/>
            <w:hideMark/>
          </w:tcPr>
          <w:p w14:paraId="5063BD0A" w14:textId="4A842DB1"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Adquisición de equipo médico para la atención de pacientes contagiados de COVID-19 (SARS-COV-2) Hospital Parque de la Industria (Acuerdo Ministerial No. 265-2021</w:t>
            </w:r>
            <w:r w:rsidR="01D9CEE3" w:rsidRPr="007A6B50">
              <w:rPr>
                <w:rFonts w:eastAsia="Times New Roman" w:cstheme="minorHAnsi"/>
                <w:sz w:val="16"/>
                <w:szCs w:val="16"/>
                <w:lang w:eastAsia="es-GT"/>
              </w:rPr>
              <w:t>).</w:t>
            </w:r>
          </w:p>
        </w:tc>
        <w:tc>
          <w:tcPr>
            <w:tcW w:w="1453" w:type="dxa"/>
            <w:noWrap/>
            <w:vAlign w:val="center"/>
            <w:hideMark/>
          </w:tcPr>
          <w:p w14:paraId="1D57FFB4"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Q3,900,000.00</w:t>
            </w:r>
          </w:p>
        </w:tc>
        <w:tc>
          <w:tcPr>
            <w:tcW w:w="1453" w:type="dxa"/>
            <w:noWrap/>
            <w:vAlign w:val="center"/>
            <w:hideMark/>
          </w:tcPr>
          <w:p w14:paraId="53F9526A"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972" w:type="dxa"/>
            <w:noWrap/>
            <w:vAlign w:val="center"/>
            <w:hideMark/>
          </w:tcPr>
          <w:p w14:paraId="1EDB84ED"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606CB8" w:rsidRPr="007A6B50" w14:paraId="5B53E53F" w14:textId="77777777" w:rsidTr="005C4219">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6C8DE1D4"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5</w:t>
            </w:r>
          </w:p>
        </w:tc>
        <w:tc>
          <w:tcPr>
            <w:tcW w:w="945" w:type="dxa"/>
            <w:vMerge/>
            <w:vAlign w:val="center"/>
            <w:hideMark/>
          </w:tcPr>
          <w:p w14:paraId="1A1D6F7D"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764AD06B"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402</w:t>
            </w:r>
          </w:p>
        </w:tc>
        <w:tc>
          <w:tcPr>
            <w:tcW w:w="599" w:type="dxa"/>
            <w:noWrap/>
            <w:vAlign w:val="center"/>
            <w:hideMark/>
          </w:tcPr>
          <w:p w14:paraId="2F2A9A0C"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186</w:t>
            </w:r>
          </w:p>
        </w:tc>
        <w:tc>
          <w:tcPr>
            <w:tcW w:w="3217" w:type="dxa"/>
            <w:vAlign w:val="center"/>
            <w:hideMark/>
          </w:tcPr>
          <w:p w14:paraId="10649DE5" w14:textId="7E32A7CA"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Iniciativa regional para la eliminación de la Malaria (IREM) en Mesoamérica y República Dominicana (GRT/MM-17900-GU y GRT/MM-17901-GU</w:t>
            </w:r>
            <w:r w:rsidR="01D9CEE3" w:rsidRPr="007A6B50">
              <w:rPr>
                <w:rFonts w:eastAsia="Times New Roman" w:cstheme="minorHAnsi"/>
                <w:sz w:val="16"/>
                <w:szCs w:val="16"/>
                <w:lang w:eastAsia="es-GT"/>
              </w:rPr>
              <w:t>).</w:t>
            </w:r>
          </w:p>
        </w:tc>
        <w:tc>
          <w:tcPr>
            <w:tcW w:w="1453" w:type="dxa"/>
            <w:noWrap/>
            <w:vAlign w:val="center"/>
            <w:hideMark/>
          </w:tcPr>
          <w:p w14:paraId="7F0A245E"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Q12,753,842.00</w:t>
            </w:r>
          </w:p>
        </w:tc>
        <w:tc>
          <w:tcPr>
            <w:tcW w:w="1453" w:type="dxa"/>
            <w:noWrap/>
            <w:vAlign w:val="center"/>
            <w:hideMark/>
          </w:tcPr>
          <w:p w14:paraId="4322239B"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Q9,504,899.47</w:t>
            </w:r>
          </w:p>
        </w:tc>
        <w:tc>
          <w:tcPr>
            <w:tcW w:w="972" w:type="dxa"/>
            <w:noWrap/>
            <w:vAlign w:val="center"/>
            <w:hideMark/>
          </w:tcPr>
          <w:p w14:paraId="0FBCDC16"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74.53%</w:t>
            </w:r>
          </w:p>
        </w:tc>
      </w:tr>
      <w:tr w:rsidR="00967B06" w:rsidRPr="007A6B50" w14:paraId="69CC42CF" w14:textId="77777777" w:rsidTr="005C4219">
        <w:trPr>
          <w:trHeight w:val="68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3C8E9700"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6</w:t>
            </w:r>
          </w:p>
        </w:tc>
        <w:tc>
          <w:tcPr>
            <w:tcW w:w="945" w:type="dxa"/>
            <w:vMerge/>
            <w:vAlign w:val="center"/>
            <w:hideMark/>
          </w:tcPr>
          <w:p w14:paraId="4543B12B"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50F0941D"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425</w:t>
            </w:r>
          </w:p>
        </w:tc>
        <w:tc>
          <w:tcPr>
            <w:tcW w:w="599" w:type="dxa"/>
            <w:noWrap/>
            <w:vAlign w:val="center"/>
            <w:hideMark/>
          </w:tcPr>
          <w:p w14:paraId="386F000A"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2</w:t>
            </w:r>
          </w:p>
        </w:tc>
        <w:tc>
          <w:tcPr>
            <w:tcW w:w="3217" w:type="dxa"/>
            <w:vAlign w:val="center"/>
            <w:hideMark/>
          </w:tcPr>
          <w:p w14:paraId="156161DE" w14:textId="7F34B1DF"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Iniciativa multisectorial para implementar y consolidar las estrategias de prevención y control para la pre eliminación de la Malaria en Guatemala</w:t>
            </w:r>
            <w:r w:rsidR="01D9CEE3" w:rsidRPr="007A6B50">
              <w:rPr>
                <w:rFonts w:eastAsia="Times New Roman" w:cstheme="minorHAnsi"/>
                <w:sz w:val="16"/>
                <w:szCs w:val="16"/>
                <w:lang w:eastAsia="es-GT"/>
              </w:rPr>
              <w:t>.</w:t>
            </w:r>
          </w:p>
        </w:tc>
        <w:tc>
          <w:tcPr>
            <w:tcW w:w="1453" w:type="dxa"/>
            <w:noWrap/>
            <w:vAlign w:val="center"/>
            <w:hideMark/>
          </w:tcPr>
          <w:p w14:paraId="53F43A25"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Q41,100.00</w:t>
            </w:r>
          </w:p>
        </w:tc>
        <w:tc>
          <w:tcPr>
            <w:tcW w:w="1453" w:type="dxa"/>
            <w:noWrap/>
            <w:vAlign w:val="center"/>
            <w:hideMark/>
          </w:tcPr>
          <w:p w14:paraId="5B6775A1"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Q41,046.24</w:t>
            </w:r>
          </w:p>
        </w:tc>
        <w:tc>
          <w:tcPr>
            <w:tcW w:w="972" w:type="dxa"/>
            <w:noWrap/>
            <w:vAlign w:val="center"/>
            <w:hideMark/>
          </w:tcPr>
          <w:p w14:paraId="2B1899AD"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99.87%</w:t>
            </w:r>
          </w:p>
        </w:tc>
      </w:tr>
      <w:tr w:rsidR="00606CB8" w:rsidRPr="007A6B50" w14:paraId="05B97614" w14:textId="77777777" w:rsidTr="005C421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5C2BEB8B"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7</w:t>
            </w:r>
          </w:p>
        </w:tc>
        <w:tc>
          <w:tcPr>
            <w:tcW w:w="945" w:type="dxa"/>
            <w:vMerge/>
            <w:vAlign w:val="center"/>
            <w:hideMark/>
          </w:tcPr>
          <w:p w14:paraId="1BF8265D"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19E482B9"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425</w:t>
            </w:r>
          </w:p>
        </w:tc>
        <w:tc>
          <w:tcPr>
            <w:tcW w:w="599" w:type="dxa"/>
            <w:noWrap/>
            <w:vAlign w:val="center"/>
            <w:hideMark/>
          </w:tcPr>
          <w:p w14:paraId="6E77AAE0"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w:t>
            </w:r>
          </w:p>
        </w:tc>
        <w:tc>
          <w:tcPr>
            <w:tcW w:w="3217" w:type="dxa"/>
            <w:vAlign w:val="center"/>
            <w:hideMark/>
          </w:tcPr>
          <w:p w14:paraId="7FE35200" w14:textId="1EC55EC0"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Un enfoque de múltiples partes interesadas para apoyar la implementación de estrategias nacionales para lograr la eliminación de la malaria en Guatemala para el 2022 (Acuerdo Ministerial No. 137-2019</w:t>
            </w:r>
            <w:r w:rsidR="01D9CEE3" w:rsidRPr="007A6B50">
              <w:rPr>
                <w:rFonts w:eastAsia="Times New Roman" w:cstheme="minorHAnsi"/>
                <w:sz w:val="16"/>
                <w:szCs w:val="16"/>
                <w:lang w:eastAsia="es-GT"/>
              </w:rPr>
              <w:t>).</w:t>
            </w:r>
          </w:p>
        </w:tc>
        <w:tc>
          <w:tcPr>
            <w:tcW w:w="1453" w:type="dxa"/>
            <w:noWrap/>
            <w:vAlign w:val="center"/>
            <w:hideMark/>
          </w:tcPr>
          <w:p w14:paraId="4ECDC94D"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Q1,219,480.00</w:t>
            </w:r>
          </w:p>
        </w:tc>
        <w:tc>
          <w:tcPr>
            <w:tcW w:w="1453" w:type="dxa"/>
            <w:noWrap/>
            <w:vAlign w:val="center"/>
            <w:hideMark/>
          </w:tcPr>
          <w:p w14:paraId="47B08030"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Q1,219,473.94</w:t>
            </w:r>
          </w:p>
        </w:tc>
        <w:tc>
          <w:tcPr>
            <w:tcW w:w="972" w:type="dxa"/>
            <w:noWrap/>
            <w:vAlign w:val="center"/>
            <w:hideMark/>
          </w:tcPr>
          <w:p w14:paraId="59329CE2"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100.00%</w:t>
            </w:r>
          </w:p>
        </w:tc>
      </w:tr>
      <w:tr w:rsidR="00967B06" w:rsidRPr="007A6B50" w14:paraId="5BDD8466" w14:textId="77777777" w:rsidTr="005C4219">
        <w:trPr>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36F386ED"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8</w:t>
            </w:r>
          </w:p>
        </w:tc>
        <w:tc>
          <w:tcPr>
            <w:tcW w:w="945" w:type="dxa"/>
            <w:vMerge/>
            <w:vAlign w:val="center"/>
            <w:hideMark/>
          </w:tcPr>
          <w:p w14:paraId="378C0BA3"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12A74861"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425</w:t>
            </w:r>
          </w:p>
        </w:tc>
        <w:tc>
          <w:tcPr>
            <w:tcW w:w="599" w:type="dxa"/>
            <w:noWrap/>
            <w:vAlign w:val="center"/>
            <w:hideMark/>
          </w:tcPr>
          <w:p w14:paraId="369074C0"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5</w:t>
            </w:r>
          </w:p>
        </w:tc>
        <w:tc>
          <w:tcPr>
            <w:tcW w:w="3217" w:type="dxa"/>
            <w:vAlign w:val="center"/>
            <w:hideMark/>
          </w:tcPr>
          <w:p w14:paraId="5EDBB67A" w14:textId="5F50188D"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Fortalecer la estrategia TAES en el marco de la nueva estrategia Alto a la Tuberculosis, GTM-MSPAS (Acuerdo Ministerial No. 156-2019</w:t>
            </w:r>
            <w:r w:rsidR="01D9CEE3" w:rsidRPr="007A6B50">
              <w:rPr>
                <w:rFonts w:eastAsia="Times New Roman" w:cstheme="minorHAnsi"/>
                <w:sz w:val="16"/>
                <w:szCs w:val="16"/>
                <w:lang w:eastAsia="es-GT"/>
              </w:rPr>
              <w:t>).</w:t>
            </w:r>
          </w:p>
        </w:tc>
        <w:tc>
          <w:tcPr>
            <w:tcW w:w="1453" w:type="dxa"/>
            <w:noWrap/>
            <w:vAlign w:val="center"/>
            <w:hideMark/>
          </w:tcPr>
          <w:p w14:paraId="2DF44029"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Q1,351,889.00</w:t>
            </w:r>
          </w:p>
        </w:tc>
        <w:tc>
          <w:tcPr>
            <w:tcW w:w="1453" w:type="dxa"/>
            <w:noWrap/>
            <w:vAlign w:val="center"/>
            <w:hideMark/>
          </w:tcPr>
          <w:p w14:paraId="0E4E3692"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Q1,092,112.09</w:t>
            </w:r>
          </w:p>
        </w:tc>
        <w:tc>
          <w:tcPr>
            <w:tcW w:w="972" w:type="dxa"/>
            <w:noWrap/>
            <w:vAlign w:val="center"/>
            <w:hideMark/>
          </w:tcPr>
          <w:p w14:paraId="69903210"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80.78%</w:t>
            </w:r>
          </w:p>
        </w:tc>
      </w:tr>
      <w:tr w:rsidR="00606CB8" w:rsidRPr="007A6B50" w14:paraId="77E738F0" w14:textId="77777777" w:rsidTr="005C421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5C2D2F2B"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9</w:t>
            </w:r>
          </w:p>
        </w:tc>
        <w:tc>
          <w:tcPr>
            <w:tcW w:w="945" w:type="dxa"/>
            <w:vMerge/>
            <w:vAlign w:val="center"/>
            <w:hideMark/>
          </w:tcPr>
          <w:p w14:paraId="4C7776F6"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1E1B9C40"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2102</w:t>
            </w:r>
          </w:p>
        </w:tc>
        <w:tc>
          <w:tcPr>
            <w:tcW w:w="599" w:type="dxa"/>
            <w:noWrap/>
            <w:vAlign w:val="center"/>
            <w:hideMark/>
          </w:tcPr>
          <w:p w14:paraId="244617C5"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255</w:t>
            </w:r>
          </w:p>
        </w:tc>
        <w:tc>
          <w:tcPr>
            <w:tcW w:w="3217" w:type="dxa"/>
            <w:vAlign w:val="center"/>
            <w:hideMark/>
          </w:tcPr>
          <w:p w14:paraId="300AB636" w14:textId="3BACEA27"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Plan para la Prevención, contención y respuesta a casos de Coronavirus (COVID-19) en Guatemala (Decreto Gubernativo Número 5-2020</w:t>
            </w:r>
            <w:r w:rsidR="01D9CEE3" w:rsidRPr="007A6B50">
              <w:rPr>
                <w:rFonts w:eastAsia="Times New Roman" w:cstheme="minorHAnsi"/>
                <w:sz w:val="16"/>
                <w:szCs w:val="16"/>
                <w:lang w:eastAsia="es-GT"/>
              </w:rPr>
              <w:t>).</w:t>
            </w:r>
          </w:p>
        </w:tc>
        <w:tc>
          <w:tcPr>
            <w:tcW w:w="1453" w:type="dxa"/>
            <w:noWrap/>
            <w:vAlign w:val="center"/>
            <w:hideMark/>
          </w:tcPr>
          <w:p w14:paraId="25FD00B2"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Q777,531.00</w:t>
            </w:r>
          </w:p>
        </w:tc>
        <w:tc>
          <w:tcPr>
            <w:tcW w:w="1453" w:type="dxa"/>
            <w:noWrap/>
            <w:vAlign w:val="center"/>
            <w:hideMark/>
          </w:tcPr>
          <w:p w14:paraId="761086A6"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972" w:type="dxa"/>
            <w:noWrap/>
            <w:vAlign w:val="center"/>
            <w:hideMark/>
          </w:tcPr>
          <w:p w14:paraId="730A9446"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967B06" w:rsidRPr="007A6B50" w14:paraId="52A1EB3E" w14:textId="77777777" w:rsidTr="005C4219">
        <w:trPr>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7C804499"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10</w:t>
            </w:r>
          </w:p>
        </w:tc>
        <w:tc>
          <w:tcPr>
            <w:tcW w:w="945" w:type="dxa"/>
            <w:vMerge w:val="restart"/>
            <w:noWrap/>
            <w:vAlign w:val="center"/>
            <w:hideMark/>
          </w:tcPr>
          <w:p w14:paraId="5FD493B2"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MINTRAB</w:t>
            </w:r>
          </w:p>
        </w:tc>
        <w:tc>
          <w:tcPr>
            <w:tcW w:w="590" w:type="dxa"/>
            <w:noWrap/>
            <w:vAlign w:val="center"/>
            <w:hideMark/>
          </w:tcPr>
          <w:p w14:paraId="79330614"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603</w:t>
            </w:r>
          </w:p>
        </w:tc>
        <w:tc>
          <w:tcPr>
            <w:tcW w:w="599" w:type="dxa"/>
            <w:noWrap/>
            <w:vAlign w:val="center"/>
            <w:hideMark/>
          </w:tcPr>
          <w:p w14:paraId="357D151E"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118</w:t>
            </w:r>
          </w:p>
        </w:tc>
        <w:tc>
          <w:tcPr>
            <w:tcW w:w="3217" w:type="dxa"/>
            <w:vAlign w:val="center"/>
            <w:hideMark/>
          </w:tcPr>
          <w:p w14:paraId="1A9FF073" w14:textId="0C072AC9"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Programa nacional de escuelas taller de Guatemala Ref- 2019/SPE/0000400164 (Acuerdo Ministerial No. 58-2020</w:t>
            </w:r>
            <w:r w:rsidR="01D9CEE3" w:rsidRPr="007A6B50">
              <w:rPr>
                <w:rFonts w:eastAsia="Times New Roman" w:cstheme="minorHAnsi"/>
                <w:sz w:val="16"/>
                <w:szCs w:val="16"/>
                <w:lang w:eastAsia="es-GT"/>
              </w:rPr>
              <w:t>).</w:t>
            </w:r>
          </w:p>
        </w:tc>
        <w:tc>
          <w:tcPr>
            <w:tcW w:w="1453" w:type="dxa"/>
            <w:noWrap/>
            <w:vAlign w:val="center"/>
            <w:hideMark/>
          </w:tcPr>
          <w:p w14:paraId="04D8295F"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Q86,709.00</w:t>
            </w:r>
          </w:p>
        </w:tc>
        <w:tc>
          <w:tcPr>
            <w:tcW w:w="1453" w:type="dxa"/>
            <w:noWrap/>
            <w:vAlign w:val="center"/>
            <w:hideMark/>
          </w:tcPr>
          <w:p w14:paraId="73B7E0D3"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972" w:type="dxa"/>
            <w:noWrap/>
            <w:vAlign w:val="center"/>
            <w:hideMark/>
          </w:tcPr>
          <w:p w14:paraId="7038EB25"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606CB8" w:rsidRPr="007A6B50" w14:paraId="663ED5A3" w14:textId="77777777" w:rsidTr="005C421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28CA8CA8"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11</w:t>
            </w:r>
          </w:p>
        </w:tc>
        <w:tc>
          <w:tcPr>
            <w:tcW w:w="945" w:type="dxa"/>
            <w:vMerge/>
            <w:vAlign w:val="center"/>
            <w:hideMark/>
          </w:tcPr>
          <w:p w14:paraId="7D82C86B"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1D4FA457"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603</w:t>
            </w:r>
          </w:p>
        </w:tc>
        <w:tc>
          <w:tcPr>
            <w:tcW w:w="599" w:type="dxa"/>
            <w:noWrap/>
            <w:vAlign w:val="center"/>
            <w:hideMark/>
          </w:tcPr>
          <w:p w14:paraId="13604DA3"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121</w:t>
            </w:r>
          </w:p>
        </w:tc>
        <w:tc>
          <w:tcPr>
            <w:tcW w:w="3217" w:type="dxa"/>
            <w:vAlign w:val="center"/>
            <w:hideMark/>
          </w:tcPr>
          <w:p w14:paraId="708F2A3F" w14:textId="2D090698"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Programa nacional de escuelas taller de Guatemala, Fase V (Acuerdo Ministerial No. 361-2020</w:t>
            </w:r>
            <w:r w:rsidR="01D9CEE3" w:rsidRPr="007A6B50">
              <w:rPr>
                <w:rFonts w:eastAsia="Times New Roman" w:cstheme="minorHAnsi"/>
                <w:sz w:val="16"/>
                <w:szCs w:val="16"/>
                <w:lang w:eastAsia="es-GT"/>
              </w:rPr>
              <w:t>).</w:t>
            </w:r>
          </w:p>
        </w:tc>
        <w:tc>
          <w:tcPr>
            <w:tcW w:w="1453" w:type="dxa"/>
            <w:noWrap/>
            <w:vAlign w:val="center"/>
            <w:hideMark/>
          </w:tcPr>
          <w:p w14:paraId="3F54B064"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Q2,768,155.00</w:t>
            </w:r>
          </w:p>
        </w:tc>
        <w:tc>
          <w:tcPr>
            <w:tcW w:w="1453" w:type="dxa"/>
            <w:noWrap/>
            <w:vAlign w:val="center"/>
            <w:hideMark/>
          </w:tcPr>
          <w:p w14:paraId="2EFFCFC2"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Q2,272,450.61</w:t>
            </w:r>
          </w:p>
        </w:tc>
        <w:tc>
          <w:tcPr>
            <w:tcW w:w="972" w:type="dxa"/>
            <w:noWrap/>
            <w:vAlign w:val="center"/>
            <w:hideMark/>
          </w:tcPr>
          <w:p w14:paraId="26D220BE"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82.09%</w:t>
            </w:r>
          </w:p>
        </w:tc>
      </w:tr>
      <w:tr w:rsidR="00967B06" w:rsidRPr="007A6B50" w14:paraId="2473A12E" w14:textId="77777777" w:rsidTr="005C4219">
        <w:trPr>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1396CC66"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12</w:t>
            </w:r>
          </w:p>
        </w:tc>
        <w:tc>
          <w:tcPr>
            <w:tcW w:w="945" w:type="dxa"/>
            <w:vMerge w:val="restart"/>
            <w:noWrap/>
            <w:vAlign w:val="center"/>
            <w:hideMark/>
          </w:tcPr>
          <w:p w14:paraId="1B2C140A"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MINECO</w:t>
            </w:r>
          </w:p>
        </w:tc>
        <w:tc>
          <w:tcPr>
            <w:tcW w:w="590" w:type="dxa"/>
            <w:noWrap/>
            <w:vAlign w:val="center"/>
            <w:hideMark/>
          </w:tcPr>
          <w:p w14:paraId="050972D7"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409</w:t>
            </w:r>
          </w:p>
        </w:tc>
        <w:tc>
          <w:tcPr>
            <w:tcW w:w="599" w:type="dxa"/>
            <w:noWrap/>
            <w:vAlign w:val="center"/>
            <w:hideMark/>
          </w:tcPr>
          <w:p w14:paraId="56876637"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42</w:t>
            </w:r>
          </w:p>
        </w:tc>
        <w:tc>
          <w:tcPr>
            <w:tcW w:w="3217" w:type="dxa"/>
            <w:vAlign w:val="center"/>
            <w:hideMark/>
          </w:tcPr>
          <w:p w14:paraId="23692A18" w14:textId="00A0E594"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Apoyo a la mejora de la competitividad y capacidad comercial de Mipymes y cooperativas</w:t>
            </w:r>
            <w:r w:rsidR="01D9CEE3" w:rsidRPr="007A6B50">
              <w:rPr>
                <w:rFonts w:eastAsia="Times New Roman" w:cstheme="minorHAnsi"/>
                <w:sz w:val="16"/>
                <w:szCs w:val="16"/>
                <w:lang w:eastAsia="es-GT"/>
              </w:rPr>
              <w:t>.</w:t>
            </w:r>
          </w:p>
        </w:tc>
        <w:tc>
          <w:tcPr>
            <w:tcW w:w="1453" w:type="dxa"/>
            <w:noWrap/>
            <w:vAlign w:val="center"/>
            <w:hideMark/>
          </w:tcPr>
          <w:p w14:paraId="14809398"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Q642,121.00</w:t>
            </w:r>
          </w:p>
        </w:tc>
        <w:tc>
          <w:tcPr>
            <w:tcW w:w="1453" w:type="dxa"/>
            <w:noWrap/>
            <w:vAlign w:val="center"/>
            <w:hideMark/>
          </w:tcPr>
          <w:p w14:paraId="23AADC87"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Q520,282.64</w:t>
            </w:r>
          </w:p>
        </w:tc>
        <w:tc>
          <w:tcPr>
            <w:tcW w:w="972" w:type="dxa"/>
            <w:noWrap/>
            <w:vAlign w:val="center"/>
            <w:hideMark/>
          </w:tcPr>
          <w:p w14:paraId="6CDAE442"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81.03%</w:t>
            </w:r>
          </w:p>
        </w:tc>
      </w:tr>
      <w:tr w:rsidR="00606CB8" w:rsidRPr="007A6B50" w14:paraId="566DC109" w14:textId="77777777" w:rsidTr="005C42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02FB1617"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13</w:t>
            </w:r>
          </w:p>
        </w:tc>
        <w:tc>
          <w:tcPr>
            <w:tcW w:w="945" w:type="dxa"/>
            <w:vMerge/>
            <w:vAlign w:val="center"/>
            <w:hideMark/>
          </w:tcPr>
          <w:p w14:paraId="758B228E"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75B99640"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409</w:t>
            </w:r>
          </w:p>
        </w:tc>
        <w:tc>
          <w:tcPr>
            <w:tcW w:w="599" w:type="dxa"/>
            <w:noWrap/>
            <w:vAlign w:val="center"/>
            <w:hideMark/>
          </w:tcPr>
          <w:p w14:paraId="6BC5FEF9"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46</w:t>
            </w:r>
          </w:p>
        </w:tc>
        <w:tc>
          <w:tcPr>
            <w:tcW w:w="3217" w:type="dxa"/>
            <w:vAlign w:val="center"/>
            <w:hideMark/>
          </w:tcPr>
          <w:p w14:paraId="25D37BB0" w14:textId="0C536E03"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Programa de ap</w:t>
            </w:r>
            <w:r w:rsidR="00DB77C9" w:rsidRPr="007A6B50">
              <w:rPr>
                <w:rFonts w:eastAsia="Times New Roman" w:cstheme="minorHAnsi"/>
                <w:sz w:val="16"/>
                <w:szCs w:val="16"/>
                <w:lang w:eastAsia="es-GT"/>
              </w:rPr>
              <w:t>o</w:t>
            </w:r>
            <w:r w:rsidRPr="007A6B50">
              <w:rPr>
                <w:rFonts w:eastAsia="Times New Roman" w:cstheme="minorHAnsi"/>
                <w:sz w:val="16"/>
                <w:szCs w:val="16"/>
                <w:lang w:eastAsia="es-GT"/>
              </w:rPr>
              <w:t>yo al empleo digno en Guatemala</w:t>
            </w:r>
            <w:r w:rsidR="01D9CEE3" w:rsidRPr="007A6B50">
              <w:rPr>
                <w:rFonts w:eastAsia="Times New Roman" w:cstheme="minorHAnsi"/>
                <w:sz w:val="16"/>
                <w:szCs w:val="16"/>
                <w:lang w:eastAsia="es-GT"/>
              </w:rPr>
              <w:t>.</w:t>
            </w:r>
          </w:p>
        </w:tc>
        <w:tc>
          <w:tcPr>
            <w:tcW w:w="1453" w:type="dxa"/>
            <w:noWrap/>
            <w:vAlign w:val="center"/>
            <w:hideMark/>
          </w:tcPr>
          <w:p w14:paraId="3D3CD1B3"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Q3,757,879.00</w:t>
            </w:r>
          </w:p>
        </w:tc>
        <w:tc>
          <w:tcPr>
            <w:tcW w:w="1453" w:type="dxa"/>
            <w:noWrap/>
            <w:vAlign w:val="center"/>
            <w:hideMark/>
          </w:tcPr>
          <w:p w14:paraId="614593CC"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Q1,539,096.29</w:t>
            </w:r>
          </w:p>
        </w:tc>
        <w:tc>
          <w:tcPr>
            <w:tcW w:w="972" w:type="dxa"/>
            <w:noWrap/>
            <w:vAlign w:val="center"/>
            <w:hideMark/>
          </w:tcPr>
          <w:p w14:paraId="4543D5CC"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40.96%</w:t>
            </w:r>
          </w:p>
        </w:tc>
      </w:tr>
      <w:tr w:rsidR="00967B06" w:rsidRPr="007A6B50" w14:paraId="3604B263" w14:textId="77777777" w:rsidTr="005C4219">
        <w:trPr>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4B934C83"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14</w:t>
            </w:r>
          </w:p>
        </w:tc>
        <w:tc>
          <w:tcPr>
            <w:tcW w:w="945" w:type="dxa"/>
            <w:vMerge w:val="restart"/>
            <w:noWrap/>
            <w:vAlign w:val="center"/>
            <w:hideMark/>
          </w:tcPr>
          <w:p w14:paraId="6CEB1A0D"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MAGA</w:t>
            </w:r>
          </w:p>
        </w:tc>
        <w:tc>
          <w:tcPr>
            <w:tcW w:w="590" w:type="dxa"/>
            <w:noWrap/>
            <w:vAlign w:val="center"/>
            <w:hideMark/>
          </w:tcPr>
          <w:p w14:paraId="1253441C"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409</w:t>
            </w:r>
          </w:p>
        </w:tc>
        <w:tc>
          <w:tcPr>
            <w:tcW w:w="599" w:type="dxa"/>
            <w:noWrap/>
            <w:vAlign w:val="center"/>
            <w:hideMark/>
          </w:tcPr>
          <w:p w14:paraId="1F68A27E"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w:t>
            </w:r>
          </w:p>
        </w:tc>
        <w:tc>
          <w:tcPr>
            <w:tcW w:w="3217" w:type="dxa"/>
            <w:vAlign w:val="center"/>
            <w:hideMark/>
          </w:tcPr>
          <w:p w14:paraId="0C2E77B8" w14:textId="6A431551"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Apoyo presupuestario al programa de agricultura familiar para el fortalecimiento de la economía campesina (AP-PAFFEC</w:t>
            </w:r>
            <w:r w:rsidR="01D9CEE3" w:rsidRPr="007A6B50">
              <w:rPr>
                <w:rFonts w:eastAsia="Times New Roman" w:cstheme="minorHAnsi"/>
                <w:sz w:val="16"/>
                <w:szCs w:val="16"/>
                <w:lang w:eastAsia="es-GT"/>
              </w:rPr>
              <w:t>).</w:t>
            </w:r>
          </w:p>
        </w:tc>
        <w:tc>
          <w:tcPr>
            <w:tcW w:w="1453" w:type="dxa"/>
            <w:noWrap/>
            <w:vAlign w:val="center"/>
            <w:hideMark/>
          </w:tcPr>
          <w:p w14:paraId="6DB38D4E"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Q36,101,971.00</w:t>
            </w:r>
          </w:p>
        </w:tc>
        <w:tc>
          <w:tcPr>
            <w:tcW w:w="1453" w:type="dxa"/>
            <w:noWrap/>
            <w:vAlign w:val="center"/>
            <w:hideMark/>
          </w:tcPr>
          <w:p w14:paraId="1C40E3C5"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Q35,601,968.85</w:t>
            </w:r>
          </w:p>
        </w:tc>
        <w:tc>
          <w:tcPr>
            <w:tcW w:w="972" w:type="dxa"/>
            <w:noWrap/>
            <w:vAlign w:val="center"/>
            <w:hideMark/>
          </w:tcPr>
          <w:p w14:paraId="006ECEEB"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98.62%</w:t>
            </w:r>
          </w:p>
        </w:tc>
      </w:tr>
      <w:tr w:rsidR="00606CB8" w:rsidRPr="007A6B50" w14:paraId="700E9878" w14:textId="77777777" w:rsidTr="005C421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6D3C4F76"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15</w:t>
            </w:r>
          </w:p>
        </w:tc>
        <w:tc>
          <w:tcPr>
            <w:tcW w:w="945" w:type="dxa"/>
            <w:vMerge/>
            <w:vAlign w:val="center"/>
            <w:hideMark/>
          </w:tcPr>
          <w:p w14:paraId="3DC162D2"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3EF8DCFE"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602</w:t>
            </w:r>
          </w:p>
        </w:tc>
        <w:tc>
          <w:tcPr>
            <w:tcW w:w="599" w:type="dxa"/>
            <w:noWrap/>
            <w:vAlign w:val="center"/>
            <w:hideMark/>
          </w:tcPr>
          <w:p w14:paraId="6C42D9C8"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19</w:t>
            </w:r>
          </w:p>
        </w:tc>
        <w:tc>
          <w:tcPr>
            <w:tcW w:w="3217" w:type="dxa"/>
            <w:vAlign w:val="center"/>
            <w:hideMark/>
          </w:tcPr>
          <w:p w14:paraId="5BA9C1DE" w14:textId="617C5FA4"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Industrialización del bambú en Guatemala</w:t>
            </w:r>
            <w:r w:rsidR="01D9CEE3" w:rsidRPr="007A6B50">
              <w:rPr>
                <w:rFonts w:eastAsia="Times New Roman" w:cstheme="minorHAnsi"/>
                <w:sz w:val="16"/>
                <w:szCs w:val="16"/>
                <w:lang w:eastAsia="es-GT"/>
              </w:rPr>
              <w:t>.</w:t>
            </w:r>
          </w:p>
        </w:tc>
        <w:tc>
          <w:tcPr>
            <w:tcW w:w="1453" w:type="dxa"/>
            <w:noWrap/>
            <w:vAlign w:val="center"/>
            <w:hideMark/>
          </w:tcPr>
          <w:p w14:paraId="1A7F575D"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Q27,307.00</w:t>
            </w:r>
          </w:p>
        </w:tc>
        <w:tc>
          <w:tcPr>
            <w:tcW w:w="1453" w:type="dxa"/>
            <w:noWrap/>
            <w:vAlign w:val="center"/>
            <w:hideMark/>
          </w:tcPr>
          <w:p w14:paraId="22474BFA"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Q44.60</w:t>
            </w:r>
          </w:p>
        </w:tc>
        <w:tc>
          <w:tcPr>
            <w:tcW w:w="972" w:type="dxa"/>
            <w:noWrap/>
            <w:vAlign w:val="center"/>
            <w:hideMark/>
          </w:tcPr>
          <w:p w14:paraId="243A6A59"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0.16%</w:t>
            </w:r>
          </w:p>
        </w:tc>
      </w:tr>
      <w:tr w:rsidR="00967B06" w:rsidRPr="007A6B50" w14:paraId="28E2713C" w14:textId="77777777" w:rsidTr="005C4219">
        <w:trPr>
          <w:trHeight w:val="52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7AFC2003"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16</w:t>
            </w:r>
          </w:p>
        </w:tc>
        <w:tc>
          <w:tcPr>
            <w:tcW w:w="945" w:type="dxa"/>
            <w:vMerge w:val="restart"/>
            <w:noWrap/>
            <w:vAlign w:val="center"/>
            <w:hideMark/>
          </w:tcPr>
          <w:p w14:paraId="35650D00"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CIV</w:t>
            </w:r>
          </w:p>
        </w:tc>
        <w:tc>
          <w:tcPr>
            <w:tcW w:w="590" w:type="dxa"/>
            <w:noWrap/>
            <w:vAlign w:val="center"/>
            <w:hideMark/>
          </w:tcPr>
          <w:p w14:paraId="00B080DC"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401</w:t>
            </w:r>
          </w:p>
        </w:tc>
        <w:tc>
          <w:tcPr>
            <w:tcW w:w="599" w:type="dxa"/>
            <w:noWrap/>
            <w:vAlign w:val="center"/>
            <w:hideMark/>
          </w:tcPr>
          <w:p w14:paraId="0E4C32D2"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w:t>
            </w:r>
          </w:p>
        </w:tc>
        <w:tc>
          <w:tcPr>
            <w:tcW w:w="3217" w:type="dxa"/>
            <w:vAlign w:val="center"/>
            <w:hideMark/>
          </w:tcPr>
          <w:p w14:paraId="1C464CED" w14:textId="51535BA9"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Apoyo a la población afectada por el paso de la depresión tropical ETA (Acuerdo Ministerial # 197-2022</w:t>
            </w:r>
            <w:r w:rsidR="01D9CEE3" w:rsidRPr="007A6B50">
              <w:rPr>
                <w:rFonts w:eastAsia="Times New Roman" w:cstheme="minorHAnsi"/>
                <w:sz w:val="16"/>
                <w:szCs w:val="16"/>
                <w:lang w:eastAsia="es-GT"/>
              </w:rPr>
              <w:t>).</w:t>
            </w:r>
          </w:p>
        </w:tc>
        <w:tc>
          <w:tcPr>
            <w:tcW w:w="1453" w:type="dxa"/>
            <w:noWrap/>
            <w:vAlign w:val="center"/>
            <w:hideMark/>
          </w:tcPr>
          <w:p w14:paraId="5001ECA3"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Q3,865,855.00</w:t>
            </w:r>
          </w:p>
        </w:tc>
        <w:tc>
          <w:tcPr>
            <w:tcW w:w="1453" w:type="dxa"/>
            <w:noWrap/>
            <w:vAlign w:val="center"/>
            <w:hideMark/>
          </w:tcPr>
          <w:p w14:paraId="74E004D0"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Q3,852,330.00</w:t>
            </w:r>
          </w:p>
        </w:tc>
        <w:tc>
          <w:tcPr>
            <w:tcW w:w="972" w:type="dxa"/>
            <w:noWrap/>
            <w:vAlign w:val="center"/>
            <w:hideMark/>
          </w:tcPr>
          <w:p w14:paraId="51258EC1"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99.65%</w:t>
            </w:r>
          </w:p>
        </w:tc>
      </w:tr>
      <w:tr w:rsidR="00606CB8" w:rsidRPr="007A6B50" w14:paraId="1190F1D6" w14:textId="77777777" w:rsidTr="005C421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121ECC96"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17</w:t>
            </w:r>
          </w:p>
        </w:tc>
        <w:tc>
          <w:tcPr>
            <w:tcW w:w="945" w:type="dxa"/>
            <w:vMerge/>
            <w:hideMark/>
          </w:tcPr>
          <w:p w14:paraId="429B5C67" w14:textId="77777777" w:rsidR="00606CB8" w:rsidRPr="007A6B50" w:rsidRDefault="00606CB8" w:rsidP="00606CB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5D34A0F3"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2102</w:t>
            </w:r>
          </w:p>
        </w:tc>
        <w:tc>
          <w:tcPr>
            <w:tcW w:w="599" w:type="dxa"/>
            <w:noWrap/>
            <w:vAlign w:val="center"/>
            <w:hideMark/>
          </w:tcPr>
          <w:p w14:paraId="470F79B2"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267</w:t>
            </w:r>
          </w:p>
        </w:tc>
        <w:tc>
          <w:tcPr>
            <w:tcW w:w="3217" w:type="dxa"/>
            <w:vAlign w:val="center"/>
            <w:hideMark/>
          </w:tcPr>
          <w:p w14:paraId="37BC7F53" w14:textId="567C7306"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Estado de calamidad pública depresión tropical Eta en Guatemala (Decreto Gubernativo No. 20-2020</w:t>
            </w:r>
            <w:r w:rsidR="01D9CEE3" w:rsidRPr="007A6B50">
              <w:rPr>
                <w:rFonts w:eastAsia="Times New Roman" w:cstheme="minorHAnsi"/>
                <w:sz w:val="16"/>
                <w:szCs w:val="16"/>
                <w:lang w:eastAsia="es-GT"/>
              </w:rPr>
              <w:t>).</w:t>
            </w:r>
          </w:p>
        </w:tc>
        <w:tc>
          <w:tcPr>
            <w:tcW w:w="1453" w:type="dxa"/>
            <w:noWrap/>
            <w:vAlign w:val="center"/>
            <w:hideMark/>
          </w:tcPr>
          <w:p w14:paraId="556D6EF0"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Q689,950.00</w:t>
            </w:r>
          </w:p>
        </w:tc>
        <w:tc>
          <w:tcPr>
            <w:tcW w:w="1453" w:type="dxa"/>
            <w:noWrap/>
            <w:vAlign w:val="center"/>
            <w:hideMark/>
          </w:tcPr>
          <w:p w14:paraId="6245DA95"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Q652,245.00</w:t>
            </w:r>
          </w:p>
        </w:tc>
        <w:tc>
          <w:tcPr>
            <w:tcW w:w="972" w:type="dxa"/>
            <w:noWrap/>
            <w:vAlign w:val="center"/>
            <w:hideMark/>
          </w:tcPr>
          <w:p w14:paraId="2CDF6776"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967B06" w:rsidRPr="007A6B50" w14:paraId="2EB3F881" w14:textId="77777777" w:rsidTr="005C4219">
        <w:trPr>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009A5BAA"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18</w:t>
            </w:r>
          </w:p>
        </w:tc>
        <w:tc>
          <w:tcPr>
            <w:tcW w:w="945" w:type="dxa"/>
            <w:vMerge/>
            <w:hideMark/>
          </w:tcPr>
          <w:p w14:paraId="3CBB2FB9" w14:textId="77777777" w:rsidR="00606CB8" w:rsidRPr="007A6B50" w:rsidRDefault="00606CB8" w:rsidP="00606CB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74229110"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2102</w:t>
            </w:r>
          </w:p>
        </w:tc>
        <w:tc>
          <w:tcPr>
            <w:tcW w:w="599" w:type="dxa"/>
            <w:noWrap/>
            <w:vAlign w:val="center"/>
            <w:hideMark/>
          </w:tcPr>
          <w:p w14:paraId="6D241BB4"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352</w:t>
            </w:r>
          </w:p>
        </w:tc>
        <w:tc>
          <w:tcPr>
            <w:tcW w:w="3217" w:type="dxa"/>
            <w:vAlign w:val="center"/>
            <w:hideMark/>
          </w:tcPr>
          <w:p w14:paraId="1D47C333" w14:textId="0CD3BFCA"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Donación de M.I. Govern D Andorra, Mitigación de daños provocados por depresión ETA (Acuerdo Ministerial # 192-2022</w:t>
            </w:r>
            <w:r w:rsidR="01D9CEE3" w:rsidRPr="007A6B50">
              <w:rPr>
                <w:rFonts w:eastAsia="Times New Roman" w:cstheme="minorHAnsi"/>
                <w:sz w:val="16"/>
                <w:szCs w:val="16"/>
                <w:lang w:eastAsia="es-GT"/>
              </w:rPr>
              <w:t>).</w:t>
            </w:r>
          </w:p>
        </w:tc>
        <w:tc>
          <w:tcPr>
            <w:tcW w:w="1453" w:type="dxa"/>
            <w:noWrap/>
            <w:vAlign w:val="center"/>
            <w:hideMark/>
          </w:tcPr>
          <w:p w14:paraId="65184A46"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Q94,052.00</w:t>
            </w:r>
          </w:p>
        </w:tc>
        <w:tc>
          <w:tcPr>
            <w:tcW w:w="1453" w:type="dxa"/>
            <w:noWrap/>
            <w:vAlign w:val="center"/>
            <w:hideMark/>
          </w:tcPr>
          <w:p w14:paraId="6FE65BF5"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Q94,052.00</w:t>
            </w:r>
          </w:p>
        </w:tc>
        <w:tc>
          <w:tcPr>
            <w:tcW w:w="972" w:type="dxa"/>
            <w:noWrap/>
            <w:vAlign w:val="center"/>
            <w:hideMark/>
          </w:tcPr>
          <w:p w14:paraId="7362C1DC"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100.00%</w:t>
            </w:r>
          </w:p>
        </w:tc>
      </w:tr>
      <w:tr w:rsidR="00606CB8" w:rsidRPr="007A6B50" w14:paraId="5F596DA4" w14:textId="77777777" w:rsidTr="005C421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49512FC6"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19</w:t>
            </w:r>
          </w:p>
        </w:tc>
        <w:tc>
          <w:tcPr>
            <w:tcW w:w="945" w:type="dxa"/>
            <w:vMerge/>
            <w:hideMark/>
          </w:tcPr>
          <w:p w14:paraId="4AA2A0A3" w14:textId="77777777" w:rsidR="00606CB8" w:rsidRPr="007A6B50" w:rsidRDefault="00606CB8" w:rsidP="00606CB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5BF961A8"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2102</w:t>
            </w:r>
          </w:p>
        </w:tc>
        <w:tc>
          <w:tcPr>
            <w:tcW w:w="599" w:type="dxa"/>
            <w:noWrap/>
            <w:vAlign w:val="center"/>
            <w:hideMark/>
          </w:tcPr>
          <w:p w14:paraId="09245F13"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353</w:t>
            </w:r>
          </w:p>
        </w:tc>
        <w:tc>
          <w:tcPr>
            <w:tcW w:w="3217" w:type="dxa"/>
            <w:vAlign w:val="center"/>
            <w:hideMark/>
          </w:tcPr>
          <w:p w14:paraId="536004BD" w14:textId="04B58729"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Donación de la República de Turquía para mitigación daños provocados por la depresión ETA (Acuerdo Ministerial # 191-2022</w:t>
            </w:r>
            <w:r w:rsidR="01D9CEE3" w:rsidRPr="007A6B50">
              <w:rPr>
                <w:rFonts w:eastAsia="Times New Roman" w:cstheme="minorHAnsi"/>
                <w:sz w:val="16"/>
                <w:szCs w:val="16"/>
                <w:lang w:eastAsia="es-GT"/>
              </w:rPr>
              <w:t>).</w:t>
            </w:r>
          </w:p>
        </w:tc>
        <w:tc>
          <w:tcPr>
            <w:tcW w:w="1453" w:type="dxa"/>
            <w:noWrap/>
            <w:vAlign w:val="center"/>
            <w:hideMark/>
          </w:tcPr>
          <w:p w14:paraId="25A2A047"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Q155,641.00</w:t>
            </w:r>
          </w:p>
        </w:tc>
        <w:tc>
          <w:tcPr>
            <w:tcW w:w="1453" w:type="dxa"/>
            <w:noWrap/>
            <w:vAlign w:val="center"/>
            <w:hideMark/>
          </w:tcPr>
          <w:p w14:paraId="6AEB808F"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Q155,641.00</w:t>
            </w:r>
          </w:p>
        </w:tc>
        <w:tc>
          <w:tcPr>
            <w:tcW w:w="972" w:type="dxa"/>
            <w:noWrap/>
            <w:vAlign w:val="center"/>
            <w:hideMark/>
          </w:tcPr>
          <w:p w14:paraId="67AFD3B3"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100.00%</w:t>
            </w:r>
          </w:p>
        </w:tc>
      </w:tr>
      <w:tr w:rsidR="00967B06" w:rsidRPr="007A6B50" w14:paraId="6B9092DA" w14:textId="77777777" w:rsidTr="005C4219">
        <w:trPr>
          <w:trHeight w:val="45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04D010D6"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20</w:t>
            </w:r>
          </w:p>
        </w:tc>
        <w:tc>
          <w:tcPr>
            <w:tcW w:w="945" w:type="dxa"/>
            <w:noWrap/>
            <w:vAlign w:val="center"/>
            <w:hideMark/>
          </w:tcPr>
          <w:p w14:paraId="3D229691"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MARN</w:t>
            </w:r>
          </w:p>
        </w:tc>
        <w:tc>
          <w:tcPr>
            <w:tcW w:w="590" w:type="dxa"/>
            <w:noWrap/>
            <w:vAlign w:val="center"/>
            <w:hideMark/>
          </w:tcPr>
          <w:p w14:paraId="72F714AF"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505</w:t>
            </w:r>
          </w:p>
        </w:tc>
        <w:tc>
          <w:tcPr>
            <w:tcW w:w="599" w:type="dxa"/>
            <w:noWrap/>
            <w:vAlign w:val="center"/>
            <w:hideMark/>
          </w:tcPr>
          <w:p w14:paraId="0BE17FE1"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w:t>
            </w:r>
          </w:p>
        </w:tc>
        <w:tc>
          <w:tcPr>
            <w:tcW w:w="3217" w:type="dxa"/>
            <w:vAlign w:val="center"/>
            <w:hideMark/>
          </w:tcPr>
          <w:p w14:paraId="64F3896B" w14:textId="2A46C25A"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Adaptación al cambio climático en el corredor seco de Guatemala</w:t>
            </w:r>
            <w:r w:rsidR="01D9CEE3" w:rsidRPr="007A6B50">
              <w:rPr>
                <w:rFonts w:eastAsia="Times New Roman" w:cstheme="minorHAnsi"/>
                <w:sz w:val="16"/>
                <w:szCs w:val="16"/>
                <w:lang w:eastAsia="es-GT"/>
              </w:rPr>
              <w:t>.</w:t>
            </w:r>
          </w:p>
        </w:tc>
        <w:tc>
          <w:tcPr>
            <w:tcW w:w="1453" w:type="dxa"/>
            <w:noWrap/>
            <w:vAlign w:val="center"/>
            <w:hideMark/>
          </w:tcPr>
          <w:p w14:paraId="6DEBADED"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Q16,786,976.00</w:t>
            </w:r>
          </w:p>
        </w:tc>
        <w:tc>
          <w:tcPr>
            <w:tcW w:w="1453" w:type="dxa"/>
            <w:noWrap/>
            <w:vAlign w:val="center"/>
            <w:hideMark/>
          </w:tcPr>
          <w:p w14:paraId="057C580F"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Q16,727,714.36</w:t>
            </w:r>
          </w:p>
        </w:tc>
        <w:tc>
          <w:tcPr>
            <w:tcW w:w="972" w:type="dxa"/>
            <w:noWrap/>
            <w:vAlign w:val="center"/>
            <w:hideMark/>
          </w:tcPr>
          <w:p w14:paraId="0E4AEDC7"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99.65%</w:t>
            </w:r>
          </w:p>
        </w:tc>
      </w:tr>
      <w:tr w:rsidR="00606CB8" w:rsidRPr="007A6B50" w14:paraId="61645791" w14:textId="77777777" w:rsidTr="005C421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245EB1CE"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21</w:t>
            </w:r>
          </w:p>
        </w:tc>
        <w:tc>
          <w:tcPr>
            <w:tcW w:w="945" w:type="dxa"/>
            <w:vMerge w:val="restart"/>
            <w:noWrap/>
            <w:vAlign w:val="center"/>
            <w:hideMark/>
          </w:tcPr>
          <w:p w14:paraId="5FD7E202"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MIDES</w:t>
            </w:r>
          </w:p>
        </w:tc>
        <w:tc>
          <w:tcPr>
            <w:tcW w:w="590" w:type="dxa"/>
            <w:noWrap/>
            <w:vAlign w:val="center"/>
            <w:hideMark/>
          </w:tcPr>
          <w:p w14:paraId="78064D13"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401</w:t>
            </w:r>
          </w:p>
        </w:tc>
        <w:tc>
          <w:tcPr>
            <w:tcW w:w="599" w:type="dxa"/>
            <w:noWrap/>
            <w:vAlign w:val="center"/>
            <w:hideMark/>
          </w:tcPr>
          <w:p w14:paraId="24C7D6C1"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3</w:t>
            </w:r>
          </w:p>
        </w:tc>
        <w:tc>
          <w:tcPr>
            <w:tcW w:w="3217" w:type="dxa"/>
            <w:vAlign w:val="center"/>
            <w:hideMark/>
          </w:tcPr>
          <w:p w14:paraId="21865F8A" w14:textId="25260DB2"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 xml:space="preserve">BCIE - Proyectos de </w:t>
            </w:r>
            <w:r w:rsidR="00C605C1" w:rsidRPr="007A6B50">
              <w:rPr>
                <w:rFonts w:eastAsia="Times New Roman" w:cstheme="minorHAnsi"/>
                <w:sz w:val="16"/>
                <w:szCs w:val="16"/>
                <w:lang w:eastAsia="es-GT"/>
              </w:rPr>
              <w:t>e</w:t>
            </w:r>
            <w:r w:rsidRPr="007A6B50">
              <w:rPr>
                <w:rFonts w:eastAsia="Times New Roman" w:cstheme="minorHAnsi"/>
                <w:sz w:val="16"/>
                <w:szCs w:val="16"/>
                <w:lang w:eastAsia="es-GT"/>
              </w:rPr>
              <w:t>mergencias de desastres naturales</w:t>
            </w:r>
            <w:r w:rsidR="01D9CEE3" w:rsidRPr="007A6B50">
              <w:rPr>
                <w:rFonts w:eastAsia="Times New Roman" w:cstheme="minorHAnsi"/>
                <w:sz w:val="16"/>
                <w:szCs w:val="16"/>
                <w:lang w:eastAsia="es-GT"/>
              </w:rPr>
              <w:t>.</w:t>
            </w:r>
          </w:p>
        </w:tc>
        <w:tc>
          <w:tcPr>
            <w:tcW w:w="1453" w:type="dxa"/>
            <w:noWrap/>
            <w:vAlign w:val="center"/>
            <w:hideMark/>
          </w:tcPr>
          <w:p w14:paraId="3B0BF82A"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1453" w:type="dxa"/>
            <w:noWrap/>
            <w:vAlign w:val="center"/>
            <w:hideMark/>
          </w:tcPr>
          <w:p w14:paraId="553C4497"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972" w:type="dxa"/>
            <w:noWrap/>
            <w:vAlign w:val="center"/>
            <w:hideMark/>
          </w:tcPr>
          <w:p w14:paraId="04202CD3"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967B06" w:rsidRPr="007A6B50" w14:paraId="3DD5B6B1" w14:textId="77777777" w:rsidTr="005C4219">
        <w:trPr>
          <w:trHeight w:val="82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6180495D"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22</w:t>
            </w:r>
          </w:p>
        </w:tc>
        <w:tc>
          <w:tcPr>
            <w:tcW w:w="945" w:type="dxa"/>
            <w:vMerge/>
            <w:vAlign w:val="center"/>
            <w:hideMark/>
          </w:tcPr>
          <w:p w14:paraId="118B6003"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2AEF03CB"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401</w:t>
            </w:r>
          </w:p>
        </w:tc>
        <w:tc>
          <w:tcPr>
            <w:tcW w:w="599" w:type="dxa"/>
            <w:noWrap/>
            <w:vAlign w:val="center"/>
            <w:hideMark/>
          </w:tcPr>
          <w:p w14:paraId="2E715F22"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35</w:t>
            </w:r>
          </w:p>
        </w:tc>
        <w:tc>
          <w:tcPr>
            <w:tcW w:w="3217" w:type="dxa"/>
            <w:vAlign w:val="center"/>
            <w:hideMark/>
          </w:tcPr>
          <w:p w14:paraId="4E5B73C4" w14:textId="37E7336E"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Proyecto de intervención integral desde el enfoque de protección social, para enfrentar la expansión del coronavirus, COVID-19 en Guatemala (Acuerdo Ministerial No. DS-34-2021</w:t>
            </w:r>
            <w:r w:rsidR="01D9CEE3" w:rsidRPr="007A6B50">
              <w:rPr>
                <w:rFonts w:eastAsia="Times New Roman" w:cstheme="minorHAnsi"/>
                <w:sz w:val="16"/>
                <w:szCs w:val="16"/>
                <w:lang w:eastAsia="es-GT"/>
              </w:rPr>
              <w:t>).</w:t>
            </w:r>
          </w:p>
        </w:tc>
        <w:tc>
          <w:tcPr>
            <w:tcW w:w="1453" w:type="dxa"/>
            <w:noWrap/>
            <w:vAlign w:val="center"/>
            <w:hideMark/>
          </w:tcPr>
          <w:p w14:paraId="25750CEF"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Q3,864,909.00</w:t>
            </w:r>
          </w:p>
        </w:tc>
        <w:tc>
          <w:tcPr>
            <w:tcW w:w="1453" w:type="dxa"/>
            <w:noWrap/>
            <w:vAlign w:val="center"/>
            <w:hideMark/>
          </w:tcPr>
          <w:p w14:paraId="167DE16D"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Q3,367,729.24</w:t>
            </w:r>
          </w:p>
        </w:tc>
        <w:tc>
          <w:tcPr>
            <w:tcW w:w="972" w:type="dxa"/>
            <w:noWrap/>
            <w:vAlign w:val="center"/>
            <w:hideMark/>
          </w:tcPr>
          <w:p w14:paraId="763DD9B4"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87.14%</w:t>
            </w:r>
          </w:p>
        </w:tc>
      </w:tr>
      <w:tr w:rsidR="00606CB8" w:rsidRPr="007A6B50" w14:paraId="048235E9" w14:textId="77777777" w:rsidTr="005C4219">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4ACE7825"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23</w:t>
            </w:r>
          </w:p>
        </w:tc>
        <w:tc>
          <w:tcPr>
            <w:tcW w:w="945" w:type="dxa"/>
            <w:vMerge/>
            <w:vAlign w:val="center"/>
            <w:hideMark/>
          </w:tcPr>
          <w:p w14:paraId="6DE40718"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5FF113E3"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602</w:t>
            </w:r>
          </w:p>
        </w:tc>
        <w:tc>
          <w:tcPr>
            <w:tcW w:w="599" w:type="dxa"/>
            <w:noWrap/>
            <w:vAlign w:val="center"/>
            <w:hideMark/>
          </w:tcPr>
          <w:p w14:paraId="3E94C228"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18</w:t>
            </w:r>
          </w:p>
        </w:tc>
        <w:tc>
          <w:tcPr>
            <w:tcW w:w="3217" w:type="dxa"/>
            <w:vAlign w:val="center"/>
            <w:hideMark/>
          </w:tcPr>
          <w:p w14:paraId="6BE95870" w14:textId="4E6E7F6E"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Proceso de reconstrucción por el terremoto que afectó a Guatemala el 7 de noviembre de 2012</w:t>
            </w:r>
            <w:r w:rsidR="01D9CEE3" w:rsidRPr="007A6B50">
              <w:rPr>
                <w:rFonts w:eastAsia="Times New Roman" w:cstheme="minorHAnsi"/>
                <w:sz w:val="16"/>
                <w:szCs w:val="16"/>
                <w:lang w:eastAsia="es-GT"/>
              </w:rPr>
              <w:t>.</w:t>
            </w:r>
          </w:p>
        </w:tc>
        <w:tc>
          <w:tcPr>
            <w:tcW w:w="1453" w:type="dxa"/>
            <w:noWrap/>
            <w:vAlign w:val="center"/>
            <w:hideMark/>
          </w:tcPr>
          <w:p w14:paraId="71F2ADB5"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Q47.00</w:t>
            </w:r>
          </w:p>
        </w:tc>
        <w:tc>
          <w:tcPr>
            <w:tcW w:w="1453" w:type="dxa"/>
            <w:noWrap/>
            <w:vAlign w:val="center"/>
            <w:hideMark/>
          </w:tcPr>
          <w:p w14:paraId="05FEDDB0" w14:textId="0D2D0E8D"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972" w:type="dxa"/>
            <w:noWrap/>
            <w:vAlign w:val="center"/>
            <w:hideMark/>
          </w:tcPr>
          <w:p w14:paraId="1D8B4FD4"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967B06" w:rsidRPr="007A6B50" w14:paraId="2EC26748" w14:textId="77777777" w:rsidTr="005C4219">
        <w:trPr>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125AE079"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24</w:t>
            </w:r>
          </w:p>
        </w:tc>
        <w:tc>
          <w:tcPr>
            <w:tcW w:w="945" w:type="dxa"/>
            <w:vMerge w:val="restart"/>
            <w:vAlign w:val="center"/>
            <w:hideMark/>
          </w:tcPr>
          <w:p w14:paraId="4362379B"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OBLIG. DEL ESTADO A CAR. TESORO</w:t>
            </w:r>
          </w:p>
        </w:tc>
        <w:tc>
          <w:tcPr>
            <w:tcW w:w="590" w:type="dxa"/>
            <w:vAlign w:val="center"/>
            <w:hideMark/>
          </w:tcPr>
          <w:p w14:paraId="29FC113F"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402</w:t>
            </w:r>
          </w:p>
        </w:tc>
        <w:tc>
          <w:tcPr>
            <w:tcW w:w="599" w:type="dxa"/>
            <w:vAlign w:val="center"/>
            <w:hideMark/>
          </w:tcPr>
          <w:p w14:paraId="462E72DB"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131</w:t>
            </w:r>
          </w:p>
        </w:tc>
        <w:tc>
          <w:tcPr>
            <w:tcW w:w="3217" w:type="dxa"/>
            <w:vAlign w:val="center"/>
            <w:hideMark/>
          </w:tcPr>
          <w:p w14:paraId="7EF914A5" w14:textId="12DF4ECE"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Programa de agua potable y saneamiento para el desarrollo humano (Fase I</w:t>
            </w:r>
            <w:r w:rsidR="01D9CEE3" w:rsidRPr="007A6B50">
              <w:rPr>
                <w:rFonts w:eastAsia="Times New Roman" w:cstheme="minorHAnsi"/>
                <w:sz w:val="16"/>
                <w:szCs w:val="16"/>
                <w:lang w:eastAsia="es-GT"/>
              </w:rPr>
              <w:t>).</w:t>
            </w:r>
          </w:p>
        </w:tc>
        <w:tc>
          <w:tcPr>
            <w:tcW w:w="1453" w:type="dxa"/>
            <w:vAlign w:val="center"/>
            <w:hideMark/>
          </w:tcPr>
          <w:p w14:paraId="3499FD05"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Q78,397,975.00</w:t>
            </w:r>
          </w:p>
        </w:tc>
        <w:tc>
          <w:tcPr>
            <w:tcW w:w="1453" w:type="dxa"/>
            <w:vAlign w:val="center"/>
            <w:hideMark/>
          </w:tcPr>
          <w:p w14:paraId="128C850E"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Q74,566,364.00</w:t>
            </w:r>
          </w:p>
        </w:tc>
        <w:tc>
          <w:tcPr>
            <w:tcW w:w="972" w:type="dxa"/>
            <w:noWrap/>
            <w:vAlign w:val="center"/>
            <w:hideMark/>
          </w:tcPr>
          <w:p w14:paraId="33D93491"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95.11%</w:t>
            </w:r>
          </w:p>
        </w:tc>
      </w:tr>
      <w:tr w:rsidR="00606CB8" w:rsidRPr="007A6B50" w14:paraId="32EB77D0" w14:textId="77777777" w:rsidTr="005C42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73010F5E"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25</w:t>
            </w:r>
          </w:p>
        </w:tc>
        <w:tc>
          <w:tcPr>
            <w:tcW w:w="945" w:type="dxa"/>
            <w:vMerge/>
            <w:hideMark/>
          </w:tcPr>
          <w:p w14:paraId="0AB77DAA" w14:textId="77777777" w:rsidR="00606CB8" w:rsidRPr="007A6B50" w:rsidRDefault="00606CB8" w:rsidP="00606CB8">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p>
        </w:tc>
        <w:tc>
          <w:tcPr>
            <w:tcW w:w="590" w:type="dxa"/>
            <w:vAlign w:val="center"/>
            <w:hideMark/>
          </w:tcPr>
          <w:p w14:paraId="3C5CA79E"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505</w:t>
            </w:r>
          </w:p>
        </w:tc>
        <w:tc>
          <w:tcPr>
            <w:tcW w:w="599" w:type="dxa"/>
            <w:vAlign w:val="center"/>
            <w:hideMark/>
          </w:tcPr>
          <w:p w14:paraId="49972F77"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w:t>
            </w:r>
          </w:p>
        </w:tc>
        <w:tc>
          <w:tcPr>
            <w:tcW w:w="3217" w:type="dxa"/>
            <w:vAlign w:val="center"/>
            <w:hideMark/>
          </w:tcPr>
          <w:p w14:paraId="4804C49E" w14:textId="10891914"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Adaptación al cambio climático en el corredor seco de Guatemala</w:t>
            </w:r>
            <w:r w:rsidR="01D9CEE3" w:rsidRPr="007A6B50">
              <w:rPr>
                <w:rFonts w:eastAsia="Times New Roman" w:cstheme="minorHAnsi"/>
                <w:sz w:val="16"/>
                <w:szCs w:val="16"/>
                <w:lang w:eastAsia="es-GT"/>
              </w:rPr>
              <w:t>.</w:t>
            </w:r>
          </w:p>
        </w:tc>
        <w:tc>
          <w:tcPr>
            <w:tcW w:w="1453" w:type="dxa"/>
            <w:vAlign w:val="center"/>
            <w:hideMark/>
          </w:tcPr>
          <w:p w14:paraId="79F7B9D0"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Q2,800,000.00</w:t>
            </w:r>
          </w:p>
        </w:tc>
        <w:tc>
          <w:tcPr>
            <w:tcW w:w="1453" w:type="dxa"/>
            <w:vAlign w:val="center"/>
            <w:hideMark/>
          </w:tcPr>
          <w:p w14:paraId="2FA0474A"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972" w:type="dxa"/>
            <w:noWrap/>
            <w:vAlign w:val="center"/>
            <w:hideMark/>
          </w:tcPr>
          <w:p w14:paraId="32DBBCEC"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967B06" w:rsidRPr="007A6B50" w14:paraId="740174D0" w14:textId="77777777" w:rsidTr="005C4219">
        <w:trPr>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0E602462"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26</w:t>
            </w:r>
          </w:p>
        </w:tc>
        <w:tc>
          <w:tcPr>
            <w:tcW w:w="945" w:type="dxa"/>
            <w:vMerge/>
            <w:hideMark/>
          </w:tcPr>
          <w:p w14:paraId="19607176" w14:textId="77777777" w:rsidR="00606CB8" w:rsidRPr="007A6B50" w:rsidRDefault="00606CB8" w:rsidP="00606CB8">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p>
        </w:tc>
        <w:tc>
          <w:tcPr>
            <w:tcW w:w="590" w:type="dxa"/>
            <w:vAlign w:val="center"/>
            <w:hideMark/>
          </w:tcPr>
          <w:p w14:paraId="23ED75A4"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603</w:t>
            </w:r>
          </w:p>
        </w:tc>
        <w:tc>
          <w:tcPr>
            <w:tcW w:w="599" w:type="dxa"/>
            <w:vAlign w:val="center"/>
            <w:hideMark/>
          </w:tcPr>
          <w:p w14:paraId="67C6C9C6"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114</w:t>
            </w:r>
          </w:p>
        </w:tc>
        <w:tc>
          <w:tcPr>
            <w:tcW w:w="3217" w:type="dxa"/>
            <w:vAlign w:val="center"/>
            <w:hideMark/>
          </w:tcPr>
          <w:p w14:paraId="5037AFC8" w14:textId="12EB6DB0"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Prevención de la violencia y el delito contra mujeres, niñez y adolescencia (Resolución SEICMSJ-AECID No. 002-2018</w:t>
            </w:r>
            <w:r w:rsidR="01D9CEE3" w:rsidRPr="007A6B50">
              <w:rPr>
                <w:rFonts w:eastAsia="Times New Roman" w:cstheme="minorHAnsi"/>
                <w:sz w:val="16"/>
                <w:szCs w:val="16"/>
                <w:lang w:eastAsia="es-GT"/>
              </w:rPr>
              <w:t>).</w:t>
            </w:r>
          </w:p>
        </w:tc>
        <w:tc>
          <w:tcPr>
            <w:tcW w:w="1453" w:type="dxa"/>
            <w:vAlign w:val="center"/>
            <w:hideMark/>
          </w:tcPr>
          <w:p w14:paraId="035F795B"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Q37,500,000.00</w:t>
            </w:r>
          </w:p>
        </w:tc>
        <w:tc>
          <w:tcPr>
            <w:tcW w:w="1453" w:type="dxa"/>
            <w:vAlign w:val="center"/>
            <w:hideMark/>
          </w:tcPr>
          <w:p w14:paraId="00BF488B"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Q35,832,222.00</w:t>
            </w:r>
          </w:p>
        </w:tc>
        <w:tc>
          <w:tcPr>
            <w:tcW w:w="972" w:type="dxa"/>
            <w:noWrap/>
            <w:vAlign w:val="center"/>
            <w:hideMark/>
          </w:tcPr>
          <w:p w14:paraId="454E9D9D"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95.55%</w:t>
            </w:r>
          </w:p>
        </w:tc>
      </w:tr>
      <w:tr w:rsidR="00606CB8" w:rsidRPr="007A6B50" w14:paraId="4750689B" w14:textId="77777777" w:rsidTr="005C421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76EB40A0"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27</w:t>
            </w:r>
          </w:p>
        </w:tc>
        <w:tc>
          <w:tcPr>
            <w:tcW w:w="945" w:type="dxa"/>
            <w:vMerge w:val="restart"/>
            <w:noWrap/>
            <w:vAlign w:val="center"/>
            <w:hideMark/>
          </w:tcPr>
          <w:p w14:paraId="3A1B3E13"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CONAP</w:t>
            </w:r>
          </w:p>
        </w:tc>
        <w:tc>
          <w:tcPr>
            <w:tcW w:w="590" w:type="dxa"/>
            <w:noWrap/>
            <w:vAlign w:val="center"/>
            <w:hideMark/>
          </w:tcPr>
          <w:p w14:paraId="422933CC"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505</w:t>
            </w:r>
          </w:p>
        </w:tc>
        <w:tc>
          <w:tcPr>
            <w:tcW w:w="599" w:type="dxa"/>
            <w:noWrap/>
            <w:vAlign w:val="center"/>
            <w:hideMark/>
          </w:tcPr>
          <w:p w14:paraId="41B4EB3B"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19</w:t>
            </w:r>
          </w:p>
        </w:tc>
        <w:tc>
          <w:tcPr>
            <w:tcW w:w="3217" w:type="dxa"/>
            <w:vAlign w:val="center"/>
            <w:hideMark/>
          </w:tcPr>
          <w:p w14:paraId="54B11345" w14:textId="72A83C82"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Consolidación del sistema guatemalteco de áreas protegidas -LIFE WEB</w:t>
            </w:r>
            <w:r w:rsidR="01D9CEE3" w:rsidRPr="007A6B50">
              <w:rPr>
                <w:rFonts w:eastAsia="Times New Roman" w:cstheme="minorHAnsi"/>
                <w:sz w:val="16"/>
                <w:szCs w:val="16"/>
                <w:lang w:eastAsia="es-GT"/>
              </w:rPr>
              <w:t>-.</w:t>
            </w:r>
          </w:p>
        </w:tc>
        <w:tc>
          <w:tcPr>
            <w:tcW w:w="1453" w:type="dxa"/>
            <w:noWrap/>
            <w:vAlign w:val="center"/>
            <w:hideMark/>
          </w:tcPr>
          <w:p w14:paraId="283D19EE"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Q18,000,000.00</w:t>
            </w:r>
          </w:p>
        </w:tc>
        <w:tc>
          <w:tcPr>
            <w:tcW w:w="1453" w:type="dxa"/>
            <w:noWrap/>
            <w:vAlign w:val="center"/>
            <w:hideMark/>
          </w:tcPr>
          <w:p w14:paraId="4B188D76"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Q15,846,638.10</w:t>
            </w:r>
          </w:p>
        </w:tc>
        <w:tc>
          <w:tcPr>
            <w:tcW w:w="972" w:type="dxa"/>
            <w:noWrap/>
            <w:vAlign w:val="center"/>
            <w:hideMark/>
          </w:tcPr>
          <w:p w14:paraId="07F7C515"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88.04%</w:t>
            </w:r>
          </w:p>
        </w:tc>
      </w:tr>
      <w:tr w:rsidR="00967B06" w:rsidRPr="007A6B50" w14:paraId="13B40983" w14:textId="77777777" w:rsidTr="005C4219">
        <w:trPr>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72C9E210"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28</w:t>
            </w:r>
          </w:p>
        </w:tc>
        <w:tc>
          <w:tcPr>
            <w:tcW w:w="945" w:type="dxa"/>
            <w:vMerge/>
            <w:vAlign w:val="center"/>
            <w:hideMark/>
          </w:tcPr>
          <w:p w14:paraId="45F28542"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p>
        </w:tc>
        <w:tc>
          <w:tcPr>
            <w:tcW w:w="590" w:type="dxa"/>
            <w:noWrap/>
            <w:vAlign w:val="center"/>
            <w:hideMark/>
          </w:tcPr>
          <w:p w14:paraId="03EF2227"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505</w:t>
            </w:r>
          </w:p>
        </w:tc>
        <w:tc>
          <w:tcPr>
            <w:tcW w:w="599" w:type="dxa"/>
            <w:noWrap/>
            <w:vAlign w:val="center"/>
            <w:hideMark/>
          </w:tcPr>
          <w:p w14:paraId="07FDD83C"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22</w:t>
            </w:r>
          </w:p>
        </w:tc>
        <w:tc>
          <w:tcPr>
            <w:tcW w:w="3217" w:type="dxa"/>
            <w:vAlign w:val="center"/>
            <w:hideMark/>
          </w:tcPr>
          <w:p w14:paraId="305D33C4" w14:textId="48FA7D47"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Consolidación del sistema guatemalteco de áreas protegidas -LIFE WEB- II</w:t>
            </w:r>
            <w:r w:rsidR="01D9CEE3" w:rsidRPr="007A6B50">
              <w:rPr>
                <w:rFonts w:eastAsia="Times New Roman" w:cstheme="minorHAnsi"/>
                <w:sz w:val="16"/>
                <w:szCs w:val="16"/>
                <w:lang w:eastAsia="es-GT"/>
              </w:rPr>
              <w:t>.</w:t>
            </w:r>
          </w:p>
        </w:tc>
        <w:tc>
          <w:tcPr>
            <w:tcW w:w="1453" w:type="dxa"/>
            <w:noWrap/>
            <w:vAlign w:val="center"/>
            <w:hideMark/>
          </w:tcPr>
          <w:p w14:paraId="0297A200"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Q2,000,000.00</w:t>
            </w:r>
          </w:p>
        </w:tc>
        <w:tc>
          <w:tcPr>
            <w:tcW w:w="1453" w:type="dxa"/>
            <w:noWrap/>
            <w:vAlign w:val="center"/>
            <w:hideMark/>
          </w:tcPr>
          <w:p w14:paraId="0E2E8B88"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972" w:type="dxa"/>
            <w:noWrap/>
            <w:vAlign w:val="center"/>
            <w:hideMark/>
          </w:tcPr>
          <w:p w14:paraId="2AAB965C"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606CB8" w:rsidRPr="007A6B50" w14:paraId="3208D66D" w14:textId="77777777" w:rsidTr="005C421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7CDDA201"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29</w:t>
            </w:r>
          </w:p>
        </w:tc>
        <w:tc>
          <w:tcPr>
            <w:tcW w:w="945" w:type="dxa"/>
            <w:noWrap/>
            <w:vAlign w:val="center"/>
            <w:hideMark/>
          </w:tcPr>
          <w:p w14:paraId="5D9D0223"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SESAN</w:t>
            </w:r>
          </w:p>
        </w:tc>
        <w:tc>
          <w:tcPr>
            <w:tcW w:w="590" w:type="dxa"/>
            <w:noWrap/>
            <w:vAlign w:val="center"/>
            <w:hideMark/>
          </w:tcPr>
          <w:p w14:paraId="6B67E9A1"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603</w:t>
            </w:r>
          </w:p>
        </w:tc>
        <w:tc>
          <w:tcPr>
            <w:tcW w:w="599" w:type="dxa"/>
            <w:noWrap/>
            <w:vAlign w:val="center"/>
            <w:hideMark/>
          </w:tcPr>
          <w:p w14:paraId="0C7ABB6E" w14:textId="77777777" w:rsidR="00606CB8" w:rsidRPr="007A6B50" w:rsidRDefault="00606CB8"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123</w:t>
            </w:r>
          </w:p>
        </w:tc>
        <w:tc>
          <w:tcPr>
            <w:tcW w:w="3217" w:type="dxa"/>
            <w:vAlign w:val="center"/>
            <w:hideMark/>
          </w:tcPr>
          <w:p w14:paraId="5B751AD7" w14:textId="3406850E" w:rsidR="00606CB8" w:rsidRPr="007A6B50" w:rsidRDefault="00606CB8" w:rsidP="005C421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 xml:space="preserve">Apoyo a la </w:t>
            </w:r>
            <w:r w:rsidR="01D9CEE3" w:rsidRPr="007A6B50">
              <w:rPr>
                <w:rFonts w:eastAsia="Times New Roman" w:cstheme="minorHAnsi"/>
                <w:sz w:val="16"/>
                <w:szCs w:val="16"/>
                <w:lang w:eastAsia="es-GT"/>
              </w:rPr>
              <w:t>implementación</w:t>
            </w:r>
            <w:r w:rsidRPr="007A6B50">
              <w:rPr>
                <w:rFonts w:eastAsia="Times New Roman" w:cstheme="minorHAnsi"/>
                <w:sz w:val="16"/>
                <w:szCs w:val="16"/>
                <w:lang w:eastAsia="es-GT"/>
              </w:rPr>
              <w:t xml:space="preserve"> de la </w:t>
            </w:r>
            <w:r w:rsidR="01D9CEE3" w:rsidRPr="007A6B50">
              <w:rPr>
                <w:rFonts w:eastAsia="Times New Roman" w:cstheme="minorHAnsi"/>
                <w:sz w:val="16"/>
                <w:szCs w:val="16"/>
                <w:lang w:eastAsia="es-GT"/>
              </w:rPr>
              <w:t>Estrategia Nacional</w:t>
            </w:r>
            <w:r w:rsidRPr="007A6B50">
              <w:rPr>
                <w:rFonts w:eastAsia="Times New Roman" w:cstheme="minorHAnsi"/>
                <w:sz w:val="16"/>
                <w:szCs w:val="16"/>
                <w:lang w:eastAsia="es-GT"/>
              </w:rPr>
              <w:t xml:space="preserve"> para la </w:t>
            </w:r>
            <w:r w:rsidR="01D9CEE3" w:rsidRPr="007A6B50">
              <w:rPr>
                <w:rFonts w:eastAsia="Times New Roman" w:cstheme="minorHAnsi"/>
                <w:sz w:val="16"/>
                <w:szCs w:val="16"/>
                <w:lang w:eastAsia="es-GT"/>
              </w:rPr>
              <w:t>Prevención</w:t>
            </w:r>
            <w:r w:rsidRPr="007A6B50">
              <w:rPr>
                <w:rFonts w:eastAsia="Times New Roman" w:cstheme="minorHAnsi"/>
                <w:sz w:val="16"/>
                <w:szCs w:val="16"/>
                <w:lang w:eastAsia="es-GT"/>
              </w:rPr>
              <w:t xml:space="preserve"> de la </w:t>
            </w:r>
            <w:r w:rsidR="01D9CEE3" w:rsidRPr="007A6B50">
              <w:rPr>
                <w:rFonts w:eastAsia="Times New Roman" w:cstheme="minorHAnsi"/>
                <w:sz w:val="16"/>
                <w:szCs w:val="16"/>
                <w:lang w:eastAsia="es-GT"/>
              </w:rPr>
              <w:t>Desnutrición Crónica</w:t>
            </w:r>
            <w:r w:rsidRPr="007A6B50">
              <w:rPr>
                <w:rFonts w:eastAsia="Times New Roman" w:cstheme="minorHAnsi"/>
                <w:sz w:val="16"/>
                <w:szCs w:val="16"/>
                <w:lang w:eastAsia="es-GT"/>
              </w:rPr>
              <w:t xml:space="preserve"> en Guatemala </w:t>
            </w:r>
            <w:r w:rsidR="01D9CEE3" w:rsidRPr="007A6B50">
              <w:rPr>
                <w:rFonts w:eastAsia="Times New Roman" w:cstheme="minorHAnsi"/>
                <w:sz w:val="16"/>
                <w:szCs w:val="16"/>
                <w:lang w:eastAsia="es-GT"/>
              </w:rPr>
              <w:t>–</w:t>
            </w:r>
            <w:r w:rsidRPr="007A6B50">
              <w:rPr>
                <w:rFonts w:eastAsia="Times New Roman" w:cstheme="minorHAnsi"/>
                <w:sz w:val="16"/>
                <w:szCs w:val="16"/>
                <w:lang w:eastAsia="es-GT"/>
              </w:rPr>
              <w:t>ENPDC</w:t>
            </w:r>
            <w:r w:rsidR="01D9CEE3" w:rsidRPr="007A6B50">
              <w:rPr>
                <w:rFonts w:eastAsia="Times New Roman" w:cstheme="minorHAnsi"/>
                <w:sz w:val="16"/>
                <w:szCs w:val="16"/>
                <w:lang w:eastAsia="es-GT"/>
              </w:rPr>
              <w:t>-.</w:t>
            </w:r>
          </w:p>
        </w:tc>
        <w:tc>
          <w:tcPr>
            <w:tcW w:w="1453" w:type="dxa"/>
            <w:noWrap/>
            <w:vAlign w:val="center"/>
            <w:hideMark/>
          </w:tcPr>
          <w:p w14:paraId="36938691"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1453" w:type="dxa"/>
            <w:noWrap/>
            <w:vAlign w:val="center"/>
            <w:hideMark/>
          </w:tcPr>
          <w:p w14:paraId="549E480F" w14:textId="77777777" w:rsidR="00606CB8" w:rsidRPr="007A6B50" w:rsidRDefault="00606CB8" w:rsidP="005C421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972" w:type="dxa"/>
            <w:noWrap/>
            <w:vAlign w:val="center"/>
            <w:hideMark/>
          </w:tcPr>
          <w:p w14:paraId="573F4A0E" w14:textId="20156250" w:rsidR="00606CB8" w:rsidRPr="007A6B50" w:rsidRDefault="00862222" w:rsidP="005C421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967B06" w:rsidRPr="007A6B50" w14:paraId="44F5FDFB" w14:textId="77777777" w:rsidTr="005C4219">
        <w:trPr>
          <w:trHeight w:val="255"/>
        </w:trPr>
        <w:tc>
          <w:tcPr>
            <w:cnfStyle w:val="001000000000" w:firstRow="0" w:lastRow="0" w:firstColumn="1" w:lastColumn="0" w:oddVBand="0" w:evenVBand="0" w:oddHBand="0" w:evenHBand="0" w:firstRowFirstColumn="0" w:firstRowLastColumn="0" w:lastRowFirstColumn="0" w:lastRowLastColumn="0"/>
            <w:tcW w:w="540" w:type="dxa"/>
            <w:noWrap/>
            <w:vAlign w:val="center"/>
            <w:hideMark/>
          </w:tcPr>
          <w:p w14:paraId="1816D730" w14:textId="77777777" w:rsidR="00606CB8" w:rsidRPr="005C4219" w:rsidRDefault="00606CB8" w:rsidP="005C4219">
            <w:pPr>
              <w:jc w:val="center"/>
              <w:rPr>
                <w:rFonts w:eastAsia="Times New Roman" w:cstheme="minorHAnsi"/>
                <w:b w:val="0"/>
                <w:sz w:val="16"/>
                <w:szCs w:val="16"/>
                <w:lang w:eastAsia="es-GT"/>
              </w:rPr>
            </w:pPr>
            <w:r w:rsidRPr="005C4219">
              <w:rPr>
                <w:rFonts w:eastAsia="Times New Roman" w:cstheme="minorHAnsi"/>
                <w:b w:val="0"/>
                <w:sz w:val="16"/>
                <w:szCs w:val="16"/>
                <w:lang w:eastAsia="es-GT"/>
              </w:rPr>
              <w:t>30</w:t>
            </w:r>
          </w:p>
        </w:tc>
        <w:tc>
          <w:tcPr>
            <w:tcW w:w="945" w:type="dxa"/>
            <w:noWrap/>
            <w:vAlign w:val="center"/>
            <w:hideMark/>
          </w:tcPr>
          <w:p w14:paraId="3F49F9C5"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4"/>
                <w:szCs w:val="14"/>
                <w:lang w:eastAsia="es-GT"/>
              </w:rPr>
            </w:pPr>
            <w:r w:rsidRPr="007A6B50">
              <w:rPr>
                <w:rFonts w:eastAsia="Times New Roman" w:cstheme="minorHAnsi"/>
                <w:sz w:val="14"/>
                <w:szCs w:val="14"/>
                <w:lang w:eastAsia="es-GT"/>
              </w:rPr>
              <w:t>SESAN</w:t>
            </w:r>
          </w:p>
        </w:tc>
        <w:tc>
          <w:tcPr>
            <w:tcW w:w="590" w:type="dxa"/>
            <w:noWrap/>
            <w:vAlign w:val="center"/>
            <w:hideMark/>
          </w:tcPr>
          <w:p w14:paraId="13FFD04A"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603</w:t>
            </w:r>
          </w:p>
        </w:tc>
        <w:tc>
          <w:tcPr>
            <w:tcW w:w="599" w:type="dxa"/>
            <w:noWrap/>
            <w:vAlign w:val="center"/>
            <w:hideMark/>
          </w:tcPr>
          <w:p w14:paraId="57E65291"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133</w:t>
            </w:r>
          </w:p>
        </w:tc>
        <w:tc>
          <w:tcPr>
            <w:tcW w:w="3217" w:type="dxa"/>
            <w:vAlign w:val="center"/>
            <w:hideMark/>
          </w:tcPr>
          <w:p w14:paraId="39FA5A8B" w14:textId="47507264" w:rsidR="00606CB8" w:rsidRPr="007A6B50" w:rsidRDefault="00606CB8" w:rsidP="005C421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Donación S&amp;E para visibilizar las brechas de inequidades y promover la participación de las Mujeres</w:t>
            </w:r>
            <w:r w:rsidR="01D9CEE3" w:rsidRPr="007A6B50">
              <w:rPr>
                <w:rFonts w:eastAsia="Times New Roman" w:cstheme="minorHAnsi"/>
                <w:sz w:val="16"/>
                <w:szCs w:val="16"/>
                <w:lang w:eastAsia="es-GT"/>
              </w:rPr>
              <w:t>.</w:t>
            </w:r>
          </w:p>
        </w:tc>
        <w:tc>
          <w:tcPr>
            <w:tcW w:w="1453" w:type="dxa"/>
            <w:noWrap/>
            <w:vAlign w:val="center"/>
            <w:hideMark/>
          </w:tcPr>
          <w:p w14:paraId="5470667A"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Q111,450.00</w:t>
            </w:r>
          </w:p>
        </w:tc>
        <w:tc>
          <w:tcPr>
            <w:tcW w:w="1453" w:type="dxa"/>
            <w:noWrap/>
            <w:vAlign w:val="center"/>
            <w:hideMark/>
          </w:tcPr>
          <w:p w14:paraId="77184A4E" w14:textId="77777777" w:rsidR="00606CB8" w:rsidRPr="007A6B50" w:rsidRDefault="00606CB8" w:rsidP="005C421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Q0.00</w:t>
            </w:r>
          </w:p>
        </w:tc>
        <w:tc>
          <w:tcPr>
            <w:tcW w:w="972" w:type="dxa"/>
            <w:noWrap/>
            <w:vAlign w:val="center"/>
            <w:hideMark/>
          </w:tcPr>
          <w:p w14:paraId="79E7996E" w14:textId="77777777" w:rsidR="00606CB8" w:rsidRPr="007A6B50" w:rsidRDefault="00606CB8" w:rsidP="005C421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GT"/>
              </w:rPr>
            </w:pPr>
            <w:r w:rsidRPr="007A6B50">
              <w:rPr>
                <w:rFonts w:eastAsia="Times New Roman" w:cstheme="minorHAnsi"/>
                <w:sz w:val="16"/>
                <w:szCs w:val="16"/>
                <w:lang w:eastAsia="es-GT"/>
              </w:rPr>
              <w:t>0.00%</w:t>
            </w:r>
          </w:p>
        </w:tc>
      </w:tr>
      <w:tr w:rsidR="00862222" w:rsidRPr="007A6B50" w14:paraId="6FBA552E" w14:textId="77777777" w:rsidTr="005C42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91" w:type="dxa"/>
            <w:gridSpan w:val="5"/>
            <w:noWrap/>
            <w:hideMark/>
          </w:tcPr>
          <w:p w14:paraId="5EB18014" w14:textId="441DDB31" w:rsidR="00862222" w:rsidRPr="007A6B50" w:rsidRDefault="00862222" w:rsidP="00862222">
            <w:pPr>
              <w:jc w:val="center"/>
              <w:rPr>
                <w:rFonts w:eastAsia="Times New Roman" w:cstheme="minorHAnsi"/>
                <w:sz w:val="16"/>
                <w:szCs w:val="16"/>
                <w:lang w:eastAsia="es-GT"/>
              </w:rPr>
            </w:pPr>
            <w:r w:rsidRPr="007A6B50">
              <w:rPr>
                <w:rFonts w:eastAsia="Times New Roman" w:cstheme="minorHAnsi"/>
                <w:sz w:val="16"/>
                <w:szCs w:val="16"/>
                <w:lang w:eastAsia="es-GT"/>
              </w:rPr>
              <w:t>Total</w:t>
            </w:r>
          </w:p>
        </w:tc>
        <w:tc>
          <w:tcPr>
            <w:tcW w:w="1453" w:type="dxa"/>
            <w:hideMark/>
          </w:tcPr>
          <w:p w14:paraId="5A8B5A9A" w14:textId="77777777" w:rsidR="00862222" w:rsidRPr="007A6B50" w:rsidRDefault="00862222" w:rsidP="00606CB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GT"/>
              </w:rPr>
            </w:pPr>
            <w:r w:rsidRPr="007A6B50">
              <w:rPr>
                <w:rFonts w:eastAsia="Times New Roman" w:cstheme="minorHAnsi"/>
                <w:b/>
                <w:bCs/>
                <w:sz w:val="16"/>
                <w:szCs w:val="16"/>
                <w:lang w:eastAsia="es-GT"/>
              </w:rPr>
              <w:t>Q229,203,654.00</w:t>
            </w:r>
          </w:p>
        </w:tc>
        <w:tc>
          <w:tcPr>
            <w:tcW w:w="1453" w:type="dxa"/>
            <w:hideMark/>
          </w:tcPr>
          <w:p w14:paraId="2F1FAFE5" w14:textId="77777777" w:rsidR="00862222" w:rsidRPr="007A6B50" w:rsidRDefault="00862222" w:rsidP="00606CB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GT"/>
              </w:rPr>
            </w:pPr>
            <w:r w:rsidRPr="007A6B50">
              <w:rPr>
                <w:rFonts w:eastAsia="Times New Roman" w:cstheme="minorHAnsi"/>
                <w:b/>
                <w:bCs/>
                <w:sz w:val="16"/>
                <w:szCs w:val="16"/>
                <w:lang w:eastAsia="es-GT"/>
              </w:rPr>
              <w:t>Q203,541,761.09</w:t>
            </w:r>
          </w:p>
        </w:tc>
        <w:tc>
          <w:tcPr>
            <w:tcW w:w="972" w:type="dxa"/>
            <w:hideMark/>
          </w:tcPr>
          <w:p w14:paraId="6DABB7E2" w14:textId="77777777" w:rsidR="00862222" w:rsidRPr="007A6B50" w:rsidRDefault="00862222" w:rsidP="00606CB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GT"/>
              </w:rPr>
            </w:pPr>
            <w:r w:rsidRPr="007A6B50">
              <w:rPr>
                <w:rFonts w:eastAsia="Times New Roman" w:cstheme="minorHAnsi"/>
                <w:b/>
                <w:bCs/>
                <w:sz w:val="16"/>
                <w:szCs w:val="16"/>
                <w:lang w:eastAsia="es-GT"/>
              </w:rPr>
              <w:t>88.80%</w:t>
            </w:r>
          </w:p>
        </w:tc>
      </w:tr>
    </w:tbl>
    <w:p w14:paraId="084C31E4" w14:textId="08CB7978" w:rsidR="00F12A77" w:rsidRPr="007A6B50" w:rsidRDefault="00F12A77" w:rsidP="00F12A77">
      <w:pPr>
        <w:spacing w:after="0" w:line="240" w:lineRule="auto"/>
        <w:rPr>
          <w:rFonts w:eastAsia="MS PGothic" w:cstheme="minorHAnsi"/>
          <w:bCs/>
          <w:iCs/>
          <w:sz w:val="16"/>
          <w:szCs w:val="20"/>
          <w:lang w:eastAsia="es-GT"/>
        </w:rPr>
      </w:pPr>
      <w:r w:rsidRPr="007A6B50">
        <w:rPr>
          <w:rFonts w:eastAsia="MS PGothic" w:cstheme="minorHAnsi"/>
          <w:bCs/>
          <w:iCs/>
          <w:sz w:val="16"/>
          <w:szCs w:val="20"/>
          <w:lang w:eastAsia="es-GT"/>
        </w:rPr>
        <w:t xml:space="preserve">Fuente: Elaboración propia SEGEPLAN con datos del Sistema de Contabilidad Integrada -SICOIN- Ejercicio Fiscal </w:t>
      </w:r>
      <w:r w:rsidR="00BD1BD3" w:rsidRPr="007A6B50">
        <w:rPr>
          <w:rFonts w:eastAsia="MS PGothic" w:cstheme="minorHAnsi"/>
          <w:bCs/>
          <w:iCs/>
          <w:sz w:val="16"/>
          <w:szCs w:val="20"/>
          <w:lang w:eastAsia="es-GT"/>
        </w:rPr>
        <w:t>2022</w:t>
      </w:r>
      <w:r w:rsidRPr="007A6B50">
        <w:rPr>
          <w:rFonts w:eastAsia="MS PGothic" w:cstheme="minorHAnsi"/>
          <w:bCs/>
          <w:iCs/>
          <w:sz w:val="16"/>
          <w:szCs w:val="20"/>
          <w:lang w:eastAsia="es-GT"/>
        </w:rPr>
        <w:t>.</w:t>
      </w:r>
    </w:p>
    <w:p w14:paraId="1C7BA590" w14:textId="730E3032" w:rsidR="00CE3D5C" w:rsidRPr="007A6B50" w:rsidRDefault="00CE3D5C" w:rsidP="00E5007D">
      <w:pPr>
        <w:tabs>
          <w:tab w:val="num" w:pos="360"/>
        </w:tabs>
        <w:spacing w:before="120" w:after="120" w:line="240" w:lineRule="auto"/>
        <w:rPr>
          <w:rFonts w:eastAsiaTheme="majorEastAsia" w:cstheme="minorHAnsi"/>
          <w:b/>
          <w:color w:val="002060"/>
          <w:sz w:val="28"/>
          <w:szCs w:val="28"/>
        </w:rPr>
      </w:pPr>
      <w:r w:rsidRPr="007A6B50">
        <w:rPr>
          <w:rFonts w:eastAsiaTheme="majorEastAsia" w:cstheme="minorHAnsi"/>
          <w:b/>
          <w:color w:val="002060"/>
          <w:sz w:val="28"/>
          <w:szCs w:val="28"/>
        </w:rPr>
        <w:t>Ejecución de Instituciones Descentralizadas</w:t>
      </w:r>
      <w:bookmarkEnd w:id="139"/>
    </w:p>
    <w:p w14:paraId="2A7B19BA" w14:textId="55D0F304" w:rsidR="00E5007D" w:rsidRDefault="00CE3D5C" w:rsidP="00E5007D">
      <w:pPr>
        <w:spacing w:before="120" w:after="120" w:line="240" w:lineRule="auto"/>
        <w:jc w:val="both"/>
        <w:rPr>
          <w:rFonts w:eastAsia="MS PGothic" w:cstheme="minorHAnsi"/>
          <w:sz w:val="24"/>
          <w:szCs w:val="24"/>
          <w:lang w:eastAsia="es-GT"/>
        </w:rPr>
      </w:pPr>
      <w:r w:rsidRPr="007A6B50">
        <w:rPr>
          <w:rFonts w:eastAsia="MS PGothic" w:cstheme="minorHAnsi"/>
          <w:bCs/>
          <w:sz w:val="24"/>
          <w:szCs w:val="24"/>
          <w:lang w:eastAsia="es-GT"/>
        </w:rPr>
        <w:t>El presupuesto vigente es de Q.</w:t>
      </w:r>
      <w:r w:rsidR="007D6E10" w:rsidRPr="007A6B50">
        <w:rPr>
          <w:rFonts w:eastAsia="MS PGothic" w:cstheme="minorHAnsi"/>
          <w:bCs/>
          <w:sz w:val="24"/>
          <w:szCs w:val="24"/>
          <w:lang w:eastAsia="es-GT"/>
        </w:rPr>
        <w:t>155.77</w:t>
      </w:r>
      <w:r w:rsidRPr="007A6B50">
        <w:rPr>
          <w:rFonts w:eastAsia="MS PGothic" w:cstheme="minorHAnsi"/>
          <w:bCs/>
          <w:sz w:val="24"/>
          <w:szCs w:val="24"/>
          <w:lang w:eastAsia="es-GT"/>
        </w:rPr>
        <w:t xml:space="preserve"> millones y al 31 diciembre del </w:t>
      </w:r>
      <w:r w:rsidR="00BD1BD3" w:rsidRPr="007A6B50">
        <w:rPr>
          <w:rFonts w:eastAsia="MS PGothic" w:cstheme="minorHAnsi"/>
          <w:bCs/>
          <w:sz w:val="24"/>
          <w:szCs w:val="24"/>
          <w:lang w:eastAsia="es-GT"/>
        </w:rPr>
        <w:t>2022</w:t>
      </w:r>
      <w:r w:rsidRPr="007A6B50">
        <w:rPr>
          <w:rFonts w:eastAsia="MS PGothic" w:cstheme="minorHAnsi"/>
          <w:bCs/>
          <w:sz w:val="24"/>
          <w:szCs w:val="24"/>
          <w:lang w:eastAsia="es-GT"/>
        </w:rPr>
        <w:t xml:space="preserve">, </w:t>
      </w:r>
      <w:r w:rsidR="00691B67" w:rsidRPr="007A6B50">
        <w:rPr>
          <w:rFonts w:eastAsia="MS PGothic" w:cstheme="minorHAnsi"/>
          <w:bCs/>
          <w:sz w:val="24"/>
          <w:szCs w:val="24"/>
          <w:lang w:eastAsia="es-GT"/>
        </w:rPr>
        <w:t xml:space="preserve">la ejecución acumulada asciende a </w:t>
      </w:r>
      <w:r w:rsidRPr="007A6B50">
        <w:rPr>
          <w:rFonts w:eastAsia="MS PGothic" w:cstheme="minorHAnsi"/>
          <w:bCs/>
          <w:sz w:val="24"/>
          <w:szCs w:val="24"/>
          <w:lang w:eastAsia="es-GT"/>
        </w:rPr>
        <w:t>Q.</w:t>
      </w:r>
      <w:r w:rsidR="00FE7484" w:rsidRPr="007A6B50">
        <w:rPr>
          <w:rFonts w:eastAsia="MS PGothic" w:cstheme="minorHAnsi"/>
          <w:bCs/>
          <w:sz w:val="24"/>
          <w:szCs w:val="24"/>
          <w:lang w:eastAsia="es-GT"/>
        </w:rPr>
        <w:t>134</w:t>
      </w:r>
      <w:r w:rsidRPr="007A6B50">
        <w:rPr>
          <w:rFonts w:eastAsia="MS PGothic" w:cstheme="minorHAnsi"/>
          <w:bCs/>
          <w:sz w:val="24"/>
          <w:szCs w:val="24"/>
          <w:lang w:eastAsia="es-GT"/>
        </w:rPr>
        <w:t>.</w:t>
      </w:r>
      <w:r w:rsidR="008F79ED" w:rsidRPr="007A6B50">
        <w:rPr>
          <w:rFonts w:eastAsia="MS PGothic" w:cstheme="minorHAnsi"/>
          <w:bCs/>
          <w:sz w:val="24"/>
          <w:szCs w:val="24"/>
          <w:lang w:eastAsia="es-GT"/>
        </w:rPr>
        <w:t>64</w:t>
      </w:r>
      <w:r w:rsidRPr="007A6B50">
        <w:rPr>
          <w:rFonts w:eastAsia="MS PGothic" w:cstheme="minorHAnsi"/>
          <w:bCs/>
          <w:sz w:val="24"/>
          <w:szCs w:val="24"/>
          <w:lang w:eastAsia="es-GT"/>
        </w:rPr>
        <w:t xml:space="preserve"> millones, que corresponden a un </w:t>
      </w:r>
      <w:r w:rsidR="00FE7484" w:rsidRPr="007A6B50">
        <w:rPr>
          <w:rFonts w:eastAsia="MS PGothic" w:cstheme="minorHAnsi"/>
          <w:bCs/>
          <w:sz w:val="24"/>
          <w:szCs w:val="24"/>
          <w:lang w:eastAsia="es-GT"/>
        </w:rPr>
        <w:t>6</w:t>
      </w:r>
      <w:r w:rsidR="008F79ED" w:rsidRPr="007A6B50">
        <w:rPr>
          <w:rFonts w:eastAsia="MS PGothic" w:cstheme="minorHAnsi"/>
          <w:bCs/>
          <w:sz w:val="24"/>
          <w:szCs w:val="24"/>
          <w:lang w:eastAsia="es-GT"/>
        </w:rPr>
        <w:t>2.54</w:t>
      </w:r>
      <w:r w:rsidRPr="007A6B50">
        <w:rPr>
          <w:rFonts w:eastAsia="MS PGothic" w:cstheme="minorHAnsi"/>
          <w:bCs/>
          <w:sz w:val="24"/>
          <w:szCs w:val="24"/>
          <w:lang w:eastAsia="es-GT"/>
        </w:rPr>
        <w:t xml:space="preserve">% de su presupuesto vigente.  </w:t>
      </w:r>
      <w:r w:rsidRPr="007A6B50">
        <w:rPr>
          <w:rFonts w:eastAsia="MS PGothic" w:cstheme="minorHAnsi"/>
          <w:sz w:val="24"/>
          <w:szCs w:val="24"/>
          <w:lang w:eastAsia="es-GT"/>
        </w:rPr>
        <w:t xml:space="preserve">La ejecución detallada por institución se puede observar en </w:t>
      </w:r>
      <w:r w:rsidR="00D5716C" w:rsidRPr="007A6B50">
        <w:rPr>
          <w:rFonts w:eastAsia="MS PGothic" w:cstheme="minorHAnsi"/>
          <w:sz w:val="24"/>
          <w:szCs w:val="24"/>
          <w:lang w:eastAsia="es-GT"/>
        </w:rPr>
        <w:t xml:space="preserve">la tabla </w:t>
      </w:r>
      <w:r w:rsidR="00E5007D">
        <w:rPr>
          <w:rFonts w:eastAsia="MS PGothic" w:cstheme="minorHAnsi"/>
          <w:sz w:val="24"/>
          <w:szCs w:val="24"/>
          <w:lang w:eastAsia="es-GT"/>
        </w:rPr>
        <w:t>siguiente:</w:t>
      </w:r>
    </w:p>
    <w:p w14:paraId="4C07C515" w14:textId="61208E4B" w:rsidR="00517E4A" w:rsidRDefault="00517E4A" w:rsidP="00E5007D">
      <w:pPr>
        <w:spacing w:before="120" w:after="120" w:line="240" w:lineRule="auto"/>
        <w:jc w:val="both"/>
        <w:rPr>
          <w:rFonts w:eastAsia="MS PGothic" w:cstheme="minorHAnsi"/>
          <w:sz w:val="24"/>
          <w:szCs w:val="24"/>
          <w:lang w:eastAsia="es-GT"/>
        </w:rPr>
      </w:pPr>
    </w:p>
    <w:p w14:paraId="38FFC104" w14:textId="50D222F7" w:rsidR="00517E4A" w:rsidRDefault="00517E4A" w:rsidP="00E5007D">
      <w:pPr>
        <w:spacing w:before="120" w:after="120" w:line="240" w:lineRule="auto"/>
        <w:jc w:val="both"/>
        <w:rPr>
          <w:rFonts w:eastAsia="MS PGothic" w:cstheme="minorHAnsi"/>
          <w:sz w:val="24"/>
          <w:szCs w:val="24"/>
          <w:lang w:eastAsia="es-GT"/>
        </w:rPr>
      </w:pPr>
    </w:p>
    <w:p w14:paraId="28943FF7" w14:textId="77777777" w:rsidR="00517E4A" w:rsidRPr="007A6B50" w:rsidRDefault="00517E4A" w:rsidP="00E5007D">
      <w:pPr>
        <w:spacing w:before="120" w:after="120" w:line="240" w:lineRule="auto"/>
        <w:jc w:val="both"/>
        <w:rPr>
          <w:rFonts w:eastAsia="MS PGothic" w:cstheme="minorHAnsi"/>
          <w:sz w:val="24"/>
          <w:szCs w:val="24"/>
          <w:lang w:eastAsia="es-GT"/>
        </w:rPr>
      </w:pPr>
    </w:p>
    <w:p w14:paraId="1D77B183" w14:textId="096C3005" w:rsidR="00CE3D5C" w:rsidRPr="007A6B50" w:rsidRDefault="00710F76" w:rsidP="00D5716C">
      <w:pPr>
        <w:pStyle w:val="ttulosgrficas"/>
        <w:rPr>
          <w:rFonts w:asciiTheme="minorHAnsi" w:hAnsiTheme="minorHAnsi" w:cstheme="minorHAnsi"/>
          <w:lang w:eastAsia="es-GT"/>
        </w:rPr>
      </w:pPr>
      <w:bookmarkStart w:id="140" w:name="_Toc130199636"/>
      <w:r w:rsidRPr="007A6B50">
        <w:rPr>
          <w:rFonts w:asciiTheme="minorHAnsi" w:hAnsiTheme="minorHAnsi" w:cstheme="minorHAnsi"/>
          <w:lang w:eastAsia="es-GT"/>
        </w:rPr>
        <w:t xml:space="preserve">Tabla </w:t>
      </w:r>
      <w:r w:rsidR="006E5E0A" w:rsidRPr="007A6B50">
        <w:rPr>
          <w:rFonts w:asciiTheme="minorHAnsi" w:hAnsiTheme="minorHAnsi" w:cstheme="minorHAnsi"/>
          <w:lang w:eastAsia="es-GT"/>
        </w:rPr>
        <w:fldChar w:fldCharType="begin"/>
      </w:r>
      <w:r w:rsidR="006E5E0A" w:rsidRPr="007A6B50">
        <w:rPr>
          <w:rFonts w:asciiTheme="minorHAnsi" w:hAnsiTheme="minorHAnsi" w:cstheme="minorHAnsi"/>
          <w:lang w:eastAsia="es-GT"/>
        </w:rPr>
        <w:instrText xml:space="preserve"> SEQ Tabla \* ARABIC </w:instrText>
      </w:r>
      <w:r w:rsidR="006E5E0A" w:rsidRPr="007A6B50">
        <w:rPr>
          <w:rFonts w:asciiTheme="minorHAnsi" w:hAnsiTheme="minorHAnsi" w:cstheme="minorHAnsi"/>
          <w:lang w:eastAsia="es-GT"/>
        </w:rPr>
        <w:fldChar w:fldCharType="separate"/>
      </w:r>
      <w:r w:rsidR="00777974">
        <w:rPr>
          <w:rFonts w:asciiTheme="minorHAnsi" w:hAnsiTheme="minorHAnsi" w:cstheme="minorHAnsi"/>
          <w:noProof/>
          <w:lang w:eastAsia="es-GT"/>
        </w:rPr>
        <w:t>48</w:t>
      </w:r>
      <w:r w:rsidR="006E5E0A" w:rsidRPr="007A6B50">
        <w:rPr>
          <w:rFonts w:asciiTheme="minorHAnsi" w:hAnsiTheme="minorHAnsi" w:cstheme="minorHAnsi"/>
          <w:lang w:eastAsia="es-GT"/>
        </w:rPr>
        <w:fldChar w:fldCharType="end"/>
      </w:r>
      <w:r w:rsidR="00E5007D">
        <w:rPr>
          <w:rFonts w:asciiTheme="minorHAnsi" w:hAnsiTheme="minorHAnsi" w:cstheme="minorHAnsi"/>
          <w:lang w:eastAsia="es-GT"/>
        </w:rPr>
        <w:t>.</w:t>
      </w:r>
      <w:r w:rsidR="003562C1" w:rsidRPr="007A6B50">
        <w:rPr>
          <w:rFonts w:asciiTheme="minorHAnsi" w:hAnsiTheme="minorHAnsi" w:cstheme="minorHAnsi"/>
          <w:lang w:eastAsia="es-GT"/>
        </w:rPr>
        <w:t xml:space="preserve"> </w:t>
      </w:r>
      <w:r w:rsidR="00CE3D5C" w:rsidRPr="007A6B50">
        <w:rPr>
          <w:rFonts w:asciiTheme="minorHAnsi" w:hAnsiTheme="minorHAnsi" w:cstheme="minorHAnsi"/>
          <w:lang w:eastAsia="es-GT"/>
        </w:rPr>
        <w:t>Ejecución de Donaciones Instituciones Descentralizadas</w:t>
      </w:r>
      <w:r w:rsidR="00B74478" w:rsidRPr="007A6B50">
        <w:rPr>
          <w:rFonts w:asciiTheme="minorHAnsi" w:hAnsiTheme="minorHAnsi" w:cstheme="minorHAnsi"/>
          <w:lang w:eastAsia="es-GT"/>
        </w:rPr>
        <w:t xml:space="preserve">, </w:t>
      </w:r>
      <w:r w:rsidR="00AF10A3">
        <w:rPr>
          <w:rFonts w:asciiTheme="minorHAnsi" w:hAnsiTheme="minorHAnsi" w:cstheme="minorHAnsi"/>
          <w:lang w:eastAsia="es-GT"/>
        </w:rPr>
        <w:t xml:space="preserve">año </w:t>
      </w:r>
      <w:r w:rsidR="00BD1BD3" w:rsidRPr="007A6B50">
        <w:rPr>
          <w:rFonts w:asciiTheme="minorHAnsi" w:hAnsiTheme="minorHAnsi" w:cstheme="minorHAnsi"/>
          <w:lang w:eastAsia="es-GT"/>
        </w:rPr>
        <w:t>2022</w:t>
      </w:r>
      <w:bookmarkEnd w:id="140"/>
    </w:p>
    <w:tbl>
      <w:tblPr>
        <w:tblStyle w:val="Tablaconcuadrcula4-nfasis5"/>
        <w:tblW w:w="9374" w:type="dxa"/>
        <w:jc w:val="center"/>
        <w:tblLook w:val="04A0" w:firstRow="1" w:lastRow="0" w:firstColumn="1" w:lastColumn="0" w:noHBand="0" w:noVBand="1"/>
      </w:tblPr>
      <w:tblGrid>
        <w:gridCol w:w="834"/>
        <w:gridCol w:w="2660"/>
        <w:gridCol w:w="1542"/>
        <w:gridCol w:w="1542"/>
        <w:gridCol w:w="1542"/>
        <w:gridCol w:w="1254"/>
      </w:tblGrid>
      <w:tr w:rsidR="004734D5" w:rsidRPr="007A6B50" w14:paraId="1B3EF548" w14:textId="77777777" w:rsidTr="00AF10A3">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834" w:type="dxa"/>
            <w:vAlign w:val="center"/>
            <w:hideMark/>
          </w:tcPr>
          <w:p w14:paraId="56E7403D" w14:textId="18F9372E" w:rsidR="004734D5" w:rsidRPr="007A6B50" w:rsidRDefault="004734D5" w:rsidP="00E5007D">
            <w:pPr>
              <w:jc w:val="center"/>
              <w:rPr>
                <w:rFonts w:asciiTheme="minorHAnsi" w:eastAsia="Times New Roman" w:hAnsiTheme="minorHAnsi" w:cstheme="minorHAnsi"/>
                <w:b w:val="0"/>
                <w:bCs w:val="0"/>
                <w:iCs/>
                <w:color w:val="000000"/>
                <w:lang w:eastAsia="es-GT"/>
              </w:rPr>
            </w:pPr>
            <w:r w:rsidRPr="007A6B50">
              <w:rPr>
                <w:rFonts w:asciiTheme="minorHAnsi" w:eastAsia="Times New Roman" w:hAnsiTheme="minorHAnsi" w:cstheme="minorHAnsi"/>
                <w:iCs/>
                <w:color w:val="000000"/>
                <w:lang w:eastAsia="es-GT"/>
              </w:rPr>
              <w:t>No.</w:t>
            </w:r>
          </w:p>
        </w:tc>
        <w:tc>
          <w:tcPr>
            <w:tcW w:w="2660" w:type="dxa"/>
            <w:vAlign w:val="center"/>
            <w:hideMark/>
          </w:tcPr>
          <w:p w14:paraId="00983636" w14:textId="7FD7DE44" w:rsidR="004734D5" w:rsidRPr="007A6B50" w:rsidRDefault="004734D5" w:rsidP="00E5007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Cs/>
                <w:color w:val="000000"/>
                <w:lang w:eastAsia="es-GT"/>
              </w:rPr>
            </w:pPr>
            <w:r w:rsidRPr="007A6B50">
              <w:rPr>
                <w:rFonts w:asciiTheme="minorHAnsi" w:eastAsia="Times New Roman" w:hAnsiTheme="minorHAnsi" w:cstheme="minorHAnsi"/>
                <w:iCs/>
                <w:color w:val="000000"/>
                <w:lang w:eastAsia="es-GT"/>
              </w:rPr>
              <w:t>Institución</w:t>
            </w:r>
          </w:p>
        </w:tc>
        <w:tc>
          <w:tcPr>
            <w:tcW w:w="1542" w:type="dxa"/>
            <w:vAlign w:val="center"/>
            <w:hideMark/>
          </w:tcPr>
          <w:p w14:paraId="2888363F" w14:textId="1D8EAE33" w:rsidR="004734D5" w:rsidRPr="007A6B50" w:rsidRDefault="004734D5" w:rsidP="00E5007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Cs/>
                <w:color w:val="000000"/>
                <w:lang w:eastAsia="es-GT"/>
              </w:rPr>
            </w:pPr>
            <w:r w:rsidRPr="007A6B50">
              <w:rPr>
                <w:rFonts w:asciiTheme="minorHAnsi" w:eastAsia="Times New Roman" w:hAnsiTheme="minorHAnsi" w:cstheme="minorHAnsi"/>
                <w:iCs/>
                <w:color w:val="000000"/>
                <w:lang w:eastAsia="es-GT"/>
              </w:rPr>
              <w:t>Presupuesto Asignado</w:t>
            </w:r>
          </w:p>
        </w:tc>
        <w:tc>
          <w:tcPr>
            <w:tcW w:w="1542" w:type="dxa"/>
            <w:vAlign w:val="center"/>
            <w:hideMark/>
          </w:tcPr>
          <w:p w14:paraId="4B771A4F" w14:textId="7C3315F9" w:rsidR="004734D5" w:rsidRPr="007A6B50" w:rsidRDefault="004734D5" w:rsidP="00E5007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Cs/>
                <w:color w:val="000000"/>
                <w:lang w:eastAsia="es-GT"/>
              </w:rPr>
            </w:pPr>
            <w:r w:rsidRPr="007A6B50">
              <w:rPr>
                <w:rFonts w:asciiTheme="minorHAnsi" w:eastAsia="Times New Roman" w:hAnsiTheme="minorHAnsi" w:cstheme="minorHAnsi"/>
                <w:iCs/>
                <w:color w:val="000000"/>
                <w:lang w:eastAsia="es-GT"/>
              </w:rPr>
              <w:t>Presupuesto</w:t>
            </w:r>
          </w:p>
          <w:p w14:paraId="0C95E7FB" w14:textId="1776C680" w:rsidR="004734D5" w:rsidRPr="007A6B50" w:rsidRDefault="004734D5" w:rsidP="00E5007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Cs/>
                <w:color w:val="000000"/>
                <w:lang w:eastAsia="es-GT"/>
              </w:rPr>
            </w:pPr>
            <w:r w:rsidRPr="007A6B50">
              <w:rPr>
                <w:rFonts w:asciiTheme="minorHAnsi" w:eastAsia="Times New Roman" w:hAnsiTheme="minorHAnsi" w:cstheme="minorHAnsi"/>
                <w:iCs/>
                <w:color w:val="000000"/>
                <w:lang w:eastAsia="es-GT"/>
              </w:rPr>
              <w:t>Vigente</w:t>
            </w:r>
          </w:p>
        </w:tc>
        <w:tc>
          <w:tcPr>
            <w:tcW w:w="1542" w:type="dxa"/>
            <w:vAlign w:val="center"/>
            <w:hideMark/>
          </w:tcPr>
          <w:p w14:paraId="09D9E69B" w14:textId="77777777" w:rsidR="004734D5" w:rsidRPr="007A6B50" w:rsidRDefault="004734D5" w:rsidP="00E5007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Cs/>
                <w:color w:val="000000"/>
                <w:lang w:eastAsia="es-GT"/>
              </w:rPr>
            </w:pPr>
            <w:r w:rsidRPr="007A6B50">
              <w:rPr>
                <w:rFonts w:asciiTheme="minorHAnsi" w:eastAsia="Times New Roman" w:hAnsiTheme="minorHAnsi" w:cstheme="minorHAnsi"/>
                <w:iCs/>
                <w:color w:val="000000"/>
                <w:lang w:eastAsia="es-GT"/>
              </w:rPr>
              <w:t>Presupuesto</w:t>
            </w:r>
          </w:p>
          <w:p w14:paraId="6DF13A88" w14:textId="36DBF090" w:rsidR="004734D5" w:rsidRPr="007A6B50" w:rsidRDefault="004734D5" w:rsidP="00E5007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Cs/>
                <w:color w:val="000000"/>
                <w:lang w:eastAsia="es-GT"/>
              </w:rPr>
            </w:pPr>
            <w:r w:rsidRPr="007A6B50">
              <w:rPr>
                <w:rFonts w:asciiTheme="minorHAnsi" w:eastAsia="Times New Roman" w:hAnsiTheme="minorHAnsi" w:cstheme="minorHAnsi"/>
                <w:iCs/>
                <w:color w:val="000000"/>
                <w:lang w:eastAsia="es-GT"/>
              </w:rPr>
              <w:t>Ejecutado</w:t>
            </w:r>
          </w:p>
        </w:tc>
        <w:tc>
          <w:tcPr>
            <w:tcW w:w="1254" w:type="dxa"/>
            <w:vAlign w:val="center"/>
            <w:hideMark/>
          </w:tcPr>
          <w:p w14:paraId="5A5F7601" w14:textId="42A9D047" w:rsidR="004734D5" w:rsidRPr="007A6B50" w:rsidRDefault="004734D5" w:rsidP="00E5007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iCs/>
                <w:color w:val="000000"/>
                <w:lang w:eastAsia="es-GT"/>
              </w:rPr>
            </w:pPr>
            <w:r w:rsidRPr="007A6B50">
              <w:rPr>
                <w:rFonts w:asciiTheme="minorHAnsi" w:eastAsia="Times New Roman" w:hAnsiTheme="minorHAnsi" w:cstheme="minorHAnsi"/>
                <w:iCs/>
                <w:color w:val="000000"/>
                <w:lang w:eastAsia="es-GT"/>
              </w:rPr>
              <w:t>% Ejecución</w:t>
            </w:r>
          </w:p>
        </w:tc>
      </w:tr>
      <w:tr w:rsidR="004734D5" w:rsidRPr="007A6B50" w14:paraId="77E8DCDB" w14:textId="77777777" w:rsidTr="00E5007D">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834" w:type="dxa"/>
            <w:noWrap/>
            <w:hideMark/>
          </w:tcPr>
          <w:p w14:paraId="59549ABB" w14:textId="77777777" w:rsidR="004734D5" w:rsidRPr="00E5007D" w:rsidRDefault="004734D5" w:rsidP="004207BB">
            <w:pPr>
              <w:jc w:val="center"/>
              <w:rPr>
                <w:rFonts w:asciiTheme="minorHAnsi" w:eastAsia="Times New Roman" w:hAnsiTheme="minorHAnsi" w:cstheme="minorHAnsi"/>
                <w:b w:val="0"/>
                <w:lang w:eastAsia="es-GT"/>
              </w:rPr>
            </w:pPr>
            <w:r w:rsidRPr="00E5007D">
              <w:rPr>
                <w:rFonts w:asciiTheme="minorHAnsi" w:eastAsia="Times New Roman" w:hAnsiTheme="minorHAnsi" w:cstheme="minorHAnsi"/>
                <w:b w:val="0"/>
                <w:lang w:eastAsia="es-GT"/>
              </w:rPr>
              <w:t>1</w:t>
            </w:r>
          </w:p>
        </w:tc>
        <w:tc>
          <w:tcPr>
            <w:tcW w:w="2660" w:type="dxa"/>
            <w:vAlign w:val="center"/>
          </w:tcPr>
          <w:p w14:paraId="1DC0CE07" w14:textId="525411BA" w:rsidR="004734D5" w:rsidRPr="007A6B50" w:rsidRDefault="004734D5" w:rsidP="00AF10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rPr>
              <w:t>INFOM</w:t>
            </w:r>
          </w:p>
        </w:tc>
        <w:tc>
          <w:tcPr>
            <w:tcW w:w="1542" w:type="dxa"/>
            <w:noWrap/>
            <w:vAlign w:val="center"/>
          </w:tcPr>
          <w:p w14:paraId="6411C0CD" w14:textId="1334E0EB"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39.00</w:t>
            </w:r>
          </w:p>
        </w:tc>
        <w:tc>
          <w:tcPr>
            <w:tcW w:w="1542" w:type="dxa"/>
            <w:noWrap/>
            <w:vAlign w:val="center"/>
          </w:tcPr>
          <w:p w14:paraId="181E5A55" w14:textId="66680D46"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78.65</w:t>
            </w:r>
          </w:p>
        </w:tc>
        <w:tc>
          <w:tcPr>
            <w:tcW w:w="1542" w:type="dxa"/>
            <w:noWrap/>
            <w:vAlign w:val="center"/>
          </w:tcPr>
          <w:p w14:paraId="5F7C2AE5" w14:textId="589B5826"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59.44</w:t>
            </w:r>
          </w:p>
        </w:tc>
        <w:tc>
          <w:tcPr>
            <w:tcW w:w="1254" w:type="dxa"/>
            <w:noWrap/>
            <w:vAlign w:val="center"/>
          </w:tcPr>
          <w:p w14:paraId="39867FFD" w14:textId="1AFABB12"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75.58%</w:t>
            </w:r>
          </w:p>
        </w:tc>
      </w:tr>
      <w:tr w:rsidR="004734D5" w:rsidRPr="007A6B50" w14:paraId="467A94E8" w14:textId="77777777" w:rsidTr="00E5007D">
        <w:trPr>
          <w:trHeight w:val="254"/>
          <w:jc w:val="center"/>
        </w:trPr>
        <w:tc>
          <w:tcPr>
            <w:cnfStyle w:val="001000000000" w:firstRow="0" w:lastRow="0" w:firstColumn="1" w:lastColumn="0" w:oddVBand="0" w:evenVBand="0" w:oddHBand="0" w:evenHBand="0" w:firstRowFirstColumn="0" w:firstRowLastColumn="0" w:lastRowFirstColumn="0" w:lastRowLastColumn="0"/>
            <w:tcW w:w="834" w:type="dxa"/>
            <w:noWrap/>
            <w:hideMark/>
          </w:tcPr>
          <w:p w14:paraId="3B6DB67E" w14:textId="77777777" w:rsidR="004734D5" w:rsidRPr="00E5007D" w:rsidRDefault="004734D5" w:rsidP="004207BB">
            <w:pPr>
              <w:jc w:val="center"/>
              <w:rPr>
                <w:rFonts w:asciiTheme="minorHAnsi" w:eastAsia="Times New Roman" w:hAnsiTheme="minorHAnsi" w:cstheme="minorHAnsi"/>
                <w:b w:val="0"/>
                <w:lang w:eastAsia="es-GT"/>
              </w:rPr>
            </w:pPr>
            <w:r w:rsidRPr="00E5007D">
              <w:rPr>
                <w:rFonts w:asciiTheme="minorHAnsi" w:eastAsia="Times New Roman" w:hAnsiTheme="minorHAnsi" w:cstheme="minorHAnsi"/>
                <w:b w:val="0"/>
                <w:lang w:eastAsia="es-GT"/>
              </w:rPr>
              <w:t>2</w:t>
            </w:r>
          </w:p>
        </w:tc>
        <w:tc>
          <w:tcPr>
            <w:tcW w:w="2660" w:type="dxa"/>
            <w:noWrap/>
            <w:vAlign w:val="center"/>
          </w:tcPr>
          <w:p w14:paraId="7AFEE034" w14:textId="1AFB680C" w:rsidR="004734D5" w:rsidRPr="007A6B50" w:rsidRDefault="004734D5" w:rsidP="00AF10A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rPr>
              <w:t>COG</w:t>
            </w:r>
          </w:p>
        </w:tc>
        <w:tc>
          <w:tcPr>
            <w:tcW w:w="1542" w:type="dxa"/>
            <w:noWrap/>
            <w:vAlign w:val="center"/>
          </w:tcPr>
          <w:p w14:paraId="63EDB8AB" w14:textId="72672813" w:rsidR="004734D5" w:rsidRPr="007A6B50" w:rsidRDefault="00E5007D"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Pr>
                <w:rFonts w:asciiTheme="minorHAnsi" w:hAnsiTheme="minorHAnsi" w:cstheme="minorHAnsi"/>
              </w:rPr>
              <w:t>0.00</w:t>
            </w:r>
          </w:p>
        </w:tc>
        <w:tc>
          <w:tcPr>
            <w:tcW w:w="1542" w:type="dxa"/>
            <w:noWrap/>
            <w:vAlign w:val="center"/>
          </w:tcPr>
          <w:p w14:paraId="31D27541" w14:textId="7C578D4E"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5.82</w:t>
            </w:r>
          </w:p>
        </w:tc>
        <w:tc>
          <w:tcPr>
            <w:tcW w:w="1542" w:type="dxa"/>
            <w:noWrap/>
            <w:vAlign w:val="center"/>
          </w:tcPr>
          <w:p w14:paraId="71E8FF20" w14:textId="111F06C4"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4.33</w:t>
            </w:r>
          </w:p>
        </w:tc>
        <w:tc>
          <w:tcPr>
            <w:tcW w:w="1254" w:type="dxa"/>
            <w:noWrap/>
            <w:vAlign w:val="center"/>
          </w:tcPr>
          <w:p w14:paraId="12905787" w14:textId="722B7ABB"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74.40%</w:t>
            </w:r>
          </w:p>
        </w:tc>
      </w:tr>
      <w:tr w:rsidR="004734D5" w:rsidRPr="007A6B50" w14:paraId="09D53A8C" w14:textId="77777777" w:rsidTr="00E5007D">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834" w:type="dxa"/>
            <w:noWrap/>
            <w:hideMark/>
          </w:tcPr>
          <w:p w14:paraId="67AF7154" w14:textId="77777777" w:rsidR="004734D5" w:rsidRPr="00E5007D" w:rsidRDefault="004734D5" w:rsidP="004207BB">
            <w:pPr>
              <w:jc w:val="center"/>
              <w:rPr>
                <w:rFonts w:asciiTheme="minorHAnsi" w:eastAsia="Times New Roman" w:hAnsiTheme="minorHAnsi" w:cstheme="minorHAnsi"/>
                <w:b w:val="0"/>
                <w:lang w:eastAsia="es-GT"/>
              </w:rPr>
            </w:pPr>
            <w:r w:rsidRPr="00E5007D">
              <w:rPr>
                <w:rFonts w:asciiTheme="minorHAnsi" w:eastAsia="Times New Roman" w:hAnsiTheme="minorHAnsi" w:cstheme="minorHAnsi"/>
                <w:b w:val="0"/>
                <w:lang w:eastAsia="es-GT"/>
              </w:rPr>
              <w:t>3</w:t>
            </w:r>
          </w:p>
        </w:tc>
        <w:tc>
          <w:tcPr>
            <w:tcW w:w="2660" w:type="dxa"/>
            <w:noWrap/>
            <w:vAlign w:val="center"/>
          </w:tcPr>
          <w:p w14:paraId="509B96AE" w14:textId="0CB3F011" w:rsidR="004734D5" w:rsidRPr="007A6B50" w:rsidRDefault="004734D5" w:rsidP="00AF10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rPr>
              <w:t>SEICMSJ</w:t>
            </w:r>
          </w:p>
        </w:tc>
        <w:tc>
          <w:tcPr>
            <w:tcW w:w="1542" w:type="dxa"/>
            <w:noWrap/>
            <w:vAlign w:val="center"/>
          </w:tcPr>
          <w:p w14:paraId="5252F75E" w14:textId="06C082BA"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37.50</w:t>
            </w:r>
          </w:p>
        </w:tc>
        <w:tc>
          <w:tcPr>
            <w:tcW w:w="1542" w:type="dxa"/>
            <w:noWrap/>
            <w:vAlign w:val="center"/>
          </w:tcPr>
          <w:p w14:paraId="53E8AAFD" w14:textId="12C0BF85"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37.50</w:t>
            </w:r>
          </w:p>
        </w:tc>
        <w:tc>
          <w:tcPr>
            <w:tcW w:w="1542" w:type="dxa"/>
            <w:noWrap/>
            <w:vAlign w:val="center"/>
          </w:tcPr>
          <w:p w14:paraId="1FF47D96" w14:textId="53D4C1F9"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19.99</w:t>
            </w:r>
          </w:p>
        </w:tc>
        <w:tc>
          <w:tcPr>
            <w:tcW w:w="1254" w:type="dxa"/>
            <w:noWrap/>
            <w:vAlign w:val="center"/>
          </w:tcPr>
          <w:p w14:paraId="01829686" w14:textId="61EEE631"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53.31%</w:t>
            </w:r>
          </w:p>
        </w:tc>
      </w:tr>
      <w:tr w:rsidR="004734D5" w:rsidRPr="007A6B50" w14:paraId="34C4972D" w14:textId="77777777" w:rsidTr="00E5007D">
        <w:trPr>
          <w:trHeight w:val="254"/>
          <w:jc w:val="center"/>
        </w:trPr>
        <w:tc>
          <w:tcPr>
            <w:cnfStyle w:val="001000000000" w:firstRow="0" w:lastRow="0" w:firstColumn="1" w:lastColumn="0" w:oddVBand="0" w:evenVBand="0" w:oddHBand="0" w:evenHBand="0" w:firstRowFirstColumn="0" w:firstRowLastColumn="0" w:lastRowFirstColumn="0" w:lastRowLastColumn="0"/>
            <w:tcW w:w="834" w:type="dxa"/>
            <w:noWrap/>
            <w:hideMark/>
          </w:tcPr>
          <w:p w14:paraId="5433B240" w14:textId="77777777" w:rsidR="004734D5" w:rsidRPr="00E5007D" w:rsidRDefault="004734D5" w:rsidP="004207BB">
            <w:pPr>
              <w:jc w:val="center"/>
              <w:rPr>
                <w:rFonts w:asciiTheme="minorHAnsi" w:eastAsia="Times New Roman" w:hAnsiTheme="minorHAnsi" w:cstheme="minorHAnsi"/>
                <w:b w:val="0"/>
                <w:lang w:eastAsia="es-GT"/>
              </w:rPr>
            </w:pPr>
            <w:r w:rsidRPr="00E5007D">
              <w:rPr>
                <w:rFonts w:asciiTheme="minorHAnsi" w:eastAsia="Times New Roman" w:hAnsiTheme="minorHAnsi" w:cstheme="minorHAnsi"/>
                <w:b w:val="0"/>
                <w:lang w:eastAsia="es-GT"/>
              </w:rPr>
              <w:t>4</w:t>
            </w:r>
          </w:p>
        </w:tc>
        <w:tc>
          <w:tcPr>
            <w:tcW w:w="2660" w:type="dxa"/>
            <w:noWrap/>
            <w:vAlign w:val="center"/>
          </w:tcPr>
          <w:p w14:paraId="5E4A18BA" w14:textId="5094D19C" w:rsidR="004734D5" w:rsidRPr="007A6B50" w:rsidRDefault="004734D5" w:rsidP="00AF10A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rPr>
              <w:t>MUNIGUATE</w:t>
            </w:r>
          </w:p>
        </w:tc>
        <w:tc>
          <w:tcPr>
            <w:tcW w:w="1542" w:type="dxa"/>
            <w:noWrap/>
            <w:vAlign w:val="center"/>
          </w:tcPr>
          <w:p w14:paraId="2B815571" w14:textId="6A4DD090"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30.04</w:t>
            </w:r>
          </w:p>
        </w:tc>
        <w:tc>
          <w:tcPr>
            <w:tcW w:w="1542" w:type="dxa"/>
            <w:noWrap/>
            <w:vAlign w:val="center"/>
          </w:tcPr>
          <w:p w14:paraId="1BB7A7B8" w14:textId="6C3E04E9"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40.12</w:t>
            </w:r>
          </w:p>
        </w:tc>
        <w:tc>
          <w:tcPr>
            <w:tcW w:w="1542" w:type="dxa"/>
            <w:noWrap/>
            <w:vAlign w:val="center"/>
          </w:tcPr>
          <w:p w14:paraId="6FAA053F" w14:textId="599A80B7"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20.34</w:t>
            </w:r>
          </w:p>
        </w:tc>
        <w:tc>
          <w:tcPr>
            <w:tcW w:w="1254" w:type="dxa"/>
            <w:noWrap/>
            <w:vAlign w:val="center"/>
          </w:tcPr>
          <w:p w14:paraId="6898460F" w14:textId="14729BB7"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50.69%</w:t>
            </w:r>
          </w:p>
        </w:tc>
      </w:tr>
      <w:tr w:rsidR="004734D5" w:rsidRPr="007A6B50" w14:paraId="63D8DA02" w14:textId="77777777" w:rsidTr="00E5007D">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834" w:type="dxa"/>
            <w:noWrap/>
            <w:hideMark/>
          </w:tcPr>
          <w:p w14:paraId="74E85822" w14:textId="77777777" w:rsidR="004734D5" w:rsidRPr="00E5007D" w:rsidRDefault="004734D5" w:rsidP="004207BB">
            <w:pPr>
              <w:jc w:val="center"/>
              <w:rPr>
                <w:rFonts w:asciiTheme="minorHAnsi" w:eastAsia="Times New Roman" w:hAnsiTheme="minorHAnsi" w:cstheme="minorHAnsi"/>
                <w:b w:val="0"/>
                <w:lang w:eastAsia="es-GT"/>
              </w:rPr>
            </w:pPr>
            <w:r w:rsidRPr="00E5007D">
              <w:rPr>
                <w:rFonts w:asciiTheme="minorHAnsi" w:eastAsia="Times New Roman" w:hAnsiTheme="minorHAnsi" w:cstheme="minorHAnsi"/>
                <w:b w:val="0"/>
                <w:lang w:eastAsia="es-GT"/>
              </w:rPr>
              <w:t>5</w:t>
            </w:r>
          </w:p>
        </w:tc>
        <w:tc>
          <w:tcPr>
            <w:tcW w:w="2660" w:type="dxa"/>
            <w:noWrap/>
            <w:vAlign w:val="center"/>
          </w:tcPr>
          <w:p w14:paraId="108A18CD" w14:textId="616B013D" w:rsidR="004734D5" w:rsidRPr="007A6B50" w:rsidRDefault="004734D5" w:rsidP="00AF10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rPr>
              <w:t>FED. NAC. FUTBOL</w:t>
            </w:r>
          </w:p>
        </w:tc>
        <w:tc>
          <w:tcPr>
            <w:tcW w:w="1542" w:type="dxa"/>
            <w:noWrap/>
            <w:vAlign w:val="center"/>
          </w:tcPr>
          <w:p w14:paraId="42AAC236" w14:textId="301D46F9"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26.99</w:t>
            </w:r>
          </w:p>
        </w:tc>
        <w:tc>
          <w:tcPr>
            <w:tcW w:w="1542" w:type="dxa"/>
            <w:noWrap/>
            <w:vAlign w:val="center"/>
          </w:tcPr>
          <w:p w14:paraId="2BE95E92" w14:textId="74D49A42"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28.30</w:t>
            </w:r>
          </w:p>
        </w:tc>
        <w:tc>
          <w:tcPr>
            <w:tcW w:w="1542" w:type="dxa"/>
            <w:noWrap/>
            <w:vAlign w:val="center"/>
          </w:tcPr>
          <w:p w14:paraId="32DDCF6C" w14:textId="6F570EF8"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22.46</w:t>
            </w:r>
          </w:p>
        </w:tc>
        <w:tc>
          <w:tcPr>
            <w:tcW w:w="1254" w:type="dxa"/>
            <w:noWrap/>
            <w:vAlign w:val="center"/>
          </w:tcPr>
          <w:p w14:paraId="026B278C" w14:textId="1F49BD97"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79.36%</w:t>
            </w:r>
          </w:p>
        </w:tc>
      </w:tr>
      <w:tr w:rsidR="004734D5" w:rsidRPr="007A6B50" w14:paraId="2224D750" w14:textId="77777777" w:rsidTr="00E5007D">
        <w:trPr>
          <w:trHeight w:val="254"/>
          <w:jc w:val="center"/>
        </w:trPr>
        <w:tc>
          <w:tcPr>
            <w:cnfStyle w:val="001000000000" w:firstRow="0" w:lastRow="0" w:firstColumn="1" w:lastColumn="0" w:oddVBand="0" w:evenVBand="0" w:oddHBand="0" w:evenHBand="0" w:firstRowFirstColumn="0" w:firstRowLastColumn="0" w:lastRowFirstColumn="0" w:lastRowLastColumn="0"/>
            <w:tcW w:w="834" w:type="dxa"/>
            <w:noWrap/>
            <w:hideMark/>
          </w:tcPr>
          <w:p w14:paraId="113068C1" w14:textId="77777777" w:rsidR="004734D5" w:rsidRPr="00E5007D" w:rsidRDefault="004734D5" w:rsidP="004207BB">
            <w:pPr>
              <w:jc w:val="center"/>
              <w:rPr>
                <w:rFonts w:asciiTheme="minorHAnsi" w:eastAsia="Times New Roman" w:hAnsiTheme="minorHAnsi" w:cstheme="minorHAnsi"/>
                <w:b w:val="0"/>
                <w:lang w:eastAsia="es-GT"/>
              </w:rPr>
            </w:pPr>
            <w:r w:rsidRPr="00E5007D">
              <w:rPr>
                <w:rFonts w:asciiTheme="minorHAnsi" w:eastAsia="Times New Roman" w:hAnsiTheme="minorHAnsi" w:cstheme="minorHAnsi"/>
                <w:b w:val="0"/>
                <w:lang w:eastAsia="es-GT"/>
              </w:rPr>
              <w:t>6</w:t>
            </w:r>
          </w:p>
        </w:tc>
        <w:tc>
          <w:tcPr>
            <w:tcW w:w="2660" w:type="dxa"/>
            <w:noWrap/>
            <w:vAlign w:val="center"/>
          </w:tcPr>
          <w:p w14:paraId="092F7F6B" w14:textId="0FB3A727" w:rsidR="004734D5" w:rsidRPr="007A6B50" w:rsidRDefault="004734D5" w:rsidP="00AF10A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rPr>
              <w:t>FED. NAC. DE NATACION</w:t>
            </w:r>
          </w:p>
        </w:tc>
        <w:tc>
          <w:tcPr>
            <w:tcW w:w="1542" w:type="dxa"/>
            <w:noWrap/>
            <w:vAlign w:val="center"/>
          </w:tcPr>
          <w:p w14:paraId="43A7E6AA" w14:textId="40DA02DA" w:rsidR="004734D5" w:rsidRPr="007A6B50" w:rsidRDefault="00E5007D"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Pr>
                <w:rFonts w:asciiTheme="minorHAnsi" w:hAnsiTheme="minorHAnsi" w:cstheme="minorHAnsi"/>
              </w:rPr>
              <w:t>0.00</w:t>
            </w:r>
          </w:p>
        </w:tc>
        <w:tc>
          <w:tcPr>
            <w:tcW w:w="1542" w:type="dxa"/>
            <w:noWrap/>
            <w:vAlign w:val="center"/>
          </w:tcPr>
          <w:p w14:paraId="1B48DA1B" w14:textId="4144A4F5"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0.43</w:t>
            </w:r>
          </w:p>
        </w:tc>
        <w:tc>
          <w:tcPr>
            <w:tcW w:w="1542" w:type="dxa"/>
            <w:noWrap/>
            <w:vAlign w:val="center"/>
          </w:tcPr>
          <w:p w14:paraId="54E4092F" w14:textId="203F3BDE"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0.43</w:t>
            </w:r>
          </w:p>
        </w:tc>
        <w:tc>
          <w:tcPr>
            <w:tcW w:w="1254" w:type="dxa"/>
            <w:noWrap/>
            <w:vAlign w:val="center"/>
          </w:tcPr>
          <w:p w14:paraId="4B4145F0" w14:textId="34E86B79" w:rsidR="004734D5" w:rsidRPr="007A6B50"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100.00%</w:t>
            </w:r>
          </w:p>
        </w:tc>
      </w:tr>
      <w:tr w:rsidR="004734D5" w:rsidRPr="007A6B50" w14:paraId="6849FB8C" w14:textId="77777777" w:rsidTr="00E5007D">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834" w:type="dxa"/>
            <w:noWrap/>
            <w:hideMark/>
          </w:tcPr>
          <w:p w14:paraId="7A64EAB5" w14:textId="77777777" w:rsidR="004734D5" w:rsidRPr="00E5007D" w:rsidRDefault="004734D5" w:rsidP="004207BB">
            <w:pPr>
              <w:jc w:val="center"/>
              <w:rPr>
                <w:rFonts w:asciiTheme="minorHAnsi" w:eastAsia="Times New Roman" w:hAnsiTheme="minorHAnsi" w:cstheme="minorHAnsi"/>
                <w:b w:val="0"/>
                <w:lang w:eastAsia="es-GT"/>
              </w:rPr>
            </w:pPr>
            <w:r w:rsidRPr="00E5007D">
              <w:rPr>
                <w:rFonts w:asciiTheme="minorHAnsi" w:eastAsia="Times New Roman" w:hAnsiTheme="minorHAnsi" w:cstheme="minorHAnsi"/>
                <w:b w:val="0"/>
                <w:lang w:eastAsia="es-GT"/>
              </w:rPr>
              <w:t>7</w:t>
            </w:r>
          </w:p>
        </w:tc>
        <w:tc>
          <w:tcPr>
            <w:tcW w:w="2660" w:type="dxa"/>
            <w:noWrap/>
            <w:vAlign w:val="center"/>
          </w:tcPr>
          <w:p w14:paraId="0C8D0902" w14:textId="02FD5ECF" w:rsidR="004734D5" w:rsidRPr="007A6B50" w:rsidRDefault="004734D5" w:rsidP="00AF10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rPr>
              <w:t>INAB</w:t>
            </w:r>
          </w:p>
        </w:tc>
        <w:tc>
          <w:tcPr>
            <w:tcW w:w="1542" w:type="dxa"/>
            <w:noWrap/>
            <w:vAlign w:val="center"/>
          </w:tcPr>
          <w:p w14:paraId="0FEF1964" w14:textId="1376798C"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22.25</w:t>
            </w:r>
          </w:p>
        </w:tc>
        <w:tc>
          <w:tcPr>
            <w:tcW w:w="1542" w:type="dxa"/>
            <w:noWrap/>
            <w:vAlign w:val="center"/>
          </w:tcPr>
          <w:p w14:paraId="62ADCDA5" w14:textId="0242B24A"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22.25</w:t>
            </w:r>
          </w:p>
        </w:tc>
        <w:tc>
          <w:tcPr>
            <w:tcW w:w="1542" w:type="dxa"/>
            <w:noWrap/>
            <w:vAlign w:val="center"/>
          </w:tcPr>
          <w:p w14:paraId="40B7153F" w14:textId="4F0C61DE"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7.45</w:t>
            </w:r>
          </w:p>
        </w:tc>
        <w:tc>
          <w:tcPr>
            <w:tcW w:w="1254" w:type="dxa"/>
            <w:noWrap/>
            <w:vAlign w:val="center"/>
          </w:tcPr>
          <w:p w14:paraId="4AB6F7B7" w14:textId="29136767" w:rsidR="004734D5" w:rsidRPr="007A6B50" w:rsidRDefault="004734D5"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33.48%</w:t>
            </w:r>
          </w:p>
        </w:tc>
      </w:tr>
      <w:tr w:rsidR="00E5007D" w:rsidRPr="007A6B50" w14:paraId="0543AAA4" w14:textId="77777777" w:rsidTr="00E5007D">
        <w:trPr>
          <w:trHeight w:val="254"/>
          <w:jc w:val="center"/>
        </w:trPr>
        <w:tc>
          <w:tcPr>
            <w:cnfStyle w:val="001000000000" w:firstRow="0" w:lastRow="0" w:firstColumn="1" w:lastColumn="0" w:oddVBand="0" w:evenVBand="0" w:oddHBand="0" w:evenHBand="0" w:firstRowFirstColumn="0" w:firstRowLastColumn="0" w:lastRowFirstColumn="0" w:lastRowLastColumn="0"/>
            <w:tcW w:w="834" w:type="dxa"/>
            <w:noWrap/>
            <w:hideMark/>
          </w:tcPr>
          <w:p w14:paraId="7944226A" w14:textId="77777777" w:rsidR="00E5007D" w:rsidRPr="00E5007D" w:rsidRDefault="00E5007D" w:rsidP="00E5007D">
            <w:pPr>
              <w:jc w:val="center"/>
              <w:rPr>
                <w:rFonts w:asciiTheme="minorHAnsi" w:eastAsia="Times New Roman" w:hAnsiTheme="minorHAnsi" w:cstheme="minorHAnsi"/>
                <w:b w:val="0"/>
                <w:lang w:eastAsia="es-GT"/>
              </w:rPr>
            </w:pPr>
            <w:r w:rsidRPr="00E5007D">
              <w:rPr>
                <w:rFonts w:asciiTheme="minorHAnsi" w:eastAsia="Times New Roman" w:hAnsiTheme="minorHAnsi" w:cstheme="minorHAnsi"/>
                <w:b w:val="0"/>
                <w:lang w:eastAsia="es-GT"/>
              </w:rPr>
              <w:t>8</w:t>
            </w:r>
          </w:p>
        </w:tc>
        <w:tc>
          <w:tcPr>
            <w:tcW w:w="2660" w:type="dxa"/>
            <w:noWrap/>
            <w:vAlign w:val="center"/>
          </w:tcPr>
          <w:p w14:paraId="45E946AD" w14:textId="11916FA3" w:rsidR="00E5007D" w:rsidRPr="007A6B50" w:rsidRDefault="00E5007D" w:rsidP="00AF10A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rPr>
              <w:t>USAC</w:t>
            </w:r>
          </w:p>
        </w:tc>
        <w:tc>
          <w:tcPr>
            <w:tcW w:w="1542" w:type="dxa"/>
            <w:noWrap/>
          </w:tcPr>
          <w:p w14:paraId="1026993C" w14:textId="1FDB3051" w:rsidR="00E5007D" w:rsidRPr="007A6B50" w:rsidRDefault="00E5007D"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D22B2A">
              <w:rPr>
                <w:rFonts w:asciiTheme="minorHAnsi" w:hAnsiTheme="minorHAnsi" w:cstheme="minorHAnsi"/>
              </w:rPr>
              <w:t>0.00</w:t>
            </w:r>
          </w:p>
        </w:tc>
        <w:tc>
          <w:tcPr>
            <w:tcW w:w="1542" w:type="dxa"/>
            <w:noWrap/>
            <w:vAlign w:val="center"/>
          </w:tcPr>
          <w:p w14:paraId="33D14620" w14:textId="76F70E6A" w:rsidR="00E5007D" w:rsidRPr="007A6B50" w:rsidRDefault="00E5007D"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2.20</w:t>
            </w:r>
          </w:p>
        </w:tc>
        <w:tc>
          <w:tcPr>
            <w:tcW w:w="1542" w:type="dxa"/>
            <w:noWrap/>
            <w:vAlign w:val="center"/>
          </w:tcPr>
          <w:p w14:paraId="7E7BFD5B" w14:textId="7EE0E015" w:rsidR="00E5007D" w:rsidRPr="007A6B50" w:rsidRDefault="00E5007D"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0.21</w:t>
            </w:r>
          </w:p>
        </w:tc>
        <w:tc>
          <w:tcPr>
            <w:tcW w:w="1254" w:type="dxa"/>
            <w:noWrap/>
            <w:vAlign w:val="center"/>
          </w:tcPr>
          <w:p w14:paraId="75B3940D" w14:textId="5FF0D990" w:rsidR="00E5007D" w:rsidRPr="007A6B50" w:rsidRDefault="00E5007D"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hAnsiTheme="minorHAnsi" w:cstheme="minorHAnsi"/>
              </w:rPr>
              <w:t>9.34%</w:t>
            </w:r>
          </w:p>
        </w:tc>
      </w:tr>
      <w:tr w:rsidR="00E5007D" w:rsidRPr="007A6B50" w14:paraId="618B1512" w14:textId="77777777" w:rsidTr="004D570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834" w:type="dxa"/>
            <w:noWrap/>
            <w:hideMark/>
          </w:tcPr>
          <w:p w14:paraId="0FF6090F" w14:textId="77777777" w:rsidR="00E5007D" w:rsidRPr="00E5007D" w:rsidRDefault="00E5007D" w:rsidP="00E5007D">
            <w:pPr>
              <w:jc w:val="center"/>
              <w:rPr>
                <w:rFonts w:asciiTheme="minorHAnsi" w:eastAsia="Times New Roman" w:hAnsiTheme="minorHAnsi" w:cstheme="minorHAnsi"/>
                <w:b w:val="0"/>
                <w:lang w:eastAsia="es-GT"/>
              </w:rPr>
            </w:pPr>
            <w:r w:rsidRPr="00E5007D">
              <w:rPr>
                <w:rFonts w:asciiTheme="minorHAnsi" w:eastAsia="Times New Roman" w:hAnsiTheme="minorHAnsi" w:cstheme="minorHAnsi"/>
                <w:b w:val="0"/>
                <w:lang w:eastAsia="es-GT"/>
              </w:rPr>
              <w:t>9</w:t>
            </w:r>
          </w:p>
        </w:tc>
        <w:tc>
          <w:tcPr>
            <w:tcW w:w="2660" w:type="dxa"/>
            <w:noWrap/>
            <w:vAlign w:val="center"/>
          </w:tcPr>
          <w:p w14:paraId="6CC62FC1" w14:textId="19D9C9BB" w:rsidR="00E5007D" w:rsidRPr="007A6B50" w:rsidRDefault="00E5007D" w:rsidP="00AF10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7A6B50">
              <w:rPr>
                <w:rFonts w:asciiTheme="minorHAnsi" w:eastAsia="Times New Roman" w:hAnsiTheme="minorHAnsi" w:cstheme="minorHAnsi"/>
                <w:sz w:val="18"/>
                <w:szCs w:val="18"/>
              </w:rPr>
              <w:t>FED. NAC. ESGRIMA</w:t>
            </w:r>
          </w:p>
        </w:tc>
        <w:tc>
          <w:tcPr>
            <w:tcW w:w="1542" w:type="dxa"/>
            <w:noWrap/>
          </w:tcPr>
          <w:p w14:paraId="7B9858F2" w14:textId="49E36DAF" w:rsidR="00E5007D" w:rsidRPr="007A6B50" w:rsidRDefault="00E5007D"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D22B2A">
              <w:rPr>
                <w:rFonts w:asciiTheme="minorHAnsi" w:hAnsiTheme="minorHAnsi" w:cstheme="minorHAnsi"/>
              </w:rPr>
              <w:t>0.00</w:t>
            </w:r>
          </w:p>
        </w:tc>
        <w:tc>
          <w:tcPr>
            <w:tcW w:w="1542" w:type="dxa"/>
            <w:noWrap/>
            <w:vAlign w:val="center"/>
          </w:tcPr>
          <w:p w14:paraId="1E993500" w14:textId="14342F58" w:rsidR="00E5007D" w:rsidRPr="007A6B50" w:rsidRDefault="00E5007D"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7A6B50">
              <w:rPr>
                <w:rFonts w:asciiTheme="minorHAnsi" w:hAnsiTheme="minorHAnsi" w:cstheme="minorHAnsi"/>
              </w:rPr>
              <w:t>0.02</w:t>
            </w:r>
          </w:p>
        </w:tc>
        <w:tc>
          <w:tcPr>
            <w:tcW w:w="1542" w:type="dxa"/>
            <w:noWrap/>
          </w:tcPr>
          <w:p w14:paraId="769308DA" w14:textId="07B22F24" w:rsidR="00E5007D" w:rsidRPr="007A6B50" w:rsidRDefault="00E5007D"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GT"/>
              </w:rPr>
            </w:pPr>
            <w:r w:rsidRPr="00E455B7">
              <w:rPr>
                <w:rFonts w:asciiTheme="minorHAnsi" w:hAnsiTheme="minorHAnsi" w:cstheme="minorHAnsi"/>
              </w:rPr>
              <w:t>0.00</w:t>
            </w:r>
          </w:p>
        </w:tc>
        <w:tc>
          <w:tcPr>
            <w:tcW w:w="1254" w:type="dxa"/>
            <w:noWrap/>
          </w:tcPr>
          <w:p w14:paraId="01C79AD2" w14:textId="47BF4531" w:rsidR="00E5007D" w:rsidRPr="007A6B50" w:rsidRDefault="00E5007D" w:rsidP="00E5007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s-GT"/>
              </w:rPr>
            </w:pPr>
            <w:r w:rsidRPr="00E455B7">
              <w:rPr>
                <w:rFonts w:asciiTheme="minorHAnsi" w:hAnsiTheme="minorHAnsi" w:cstheme="minorHAnsi"/>
              </w:rPr>
              <w:t>0.00</w:t>
            </w:r>
          </w:p>
        </w:tc>
      </w:tr>
      <w:tr w:rsidR="004734D5" w:rsidRPr="007A6B50" w14:paraId="0E925F47" w14:textId="77777777" w:rsidTr="00E5007D">
        <w:trPr>
          <w:trHeight w:val="33"/>
          <w:jc w:val="center"/>
        </w:trPr>
        <w:tc>
          <w:tcPr>
            <w:cnfStyle w:val="001000000000" w:firstRow="0" w:lastRow="0" w:firstColumn="1" w:lastColumn="0" w:oddVBand="0" w:evenVBand="0" w:oddHBand="0" w:evenHBand="0" w:firstRowFirstColumn="0" w:firstRowLastColumn="0" w:lastRowFirstColumn="0" w:lastRowLastColumn="0"/>
            <w:tcW w:w="3494" w:type="dxa"/>
            <w:gridSpan w:val="2"/>
            <w:vAlign w:val="center"/>
            <w:hideMark/>
          </w:tcPr>
          <w:p w14:paraId="100C329A" w14:textId="42C833CB" w:rsidR="004734D5" w:rsidRPr="00E5007D" w:rsidRDefault="004734D5" w:rsidP="00E5007D">
            <w:pPr>
              <w:jc w:val="center"/>
              <w:rPr>
                <w:rFonts w:asciiTheme="minorHAnsi" w:eastAsia="Times New Roman" w:hAnsiTheme="minorHAnsi" w:cstheme="minorHAnsi"/>
                <w:bCs w:val="0"/>
                <w:iCs/>
                <w:lang w:eastAsia="es-GT"/>
              </w:rPr>
            </w:pPr>
            <w:r w:rsidRPr="00E5007D">
              <w:rPr>
                <w:rFonts w:asciiTheme="minorHAnsi" w:eastAsia="Times New Roman" w:hAnsiTheme="minorHAnsi" w:cstheme="minorHAnsi"/>
                <w:iCs/>
                <w:lang w:eastAsia="es-GT"/>
              </w:rPr>
              <w:t>Total</w:t>
            </w:r>
          </w:p>
        </w:tc>
        <w:tc>
          <w:tcPr>
            <w:tcW w:w="1542" w:type="dxa"/>
            <w:vAlign w:val="center"/>
          </w:tcPr>
          <w:p w14:paraId="32F20211" w14:textId="2D8C23B6" w:rsidR="004734D5" w:rsidRPr="00E5007D"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r w:rsidRPr="00E5007D">
              <w:rPr>
                <w:rFonts w:asciiTheme="minorHAnsi" w:hAnsiTheme="minorHAnsi" w:cstheme="minorHAnsi"/>
                <w:b/>
              </w:rPr>
              <w:t>155.77</w:t>
            </w:r>
          </w:p>
        </w:tc>
        <w:tc>
          <w:tcPr>
            <w:tcW w:w="1542" w:type="dxa"/>
            <w:vAlign w:val="center"/>
          </w:tcPr>
          <w:p w14:paraId="09460F9C" w14:textId="427CAF57" w:rsidR="004734D5" w:rsidRPr="00E5007D"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r w:rsidRPr="00E5007D">
              <w:rPr>
                <w:rFonts w:asciiTheme="minorHAnsi" w:hAnsiTheme="minorHAnsi" w:cstheme="minorHAnsi"/>
                <w:b/>
              </w:rPr>
              <w:t>215.28</w:t>
            </w:r>
          </w:p>
        </w:tc>
        <w:tc>
          <w:tcPr>
            <w:tcW w:w="1542" w:type="dxa"/>
            <w:vAlign w:val="center"/>
          </w:tcPr>
          <w:p w14:paraId="5FD18772" w14:textId="1E63B8AC" w:rsidR="004734D5" w:rsidRPr="00E5007D"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r w:rsidRPr="00E5007D">
              <w:rPr>
                <w:rFonts w:asciiTheme="minorHAnsi" w:hAnsiTheme="minorHAnsi" w:cstheme="minorHAnsi"/>
                <w:b/>
              </w:rPr>
              <w:t>134.64</w:t>
            </w:r>
          </w:p>
        </w:tc>
        <w:tc>
          <w:tcPr>
            <w:tcW w:w="1254" w:type="dxa"/>
            <w:vAlign w:val="center"/>
          </w:tcPr>
          <w:p w14:paraId="04460DF7" w14:textId="1CC07BF5" w:rsidR="004734D5" w:rsidRPr="00E5007D" w:rsidRDefault="004734D5" w:rsidP="00E5007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r w:rsidRPr="00E5007D">
              <w:rPr>
                <w:rFonts w:asciiTheme="minorHAnsi" w:hAnsiTheme="minorHAnsi" w:cstheme="minorHAnsi"/>
                <w:b/>
              </w:rPr>
              <w:t>62.54%</w:t>
            </w:r>
          </w:p>
        </w:tc>
      </w:tr>
    </w:tbl>
    <w:p w14:paraId="205DD028" w14:textId="16AB76E3" w:rsidR="00CE3D5C" w:rsidRDefault="00CE3D5C" w:rsidP="002C291F">
      <w:pPr>
        <w:spacing w:after="0" w:line="240" w:lineRule="auto"/>
        <w:rPr>
          <w:rFonts w:eastAsia="MS PGothic" w:cstheme="minorHAnsi"/>
          <w:iCs/>
          <w:sz w:val="18"/>
          <w:szCs w:val="18"/>
          <w:lang w:eastAsia="es-GT"/>
        </w:rPr>
      </w:pPr>
      <w:r w:rsidRPr="007A6B50">
        <w:rPr>
          <w:rFonts w:eastAsia="MS PGothic" w:cstheme="minorHAnsi"/>
          <w:bCs/>
          <w:iCs/>
          <w:sz w:val="18"/>
          <w:szCs w:val="18"/>
          <w:lang w:eastAsia="es-GT"/>
        </w:rPr>
        <w:t xml:space="preserve">Fuente: Elaboración propia SEGEPLAN con datos del Sistema de Contabilidad Integrada -SICOINDES- Ejercicio Fiscal </w:t>
      </w:r>
      <w:r w:rsidR="00BD1BD3" w:rsidRPr="007A6B50">
        <w:rPr>
          <w:rFonts w:eastAsia="MS PGothic" w:cstheme="minorHAnsi"/>
          <w:bCs/>
          <w:iCs/>
          <w:sz w:val="18"/>
          <w:szCs w:val="18"/>
          <w:lang w:eastAsia="es-GT"/>
        </w:rPr>
        <w:t>2022</w:t>
      </w:r>
      <w:r w:rsidRPr="007A6B50">
        <w:rPr>
          <w:rFonts w:eastAsia="MS PGothic" w:cstheme="minorHAnsi"/>
          <w:iCs/>
          <w:sz w:val="18"/>
          <w:szCs w:val="18"/>
          <w:lang w:eastAsia="es-GT"/>
        </w:rPr>
        <w:t>.</w:t>
      </w:r>
    </w:p>
    <w:p w14:paraId="3D5E1B2D" w14:textId="1B0DDA83" w:rsidR="00B74478" w:rsidRPr="00E50AFC" w:rsidRDefault="00AF10A3" w:rsidP="00E50AFC">
      <w:pPr>
        <w:spacing w:after="0" w:line="240" w:lineRule="auto"/>
        <w:rPr>
          <w:rFonts w:eastAsia="MS PGothic" w:cstheme="minorHAnsi"/>
          <w:iCs/>
          <w:sz w:val="18"/>
          <w:szCs w:val="18"/>
          <w:lang w:eastAsia="es-GT"/>
        </w:rPr>
      </w:pPr>
      <w:r>
        <w:rPr>
          <w:rFonts w:eastAsia="MS PGothic" w:cstheme="minorHAnsi"/>
          <w:iCs/>
          <w:sz w:val="18"/>
          <w:szCs w:val="18"/>
          <w:lang w:eastAsia="es-GT"/>
        </w:rPr>
        <w:t>En millones de quetzales.</w:t>
      </w:r>
      <w:bookmarkStart w:id="141" w:name="_Toc405883005"/>
    </w:p>
    <w:p w14:paraId="7B4472C0" w14:textId="7D849766" w:rsidR="00D5716C" w:rsidRPr="007A6B50" w:rsidRDefault="00CE3D5C" w:rsidP="00E50AFC">
      <w:pPr>
        <w:spacing w:before="120" w:after="120" w:line="240" w:lineRule="auto"/>
        <w:jc w:val="both"/>
        <w:rPr>
          <w:rFonts w:eastAsia="MS PGothic" w:cstheme="minorHAnsi"/>
          <w:sz w:val="24"/>
          <w:szCs w:val="24"/>
          <w:lang w:eastAsia="es-GT"/>
        </w:rPr>
      </w:pPr>
      <w:r w:rsidRPr="007A6B50">
        <w:rPr>
          <w:rFonts w:eastAsia="MS PGothic" w:cstheme="minorHAnsi"/>
          <w:sz w:val="24"/>
          <w:szCs w:val="24"/>
          <w:lang w:eastAsia="es-GT"/>
        </w:rPr>
        <w:t xml:space="preserve">El detalle de la ejecución por programa o proyecto es el siguiente: </w:t>
      </w:r>
    </w:p>
    <w:p w14:paraId="09C4C4C4" w14:textId="227433DE" w:rsidR="002C291F" w:rsidRPr="007A6B50" w:rsidRDefault="00D5716C" w:rsidP="00E50AFC">
      <w:pPr>
        <w:pStyle w:val="ttulosgrficas"/>
        <w:rPr>
          <w:rFonts w:asciiTheme="minorHAnsi" w:hAnsiTheme="minorHAnsi" w:cstheme="minorHAnsi"/>
          <w:lang w:eastAsia="es-GT"/>
        </w:rPr>
      </w:pPr>
      <w:bookmarkStart w:id="142" w:name="_Toc130199637"/>
      <w:r w:rsidRPr="007A6B50">
        <w:rPr>
          <w:rFonts w:asciiTheme="minorHAnsi" w:hAnsiTheme="minorHAnsi" w:cstheme="minorHAnsi"/>
          <w:lang w:eastAsia="es-GT"/>
        </w:rPr>
        <w:t xml:space="preserve">Tabla </w:t>
      </w:r>
      <w:r w:rsidR="006E5E0A" w:rsidRPr="007A6B50">
        <w:rPr>
          <w:rFonts w:asciiTheme="minorHAnsi" w:hAnsiTheme="minorHAnsi" w:cstheme="minorHAnsi"/>
          <w:lang w:eastAsia="es-GT"/>
        </w:rPr>
        <w:fldChar w:fldCharType="begin"/>
      </w:r>
      <w:r w:rsidR="006E5E0A" w:rsidRPr="007A6B50">
        <w:rPr>
          <w:rFonts w:asciiTheme="minorHAnsi" w:hAnsiTheme="minorHAnsi" w:cstheme="minorHAnsi"/>
          <w:lang w:eastAsia="es-GT"/>
        </w:rPr>
        <w:instrText xml:space="preserve"> SEQ Tabla \* ARABIC </w:instrText>
      </w:r>
      <w:r w:rsidR="006E5E0A" w:rsidRPr="007A6B50">
        <w:rPr>
          <w:rFonts w:asciiTheme="minorHAnsi" w:hAnsiTheme="minorHAnsi" w:cstheme="minorHAnsi"/>
          <w:lang w:eastAsia="es-GT"/>
        </w:rPr>
        <w:fldChar w:fldCharType="separate"/>
      </w:r>
      <w:r w:rsidR="00777974">
        <w:rPr>
          <w:rFonts w:asciiTheme="minorHAnsi" w:hAnsiTheme="minorHAnsi" w:cstheme="minorHAnsi"/>
          <w:noProof/>
          <w:lang w:eastAsia="es-GT"/>
        </w:rPr>
        <w:t>49</w:t>
      </w:r>
      <w:r w:rsidR="006E5E0A" w:rsidRPr="007A6B50">
        <w:rPr>
          <w:rFonts w:asciiTheme="minorHAnsi" w:hAnsiTheme="minorHAnsi" w:cstheme="minorHAnsi"/>
          <w:lang w:eastAsia="es-GT"/>
        </w:rPr>
        <w:fldChar w:fldCharType="end"/>
      </w:r>
      <w:r w:rsidR="00E50AFC">
        <w:rPr>
          <w:rFonts w:asciiTheme="minorHAnsi" w:hAnsiTheme="minorHAnsi" w:cstheme="minorHAnsi"/>
          <w:lang w:eastAsia="es-GT"/>
        </w:rPr>
        <w:t>.</w:t>
      </w:r>
      <w:r w:rsidR="003562C1" w:rsidRPr="007A6B50">
        <w:rPr>
          <w:rFonts w:asciiTheme="minorHAnsi" w:hAnsiTheme="minorHAnsi" w:cstheme="minorHAnsi"/>
          <w:lang w:eastAsia="es-GT"/>
        </w:rPr>
        <w:t xml:space="preserve"> </w:t>
      </w:r>
      <w:r w:rsidR="00CE3D5C" w:rsidRPr="007A6B50">
        <w:rPr>
          <w:rFonts w:asciiTheme="minorHAnsi" w:hAnsiTheme="minorHAnsi" w:cstheme="minorHAnsi"/>
          <w:lang w:eastAsia="es-GT"/>
        </w:rPr>
        <w:t xml:space="preserve">Ejecución por programa o </w:t>
      </w:r>
      <w:r w:rsidR="00B74478" w:rsidRPr="007A6B50">
        <w:rPr>
          <w:rFonts w:asciiTheme="minorHAnsi" w:hAnsiTheme="minorHAnsi" w:cstheme="minorHAnsi"/>
          <w:lang w:eastAsia="es-GT"/>
        </w:rPr>
        <w:t>proyecto al</w:t>
      </w:r>
      <w:r w:rsidR="00CE3D5C" w:rsidRPr="007A6B50">
        <w:rPr>
          <w:rFonts w:asciiTheme="minorHAnsi" w:hAnsiTheme="minorHAnsi" w:cstheme="minorHAnsi"/>
          <w:lang w:eastAsia="es-GT"/>
        </w:rPr>
        <w:t xml:space="preserve"> mes de </w:t>
      </w:r>
      <w:r w:rsidR="00E50AFC">
        <w:rPr>
          <w:rFonts w:asciiTheme="minorHAnsi" w:hAnsiTheme="minorHAnsi" w:cstheme="minorHAnsi"/>
          <w:lang w:eastAsia="es-GT"/>
        </w:rPr>
        <w:t>d</w:t>
      </w:r>
      <w:r w:rsidR="00CE3D5C" w:rsidRPr="007A6B50">
        <w:rPr>
          <w:rFonts w:asciiTheme="minorHAnsi" w:hAnsiTheme="minorHAnsi" w:cstheme="minorHAnsi"/>
          <w:lang w:eastAsia="es-GT"/>
        </w:rPr>
        <w:t xml:space="preserve">iciembre </w:t>
      </w:r>
      <w:r w:rsidR="00BD1BD3" w:rsidRPr="007A6B50">
        <w:rPr>
          <w:rFonts w:asciiTheme="minorHAnsi" w:hAnsiTheme="minorHAnsi" w:cstheme="minorHAnsi"/>
          <w:lang w:eastAsia="es-GT"/>
        </w:rPr>
        <w:t>2022</w:t>
      </w:r>
      <w:bookmarkEnd w:id="142"/>
    </w:p>
    <w:tbl>
      <w:tblPr>
        <w:tblStyle w:val="Tablaconcuadrcula4-nfasis5"/>
        <w:tblW w:w="9413" w:type="dxa"/>
        <w:tblLook w:val="04A0" w:firstRow="1" w:lastRow="0" w:firstColumn="1" w:lastColumn="0" w:noHBand="0" w:noVBand="1"/>
      </w:tblPr>
      <w:tblGrid>
        <w:gridCol w:w="456"/>
        <w:gridCol w:w="1519"/>
        <w:gridCol w:w="551"/>
        <w:gridCol w:w="745"/>
        <w:gridCol w:w="2459"/>
        <w:gridCol w:w="1433"/>
        <w:gridCol w:w="1314"/>
        <w:gridCol w:w="936"/>
      </w:tblGrid>
      <w:tr w:rsidR="00BD2BA1" w:rsidRPr="007A6B50" w14:paraId="6BC6833B" w14:textId="77777777" w:rsidTr="00E50AFC">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6" w:type="dxa"/>
            <w:vAlign w:val="center"/>
            <w:hideMark/>
          </w:tcPr>
          <w:p w14:paraId="123A2F9A" w14:textId="01F85A5D" w:rsidR="00CE3D5C" w:rsidRPr="007A6B50" w:rsidRDefault="00CE3D5C" w:rsidP="00E50AFC">
            <w:pPr>
              <w:jc w:val="center"/>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No.</w:t>
            </w:r>
          </w:p>
        </w:tc>
        <w:tc>
          <w:tcPr>
            <w:tcW w:w="1519" w:type="dxa"/>
            <w:vAlign w:val="center"/>
            <w:hideMark/>
          </w:tcPr>
          <w:p w14:paraId="5D40D2DA" w14:textId="77777777" w:rsidR="00CE3D5C" w:rsidRPr="007A6B50" w:rsidRDefault="00CE3D5C" w:rsidP="00E50AF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Unidad Ejecutora</w:t>
            </w:r>
          </w:p>
        </w:tc>
        <w:tc>
          <w:tcPr>
            <w:tcW w:w="551" w:type="dxa"/>
            <w:vAlign w:val="center"/>
            <w:hideMark/>
          </w:tcPr>
          <w:p w14:paraId="1AE5DFF9" w14:textId="77777777" w:rsidR="00CE3D5C" w:rsidRPr="007A6B50" w:rsidRDefault="00CE3D5C" w:rsidP="00E50AF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Org</w:t>
            </w:r>
          </w:p>
        </w:tc>
        <w:tc>
          <w:tcPr>
            <w:tcW w:w="745" w:type="dxa"/>
            <w:vAlign w:val="center"/>
            <w:hideMark/>
          </w:tcPr>
          <w:p w14:paraId="7FCE00B6" w14:textId="77777777" w:rsidR="00CE3D5C" w:rsidRPr="007A6B50" w:rsidRDefault="00CE3D5C" w:rsidP="00E50AF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Corr.</w:t>
            </w:r>
          </w:p>
        </w:tc>
        <w:tc>
          <w:tcPr>
            <w:tcW w:w="2456" w:type="dxa"/>
            <w:vAlign w:val="center"/>
            <w:hideMark/>
          </w:tcPr>
          <w:p w14:paraId="1CFE3B3C" w14:textId="77777777" w:rsidR="00CE3D5C" w:rsidRPr="007A6B50" w:rsidRDefault="00CE3D5C" w:rsidP="00E50AF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Nombre del Programa / Proyecto</w:t>
            </w:r>
          </w:p>
        </w:tc>
        <w:tc>
          <w:tcPr>
            <w:tcW w:w="1433" w:type="dxa"/>
            <w:vAlign w:val="center"/>
            <w:hideMark/>
          </w:tcPr>
          <w:p w14:paraId="60331CAD" w14:textId="77777777" w:rsidR="00CE3D5C" w:rsidRPr="007A6B50" w:rsidRDefault="00CE3D5C" w:rsidP="00E50AF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Presupuesto Vigente</w:t>
            </w:r>
          </w:p>
        </w:tc>
        <w:tc>
          <w:tcPr>
            <w:tcW w:w="1314" w:type="dxa"/>
            <w:vAlign w:val="center"/>
            <w:hideMark/>
          </w:tcPr>
          <w:p w14:paraId="23DFF550" w14:textId="56F4708E" w:rsidR="00CE3D5C" w:rsidRPr="007A6B50" w:rsidRDefault="00CA1DBF" w:rsidP="00E50AF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Presupuesto Ejecutado</w:t>
            </w:r>
          </w:p>
        </w:tc>
        <w:tc>
          <w:tcPr>
            <w:tcW w:w="936" w:type="dxa"/>
            <w:vAlign w:val="center"/>
            <w:hideMark/>
          </w:tcPr>
          <w:p w14:paraId="61D2B715" w14:textId="2FAF4E25" w:rsidR="00CE3D5C" w:rsidRPr="007A6B50" w:rsidRDefault="00CE3D5C" w:rsidP="00E50AF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16"/>
                <w:szCs w:val="16"/>
                <w:lang w:eastAsia="es-GT"/>
              </w:rPr>
            </w:pPr>
            <w:r w:rsidRPr="007A6B50">
              <w:rPr>
                <w:rFonts w:asciiTheme="minorHAnsi" w:eastAsia="Times New Roman" w:hAnsiTheme="minorHAnsi" w:cstheme="minorHAnsi"/>
                <w:color w:val="auto"/>
                <w:sz w:val="16"/>
                <w:szCs w:val="16"/>
                <w:lang w:eastAsia="es-GT"/>
              </w:rPr>
              <w:t>% de Ejecución</w:t>
            </w:r>
          </w:p>
        </w:tc>
      </w:tr>
      <w:tr w:rsidR="00BD2BA1" w:rsidRPr="007A6B50" w14:paraId="2A7141A2" w14:textId="77777777" w:rsidTr="00E50AF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39A57023"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w:t>
            </w:r>
          </w:p>
        </w:tc>
        <w:tc>
          <w:tcPr>
            <w:tcW w:w="1519" w:type="dxa"/>
            <w:vMerge w:val="restart"/>
            <w:noWrap/>
            <w:vAlign w:val="center"/>
            <w:hideMark/>
          </w:tcPr>
          <w:p w14:paraId="1ACBB261" w14:textId="5F059F26"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SEICMSJ</w:t>
            </w:r>
          </w:p>
        </w:tc>
        <w:tc>
          <w:tcPr>
            <w:tcW w:w="551" w:type="dxa"/>
            <w:noWrap/>
            <w:vAlign w:val="center"/>
            <w:hideMark/>
          </w:tcPr>
          <w:p w14:paraId="1386E78B"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603</w:t>
            </w:r>
          </w:p>
        </w:tc>
        <w:tc>
          <w:tcPr>
            <w:tcW w:w="745" w:type="dxa"/>
            <w:noWrap/>
            <w:vAlign w:val="center"/>
            <w:hideMark/>
          </w:tcPr>
          <w:p w14:paraId="396D6ABB"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112</w:t>
            </w:r>
          </w:p>
        </w:tc>
        <w:tc>
          <w:tcPr>
            <w:tcW w:w="2456" w:type="dxa"/>
            <w:noWrap/>
            <w:vAlign w:val="center"/>
            <w:hideMark/>
          </w:tcPr>
          <w:p w14:paraId="35A45A5B" w14:textId="77777777"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Fortalecimiento de los mecanismos de protección de las mujeres sobrevivientes de violencia Fase III</w:t>
            </w:r>
          </w:p>
        </w:tc>
        <w:tc>
          <w:tcPr>
            <w:tcW w:w="1433" w:type="dxa"/>
            <w:noWrap/>
            <w:vAlign w:val="center"/>
            <w:hideMark/>
          </w:tcPr>
          <w:p w14:paraId="7D2B2767"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Q0.00</w:t>
            </w:r>
          </w:p>
        </w:tc>
        <w:tc>
          <w:tcPr>
            <w:tcW w:w="1314" w:type="dxa"/>
            <w:noWrap/>
            <w:vAlign w:val="center"/>
            <w:hideMark/>
          </w:tcPr>
          <w:p w14:paraId="7B938C28"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Q0.00</w:t>
            </w:r>
          </w:p>
        </w:tc>
        <w:tc>
          <w:tcPr>
            <w:tcW w:w="936" w:type="dxa"/>
            <w:noWrap/>
            <w:vAlign w:val="center"/>
            <w:hideMark/>
          </w:tcPr>
          <w:p w14:paraId="6674D08B"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0.00%</w:t>
            </w:r>
          </w:p>
        </w:tc>
      </w:tr>
      <w:tr w:rsidR="00BD2BA1" w:rsidRPr="007A6B50" w14:paraId="057BCE7D" w14:textId="77777777" w:rsidTr="00E50AFC">
        <w:trPr>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55EFB539"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2</w:t>
            </w:r>
          </w:p>
        </w:tc>
        <w:tc>
          <w:tcPr>
            <w:tcW w:w="1519" w:type="dxa"/>
            <w:vMerge/>
            <w:vAlign w:val="center"/>
            <w:hideMark/>
          </w:tcPr>
          <w:p w14:paraId="68082F96"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p>
        </w:tc>
        <w:tc>
          <w:tcPr>
            <w:tcW w:w="551" w:type="dxa"/>
            <w:noWrap/>
            <w:vAlign w:val="center"/>
            <w:hideMark/>
          </w:tcPr>
          <w:p w14:paraId="1D166C34"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603</w:t>
            </w:r>
          </w:p>
        </w:tc>
        <w:tc>
          <w:tcPr>
            <w:tcW w:w="745" w:type="dxa"/>
            <w:noWrap/>
            <w:vAlign w:val="center"/>
            <w:hideMark/>
          </w:tcPr>
          <w:p w14:paraId="0041D126"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114</w:t>
            </w:r>
          </w:p>
        </w:tc>
        <w:tc>
          <w:tcPr>
            <w:tcW w:w="2456" w:type="dxa"/>
            <w:noWrap/>
            <w:vAlign w:val="center"/>
            <w:hideMark/>
          </w:tcPr>
          <w:p w14:paraId="78015281" w14:textId="77777777" w:rsidR="00CE3D5C" w:rsidRPr="007A6B50" w:rsidRDefault="00CE3D5C" w:rsidP="00E50A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Prevención de la Violencia y el Delito Contra Mujeres, Niñez y Adolescencia (Res. SEICMSJ-AECID No.002-2018)</w:t>
            </w:r>
          </w:p>
        </w:tc>
        <w:tc>
          <w:tcPr>
            <w:tcW w:w="1433" w:type="dxa"/>
            <w:noWrap/>
            <w:vAlign w:val="center"/>
            <w:hideMark/>
          </w:tcPr>
          <w:p w14:paraId="65C70571"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Q10,551,000.00</w:t>
            </w:r>
          </w:p>
        </w:tc>
        <w:tc>
          <w:tcPr>
            <w:tcW w:w="1314" w:type="dxa"/>
            <w:noWrap/>
            <w:vAlign w:val="center"/>
            <w:hideMark/>
          </w:tcPr>
          <w:p w14:paraId="1F289B8A"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Q7,356,739.32</w:t>
            </w:r>
          </w:p>
        </w:tc>
        <w:tc>
          <w:tcPr>
            <w:tcW w:w="936" w:type="dxa"/>
            <w:noWrap/>
            <w:vAlign w:val="center"/>
            <w:hideMark/>
          </w:tcPr>
          <w:p w14:paraId="73E3CEA7"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69.73%</w:t>
            </w:r>
          </w:p>
        </w:tc>
      </w:tr>
      <w:tr w:rsidR="00BD2BA1" w:rsidRPr="007A6B50" w14:paraId="5F8BF097" w14:textId="77777777" w:rsidTr="00E50AF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79AD4196"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3</w:t>
            </w:r>
          </w:p>
        </w:tc>
        <w:tc>
          <w:tcPr>
            <w:tcW w:w="1519" w:type="dxa"/>
            <w:noWrap/>
            <w:vAlign w:val="center"/>
            <w:hideMark/>
          </w:tcPr>
          <w:p w14:paraId="06BA0FD5"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CONADER</w:t>
            </w:r>
          </w:p>
        </w:tc>
        <w:tc>
          <w:tcPr>
            <w:tcW w:w="551" w:type="dxa"/>
            <w:noWrap/>
            <w:vAlign w:val="center"/>
            <w:hideMark/>
          </w:tcPr>
          <w:p w14:paraId="2AFE0711"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429</w:t>
            </w:r>
          </w:p>
        </w:tc>
        <w:tc>
          <w:tcPr>
            <w:tcW w:w="745" w:type="dxa"/>
            <w:noWrap/>
            <w:vAlign w:val="center"/>
            <w:hideMark/>
          </w:tcPr>
          <w:p w14:paraId="6E61E2DA"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5</w:t>
            </w:r>
          </w:p>
        </w:tc>
        <w:tc>
          <w:tcPr>
            <w:tcW w:w="2456" w:type="dxa"/>
            <w:noWrap/>
            <w:vAlign w:val="center"/>
            <w:hideMark/>
          </w:tcPr>
          <w:p w14:paraId="3C48B091" w14:textId="77777777"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Donación para la eliminación del dopaje en el deporte (Acta No. 029-2019)</w:t>
            </w:r>
          </w:p>
        </w:tc>
        <w:tc>
          <w:tcPr>
            <w:tcW w:w="1433" w:type="dxa"/>
            <w:noWrap/>
            <w:vAlign w:val="center"/>
            <w:hideMark/>
          </w:tcPr>
          <w:p w14:paraId="4BAA8FC1"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Q78,223.80</w:t>
            </w:r>
          </w:p>
        </w:tc>
        <w:tc>
          <w:tcPr>
            <w:tcW w:w="1314" w:type="dxa"/>
            <w:noWrap/>
            <w:vAlign w:val="center"/>
            <w:hideMark/>
          </w:tcPr>
          <w:p w14:paraId="6959BA39"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Q78,223.80</w:t>
            </w:r>
          </w:p>
        </w:tc>
        <w:tc>
          <w:tcPr>
            <w:tcW w:w="936" w:type="dxa"/>
            <w:noWrap/>
            <w:vAlign w:val="center"/>
            <w:hideMark/>
          </w:tcPr>
          <w:p w14:paraId="324A181D"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100.00%</w:t>
            </w:r>
          </w:p>
        </w:tc>
      </w:tr>
      <w:tr w:rsidR="00BD2BA1" w:rsidRPr="007A6B50" w14:paraId="42FC1103" w14:textId="77777777" w:rsidTr="00E50AFC">
        <w:trPr>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1699CBD1"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4</w:t>
            </w:r>
          </w:p>
        </w:tc>
        <w:tc>
          <w:tcPr>
            <w:tcW w:w="1519" w:type="dxa"/>
            <w:noWrap/>
            <w:vAlign w:val="center"/>
            <w:hideMark/>
          </w:tcPr>
          <w:p w14:paraId="252CC72D"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INFOM</w:t>
            </w:r>
          </w:p>
        </w:tc>
        <w:tc>
          <w:tcPr>
            <w:tcW w:w="551" w:type="dxa"/>
            <w:noWrap/>
            <w:vAlign w:val="center"/>
            <w:hideMark/>
          </w:tcPr>
          <w:p w14:paraId="41E1D04E"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402</w:t>
            </w:r>
          </w:p>
        </w:tc>
        <w:tc>
          <w:tcPr>
            <w:tcW w:w="745" w:type="dxa"/>
            <w:noWrap/>
            <w:vAlign w:val="center"/>
            <w:hideMark/>
          </w:tcPr>
          <w:p w14:paraId="0F011AB4"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131</w:t>
            </w:r>
          </w:p>
        </w:tc>
        <w:tc>
          <w:tcPr>
            <w:tcW w:w="2456" w:type="dxa"/>
            <w:noWrap/>
            <w:vAlign w:val="center"/>
            <w:hideMark/>
          </w:tcPr>
          <w:p w14:paraId="386A211D" w14:textId="77777777" w:rsidR="00CE3D5C" w:rsidRPr="007A6B50" w:rsidRDefault="00CE3D5C" w:rsidP="00E50A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INFOM Programa de agua potable y saneamiento para el desarrollo humano fase I</w:t>
            </w:r>
          </w:p>
        </w:tc>
        <w:tc>
          <w:tcPr>
            <w:tcW w:w="1433" w:type="dxa"/>
            <w:noWrap/>
            <w:vAlign w:val="center"/>
            <w:hideMark/>
          </w:tcPr>
          <w:p w14:paraId="5A853870"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Q54,723,685.00</w:t>
            </w:r>
          </w:p>
        </w:tc>
        <w:tc>
          <w:tcPr>
            <w:tcW w:w="1314" w:type="dxa"/>
            <w:noWrap/>
            <w:vAlign w:val="center"/>
            <w:hideMark/>
          </w:tcPr>
          <w:p w14:paraId="43D317E6"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Q36,273,167.64</w:t>
            </w:r>
          </w:p>
        </w:tc>
        <w:tc>
          <w:tcPr>
            <w:tcW w:w="936" w:type="dxa"/>
            <w:noWrap/>
            <w:vAlign w:val="center"/>
            <w:hideMark/>
          </w:tcPr>
          <w:p w14:paraId="1448AC06"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66.28%</w:t>
            </w:r>
          </w:p>
        </w:tc>
      </w:tr>
      <w:tr w:rsidR="00BD2BA1" w:rsidRPr="007A6B50" w14:paraId="6CDDA0AE" w14:textId="77777777" w:rsidTr="00E50AF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5B2567B8"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5</w:t>
            </w:r>
          </w:p>
        </w:tc>
        <w:tc>
          <w:tcPr>
            <w:tcW w:w="1519" w:type="dxa"/>
            <w:noWrap/>
            <w:vAlign w:val="center"/>
            <w:hideMark/>
          </w:tcPr>
          <w:p w14:paraId="4508F08F"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INAB</w:t>
            </w:r>
          </w:p>
        </w:tc>
        <w:tc>
          <w:tcPr>
            <w:tcW w:w="551" w:type="dxa"/>
            <w:noWrap/>
            <w:vAlign w:val="center"/>
            <w:hideMark/>
          </w:tcPr>
          <w:p w14:paraId="03017B50"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505</w:t>
            </w:r>
          </w:p>
        </w:tc>
        <w:tc>
          <w:tcPr>
            <w:tcW w:w="745" w:type="dxa"/>
            <w:noWrap/>
            <w:vAlign w:val="center"/>
            <w:hideMark/>
          </w:tcPr>
          <w:p w14:paraId="6AE46BF9"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6</w:t>
            </w:r>
          </w:p>
        </w:tc>
        <w:tc>
          <w:tcPr>
            <w:tcW w:w="2456" w:type="dxa"/>
            <w:noWrap/>
            <w:vAlign w:val="center"/>
            <w:hideMark/>
          </w:tcPr>
          <w:p w14:paraId="580F2D56" w14:textId="77777777"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Adaptación al Cambio Climático en el Corredor Seco</w:t>
            </w:r>
          </w:p>
        </w:tc>
        <w:tc>
          <w:tcPr>
            <w:tcW w:w="1433" w:type="dxa"/>
            <w:noWrap/>
            <w:vAlign w:val="center"/>
            <w:hideMark/>
          </w:tcPr>
          <w:p w14:paraId="594B3327"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Q7,500,000.00</w:t>
            </w:r>
          </w:p>
        </w:tc>
        <w:tc>
          <w:tcPr>
            <w:tcW w:w="1314" w:type="dxa"/>
            <w:noWrap/>
            <w:vAlign w:val="center"/>
            <w:hideMark/>
          </w:tcPr>
          <w:p w14:paraId="34F64320"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Q3,966,951.67</w:t>
            </w:r>
          </w:p>
        </w:tc>
        <w:tc>
          <w:tcPr>
            <w:tcW w:w="936" w:type="dxa"/>
            <w:noWrap/>
            <w:vAlign w:val="center"/>
            <w:hideMark/>
          </w:tcPr>
          <w:p w14:paraId="6679E1F0"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52.89%</w:t>
            </w:r>
          </w:p>
        </w:tc>
      </w:tr>
      <w:tr w:rsidR="00BD2BA1" w:rsidRPr="007A6B50" w14:paraId="3D0D2523" w14:textId="77777777" w:rsidTr="00E50AFC">
        <w:trPr>
          <w:trHeight w:val="660"/>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0D6A3404"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6</w:t>
            </w:r>
          </w:p>
        </w:tc>
        <w:tc>
          <w:tcPr>
            <w:tcW w:w="1519" w:type="dxa"/>
            <w:vMerge w:val="restart"/>
            <w:noWrap/>
            <w:vAlign w:val="center"/>
            <w:hideMark/>
          </w:tcPr>
          <w:p w14:paraId="3E5A3A38"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USAC</w:t>
            </w:r>
          </w:p>
        </w:tc>
        <w:tc>
          <w:tcPr>
            <w:tcW w:w="551" w:type="dxa"/>
            <w:noWrap/>
            <w:vAlign w:val="center"/>
            <w:hideMark/>
          </w:tcPr>
          <w:p w14:paraId="26785C19"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447</w:t>
            </w:r>
          </w:p>
        </w:tc>
        <w:tc>
          <w:tcPr>
            <w:tcW w:w="745" w:type="dxa"/>
            <w:noWrap/>
            <w:vAlign w:val="center"/>
            <w:hideMark/>
          </w:tcPr>
          <w:p w14:paraId="7271F82E"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w:t>
            </w:r>
          </w:p>
        </w:tc>
        <w:tc>
          <w:tcPr>
            <w:tcW w:w="2456" w:type="dxa"/>
            <w:vAlign w:val="center"/>
            <w:hideMark/>
          </w:tcPr>
          <w:p w14:paraId="194AF965" w14:textId="77777777" w:rsidR="00CE3D5C" w:rsidRPr="007A6B50" w:rsidRDefault="00CE3D5C" w:rsidP="00E50A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Proyecto construcción de capacidades para el desarrollo de centros de enseñanza y aprendizaje para las universidades de Latinoamérica en el siglo XXI (Acdo. Rec-0606-2020)</w:t>
            </w:r>
          </w:p>
        </w:tc>
        <w:tc>
          <w:tcPr>
            <w:tcW w:w="1433" w:type="dxa"/>
            <w:noWrap/>
            <w:vAlign w:val="center"/>
            <w:hideMark/>
          </w:tcPr>
          <w:p w14:paraId="6C4E54C1"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Q323,754.28</w:t>
            </w:r>
          </w:p>
        </w:tc>
        <w:tc>
          <w:tcPr>
            <w:tcW w:w="1314" w:type="dxa"/>
            <w:noWrap/>
            <w:vAlign w:val="center"/>
            <w:hideMark/>
          </w:tcPr>
          <w:p w14:paraId="141671BE"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Q136,435.30</w:t>
            </w:r>
          </w:p>
        </w:tc>
        <w:tc>
          <w:tcPr>
            <w:tcW w:w="936" w:type="dxa"/>
            <w:noWrap/>
            <w:vAlign w:val="center"/>
            <w:hideMark/>
          </w:tcPr>
          <w:p w14:paraId="3C1642CA"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42.14%</w:t>
            </w:r>
          </w:p>
        </w:tc>
      </w:tr>
      <w:tr w:rsidR="00BD2BA1" w:rsidRPr="007A6B50" w14:paraId="3E80CD4D" w14:textId="77777777" w:rsidTr="00E50AF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3C567CD1"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7</w:t>
            </w:r>
          </w:p>
        </w:tc>
        <w:tc>
          <w:tcPr>
            <w:tcW w:w="1519" w:type="dxa"/>
            <w:vMerge/>
            <w:vAlign w:val="center"/>
            <w:hideMark/>
          </w:tcPr>
          <w:p w14:paraId="5CFF343E"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p>
        </w:tc>
        <w:tc>
          <w:tcPr>
            <w:tcW w:w="551" w:type="dxa"/>
            <w:noWrap/>
            <w:vAlign w:val="center"/>
            <w:hideMark/>
          </w:tcPr>
          <w:p w14:paraId="458411F4"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606</w:t>
            </w:r>
          </w:p>
        </w:tc>
        <w:tc>
          <w:tcPr>
            <w:tcW w:w="745" w:type="dxa"/>
            <w:noWrap/>
            <w:vAlign w:val="center"/>
            <w:hideMark/>
          </w:tcPr>
          <w:p w14:paraId="76B198E6"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9</w:t>
            </w:r>
          </w:p>
        </w:tc>
        <w:tc>
          <w:tcPr>
            <w:tcW w:w="2456" w:type="dxa"/>
            <w:vAlign w:val="center"/>
            <w:hideMark/>
          </w:tcPr>
          <w:p w14:paraId="1643B8E7" w14:textId="2C0CB044"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Proyecto "Laureati Per IItaliano" para promover la enseñanza y aprendizaje del idioma Italiano</w:t>
            </w:r>
          </w:p>
        </w:tc>
        <w:tc>
          <w:tcPr>
            <w:tcW w:w="1433" w:type="dxa"/>
            <w:noWrap/>
            <w:vAlign w:val="center"/>
            <w:hideMark/>
          </w:tcPr>
          <w:p w14:paraId="3F192772"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Q207,810.62</w:t>
            </w:r>
          </w:p>
        </w:tc>
        <w:tc>
          <w:tcPr>
            <w:tcW w:w="1314" w:type="dxa"/>
            <w:noWrap/>
            <w:vAlign w:val="center"/>
            <w:hideMark/>
          </w:tcPr>
          <w:p w14:paraId="430B1CBA"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Q20,877.19</w:t>
            </w:r>
          </w:p>
        </w:tc>
        <w:tc>
          <w:tcPr>
            <w:tcW w:w="936" w:type="dxa"/>
            <w:noWrap/>
            <w:vAlign w:val="center"/>
            <w:hideMark/>
          </w:tcPr>
          <w:p w14:paraId="1C59DD05"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10.05%</w:t>
            </w:r>
          </w:p>
        </w:tc>
      </w:tr>
      <w:tr w:rsidR="00BD2BA1" w:rsidRPr="007A6B50" w14:paraId="71261D5D" w14:textId="77777777" w:rsidTr="00E50AFC">
        <w:trPr>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6E50DD8F"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8</w:t>
            </w:r>
          </w:p>
        </w:tc>
        <w:tc>
          <w:tcPr>
            <w:tcW w:w="1519" w:type="dxa"/>
            <w:vMerge/>
            <w:vAlign w:val="center"/>
            <w:hideMark/>
          </w:tcPr>
          <w:p w14:paraId="2F50A7F1"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p>
        </w:tc>
        <w:tc>
          <w:tcPr>
            <w:tcW w:w="551" w:type="dxa"/>
            <w:noWrap/>
            <w:vAlign w:val="center"/>
            <w:hideMark/>
          </w:tcPr>
          <w:p w14:paraId="44479F18"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2102</w:t>
            </w:r>
          </w:p>
        </w:tc>
        <w:tc>
          <w:tcPr>
            <w:tcW w:w="745" w:type="dxa"/>
            <w:noWrap/>
            <w:vAlign w:val="center"/>
            <w:hideMark/>
          </w:tcPr>
          <w:p w14:paraId="0AAF2DB2"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263</w:t>
            </w:r>
          </w:p>
        </w:tc>
        <w:tc>
          <w:tcPr>
            <w:tcW w:w="2456" w:type="dxa"/>
            <w:vAlign w:val="center"/>
            <w:hideMark/>
          </w:tcPr>
          <w:p w14:paraId="7D78AE32" w14:textId="77777777" w:rsidR="00CE3D5C" w:rsidRPr="007A6B50" w:rsidRDefault="00CE3D5C" w:rsidP="00E50A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Programa de Becas para la Agricultura (Acdo. de Dirección # 193-2020)</w:t>
            </w:r>
          </w:p>
        </w:tc>
        <w:tc>
          <w:tcPr>
            <w:tcW w:w="1433" w:type="dxa"/>
            <w:noWrap/>
            <w:vAlign w:val="center"/>
            <w:hideMark/>
          </w:tcPr>
          <w:p w14:paraId="19BFBEA2"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Q36,000.00</w:t>
            </w:r>
          </w:p>
        </w:tc>
        <w:tc>
          <w:tcPr>
            <w:tcW w:w="1314" w:type="dxa"/>
            <w:noWrap/>
            <w:vAlign w:val="center"/>
            <w:hideMark/>
          </w:tcPr>
          <w:p w14:paraId="6C011A1A"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Q0.00</w:t>
            </w:r>
          </w:p>
        </w:tc>
        <w:tc>
          <w:tcPr>
            <w:tcW w:w="936" w:type="dxa"/>
            <w:noWrap/>
            <w:vAlign w:val="center"/>
            <w:hideMark/>
          </w:tcPr>
          <w:p w14:paraId="01533BB4"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0.00%</w:t>
            </w:r>
          </w:p>
        </w:tc>
      </w:tr>
      <w:tr w:rsidR="00BD2BA1" w:rsidRPr="007A6B50" w14:paraId="13D6E751" w14:textId="77777777" w:rsidTr="00E50AF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5E4162BC"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9</w:t>
            </w:r>
          </w:p>
        </w:tc>
        <w:tc>
          <w:tcPr>
            <w:tcW w:w="1519" w:type="dxa"/>
            <w:vMerge/>
            <w:vAlign w:val="center"/>
            <w:hideMark/>
          </w:tcPr>
          <w:p w14:paraId="0D75A589"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p>
        </w:tc>
        <w:tc>
          <w:tcPr>
            <w:tcW w:w="551" w:type="dxa"/>
            <w:noWrap/>
            <w:vAlign w:val="center"/>
            <w:hideMark/>
          </w:tcPr>
          <w:p w14:paraId="755C2713"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2102</w:t>
            </w:r>
          </w:p>
        </w:tc>
        <w:tc>
          <w:tcPr>
            <w:tcW w:w="745" w:type="dxa"/>
            <w:noWrap/>
            <w:vAlign w:val="center"/>
            <w:hideMark/>
          </w:tcPr>
          <w:p w14:paraId="6B53E77B"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266</w:t>
            </w:r>
          </w:p>
        </w:tc>
        <w:tc>
          <w:tcPr>
            <w:tcW w:w="2456" w:type="dxa"/>
            <w:vAlign w:val="center"/>
            <w:hideMark/>
          </w:tcPr>
          <w:p w14:paraId="0CE442F6" w14:textId="77777777"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Donación para Programa Marco Interuniversitario para una política de equidad y cohesión social en la educación superior (Acta 14-2014 Punto 5.2.3)</w:t>
            </w:r>
          </w:p>
        </w:tc>
        <w:tc>
          <w:tcPr>
            <w:tcW w:w="1433" w:type="dxa"/>
            <w:noWrap/>
            <w:vAlign w:val="center"/>
            <w:hideMark/>
          </w:tcPr>
          <w:p w14:paraId="2BE992C9"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Q0.00</w:t>
            </w:r>
          </w:p>
        </w:tc>
        <w:tc>
          <w:tcPr>
            <w:tcW w:w="1314" w:type="dxa"/>
            <w:noWrap/>
            <w:vAlign w:val="center"/>
            <w:hideMark/>
          </w:tcPr>
          <w:p w14:paraId="3AB1046F"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Q0.00</w:t>
            </w:r>
          </w:p>
        </w:tc>
        <w:tc>
          <w:tcPr>
            <w:tcW w:w="936" w:type="dxa"/>
            <w:noWrap/>
            <w:vAlign w:val="center"/>
            <w:hideMark/>
          </w:tcPr>
          <w:p w14:paraId="3403E0E1"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0.00%</w:t>
            </w:r>
          </w:p>
        </w:tc>
      </w:tr>
      <w:tr w:rsidR="00BD2BA1" w:rsidRPr="007A6B50" w14:paraId="5E7F6B8C" w14:textId="77777777" w:rsidTr="00E50AFC">
        <w:trPr>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3674BE28"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10</w:t>
            </w:r>
          </w:p>
        </w:tc>
        <w:tc>
          <w:tcPr>
            <w:tcW w:w="1519" w:type="dxa"/>
            <w:vMerge w:val="restart"/>
            <w:noWrap/>
            <w:vAlign w:val="center"/>
            <w:hideMark/>
          </w:tcPr>
          <w:p w14:paraId="37AFD30F"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COG</w:t>
            </w:r>
          </w:p>
        </w:tc>
        <w:tc>
          <w:tcPr>
            <w:tcW w:w="551" w:type="dxa"/>
            <w:noWrap/>
            <w:vAlign w:val="center"/>
            <w:hideMark/>
          </w:tcPr>
          <w:p w14:paraId="6F40A7B6"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2102</w:t>
            </w:r>
          </w:p>
        </w:tc>
        <w:tc>
          <w:tcPr>
            <w:tcW w:w="745" w:type="dxa"/>
            <w:noWrap/>
            <w:vAlign w:val="center"/>
            <w:hideMark/>
          </w:tcPr>
          <w:p w14:paraId="1E6ED2FA"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3</w:t>
            </w:r>
          </w:p>
        </w:tc>
        <w:tc>
          <w:tcPr>
            <w:tcW w:w="2456" w:type="dxa"/>
            <w:noWrap/>
            <w:vAlign w:val="center"/>
            <w:hideMark/>
          </w:tcPr>
          <w:p w14:paraId="1CA07CFD" w14:textId="748E0427" w:rsidR="00CE3D5C" w:rsidRPr="007A6B50" w:rsidRDefault="00CE3D5C" w:rsidP="00E50A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 xml:space="preserve">EMR </w:t>
            </w:r>
            <w:r w:rsidR="003E6C52" w:rsidRPr="007A6B50">
              <w:rPr>
                <w:rFonts w:asciiTheme="minorHAnsi" w:eastAsia="Times New Roman" w:hAnsiTheme="minorHAnsi" w:cstheme="minorHAnsi"/>
                <w:sz w:val="16"/>
                <w:szCs w:val="16"/>
                <w:lang w:eastAsia="es-GT"/>
              </w:rPr>
              <w:t>d</w:t>
            </w:r>
            <w:r w:rsidRPr="007A6B50">
              <w:rPr>
                <w:rFonts w:asciiTheme="minorHAnsi" w:eastAsia="Times New Roman" w:hAnsiTheme="minorHAnsi" w:cstheme="minorHAnsi"/>
                <w:sz w:val="16"/>
                <w:szCs w:val="16"/>
                <w:lang w:eastAsia="es-GT"/>
              </w:rPr>
              <w:t xml:space="preserve">onantes </w:t>
            </w:r>
            <w:r w:rsidR="003E6C52" w:rsidRPr="007A6B50">
              <w:rPr>
                <w:rFonts w:asciiTheme="minorHAnsi" w:eastAsia="Times New Roman" w:hAnsiTheme="minorHAnsi" w:cstheme="minorHAnsi"/>
                <w:sz w:val="16"/>
                <w:szCs w:val="16"/>
                <w:lang w:eastAsia="es-GT"/>
              </w:rPr>
              <w:t>v</w:t>
            </w:r>
            <w:r w:rsidRPr="007A6B50">
              <w:rPr>
                <w:rFonts w:asciiTheme="minorHAnsi" w:eastAsia="Times New Roman" w:hAnsiTheme="minorHAnsi" w:cstheme="minorHAnsi"/>
                <w:sz w:val="16"/>
                <w:szCs w:val="16"/>
                <w:lang w:eastAsia="es-GT"/>
              </w:rPr>
              <w:t xml:space="preserve">arios </w:t>
            </w:r>
            <w:r w:rsidR="003E6C52" w:rsidRPr="007A6B50">
              <w:rPr>
                <w:rFonts w:asciiTheme="minorHAnsi" w:eastAsia="Times New Roman" w:hAnsiTheme="minorHAnsi" w:cstheme="minorHAnsi"/>
                <w:sz w:val="16"/>
                <w:szCs w:val="16"/>
                <w:lang w:eastAsia="es-GT"/>
              </w:rPr>
              <w:t>e</w:t>
            </w:r>
            <w:r w:rsidRPr="007A6B50">
              <w:rPr>
                <w:rFonts w:asciiTheme="minorHAnsi" w:eastAsia="Times New Roman" w:hAnsiTheme="minorHAnsi" w:cstheme="minorHAnsi"/>
                <w:sz w:val="16"/>
                <w:szCs w:val="16"/>
                <w:lang w:eastAsia="es-GT"/>
              </w:rPr>
              <w:t>xternos</w:t>
            </w:r>
          </w:p>
        </w:tc>
        <w:tc>
          <w:tcPr>
            <w:tcW w:w="1433" w:type="dxa"/>
            <w:noWrap/>
            <w:vAlign w:val="center"/>
            <w:hideMark/>
          </w:tcPr>
          <w:p w14:paraId="53E7CA47"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Q1,280,965.38</w:t>
            </w:r>
          </w:p>
        </w:tc>
        <w:tc>
          <w:tcPr>
            <w:tcW w:w="1314" w:type="dxa"/>
            <w:noWrap/>
            <w:vAlign w:val="center"/>
            <w:hideMark/>
          </w:tcPr>
          <w:p w14:paraId="7E47F3DC"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Q402,140.54</w:t>
            </w:r>
          </w:p>
        </w:tc>
        <w:tc>
          <w:tcPr>
            <w:tcW w:w="936" w:type="dxa"/>
            <w:noWrap/>
            <w:vAlign w:val="center"/>
            <w:hideMark/>
          </w:tcPr>
          <w:p w14:paraId="2963389B"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31.39%</w:t>
            </w:r>
          </w:p>
        </w:tc>
      </w:tr>
      <w:tr w:rsidR="00BD2BA1" w:rsidRPr="007A6B50" w14:paraId="1A68EFD6" w14:textId="77777777" w:rsidTr="00E50AF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594DC083"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11</w:t>
            </w:r>
          </w:p>
        </w:tc>
        <w:tc>
          <w:tcPr>
            <w:tcW w:w="1519" w:type="dxa"/>
            <w:vMerge/>
            <w:vAlign w:val="center"/>
            <w:hideMark/>
          </w:tcPr>
          <w:p w14:paraId="16DF3596"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p>
        </w:tc>
        <w:tc>
          <w:tcPr>
            <w:tcW w:w="551" w:type="dxa"/>
            <w:noWrap/>
            <w:vAlign w:val="center"/>
            <w:hideMark/>
          </w:tcPr>
          <w:p w14:paraId="0C1786B9"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2103</w:t>
            </w:r>
          </w:p>
        </w:tc>
        <w:tc>
          <w:tcPr>
            <w:tcW w:w="745" w:type="dxa"/>
            <w:noWrap/>
            <w:vAlign w:val="center"/>
            <w:hideMark/>
          </w:tcPr>
          <w:p w14:paraId="7D9828C4"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w:t>
            </w:r>
          </w:p>
        </w:tc>
        <w:tc>
          <w:tcPr>
            <w:tcW w:w="2456" w:type="dxa"/>
            <w:noWrap/>
            <w:vAlign w:val="center"/>
            <w:hideMark/>
          </w:tcPr>
          <w:p w14:paraId="5160E4EF" w14:textId="77777777"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Programa Continental Actividad Cons. Año 2002</w:t>
            </w:r>
          </w:p>
        </w:tc>
        <w:tc>
          <w:tcPr>
            <w:tcW w:w="1433" w:type="dxa"/>
            <w:noWrap/>
            <w:vAlign w:val="center"/>
            <w:hideMark/>
          </w:tcPr>
          <w:p w14:paraId="0D3B76E0"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Q2,047,252.32</w:t>
            </w:r>
          </w:p>
        </w:tc>
        <w:tc>
          <w:tcPr>
            <w:tcW w:w="1314" w:type="dxa"/>
            <w:noWrap/>
            <w:vAlign w:val="center"/>
            <w:hideMark/>
          </w:tcPr>
          <w:p w14:paraId="3D4C1EE1"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Q1,292,732.76</w:t>
            </w:r>
          </w:p>
        </w:tc>
        <w:tc>
          <w:tcPr>
            <w:tcW w:w="936" w:type="dxa"/>
            <w:noWrap/>
            <w:vAlign w:val="center"/>
            <w:hideMark/>
          </w:tcPr>
          <w:p w14:paraId="2C497DB9"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63.14%</w:t>
            </w:r>
          </w:p>
        </w:tc>
      </w:tr>
      <w:tr w:rsidR="00BD2BA1" w:rsidRPr="007A6B50" w14:paraId="1D99550C" w14:textId="77777777" w:rsidTr="00E50AFC">
        <w:trPr>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46C59F1C"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12</w:t>
            </w:r>
          </w:p>
        </w:tc>
        <w:tc>
          <w:tcPr>
            <w:tcW w:w="1519" w:type="dxa"/>
            <w:vMerge/>
            <w:vAlign w:val="center"/>
            <w:hideMark/>
          </w:tcPr>
          <w:p w14:paraId="2675E21F"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p>
        </w:tc>
        <w:tc>
          <w:tcPr>
            <w:tcW w:w="551" w:type="dxa"/>
            <w:noWrap/>
            <w:vAlign w:val="center"/>
            <w:hideMark/>
          </w:tcPr>
          <w:p w14:paraId="137076C9"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2104</w:t>
            </w:r>
          </w:p>
        </w:tc>
        <w:tc>
          <w:tcPr>
            <w:tcW w:w="745" w:type="dxa"/>
            <w:noWrap/>
            <w:vAlign w:val="center"/>
            <w:hideMark/>
          </w:tcPr>
          <w:p w14:paraId="5C89C759"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w:t>
            </w:r>
          </w:p>
        </w:tc>
        <w:tc>
          <w:tcPr>
            <w:tcW w:w="2456" w:type="dxa"/>
            <w:noWrap/>
            <w:vAlign w:val="center"/>
            <w:hideMark/>
          </w:tcPr>
          <w:p w14:paraId="2CB1825E" w14:textId="77777777" w:rsidR="00CE3D5C" w:rsidRPr="007A6B50" w:rsidRDefault="00CE3D5C" w:rsidP="00E50A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Programa Continental Actividad Cons. Año 2003</w:t>
            </w:r>
          </w:p>
        </w:tc>
        <w:tc>
          <w:tcPr>
            <w:tcW w:w="1433" w:type="dxa"/>
            <w:noWrap/>
            <w:vAlign w:val="center"/>
            <w:hideMark/>
          </w:tcPr>
          <w:p w14:paraId="30E30C3E"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Q4,296,531.20</w:t>
            </w:r>
          </w:p>
        </w:tc>
        <w:tc>
          <w:tcPr>
            <w:tcW w:w="1314" w:type="dxa"/>
            <w:noWrap/>
            <w:vAlign w:val="center"/>
            <w:hideMark/>
          </w:tcPr>
          <w:p w14:paraId="115973ED"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Q1,028,135.66</w:t>
            </w:r>
          </w:p>
        </w:tc>
        <w:tc>
          <w:tcPr>
            <w:tcW w:w="936" w:type="dxa"/>
            <w:noWrap/>
            <w:vAlign w:val="center"/>
            <w:hideMark/>
          </w:tcPr>
          <w:p w14:paraId="2FC116ED"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23.93%</w:t>
            </w:r>
          </w:p>
        </w:tc>
      </w:tr>
      <w:tr w:rsidR="00BD2BA1" w:rsidRPr="007A6B50" w14:paraId="24E93D21" w14:textId="77777777" w:rsidTr="00E50AF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1E6063C2"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13</w:t>
            </w:r>
          </w:p>
        </w:tc>
        <w:tc>
          <w:tcPr>
            <w:tcW w:w="1519" w:type="dxa"/>
            <w:vAlign w:val="center"/>
            <w:hideMark/>
          </w:tcPr>
          <w:p w14:paraId="72DFDE5E"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FED. NAC. NATACION</w:t>
            </w:r>
          </w:p>
        </w:tc>
        <w:tc>
          <w:tcPr>
            <w:tcW w:w="551" w:type="dxa"/>
            <w:noWrap/>
            <w:vAlign w:val="center"/>
            <w:hideMark/>
          </w:tcPr>
          <w:p w14:paraId="1162B4A3"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2102</w:t>
            </w:r>
          </w:p>
        </w:tc>
        <w:tc>
          <w:tcPr>
            <w:tcW w:w="745" w:type="dxa"/>
            <w:noWrap/>
            <w:vAlign w:val="center"/>
            <w:hideMark/>
          </w:tcPr>
          <w:p w14:paraId="12B887B1"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101</w:t>
            </w:r>
          </w:p>
        </w:tc>
        <w:tc>
          <w:tcPr>
            <w:tcW w:w="2456" w:type="dxa"/>
            <w:noWrap/>
            <w:vAlign w:val="center"/>
            <w:hideMark/>
          </w:tcPr>
          <w:p w14:paraId="4C3A46CD" w14:textId="77777777"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Programa de apoyo por participación en eventos y clínicas</w:t>
            </w:r>
          </w:p>
        </w:tc>
        <w:tc>
          <w:tcPr>
            <w:tcW w:w="1433" w:type="dxa"/>
            <w:noWrap/>
            <w:vAlign w:val="center"/>
            <w:hideMark/>
          </w:tcPr>
          <w:p w14:paraId="72BAF478"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Q133,222.11</w:t>
            </w:r>
          </w:p>
        </w:tc>
        <w:tc>
          <w:tcPr>
            <w:tcW w:w="1314" w:type="dxa"/>
            <w:noWrap/>
            <w:vAlign w:val="center"/>
            <w:hideMark/>
          </w:tcPr>
          <w:p w14:paraId="0941A32C"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Q133,222.11</w:t>
            </w:r>
          </w:p>
        </w:tc>
        <w:tc>
          <w:tcPr>
            <w:tcW w:w="936" w:type="dxa"/>
            <w:noWrap/>
            <w:vAlign w:val="center"/>
            <w:hideMark/>
          </w:tcPr>
          <w:p w14:paraId="361D80F6"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100.00%</w:t>
            </w:r>
          </w:p>
        </w:tc>
      </w:tr>
      <w:tr w:rsidR="00BD2BA1" w:rsidRPr="007A6B50" w14:paraId="51A0DB1D" w14:textId="77777777" w:rsidTr="00E50AFC">
        <w:trPr>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22DAD3B6"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14</w:t>
            </w:r>
          </w:p>
        </w:tc>
        <w:tc>
          <w:tcPr>
            <w:tcW w:w="1519" w:type="dxa"/>
            <w:vMerge w:val="restart"/>
            <w:vAlign w:val="center"/>
            <w:hideMark/>
          </w:tcPr>
          <w:p w14:paraId="3FF8B3DA"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FED. NAC. FUTBOL</w:t>
            </w:r>
          </w:p>
        </w:tc>
        <w:tc>
          <w:tcPr>
            <w:tcW w:w="551" w:type="dxa"/>
            <w:noWrap/>
            <w:vAlign w:val="center"/>
            <w:hideMark/>
          </w:tcPr>
          <w:p w14:paraId="431877A7"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430</w:t>
            </w:r>
          </w:p>
        </w:tc>
        <w:tc>
          <w:tcPr>
            <w:tcW w:w="745" w:type="dxa"/>
            <w:noWrap/>
            <w:vAlign w:val="center"/>
            <w:hideMark/>
          </w:tcPr>
          <w:p w14:paraId="1CB32A1F"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w:t>
            </w:r>
          </w:p>
        </w:tc>
        <w:tc>
          <w:tcPr>
            <w:tcW w:w="2456" w:type="dxa"/>
            <w:noWrap/>
            <w:vAlign w:val="center"/>
            <w:hideMark/>
          </w:tcPr>
          <w:p w14:paraId="2063A2AF" w14:textId="41A600DB" w:rsidR="00CE3D5C" w:rsidRPr="007A6B50" w:rsidRDefault="00CE3D5C" w:rsidP="00E50A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Donación para el programa de desarrollo fo</w:t>
            </w:r>
            <w:r w:rsidR="003E6C52" w:rsidRPr="007A6B50">
              <w:rPr>
                <w:rFonts w:asciiTheme="minorHAnsi" w:eastAsia="Times New Roman" w:hAnsiTheme="minorHAnsi" w:cstheme="minorHAnsi"/>
                <w:sz w:val="16"/>
                <w:szCs w:val="16"/>
                <w:lang w:eastAsia="es-GT"/>
              </w:rPr>
              <w:t>r</w:t>
            </w:r>
            <w:r w:rsidRPr="007A6B50">
              <w:rPr>
                <w:rFonts w:asciiTheme="minorHAnsi" w:eastAsia="Times New Roman" w:hAnsiTheme="minorHAnsi" w:cstheme="minorHAnsi"/>
                <w:sz w:val="16"/>
                <w:szCs w:val="16"/>
                <w:lang w:eastAsia="es-GT"/>
              </w:rPr>
              <w:t>ward de la Fifa en Guatemala (anteproyecto ppto.2019)</w:t>
            </w:r>
          </w:p>
        </w:tc>
        <w:tc>
          <w:tcPr>
            <w:tcW w:w="1433" w:type="dxa"/>
            <w:noWrap/>
            <w:vAlign w:val="center"/>
            <w:hideMark/>
          </w:tcPr>
          <w:p w14:paraId="2964C8A0"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Q12,204,215.00</w:t>
            </w:r>
          </w:p>
        </w:tc>
        <w:tc>
          <w:tcPr>
            <w:tcW w:w="1314" w:type="dxa"/>
            <w:noWrap/>
            <w:vAlign w:val="center"/>
            <w:hideMark/>
          </w:tcPr>
          <w:p w14:paraId="1A716CAE"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Q11,537,464.42</w:t>
            </w:r>
          </w:p>
        </w:tc>
        <w:tc>
          <w:tcPr>
            <w:tcW w:w="936" w:type="dxa"/>
            <w:noWrap/>
            <w:vAlign w:val="center"/>
            <w:hideMark/>
          </w:tcPr>
          <w:p w14:paraId="0C631ECA"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94.54%</w:t>
            </w:r>
          </w:p>
        </w:tc>
      </w:tr>
      <w:tr w:rsidR="00BD2BA1" w:rsidRPr="007A6B50" w14:paraId="4824ADB2" w14:textId="77777777" w:rsidTr="00E50AF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2302B610"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15</w:t>
            </w:r>
          </w:p>
        </w:tc>
        <w:tc>
          <w:tcPr>
            <w:tcW w:w="1519" w:type="dxa"/>
            <w:vMerge/>
            <w:vAlign w:val="center"/>
            <w:hideMark/>
          </w:tcPr>
          <w:p w14:paraId="3A0F4513"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p>
        </w:tc>
        <w:tc>
          <w:tcPr>
            <w:tcW w:w="551" w:type="dxa"/>
            <w:noWrap/>
            <w:vAlign w:val="center"/>
            <w:hideMark/>
          </w:tcPr>
          <w:p w14:paraId="76D9CBC1"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430</w:t>
            </w:r>
          </w:p>
        </w:tc>
        <w:tc>
          <w:tcPr>
            <w:tcW w:w="745" w:type="dxa"/>
            <w:noWrap/>
            <w:vAlign w:val="center"/>
            <w:hideMark/>
          </w:tcPr>
          <w:p w14:paraId="1C6AB3DC"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w:t>
            </w:r>
          </w:p>
        </w:tc>
        <w:tc>
          <w:tcPr>
            <w:tcW w:w="2456" w:type="dxa"/>
            <w:noWrap/>
            <w:vAlign w:val="center"/>
            <w:hideMark/>
          </w:tcPr>
          <w:p w14:paraId="4482C56E" w14:textId="1D222304"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 xml:space="preserve">Plan de apoyo de la FIFA </w:t>
            </w:r>
            <w:r w:rsidR="003E6C52" w:rsidRPr="007A6B50">
              <w:rPr>
                <w:rFonts w:asciiTheme="minorHAnsi" w:eastAsia="Times New Roman" w:hAnsiTheme="minorHAnsi" w:cstheme="minorHAnsi"/>
                <w:sz w:val="16"/>
                <w:szCs w:val="16"/>
                <w:lang w:eastAsia="es-GT"/>
              </w:rPr>
              <w:t>COVID</w:t>
            </w:r>
            <w:r w:rsidRPr="007A6B50">
              <w:rPr>
                <w:rFonts w:asciiTheme="minorHAnsi" w:eastAsia="Times New Roman" w:hAnsiTheme="minorHAnsi" w:cstheme="minorHAnsi"/>
                <w:sz w:val="16"/>
                <w:szCs w:val="16"/>
                <w:lang w:eastAsia="es-GT"/>
              </w:rPr>
              <w:t>-19, para el f</w:t>
            </w:r>
            <w:r w:rsidR="003E6C52" w:rsidRPr="007A6B50">
              <w:rPr>
                <w:rFonts w:asciiTheme="minorHAnsi" w:eastAsia="Times New Roman" w:hAnsiTheme="minorHAnsi" w:cstheme="minorHAnsi"/>
                <w:sz w:val="16"/>
                <w:szCs w:val="16"/>
                <w:lang w:eastAsia="es-GT"/>
              </w:rPr>
              <w:t>u</w:t>
            </w:r>
            <w:r w:rsidRPr="007A6B50">
              <w:rPr>
                <w:rFonts w:asciiTheme="minorHAnsi" w:eastAsia="Times New Roman" w:hAnsiTheme="minorHAnsi" w:cstheme="minorHAnsi"/>
                <w:sz w:val="16"/>
                <w:szCs w:val="16"/>
                <w:lang w:eastAsia="es-GT"/>
              </w:rPr>
              <w:t>tbol nacional de Guatemala en las ramas masculino y femenino (Resolución CE-037-2020)</w:t>
            </w:r>
          </w:p>
        </w:tc>
        <w:tc>
          <w:tcPr>
            <w:tcW w:w="1433" w:type="dxa"/>
            <w:noWrap/>
            <w:vAlign w:val="center"/>
            <w:hideMark/>
          </w:tcPr>
          <w:p w14:paraId="67DCE3E0"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Q4,453,200.00</w:t>
            </w:r>
          </w:p>
        </w:tc>
        <w:tc>
          <w:tcPr>
            <w:tcW w:w="1314" w:type="dxa"/>
            <w:noWrap/>
            <w:vAlign w:val="center"/>
            <w:hideMark/>
          </w:tcPr>
          <w:p w14:paraId="201EFD31"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Q2,932,349.24</w:t>
            </w:r>
          </w:p>
        </w:tc>
        <w:tc>
          <w:tcPr>
            <w:tcW w:w="936" w:type="dxa"/>
            <w:noWrap/>
            <w:vAlign w:val="center"/>
            <w:hideMark/>
          </w:tcPr>
          <w:p w14:paraId="5FE3FB18"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65.85%</w:t>
            </w:r>
          </w:p>
        </w:tc>
      </w:tr>
      <w:tr w:rsidR="00BD2BA1" w:rsidRPr="007A6B50" w14:paraId="3AB0EE68" w14:textId="77777777" w:rsidTr="00E50AFC">
        <w:trPr>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422867AC"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16</w:t>
            </w:r>
          </w:p>
        </w:tc>
        <w:tc>
          <w:tcPr>
            <w:tcW w:w="1519" w:type="dxa"/>
            <w:vMerge/>
            <w:vAlign w:val="center"/>
            <w:hideMark/>
          </w:tcPr>
          <w:p w14:paraId="231DFB71"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p>
        </w:tc>
        <w:tc>
          <w:tcPr>
            <w:tcW w:w="551" w:type="dxa"/>
            <w:noWrap/>
            <w:vAlign w:val="center"/>
            <w:hideMark/>
          </w:tcPr>
          <w:p w14:paraId="5043DC3E"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431</w:t>
            </w:r>
          </w:p>
        </w:tc>
        <w:tc>
          <w:tcPr>
            <w:tcW w:w="745" w:type="dxa"/>
            <w:noWrap/>
            <w:vAlign w:val="center"/>
            <w:hideMark/>
          </w:tcPr>
          <w:p w14:paraId="56650738"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w:t>
            </w:r>
          </w:p>
        </w:tc>
        <w:tc>
          <w:tcPr>
            <w:tcW w:w="2456" w:type="dxa"/>
            <w:noWrap/>
            <w:vAlign w:val="center"/>
            <w:hideMark/>
          </w:tcPr>
          <w:p w14:paraId="7CD2E13B" w14:textId="4DF2168E" w:rsidR="00CE3D5C" w:rsidRPr="007A6B50" w:rsidRDefault="00CE3D5C" w:rsidP="00E50A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Donación One Concacaf para la federación nacional de futbol de Guatemala (anteproyecto ppt</w:t>
            </w:r>
            <w:r w:rsidR="003E6C52" w:rsidRPr="007A6B50">
              <w:rPr>
                <w:rFonts w:asciiTheme="minorHAnsi" w:eastAsia="Times New Roman" w:hAnsiTheme="minorHAnsi" w:cstheme="minorHAnsi"/>
                <w:sz w:val="16"/>
                <w:szCs w:val="16"/>
                <w:lang w:eastAsia="es-GT"/>
              </w:rPr>
              <w:t>o</w:t>
            </w:r>
            <w:r w:rsidRPr="007A6B50">
              <w:rPr>
                <w:rFonts w:asciiTheme="minorHAnsi" w:eastAsia="Times New Roman" w:hAnsiTheme="minorHAnsi" w:cstheme="minorHAnsi"/>
                <w:sz w:val="16"/>
                <w:szCs w:val="16"/>
                <w:lang w:eastAsia="es-GT"/>
              </w:rPr>
              <w:t>.2019)</w:t>
            </w:r>
          </w:p>
        </w:tc>
        <w:tc>
          <w:tcPr>
            <w:tcW w:w="1433" w:type="dxa"/>
            <w:noWrap/>
            <w:vAlign w:val="center"/>
            <w:hideMark/>
          </w:tcPr>
          <w:p w14:paraId="4117983C"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Q4,066,614.00</w:t>
            </w:r>
          </w:p>
        </w:tc>
        <w:tc>
          <w:tcPr>
            <w:tcW w:w="1314" w:type="dxa"/>
            <w:noWrap/>
            <w:vAlign w:val="center"/>
            <w:hideMark/>
          </w:tcPr>
          <w:p w14:paraId="4137FCC1"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Q3,803,960.77</w:t>
            </w:r>
          </w:p>
        </w:tc>
        <w:tc>
          <w:tcPr>
            <w:tcW w:w="936" w:type="dxa"/>
            <w:noWrap/>
            <w:vAlign w:val="center"/>
            <w:hideMark/>
          </w:tcPr>
          <w:p w14:paraId="1BE8527B"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93.54%</w:t>
            </w:r>
          </w:p>
        </w:tc>
      </w:tr>
      <w:tr w:rsidR="00BD2BA1" w:rsidRPr="007A6B50" w14:paraId="1364192E" w14:textId="77777777" w:rsidTr="00E50AF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30B6EEB0"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17</w:t>
            </w:r>
          </w:p>
        </w:tc>
        <w:tc>
          <w:tcPr>
            <w:tcW w:w="1519" w:type="dxa"/>
            <w:vMerge w:val="restart"/>
            <w:noWrap/>
            <w:vAlign w:val="center"/>
            <w:hideMark/>
          </w:tcPr>
          <w:p w14:paraId="74EFA6C8"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MUNIGUATE</w:t>
            </w:r>
          </w:p>
        </w:tc>
        <w:tc>
          <w:tcPr>
            <w:tcW w:w="551" w:type="dxa"/>
            <w:noWrap/>
            <w:vAlign w:val="center"/>
            <w:hideMark/>
          </w:tcPr>
          <w:p w14:paraId="28DE467C"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505</w:t>
            </w:r>
          </w:p>
        </w:tc>
        <w:tc>
          <w:tcPr>
            <w:tcW w:w="745" w:type="dxa"/>
            <w:noWrap/>
            <w:vAlign w:val="center"/>
            <w:hideMark/>
          </w:tcPr>
          <w:p w14:paraId="7242D863"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20</w:t>
            </w:r>
          </w:p>
        </w:tc>
        <w:tc>
          <w:tcPr>
            <w:tcW w:w="2456" w:type="dxa"/>
            <w:noWrap/>
            <w:vAlign w:val="center"/>
            <w:hideMark/>
          </w:tcPr>
          <w:p w14:paraId="097449E6" w14:textId="75B74AF8"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Espacios seguros de convivencia para jóvenes en Centroamérica</w:t>
            </w:r>
          </w:p>
        </w:tc>
        <w:tc>
          <w:tcPr>
            <w:tcW w:w="1433" w:type="dxa"/>
            <w:noWrap/>
            <w:vAlign w:val="center"/>
            <w:hideMark/>
          </w:tcPr>
          <w:p w14:paraId="4D43C0D0"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Q40,000,000.00</w:t>
            </w:r>
          </w:p>
        </w:tc>
        <w:tc>
          <w:tcPr>
            <w:tcW w:w="1314" w:type="dxa"/>
            <w:noWrap/>
            <w:vAlign w:val="center"/>
            <w:hideMark/>
          </w:tcPr>
          <w:p w14:paraId="3B48D79C"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Q10,468,072.83</w:t>
            </w:r>
          </w:p>
        </w:tc>
        <w:tc>
          <w:tcPr>
            <w:tcW w:w="936" w:type="dxa"/>
            <w:noWrap/>
            <w:vAlign w:val="center"/>
            <w:hideMark/>
          </w:tcPr>
          <w:p w14:paraId="748452A9"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26.17%</w:t>
            </w:r>
          </w:p>
        </w:tc>
      </w:tr>
      <w:tr w:rsidR="00BD2BA1" w:rsidRPr="007A6B50" w14:paraId="2FE0BC9D" w14:textId="77777777" w:rsidTr="00E50AFC">
        <w:trPr>
          <w:trHeight w:val="219"/>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0226AFE3"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18</w:t>
            </w:r>
          </w:p>
        </w:tc>
        <w:tc>
          <w:tcPr>
            <w:tcW w:w="1519" w:type="dxa"/>
            <w:vMerge/>
            <w:vAlign w:val="center"/>
            <w:hideMark/>
          </w:tcPr>
          <w:p w14:paraId="21365775"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p>
        </w:tc>
        <w:tc>
          <w:tcPr>
            <w:tcW w:w="551" w:type="dxa"/>
            <w:noWrap/>
            <w:vAlign w:val="center"/>
            <w:hideMark/>
          </w:tcPr>
          <w:p w14:paraId="3CC5DBA1"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603</w:t>
            </w:r>
          </w:p>
        </w:tc>
        <w:tc>
          <w:tcPr>
            <w:tcW w:w="745" w:type="dxa"/>
            <w:noWrap/>
            <w:vAlign w:val="center"/>
            <w:hideMark/>
          </w:tcPr>
          <w:p w14:paraId="0D877BD8"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117</w:t>
            </w:r>
          </w:p>
        </w:tc>
        <w:tc>
          <w:tcPr>
            <w:tcW w:w="2456" w:type="dxa"/>
            <w:noWrap/>
            <w:vAlign w:val="center"/>
            <w:hideMark/>
          </w:tcPr>
          <w:p w14:paraId="21A6C478" w14:textId="77777777" w:rsidR="00CE3D5C" w:rsidRPr="007A6B50" w:rsidRDefault="00CE3D5C" w:rsidP="00E50AF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Planes y proyectos urbanos estratégicos la zona central histórica de la ciudad de Guatemala</w:t>
            </w:r>
            <w:r w:rsidRPr="007A6B50">
              <w:rPr>
                <w:rFonts w:asciiTheme="minorHAnsi" w:eastAsia="Times New Roman" w:hAnsiTheme="minorHAnsi" w:cstheme="minorHAnsi"/>
                <w:sz w:val="16"/>
                <w:szCs w:val="16"/>
                <w:lang w:eastAsia="es-GT"/>
              </w:rPr>
              <w:br/>
              <w:t>-FASE II- (RE. #2018-SPE-0000400185)</w:t>
            </w:r>
          </w:p>
        </w:tc>
        <w:tc>
          <w:tcPr>
            <w:tcW w:w="1433" w:type="dxa"/>
            <w:noWrap/>
            <w:vAlign w:val="center"/>
            <w:hideMark/>
          </w:tcPr>
          <w:p w14:paraId="15CBEF83"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Q2,150,000.00</w:t>
            </w:r>
          </w:p>
        </w:tc>
        <w:tc>
          <w:tcPr>
            <w:tcW w:w="1314" w:type="dxa"/>
            <w:noWrap/>
            <w:vAlign w:val="center"/>
            <w:hideMark/>
          </w:tcPr>
          <w:p w14:paraId="4BB025BE" w14:textId="77777777" w:rsidR="00CE3D5C" w:rsidRPr="007A6B50" w:rsidRDefault="00CE3D5C"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Q886,258.56</w:t>
            </w:r>
          </w:p>
        </w:tc>
        <w:tc>
          <w:tcPr>
            <w:tcW w:w="936" w:type="dxa"/>
            <w:noWrap/>
            <w:vAlign w:val="center"/>
            <w:hideMark/>
          </w:tcPr>
          <w:p w14:paraId="3FA4C9DB" w14:textId="77777777" w:rsidR="00CE3D5C" w:rsidRPr="007A6B50" w:rsidRDefault="00CE3D5C"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41.22%</w:t>
            </w:r>
          </w:p>
        </w:tc>
      </w:tr>
      <w:tr w:rsidR="00BD2BA1" w:rsidRPr="007A6B50" w14:paraId="6366381F" w14:textId="77777777" w:rsidTr="00E50AF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56" w:type="dxa"/>
            <w:noWrap/>
            <w:vAlign w:val="center"/>
            <w:hideMark/>
          </w:tcPr>
          <w:p w14:paraId="5BB095A5" w14:textId="77777777" w:rsidR="00CE3D5C" w:rsidRPr="00E50AFC" w:rsidRDefault="00CE3D5C" w:rsidP="00E50AFC">
            <w:pPr>
              <w:jc w:val="center"/>
              <w:rPr>
                <w:rFonts w:asciiTheme="minorHAnsi" w:eastAsia="Times New Roman" w:hAnsiTheme="minorHAnsi" w:cstheme="minorHAnsi"/>
                <w:b w:val="0"/>
                <w:sz w:val="16"/>
                <w:szCs w:val="16"/>
                <w:lang w:eastAsia="es-GT"/>
              </w:rPr>
            </w:pPr>
            <w:r w:rsidRPr="00E50AFC">
              <w:rPr>
                <w:rFonts w:asciiTheme="minorHAnsi" w:eastAsia="Times New Roman" w:hAnsiTheme="minorHAnsi" w:cstheme="minorHAnsi"/>
                <w:b w:val="0"/>
                <w:sz w:val="16"/>
                <w:szCs w:val="16"/>
                <w:lang w:eastAsia="es-GT"/>
              </w:rPr>
              <w:t>19</w:t>
            </w:r>
          </w:p>
        </w:tc>
        <w:tc>
          <w:tcPr>
            <w:tcW w:w="1519" w:type="dxa"/>
            <w:vAlign w:val="center"/>
            <w:hideMark/>
          </w:tcPr>
          <w:p w14:paraId="2069C724" w14:textId="13C407F4"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EMPRESA FERROCARRILES DE GUATEMALA</w:t>
            </w:r>
          </w:p>
        </w:tc>
        <w:tc>
          <w:tcPr>
            <w:tcW w:w="551" w:type="dxa"/>
            <w:vAlign w:val="center"/>
            <w:hideMark/>
          </w:tcPr>
          <w:p w14:paraId="15096EA5"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402</w:t>
            </w:r>
          </w:p>
        </w:tc>
        <w:tc>
          <w:tcPr>
            <w:tcW w:w="745" w:type="dxa"/>
            <w:vAlign w:val="center"/>
            <w:hideMark/>
          </w:tcPr>
          <w:p w14:paraId="25E67D1F"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77</w:t>
            </w:r>
          </w:p>
        </w:tc>
        <w:tc>
          <w:tcPr>
            <w:tcW w:w="2456" w:type="dxa"/>
            <w:vAlign w:val="center"/>
            <w:hideMark/>
          </w:tcPr>
          <w:p w14:paraId="165AC530" w14:textId="77777777" w:rsidR="00CE3D5C" w:rsidRPr="007A6B50" w:rsidRDefault="00CE3D5C" w:rsidP="00E50AF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Apoyo a la estructuración del proyecto metroriel, manejo ambiental y de sostenibilidad</w:t>
            </w:r>
          </w:p>
        </w:tc>
        <w:tc>
          <w:tcPr>
            <w:tcW w:w="1433" w:type="dxa"/>
            <w:vAlign w:val="center"/>
            <w:hideMark/>
          </w:tcPr>
          <w:p w14:paraId="334B7B62"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Q0.00</w:t>
            </w:r>
          </w:p>
        </w:tc>
        <w:tc>
          <w:tcPr>
            <w:tcW w:w="1314" w:type="dxa"/>
            <w:vAlign w:val="center"/>
            <w:hideMark/>
          </w:tcPr>
          <w:p w14:paraId="71C93A3C" w14:textId="77777777" w:rsidR="00CE3D5C" w:rsidRPr="007A6B50" w:rsidRDefault="00CE3D5C" w:rsidP="00E50AF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Q0.00</w:t>
            </w:r>
          </w:p>
        </w:tc>
        <w:tc>
          <w:tcPr>
            <w:tcW w:w="936" w:type="dxa"/>
            <w:noWrap/>
            <w:vAlign w:val="center"/>
            <w:hideMark/>
          </w:tcPr>
          <w:p w14:paraId="4FCC159E" w14:textId="77777777" w:rsidR="00CE3D5C" w:rsidRPr="007A6B50" w:rsidRDefault="00CE3D5C" w:rsidP="00E50AF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0.00%</w:t>
            </w:r>
          </w:p>
        </w:tc>
      </w:tr>
      <w:tr w:rsidR="00BD2BA1" w:rsidRPr="007A6B50" w14:paraId="0E488740" w14:textId="77777777" w:rsidTr="00E50AFC">
        <w:trPr>
          <w:trHeight w:val="322"/>
        </w:trPr>
        <w:tc>
          <w:tcPr>
            <w:cnfStyle w:val="001000000000" w:firstRow="0" w:lastRow="0" w:firstColumn="1" w:lastColumn="0" w:oddVBand="0" w:evenVBand="0" w:oddHBand="0" w:evenHBand="0" w:firstRowFirstColumn="0" w:firstRowLastColumn="0" w:lastRowFirstColumn="0" w:lastRowLastColumn="0"/>
            <w:tcW w:w="5730" w:type="dxa"/>
            <w:gridSpan w:val="5"/>
            <w:noWrap/>
            <w:vAlign w:val="center"/>
            <w:hideMark/>
          </w:tcPr>
          <w:p w14:paraId="33A169A5" w14:textId="08519F27" w:rsidR="00E77430" w:rsidRPr="007A6B50" w:rsidRDefault="00E77430" w:rsidP="00E50AFC">
            <w:pPr>
              <w:jc w:val="center"/>
              <w:rPr>
                <w:rFonts w:asciiTheme="minorHAnsi" w:eastAsia="Times New Roman" w:hAnsiTheme="minorHAnsi" w:cstheme="minorHAnsi"/>
                <w:sz w:val="16"/>
                <w:szCs w:val="16"/>
                <w:lang w:eastAsia="es-GT"/>
              </w:rPr>
            </w:pPr>
            <w:r w:rsidRPr="007A6B50">
              <w:rPr>
                <w:rFonts w:asciiTheme="minorHAnsi" w:eastAsia="Times New Roman" w:hAnsiTheme="minorHAnsi" w:cstheme="minorHAnsi"/>
                <w:sz w:val="16"/>
                <w:szCs w:val="16"/>
                <w:lang w:eastAsia="es-GT"/>
              </w:rPr>
              <w:t>TOTAL</w:t>
            </w:r>
          </w:p>
        </w:tc>
        <w:tc>
          <w:tcPr>
            <w:tcW w:w="1433" w:type="dxa"/>
            <w:vAlign w:val="center"/>
            <w:hideMark/>
          </w:tcPr>
          <w:p w14:paraId="525EA6F2" w14:textId="41C0BD4B" w:rsidR="00E77430" w:rsidRPr="00E50AFC" w:rsidRDefault="00E77430"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6"/>
                <w:szCs w:val="16"/>
                <w:lang w:eastAsia="es-GT"/>
              </w:rPr>
            </w:pPr>
            <w:r w:rsidRPr="00E50AFC">
              <w:rPr>
                <w:rFonts w:asciiTheme="minorHAnsi" w:eastAsia="Times New Roman" w:hAnsiTheme="minorHAnsi" w:cstheme="minorHAnsi"/>
                <w:b/>
                <w:sz w:val="16"/>
                <w:szCs w:val="16"/>
                <w:lang w:eastAsia="es-GT"/>
              </w:rPr>
              <w:t>144,052,473.71</w:t>
            </w:r>
          </w:p>
        </w:tc>
        <w:tc>
          <w:tcPr>
            <w:tcW w:w="1314" w:type="dxa"/>
            <w:vAlign w:val="center"/>
            <w:hideMark/>
          </w:tcPr>
          <w:p w14:paraId="1437811C" w14:textId="7490C3BD" w:rsidR="00E77430" w:rsidRPr="00E50AFC" w:rsidRDefault="00E77430" w:rsidP="00E50AFC">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6"/>
                <w:szCs w:val="16"/>
                <w:lang w:eastAsia="es-GT"/>
              </w:rPr>
            </w:pPr>
            <w:r w:rsidRPr="00E50AFC">
              <w:rPr>
                <w:rFonts w:asciiTheme="minorHAnsi" w:eastAsia="Times New Roman" w:hAnsiTheme="minorHAnsi" w:cstheme="minorHAnsi"/>
                <w:b/>
                <w:sz w:val="16"/>
                <w:szCs w:val="16"/>
                <w:lang w:eastAsia="es-GT"/>
              </w:rPr>
              <w:t>80,316,731.81</w:t>
            </w:r>
          </w:p>
        </w:tc>
        <w:tc>
          <w:tcPr>
            <w:tcW w:w="936" w:type="dxa"/>
            <w:vAlign w:val="center"/>
            <w:hideMark/>
          </w:tcPr>
          <w:p w14:paraId="3060D7EE" w14:textId="77777777" w:rsidR="00E77430" w:rsidRPr="007A6B50" w:rsidRDefault="00E77430" w:rsidP="00E50AF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6"/>
                <w:szCs w:val="16"/>
                <w:lang w:eastAsia="es-GT"/>
              </w:rPr>
            </w:pPr>
            <w:r w:rsidRPr="007A6B50">
              <w:rPr>
                <w:rFonts w:asciiTheme="minorHAnsi" w:eastAsia="Times New Roman" w:hAnsiTheme="minorHAnsi" w:cstheme="minorHAnsi"/>
                <w:b/>
                <w:bCs/>
                <w:sz w:val="16"/>
                <w:szCs w:val="16"/>
                <w:lang w:eastAsia="es-GT"/>
              </w:rPr>
              <w:t>55.76%</w:t>
            </w:r>
          </w:p>
        </w:tc>
      </w:tr>
    </w:tbl>
    <w:p w14:paraId="0F796829" w14:textId="2F4D0E31" w:rsidR="00CE3D5C" w:rsidRPr="00E50AFC" w:rsidRDefault="00CE3D5C" w:rsidP="0078103A">
      <w:pPr>
        <w:spacing w:after="0" w:line="240" w:lineRule="auto"/>
        <w:rPr>
          <w:rFonts w:eastAsia="MS PGothic" w:cstheme="minorHAnsi"/>
          <w:iCs/>
          <w:sz w:val="16"/>
          <w:szCs w:val="18"/>
          <w:lang w:eastAsia="es-GT"/>
        </w:rPr>
      </w:pPr>
      <w:r w:rsidRPr="00E50AFC">
        <w:rPr>
          <w:rFonts w:eastAsia="MS PGothic" w:cstheme="minorHAnsi"/>
          <w:bCs/>
          <w:iCs/>
          <w:sz w:val="16"/>
          <w:szCs w:val="18"/>
          <w:lang w:eastAsia="es-GT"/>
        </w:rPr>
        <w:t>Fuente: Elaboración propia SEGEPLAN con datos del Sistema de Contabilidad Integrada -SICOINDES</w:t>
      </w:r>
      <w:r w:rsidR="0078103A" w:rsidRPr="00E50AFC">
        <w:rPr>
          <w:rFonts w:eastAsia="MS PGothic" w:cstheme="minorHAnsi"/>
          <w:bCs/>
          <w:iCs/>
          <w:sz w:val="16"/>
          <w:szCs w:val="18"/>
          <w:lang w:eastAsia="es-GT"/>
        </w:rPr>
        <w:t xml:space="preserve"> </w:t>
      </w:r>
      <w:r w:rsidRPr="00E50AFC">
        <w:rPr>
          <w:rFonts w:eastAsia="MS PGothic" w:cstheme="minorHAnsi"/>
          <w:bCs/>
          <w:iCs/>
          <w:sz w:val="16"/>
          <w:szCs w:val="18"/>
          <w:lang w:eastAsia="es-GT"/>
        </w:rPr>
        <w:t xml:space="preserve">Ejercicio Fiscal </w:t>
      </w:r>
      <w:r w:rsidR="00BD1BD3" w:rsidRPr="00E50AFC">
        <w:rPr>
          <w:rFonts w:eastAsia="MS PGothic" w:cstheme="minorHAnsi"/>
          <w:bCs/>
          <w:iCs/>
          <w:sz w:val="16"/>
          <w:szCs w:val="18"/>
          <w:lang w:eastAsia="es-GT"/>
        </w:rPr>
        <w:t>2022</w:t>
      </w:r>
      <w:r w:rsidRPr="00E50AFC">
        <w:rPr>
          <w:rFonts w:eastAsia="MS PGothic" w:cstheme="minorHAnsi"/>
          <w:iCs/>
          <w:sz w:val="16"/>
          <w:szCs w:val="18"/>
          <w:lang w:eastAsia="es-GT"/>
        </w:rPr>
        <w:t>.</w:t>
      </w:r>
    </w:p>
    <w:p w14:paraId="3F9DB26E" w14:textId="0F98E5F9" w:rsidR="00CE3D5C" w:rsidRPr="007A6B50" w:rsidRDefault="00CE3D5C" w:rsidP="0093034A">
      <w:pPr>
        <w:tabs>
          <w:tab w:val="num" w:pos="360"/>
        </w:tabs>
        <w:spacing w:before="120" w:after="120" w:line="240" w:lineRule="auto"/>
        <w:jc w:val="both"/>
        <w:rPr>
          <w:rFonts w:eastAsiaTheme="majorEastAsia" w:cstheme="minorHAnsi"/>
          <w:b/>
          <w:color w:val="002060"/>
          <w:sz w:val="28"/>
          <w:szCs w:val="28"/>
        </w:rPr>
      </w:pPr>
      <w:bookmarkStart w:id="143" w:name="_Toc442273390"/>
      <w:bookmarkStart w:id="144" w:name="_Toc31818089"/>
      <w:bookmarkEnd w:id="141"/>
      <w:r w:rsidRPr="007A6B50">
        <w:rPr>
          <w:rFonts w:eastAsiaTheme="majorEastAsia" w:cstheme="minorHAnsi"/>
          <w:b/>
          <w:color w:val="002060"/>
          <w:sz w:val="28"/>
          <w:szCs w:val="28"/>
        </w:rPr>
        <w:t xml:space="preserve">Donaciones Corrientes por Fuente Cooperante Previstas en el Presupuesto General de Ingresos y Egresos </w:t>
      </w:r>
      <w:bookmarkEnd w:id="143"/>
      <w:bookmarkEnd w:id="144"/>
      <w:r w:rsidR="00BD1BD3" w:rsidRPr="007A6B50">
        <w:rPr>
          <w:rFonts w:eastAsiaTheme="majorEastAsia" w:cstheme="minorHAnsi"/>
          <w:b/>
          <w:color w:val="002060"/>
          <w:sz w:val="28"/>
          <w:szCs w:val="28"/>
        </w:rPr>
        <w:t>2022</w:t>
      </w:r>
    </w:p>
    <w:p w14:paraId="1FD2EF05" w14:textId="30AA5AAA" w:rsidR="00CE3D5C" w:rsidRDefault="00CE3D5C" w:rsidP="00E50AFC">
      <w:pPr>
        <w:spacing w:before="120" w:after="120" w:line="240" w:lineRule="auto"/>
        <w:jc w:val="both"/>
        <w:rPr>
          <w:rFonts w:eastAsia="MS PGothic" w:cstheme="minorHAnsi"/>
          <w:bCs/>
          <w:sz w:val="24"/>
          <w:szCs w:val="24"/>
          <w:lang w:eastAsia="es-GT"/>
        </w:rPr>
      </w:pPr>
      <w:r w:rsidRPr="007A6B50">
        <w:rPr>
          <w:rFonts w:eastAsia="MS PGothic" w:cstheme="minorHAnsi"/>
          <w:bCs/>
          <w:sz w:val="24"/>
          <w:szCs w:val="24"/>
          <w:lang w:eastAsia="es-GT"/>
        </w:rPr>
        <w:t>El presupuesto vigente para donaciones</w:t>
      </w:r>
      <w:r w:rsidR="00B74478" w:rsidRPr="007A6B50">
        <w:rPr>
          <w:rFonts w:eastAsia="MS PGothic" w:cstheme="minorHAnsi"/>
          <w:bCs/>
          <w:sz w:val="24"/>
          <w:szCs w:val="24"/>
          <w:lang w:eastAsia="es-GT"/>
        </w:rPr>
        <w:t>,</w:t>
      </w:r>
      <w:r w:rsidRPr="007A6B50">
        <w:rPr>
          <w:rFonts w:eastAsia="MS PGothic" w:cstheme="minorHAnsi"/>
          <w:bCs/>
          <w:sz w:val="24"/>
          <w:szCs w:val="24"/>
          <w:lang w:eastAsia="es-GT"/>
        </w:rPr>
        <w:t xml:space="preserve"> incluy</w:t>
      </w:r>
      <w:r w:rsidR="003E6C52" w:rsidRPr="007A6B50">
        <w:rPr>
          <w:rFonts w:eastAsia="MS PGothic" w:cstheme="minorHAnsi"/>
          <w:bCs/>
          <w:sz w:val="24"/>
          <w:szCs w:val="24"/>
          <w:lang w:eastAsia="es-GT"/>
        </w:rPr>
        <w:t>ó</w:t>
      </w:r>
      <w:r w:rsidRPr="007A6B50">
        <w:rPr>
          <w:rFonts w:eastAsia="MS PGothic" w:cstheme="minorHAnsi"/>
          <w:bCs/>
          <w:sz w:val="24"/>
          <w:szCs w:val="24"/>
          <w:lang w:eastAsia="es-GT"/>
        </w:rPr>
        <w:t xml:space="preserve"> varias fuentes cooperantes, de las cuales cuatro</w:t>
      </w:r>
      <w:r w:rsidR="003E6C52" w:rsidRPr="007A6B50">
        <w:rPr>
          <w:rFonts w:eastAsia="MS PGothic" w:cstheme="minorHAnsi"/>
          <w:bCs/>
          <w:sz w:val="24"/>
          <w:szCs w:val="24"/>
          <w:lang w:eastAsia="es-GT"/>
        </w:rPr>
        <w:t xml:space="preserve"> alcanzaron</w:t>
      </w:r>
      <w:r w:rsidRPr="007A6B50">
        <w:rPr>
          <w:rFonts w:eastAsia="MS PGothic" w:cstheme="minorHAnsi"/>
          <w:bCs/>
          <w:sz w:val="24"/>
          <w:szCs w:val="24"/>
          <w:lang w:eastAsia="es-GT"/>
        </w:rPr>
        <w:t xml:space="preserve"> el </w:t>
      </w:r>
      <w:r w:rsidR="003E6C52" w:rsidRPr="007A6B50">
        <w:rPr>
          <w:rFonts w:eastAsia="MS PGothic" w:cstheme="minorHAnsi"/>
          <w:bCs/>
          <w:sz w:val="24"/>
          <w:szCs w:val="24"/>
          <w:lang w:eastAsia="es-GT"/>
        </w:rPr>
        <w:t>6</w:t>
      </w:r>
      <w:r w:rsidR="004C1D58" w:rsidRPr="007A6B50">
        <w:rPr>
          <w:rFonts w:eastAsia="MS PGothic" w:cstheme="minorHAnsi"/>
          <w:bCs/>
          <w:sz w:val="24"/>
          <w:szCs w:val="24"/>
          <w:lang w:eastAsia="es-GT"/>
        </w:rPr>
        <w:t>3</w:t>
      </w:r>
      <w:r w:rsidR="003E6C52" w:rsidRPr="007A6B50">
        <w:rPr>
          <w:rFonts w:eastAsia="MS PGothic" w:cstheme="minorHAnsi"/>
          <w:bCs/>
          <w:sz w:val="24"/>
          <w:szCs w:val="24"/>
          <w:lang w:eastAsia="es-GT"/>
        </w:rPr>
        <w:t>.</w:t>
      </w:r>
      <w:r w:rsidR="004C1D58" w:rsidRPr="007A6B50">
        <w:rPr>
          <w:rFonts w:eastAsia="MS PGothic" w:cstheme="minorHAnsi"/>
          <w:bCs/>
          <w:sz w:val="24"/>
          <w:szCs w:val="24"/>
          <w:lang w:eastAsia="es-GT"/>
        </w:rPr>
        <w:t>24</w:t>
      </w:r>
      <w:r w:rsidRPr="007A6B50">
        <w:rPr>
          <w:rFonts w:eastAsia="MS PGothic" w:cstheme="minorHAnsi"/>
          <w:bCs/>
          <w:sz w:val="24"/>
          <w:szCs w:val="24"/>
          <w:lang w:eastAsia="es-GT"/>
        </w:rPr>
        <w:t>% del presupuesto vigente equivalente a Q.</w:t>
      </w:r>
      <w:r w:rsidR="003E6C52" w:rsidRPr="007A6B50">
        <w:rPr>
          <w:rFonts w:eastAsia="MS PGothic" w:cstheme="minorHAnsi"/>
          <w:bCs/>
          <w:sz w:val="24"/>
          <w:szCs w:val="24"/>
          <w:lang w:eastAsia="es-GT"/>
        </w:rPr>
        <w:t>20</w:t>
      </w:r>
      <w:r w:rsidR="005C354E" w:rsidRPr="007A6B50">
        <w:rPr>
          <w:rFonts w:eastAsia="MS PGothic" w:cstheme="minorHAnsi"/>
          <w:bCs/>
          <w:sz w:val="24"/>
          <w:szCs w:val="24"/>
          <w:lang w:eastAsia="es-GT"/>
        </w:rPr>
        <w:t>8</w:t>
      </w:r>
      <w:r w:rsidRPr="007A6B50">
        <w:rPr>
          <w:rFonts w:eastAsia="MS PGothic" w:cstheme="minorHAnsi"/>
          <w:bCs/>
          <w:sz w:val="24"/>
          <w:szCs w:val="24"/>
          <w:lang w:eastAsia="es-GT"/>
        </w:rPr>
        <w:t>.</w:t>
      </w:r>
      <w:r w:rsidR="005C354E" w:rsidRPr="007A6B50">
        <w:rPr>
          <w:rFonts w:eastAsia="MS PGothic" w:cstheme="minorHAnsi"/>
          <w:bCs/>
          <w:sz w:val="24"/>
          <w:szCs w:val="24"/>
          <w:lang w:eastAsia="es-GT"/>
        </w:rPr>
        <w:t>1</w:t>
      </w:r>
      <w:r w:rsidR="003E6C52" w:rsidRPr="007A6B50">
        <w:rPr>
          <w:rFonts w:eastAsia="MS PGothic" w:cstheme="minorHAnsi"/>
          <w:bCs/>
          <w:sz w:val="24"/>
          <w:szCs w:val="24"/>
          <w:lang w:eastAsia="es-GT"/>
        </w:rPr>
        <w:t>0</w:t>
      </w:r>
      <w:r w:rsidRPr="007A6B50">
        <w:rPr>
          <w:rFonts w:eastAsia="MS PGothic" w:cstheme="minorHAnsi"/>
          <w:bCs/>
          <w:sz w:val="24"/>
          <w:szCs w:val="24"/>
          <w:lang w:eastAsia="es-GT"/>
        </w:rPr>
        <w:t xml:space="preserve"> millones.  En la gráfica</w:t>
      </w:r>
      <w:r w:rsidR="00D5716C" w:rsidRPr="007A6B50">
        <w:rPr>
          <w:rFonts w:eastAsia="MS PGothic" w:cstheme="minorHAnsi"/>
          <w:bCs/>
          <w:sz w:val="24"/>
          <w:szCs w:val="24"/>
          <w:lang w:eastAsia="es-GT"/>
        </w:rPr>
        <w:t xml:space="preserve"> </w:t>
      </w:r>
      <w:r w:rsidR="00E50AFC">
        <w:rPr>
          <w:rFonts w:eastAsia="MS PGothic" w:cstheme="minorHAnsi"/>
          <w:bCs/>
          <w:sz w:val="24"/>
          <w:szCs w:val="24"/>
          <w:lang w:eastAsia="es-GT"/>
        </w:rPr>
        <w:t>siguiente</w:t>
      </w:r>
      <w:r w:rsidRPr="007A6B50">
        <w:rPr>
          <w:rFonts w:eastAsia="MS PGothic" w:cstheme="minorHAnsi"/>
          <w:bCs/>
          <w:sz w:val="24"/>
          <w:szCs w:val="24"/>
          <w:lang w:eastAsia="es-GT"/>
        </w:rPr>
        <w:t>, se muestra el presupuesto asignado</w:t>
      </w:r>
      <w:r w:rsidR="005B5391" w:rsidRPr="007A6B50">
        <w:rPr>
          <w:rFonts w:eastAsia="MS PGothic" w:cstheme="minorHAnsi"/>
          <w:bCs/>
          <w:sz w:val="24"/>
          <w:szCs w:val="24"/>
          <w:lang w:eastAsia="es-GT"/>
        </w:rPr>
        <w:t>, vigente y ejecutado</w:t>
      </w:r>
      <w:r w:rsidR="00883C0A" w:rsidRPr="007A6B50">
        <w:rPr>
          <w:rFonts w:eastAsia="MS PGothic" w:cstheme="minorHAnsi"/>
          <w:bCs/>
          <w:sz w:val="24"/>
          <w:szCs w:val="24"/>
          <w:lang w:eastAsia="es-GT"/>
        </w:rPr>
        <w:t xml:space="preserve"> a</w:t>
      </w:r>
      <w:r w:rsidRPr="007A6B50">
        <w:rPr>
          <w:rFonts w:eastAsia="MS PGothic" w:cstheme="minorHAnsi"/>
          <w:bCs/>
          <w:sz w:val="24"/>
          <w:szCs w:val="24"/>
          <w:lang w:eastAsia="es-GT"/>
        </w:rPr>
        <w:t xml:space="preserve">l 31 de diciembre de </w:t>
      </w:r>
      <w:r w:rsidR="00BD1BD3" w:rsidRPr="007A6B50">
        <w:rPr>
          <w:rFonts w:eastAsia="MS PGothic" w:cstheme="minorHAnsi"/>
          <w:bCs/>
          <w:sz w:val="24"/>
          <w:szCs w:val="24"/>
          <w:lang w:eastAsia="es-GT"/>
        </w:rPr>
        <w:t>2022</w:t>
      </w:r>
      <w:r w:rsidRPr="007A6B50">
        <w:rPr>
          <w:rFonts w:eastAsia="MS PGothic" w:cstheme="minorHAnsi"/>
          <w:bCs/>
          <w:sz w:val="24"/>
          <w:szCs w:val="24"/>
          <w:lang w:eastAsia="es-GT"/>
        </w:rPr>
        <w:t>.</w:t>
      </w:r>
      <w:r w:rsidR="004D5701">
        <w:rPr>
          <w:rStyle w:val="Refdenotaalpie"/>
          <w:rFonts w:eastAsia="MS PGothic" w:cstheme="minorHAnsi"/>
          <w:bCs/>
          <w:sz w:val="24"/>
          <w:szCs w:val="24"/>
          <w:lang w:eastAsia="es-GT"/>
        </w:rPr>
        <w:footnoteReference w:id="13"/>
      </w:r>
    </w:p>
    <w:p w14:paraId="63753D42" w14:textId="74A41F62" w:rsidR="005B5391" w:rsidRPr="00A157BA" w:rsidRDefault="003E1E24" w:rsidP="0053294E">
      <w:pPr>
        <w:pStyle w:val="ttulosgrficas"/>
        <w:rPr>
          <w:rFonts w:asciiTheme="minorHAnsi" w:hAnsiTheme="minorHAnsi" w:cstheme="minorHAnsi"/>
          <w:lang w:eastAsia="es-GT"/>
        </w:rPr>
      </w:pPr>
      <w:bookmarkStart w:id="145" w:name="_Toc67377818"/>
      <w:bookmarkStart w:id="146" w:name="_Toc67381561"/>
      <w:bookmarkStart w:id="147" w:name="_Toc130204481"/>
      <w:r w:rsidRPr="00A157BA">
        <w:rPr>
          <w:rFonts w:asciiTheme="minorHAnsi" w:hAnsiTheme="minorHAnsi" w:cstheme="minorHAnsi"/>
          <w:lang w:eastAsia="es-GT"/>
        </w:rPr>
        <w:t xml:space="preserve">Gráfica </w:t>
      </w:r>
      <w:r w:rsidR="007F134F" w:rsidRPr="00A157BA">
        <w:rPr>
          <w:rFonts w:asciiTheme="minorHAnsi" w:hAnsiTheme="minorHAnsi" w:cstheme="minorHAnsi"/>
          <w:lang w:eastAsia="es-GT"/>
        </w:rPr>
        <w:fldChar w:fldCharType="begin"/>
      </w:r>
      <w:r w:rsidR="007F134F" w:rsidRPr="00A157BA">
        <w:rPr>
          <w:rFonts w:asciiTheme="minorHAnsi" w:hAnsiTheme="minorHAnsi" w:cstheme="minorHAnsi"/>
          <w:lang w:eastAsia="es-GT"/>
        </w:rPr>
        <w:instrText xml:space="preserve"> SEQ Gráfica \* ARABIC </w:instrText>
      </w:r>
      <w:r w:rsidR="007F134F" w:rsidRPr="00A157BA">
        <w:rPr>
          <w:rFonts w:asciiTheme="minorHAnsi" w:hAnsiTheme="minorHAnsi" w:cstheme="minorHAnsi"/>
          <w:lang w:eastAsia="es-GT"/>
        </w:rPr>
        <w:fldChar w:fldCharType="separate"/>
      </w:r>
      <w:r w:rsidR="00777974">
        <w:rPr>
          <w:rFonts w:asciiTheme="minorHAnsi" w:hAnsiTheme="minorHAnsi" w:cstheme="minorHAnsi"/>
          <w:noProof/>
          <w:lang w:eastAsia="es-GT"/>
        </w:rPr>
        <w:t>13</w:t>
      </w:r>
      <w:bookmarkEnd w:id="145"/>
      <w:bookmarkEnd w:id="146"/>
      <w:r w:rsidR="007F134F" w:rsidRPr="00A157BA">
        <w:rPr>
          <w:rFonts w:asciiTheme="minorHAnsi" w:hAnsiTheme="minorHAnsi" w:cstheme="minorHAnsi"/>
          <w:lang w:eastAsia="es-GT"/>
        </w:rPr>
        <w:fldChar w:fldCharType="end"/>
      </w:r>
      <w:r w:rsidR="00E50AFC" w:rsidRPr="00A157BA">
        <w:rPr>
          <w:rFonts w:asciiTheme="minorHAnsi" w:hAnsiTheme="minorHAnsi" w:cstheme="minorHAnsi"/>
          <w:lang w:eastAsia="es-GT"/>
        </w:rPr>
        <w:t>.</w:t>
      </w:r>
      <w:r w:rsidR="003562C1" w:rsidRPr="00A157BA">
        <w:rPr>
          <w:rFonts w:asciiTheme="minorHAnsi" w:hAnsiTheme="minorHAnsi" w:cstheme="minorHAnsi"/>
          <w:lang w:eastAsia="es-GT"/>
        </w:rPr>
        <w:t xml:space="preserve"> </w:t>
      </w:r>
      <w:r w:rsidR="005B5391" w:rsidRPr="00A157BA">
        <w:rPr>
          <w:rFonts w:asciiTheme="minorHAnsi" w:hAnsiTheme="minorHAnsi" w:cstheme="minorHAnsi"/>
          <w:lang w:eastAsia="es-GT"/>
        </w:rPr>
        <w:t>Distribución del presupuesto asignado</w:t>
      </w:r>
      <w:r w:rsidR="00E50AFC" w:rsidRPr="00A157BA">
        <w:rPr>
          <w:rFonts w:asciiTheme="minorHAnsi" w:hAnsiTheme="minorHAnsi" w:cstheme="minorHAnsi"/>
          <w:lang w:eastAsia="es-GT"/>
        </w:rPr>
        <w:t xml:space="preserve"> y </w:t>
      </w:r>
      <w:r w:rsidR="005B5391" w:rsidRPr="00A157BA">
        <w:rPr>
          <w:rFonts w:asciiTheme="minorHAnsi" w:hAnsiTheme="minorHAnsi" w:cstheme="minorHAnsi"/>
          <w:lang w:eastAsia="es-GT"/>
        </w:rPr>
        <w:t>vigente</w:t>
      </w:r>
      <w:bookmarkEnd w:id="147"/>
      <w:r w:rsidR="005B5391" w:rsidRPr="00A157BA">
        <w:rPr>
          <w:rFonts w:asciiTheme="minorHAnsi" w:hAnsiTheme="minorHAnsi" w:cstheme="minorHAnsi"/>
          <w:lang w:eastAsia="es-GT"/>
        </w:rPr>
        <w:t xml:space="preserve"> </w:t>
      </w:r>
    </w:p>
    <w:p w14:paraId="23BC0623" w14:textId="11E58D09" w:rsidR="005B5391" w:rsidRPr="00A157BA" w:rsidRDefault="005B5391" w:rsidP="0053294E">
      <w:pPr>
        <w:pStyle w:val="ttulosgrficas"/>
        <w:rPr>
          <w:rFonts w:asciiTheme="minorHAnsi" w:hAnsiTheme="minorHAnsi" w:cstheme="minorHAnsi"/>
          <w:lang w:eastAsia="es-GT"/>
        </w:rPr>
      </w:pPr>
      <w:r w:rsidRPr="00A157BA">
        <w:rPr>
          <w:rFonts w:asciiTheme="minorHAnsi" w:hAnsiTheme="minorHAnsi" w:cstheme="minorHAnsi"/>
          <w:lang w:eastAsia="es-GT"/>
        </w:rPr>
        <w:t>Fuente cooperante</w:t>
      </w:r>
      <w:r w:rsidR="00E50AFC" w:rsidRPr="00A157BA">
        <w:rPr>
          <w:rFonts w:asciiTheme="minorHAnsi" w:hAnsiTheme="minorHAnsi" w:cstheme="minorHAnsi"/>
          <w:lang w:eastAsia="es-GT"/>
        </w:rPr>
        <w:t xml:space="preserve"> a</w:t>
      </w:r>
      <w:r w:rsidRPr="00A157BA">
        <w:rPr>
          <w:rFonts w:asciiTheme="minorHAnsi" w:hAnsiTheme="minorHAnsi" w:cstheme="minorHAnsi"/>
          <w:lang w:eastAsia="es-GT"/>
        </w:rPr>
        <w:t xml:space="preserve"> diciembre </w:t>
      </w:r>
      <w:r w:rsidR="00BD1BD3" w:rsidRPr="00A157BA">
        <w:rPr>
          <w:rFonts w:asciiTheme="minorHAnsi" w:hAnsiTheme="minorHAnsi" w:cstheme="minorHAnsi"/>
          <w:lang w:eastAsia="es-GT"/>
        </w:rPr>
        <w:t>2022</w:t>
      </w:r>
    </w:p>
    <w:p w14:paraId="6AAD831C" w14:textId="5DC605D3" w:rsidR="00AA2593" w:rsidRPr="00A157BA" w:rsidRDefault="00A157BA" w:rsidP="004D5701">
      <w:pPr>
        <w:pStyle w:val="ttulosgrficas"/>
        <w:rPr>
          <w:rFonts w:asciiTheme="minorHAnsi" w:hAnsiTheme="minorHAnsi" w:cstheme="minorHAnsi"/>
          <w:lang w:eastAsia="es-GT"/>
        </w:rPr>
      </w:pPr>
      <w:r>
        <w:rPr>
          <w:noProof/>
        </w:rPr>
        <w:drawing>
          <wp:inline distT="0" distB="0" distL="0" distR="0" wp14:anchorId="10DA4586" wp14:editId="62D9C580">
            <wp:extent cx="5207330" cy="2024743"/>
            <wp:effectExtent l="0" t="0" r="12700" b="13970"/>
            <wp:docPr id="227935789" name="Gráfico 227935789">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E109EA2" w14:textId="3789C0E6" w:rsidR="00CE3D5C" w:rsidRPr="004D5701" w:rsidRDefault="00A157BA" w:rsidP="00CE3D5C">
      <w:pPr>
        <w:spacing w:after="0" w:line="240" w:lineRule="auto"/>
        <w:jc w:val="both"/>
        <w:rPr>
          <w:rFonts w:eastAsia="MS PGothic" w:cstheme="minorHAnsi"/>
          <w:iCs/>
          <w:sz w:val="16"/>
          <w:szCs w:val="18"/>
          <w:lang w:eastAsia="es-GT"/>
        </w:rPr>
      </w:pPr>
      <w:r>
        <w:rPr>
          <w:rFonts w:eastAsia="MS PGothic" w:cstheme="minorHAnsi"/>
          <w:bCs/>
          <w:iCs/>
          <w:sz w:val="16"/>
          <w:szCs w:val="18"/>
          <w:lang w:eastAsia="es-GT"/>
        </w:rPr>
        <w:tab/>
      </w:r>
      <w:r w:rsidR="00CE3D5C" w:rsidRPr="00A157BA">
        <w:rPr>
          <w:rFonts w:eastAsia="MS PGothic" w:cstheme="minorHAnsi"/>
          <w:bCs/>
          <w:iCs/>
          <w:sz w:val="16"/>
          <w:szCs w:val="18"/>
          <w:lang w:eastAsia="es-GT"/>
        </w:rPr>
        <w:t>Fuente: Elaboración propia SEGEPLAN con base a datos del Sistema de Contabilidad Integrada –SICOIN y SICOINDES-</w:t>
      </w:r>
      <w:r>
        <w:rPr>
          <w:rFonts w:eastAsia="MS PGothic" w:cstheme="minorHAnsi"/>
          <w:bCs/>
          <w:iCs/>
          <w:sz w:val="16"/>
          <w:szCs w:val="18"/>
          <w:lang w:eastAsia="es-GT"/>
        </w:rPr>
        <w:t>.</w:t>
      </w:r>
    </w:p>
    <w:p w14:paraId="1EA282A6" w14:textId="34065A18" w:rsidR="00CE3D5C" w:rsidRPr="007A6B50" w:rsidRDefault="00CE3D5C" w:rsidP="00CE3D5C">
      <w:pPr>
        <w:spacing w:after="0" w:line="240" w:lineRule="auto"/>
        <w:jc w:val="both"/>
        <w:rPr>
          <w:rFonts w:eastAsia="MS PGothic" w:cstheme="minorHAnsi"/>
          <w:i/>
          <w:iCs/>
          <w:sz w:val="16"/>
          <w:szCs w:val="18"/>
          <w:lang w:eastAsia="es-GT"/>
        </w:rPr>
      </w:pPr>
    </w:p>
    <w:p w14:paraId="0EB7FA9B" w14:textId="73814964" w:rsidR="004D30D9" w:rsidRPr="007A6B50" w:rsidRDefault="72A5A7BC" w:rsidP="00644EA2">
      <w:pPr>
        <w:pStyle w:val="Ttulo1"/>
        <w:numPr>
          <w:ilvl w:val="0"/>
          <w:numId w:val="105"/>
        </w:numPr>
        <w:rPr>
          <w:rFonts w:asciiTheme="minorHAnsi" w:hAnsiTheme="minorHAnsi" w:cstheme="minorHAnsi"/>
        </w:rPr>
      </w:pPr>
      <w:bookmarkStart w:id="148" w:name="_Toc130301111"/>
      <w:r w:rsidRPr="007A6B50">
        <w:rPr>
          <w:rFonts w:asciiTheme="minorHAnsi" w:hAnsiTheme="minorHAnsi" w:cstheme="minorHAnsi"/>
        </w:rPr>
        <w:t>Análisis de la Equidad</w:t>
      </w:r>
      <w:bookmarkEnd w:id="148"/>
    </w:p>
    <w:p w14:paraId="6AB7D224" w14:textId="362C3CBD" w:rsidR="005E2D10" w:rsidRPr="005E2D10" w:rsidRDefault="005E2D10" w:rsidP="005E2D10">
      <w:pPr>
        <w:tabs>
          <w:tab w:val="num" w:pos="360"/>
        </w:tabs>
        <w:spacing w:before="120" w:after="120" w:line="240" w:lineRule="auto"/>
        <w:jc w:val="both"/>
        <w:rPr>
          <w:rFonts w:eastAsia="Calibri" w:cstheme="minorHAnsi"/>
          <w:sz w:val="24"/>
          <w:szCs w:val="24"/>
        </w:rPr>
      </w:pPr>
      <w:r w:rsidRPr="005E2D10">
        <w:rPr>
          <w:rFonts w:eastAsia="Calibri" w:cstheme="minorHAnsi"/>
          <w:sz w:val="24"/>
          <w:szCs w:val="24"/>
        </w:rPr>
        <w:t xml:space="preserve">En este apartado se presentan los resultados de las principales acciones que fueron implementadas a lo largo del año 2022, con énfasis en el tercer cuatrimestre, con el propósito de brindar un mejor servicio público, orientado a mejorar las condiciones de vida de la población. Para el efecto, se hace referencia a los logros que presentan mayor impacto sobre los resultados institucionales y de la PGG 2020-2024, así como a los desafíos pendientes para mejorar los resultados en el futuro. De esta manera, se puede concebir la forma como la calidad del gasto se convierte en beneficios concretos para la sociedad guatemalteca.  </w:t>
      </w:r>
    </w:p>
    <w:p w14:paraId="0C1D6FBB" w14:textId="77777777" w:rsidR="007717B2" w:rsidRPr="007717B2" w:rsidRDefault="007717B2" w:rsidP="007717B2">
      <w:pPr>
        <w:tabs>
          <w:tab w:val="num" w:pos="360"/>
        </w:tabs>
        <w:spacing w:before="120" w:after="120" w:line="240" w:lineRule="auto"/>
        <w:jc w:val="both"/>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Análisis de los logros respecto a los resultados institucionales</w:t>
      </w:r>
    </w:p>
    <w:p w14:paraId="60540D62" w14:textId="77777777"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Ministerios </w:t>
      </w:r>
    </w:p>
    <w:p w14:paraId="1392482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Finanzas Públicas (MINFIN)</w:t>
      </w:r>
      <w:r w:rsidRPr="007717B2">
        <w:rPr>
          <w:rFonts w:ascii="Calibri" w:eastAsia="Times New Roman" w:hAnsi="Calibri" w:cs="Calibri"/>
          <w:sz w:val="24"/>
          <w:szCs w:val="24"/>
          <w:lang w:val="es-ES" w:eastAsia="es-GT"/>
        </w:rPr>
        <w:t> </w:t>
      </w:r>
    </w:p>
    <w:p w14:paraId="6DE630E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Los principales logros del MINFIN en el tercer cuatrimestre 2022, fueron:</w:t>
      </w:r>
      <w:r w:rsidRPr="007717B2">
        <w:rPr>
          <w:rFonts w:ascii="Calibri" w:eastAsia="Times New Roman" w:hAnsi="Calibri" w:cs="Calibri"/>
          <w:sz w:val="24"/>
          <w:szCs w:val="24"/>
          <w:lang w:val="es-ES" w:eastAsia="es-GT"/>
        </w:rPr>
        <w:t> </w:t>
      </w:r>
    </w:p>
    <w:p w14:paraId="32EE944A" w14:textId="77777777" w:rsidR="007717B2" w:rsidRPr="007717B2" w:rsidRDefault="007717B2" w:rsidP="003C1D42">
      <w:pPr>
        <w:numPr>
          <w:ilvl w:val="0"/>
          <w:numId w:val="4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Proceso de Presupuesto abierto para fortalecer la transparencia y calidad del gasto, donde se abordaron los temas de gran cruzada por la nutrición, brecha educativa, reactivación económica, programas sociales y generación de empleo, entre otros, como proceso de diálogo participativo.</w:t>
      </w:r>
    </w:p>
    <w:p w14:paraId="05BB9F4C" w14:textId="77777777" w:rsidR="007717B2" w:rsidRPr="007717B2" w:rsidRDefault="007717B2" w:rsidP="003C1D42">
      <w:pPr>
        <w:numPr>
          <w:ilvl w:val="0"/>
          <w:numId w:val="4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Portales de transparencia del Gobierno de Guatemala, a través de los portales de: datos abiertos, de transparencia fiscal, de las ONG, de cobros en línea, de préstamos externos, de fideicomisos, de atención virtual, de transparencia presupuestaria, y el portal de la Ley de Acceso a la Información Pública. </w:t>
      </w:r>
      <w:r w:rsidRPr="007717B2">
        <w:rPr>
          <w:rFonts w:ascii="Calibri" w:eastAsia="Times New Roman" w:hAnsi="Calibri" w:cs="Calibri"/>
          <w:color w:val="000000"/>
          <w:sz w:val="24"/>
          <w:szCs w:val="24"/>
          <w:lang w:val="es-ES" w:eastAsia="es-GT"/>
        </w:rPr>
        <w:t> </w:t>
      </w:r>
    </w:p>
    <w:p w14:paraId="09DAD3D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Economía (MINECO)</w:t>
      </w:r>
      <w:r w:rsidRPr="007717B2">
        <w:rPr>
          <w:rFonts w:ascii="Calibri" w:eastAsia="Times New Roman" w:hAnsi="Calibri" w:cs="Calibri"/>
          <w:color w:val="000000"/>
          <w:sz w:val="24"/>
          <w:szCs w:val="24"/>
          <w:lang w:val="es-ES" w:eastAsia="es-GT"/>
        </w:rPr>
        <w:t> </w:t>
      </w:r>
    </w:p>
    <w:p w14:paraId="2AFEBA6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La cartera de Economía, por su parte, obtuvo los avances siguientes:</w:t>
      </w:r>
      <w:r w:rsidRPr="007717B2">
        <w:rPr>
          <w:rFonts w:ascii="Calibri" w:eastAsia="Times New Roman" w:hAnsi="Calibri" w:cs="Calibri"/>
          <w:color w:val="000000"/>
          <w:sz w:val="24"/>
          <w:szCs w:val="24"/>
          <w:lang w:val="es-ES" w:eastAsia="es-GT"/>
        </w:rPr>
        <w:t> </w:t>
      </w:r>
    </w:p>
    <w:p w14:paraId="0941B13A" w14:textId="77777777" w:rsidR="007717B2" w:rsidRPr="007717B2" w:rsidRDefault="007717B2" w:rsidP="0053294E">
      <w:pPr>
        <w:numPr>
          <w:ilvl w:val="0"/>
          <w:numId w:val="4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lograron más de 70 nuevos proyectos de inversión y reinversión, generando un total de atracción de inversión de US$1,816 millones de dólares y alrededor de 50,000 potenciales empleos.</w:t>
      </w:r>
      <w:r w:rsidRPr="007717B2">
        <w:rPr>
          <w:rFonts w:ascii="Calibri" w:eastAsia="Times New Roman" w:hAnsi="Calibri" w:cs="Calibri"/>
          <w:color w:val="000000"/>
          <w:sz w:val="24"/>
          <w:szCs w:val="24"/>
          <w:lang w:val="es-ES" w:eastAsia="es-GT"/>
        </w:rPr>
        <w:t> </w:t>
      </w:r>
    </w:p>
    <w:p w14:paraId="3838AD33" w14:textId="77777777" w:rsidR="007717B2" w:rsidRPr="007717B2" w:rsidRDefault="007717B2" w:rsidP="0053294E">
      <w:pPr>
        <w:tabs>
          <w:tab w:val="num" w:pos="360"/>
        </w:tabs>
        <w:spacing w:before="120" w:after="120" w:line="240" w:lineRule="auto"/>
        <w:ind w:left="708"/>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De los 1,823 préstamos otorgados al 31 de diciembre del año 2022, 1,721 corresponden a préstamos a microempresas por un monto de Q.106,694,905.38, contribuyendo a la meta PGG "para el año 2023 se ha incrementado el monto de los créditos para emprendimientos de familias pobres a Q.200,000,000.00.</w:t>
      </w:r>
      <w:r w:rsidRPr="007717B2">
        <w:rPr>
          <w:rFonts w:ascii="Calibri" w:eastAsia="Times New Roman" w:hAnsi="Calibri" w:cs="Calibri"/>
          <w:color w:val="000000"/>
          <w:sz w:val="24"/>
          <w:szCs w:val="24"/>
          <w:lang w:val="es-ES" w:eastAsia="es-GT"/>
        </w:rPr>
        <w:t> </w:t>
      </w:r>
    </w:p>
    <w:p w14:paraId="71596108" w14:textId="77777777" w:rsidR="007717B2" w:rsidRPr="007717B2" w:rsidRDefault="007717B2" w:rsidP="0053294E">
      <w:pPr>
        <w:numPr>
          <w:ilvl w:val="0"/>
          <w:numId w:val="4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7,889 personas fueron beneficiadas con becas de aprendizaje de idioma inglés para empleo y enfermería.</w:t>
      </w:r>
      <w:r w:rsidRPr="007717B2">
        <w:rPr>
          <w:rFonts w:ascii="Calibri" w:eastAsia="Times New Roman" w:hAnsi="Calibri" w:cs="Calibri"/>
          <w:color w:val="000000"/>
          <w:sz w:val="24"/>
          <w:szCs w:val="24"/>
          <w:lang w:val="es-ES" w:eastAsia="es-GT"/>
        </w:rPr>
        <w:t> </w:t>
      </w:r>
    </w:p>
    <w:p w14:paraId="0CEC522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Agricultura, Ganadería y Alimentación (MAGA)</w:t>
      </w:r>
      <w:r w:rsidRPr="007717B2">
        <w:rPr>
          <w:rFonts w:ascii="Calibri" w:eastAsia="Times New Roman" w:hAnsi="Calibri" w:cs="Calibri"/>
          <w:color w:val="000000"/>
          <w:sz w:val="24"/>
          <w:szCs w:val="24"/>
          <w:lang w:val="es-ES" w:eastAsia="es-GT"/>
        </w:rPr>
        <w:t> </w:t>
      </w:r>
    </w:p>
    <w:p w14:paraId="6117E7A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el tercer trimestre, el MAGA logró avances, destacando entre ellos los siguientes:</w:t>
      </w:r>
      <w:r w:rsidRPr="007717B2">
        <w:rPr>
          <w:rFonts w:ascii="Calibri" w:eastAsia="Times New Roman" w:hAnsi="Calibri" w:cs="Calibri"/>
          <w:color w:val="000000"/>
          <w:sz w:val="24"/>
          <w:szCs w:val="24"/>
          <w:lang w:val="es-ES" w:eastAsia="es-GT"/>
        </w:rPr>
        <w:t> </w:t>
      </w:r>
    </w:p>
    <w:p w14:paraId="6D1EAA76" w14:textId="77777777" w:rsidR="007717B2" w:rsidRPr="007717B2" w:rsidRDefault="007717B2" w:rsidP="003C1D42">
      <w:pPr>
        <w:numPr>
          <w:ilvl w:val="0"/>
          <w:numId w:val="41"/>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Se finalizaron las obras siguientes: mejoramiento del sistema de riego La Palma, municipio de Río Hondo, Zacapa y mejoramiento del sistema de riego Oajaca, municipio de Gualán, Zacapa. Se registró un avance de 3,947 y 3,101 metros cuadrados, respectivamente. </w:t>
      </w:r>
    </w:p>
    <w:p w14:paraId="4C7E64EE" w14:textId="77777777" w:rsidR="007717B2" w:rsidRPr="007717B2" w:rsidRDefault="007717B2" w:rsidP="00DF02CF">
      <w:pPr>
        <w:numPr>
          <w:ilvl w:val="0"/>
          <w:numId w:val="41"/>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apoyó a la agricultura familiar para el fortalecimiento de la economía campesina a través de los resultados siguientes:</w:t>
      </w:r>
    </w:p>
    <w:p w14:paraId="27F2E63D" w14:textId="77777777" w:rsidR="007717B2" w:rsidRPr="007717B2" w:rsidRDefault="007717B2" w:rsidP="00DF02CF">
      <w:pPr>
        <w:numPr>
          <w:ilvl w:val="1"/>
          <w:numId w:val="4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47,109 agricultores beneficiados con estipendios para implementación de prácticas de conservación de suelos.</w:t>
      </w:r>
    </w:p>
    <w:p w14:paraId="2C777B97" w14:textId="77777777" w:rsidR="007717B2" w:rsidRPr="007717B2" w:rsidRDefault="007717B2" w:rsidP="00DF02CF">
      <w:pPr>
        <w:numPr>
          <w:ilvl w:val="1"/>
          <w:numId w:val="4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100,179 productores con estipendio y capacitación en prácticas de conservación de suelos.</w:t>
      </w:r>
    </w:p>
    <w:p w14:paraId="7ECD29FE" w14:textId="77777777" w:rsidR="007717B2" w:rsidRPr="007717B2" w:rsidRDefault="007717B2" w:rsidP="00DF02CF">
      <w:pPr>
        <w:numPr>
          <w:ilvl w:val="0"/>
          <w:numId w:val="4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Asimismo, en atención al estado de calamidad pública por los efectos de la época lluviosa y el ciclón tropical Julia, se benefició a 35,108 agricultores con estipendios por su colaboración.</w:t>
      </w:r>
    </w:p>
    <w:p w14:paraId="1FD0E2D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Energía y Minas (MEM)</w:t>
      </w:r>
      <w:r w:rsidRPr="007717B2">
        <w:rPr>
          <w:rFonts w:ascii="Calibri" w:eastAsia="Times New Roman" w:hAnsi="Calibri" w:cs="Calibri"/>
          <w:color w:val="000000"/>
          <w:sz w:val="24"/>
          <w:szCs w:val="24"/>
          <w:lang w:val="es-ES" w:eastAsia="es-GT"/>
        </w:rPr>
        <w:t> </w:t>
      </w:r>
    </w:p>
    <w:p w14:paraId="2B9A5B5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el caso del MEM, los resultados obtenidos fueron:</w:t>
      </w:r>
      <w:r w:rsidRPr="007717B2">
        <w:rPr>
          <w:rFonts w:ascii="Calibri" w:eastAsia="Times New Roman" w:hAnsi="Calibri" w:cs="Calibri"/>
          <w:color w:val="000000"/>
          <w:sz w:val="24"/>
          <w:szCs w:val="24"/>
          <w:lang w:val="es-ES" w:eastAsia="es-GT"/>
        </w:rPr>
        <w:t> </w:t>
      </w:r>
    </w:p>
    <w:p w14:paraId="5BAF1CA1" w14:textId="77777777" w:rsidR="007717B2" w:rsidRPr="007717B2" w:rsidRDefault="007717B2" w:rsidP="003C1D42">
      <w:pPr>
        <w:numPr>
          <w:ilvl w:val="0"/>
          <w:numId w:val="43"/>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Con relación al gas licuado de petróleo, el MEM continuó otorgando el apoyo social temporal a los consumidores de gas propano, envasado en cilindros de 10, 20, 25 y 35 libras. </w:t>
      </w:r>
    </w:p>
    <w:p w14:paraId="67EA2846" w14:textId="77777777" w:rsidR="007717B2" w:rsidRPr="007717B2" w:rsidRDefault="007717B2" w:rsidP="003C1D42">
      <w:pPr>
        <w:numPr>
          <w:ilvl w:val="0"/>
          <w:numId w:val="43"/>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Durante el tercer cuatrimestre se brindaron 4 de 12 aportes (100.00 % de avance en meta física acumulada), cuyo beneficio se proyecta aproximadamente a un millón ochocientas mil hogares que utilizan el producto en mención.</w:t>
      </w:r>
    </w:p>
    <w:p w14:paraId="1D17F2D4" w14:textId="77777777" w:rsidR="007717B2" w:rsidRPr="007717B2" w:rsidRDefault="007717B2" w:rsidP="003C1D42">
      <w:pPr>
        <w:numPr>
          <w:ilvl w:val="0"/>
          <w:numId w:val="43"/>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cuanto al apoyo social temporal a los consumidores de diésel y gasolina, el MEM presentó las iniciativas de ley respectivas, las cuales fueron aprobadas por medio de los decretos números 20-2022 y 42-2022, que incluyeron beneficios económicos para la población guatemalteca. Dichos beneficios consistieron en Q7.00 por cada galón de diésel, Q5.00 por cada galón de gasolina regular, Q5.00 por cada galón de gasolina superior y Q5.00 adicionales por cada galón de diésel.</w:t>
      </w:r>
      <w:r w:rsidRPr="007717B2">
        <w:rPr>
          <w:rFonts w:ascii="Calibri" w:eastAsia="Times New Roman" w:hAnsi="Calibri" w:cs="Calibri"/>
          <w:color w:val="000000"/>
          <w:sz w:val="24"/>
          <w:szCs w:val="24"/>
          <w:lang w:val="es-ES" w:eastAsia="es-GT"/>
        </w:rPr>
        <w:t xml:space="preserve">  </w:t>
      </w:r>
    </w:p>
    <w:p w14:paraId="3ACB69FC" w14:textId="77777777" w:rsidR="007717B2" w:rsidRPr="007717B2" w:rsidRDefault="007717B2" w:rsidP="007717B2">
      <w:pPr>
        <w:spacing w:before="120" w:after="120" w:line="240" w:lineRule="auto"/>
        <w:ind w:left="714"/>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beneficio, en el caso del diésel, es para la mayor parte de la población guatemalteca que utiliza este producto. En el caso de la gasolina regular y la gasolina superior, se ha beneficiado a más de 4.7 millones de usuarios.</w:t>
      </w:r>
    </w:p>
    <w:p w14:paraId="28ADC08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Ambiente y Recursos Naturales (MARN)</w:t>
      </w:r>
      <w:r w:rsidRPr="007717B2">
        <w:rPr>
          <w:rFonts w:ascii="Calibri" w:eastAsia="Times New Roman" w:hAnsi="Calibri" w:cs="Calibri"/>
          <w:sz w:val="24"/>
          <w:szCs w:val="24"/>
          <w:lang w:val="es-ES" w:eastAsia="es-GT"/>
        </w:rPr>
        <w:t>  </w:t>
      </w:r>
    </w:p>
    <w:p w14:paraId="2CBF44D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Como logros alcanzados en el tercer cuatrimestre, por el Ministerio de Ambiente, se encuentran los siguientes: </w:t>
      </w:r>
      <w:r w:rsidRPr="007717B2">
        <w:rPr>
          <w:rFonts w:ascii="Calibri" w:eastAsia="Times New Roman" w:hAnsi="Calibri" w:cs="Calibri"/>
          <w:color w:val="000000"/>
          <w:sz w:val="24"/>
          <w:szCs w:val="24"/>
          <w:lang w:val="es-ES" w:eastAsia="es-GT"/>
        </w:rPr>
        <w:t> </w:t>
      </w:r>
    </w:p>
    <w:p w14:paraId="40C1EC57" w14:textId="77777777" w:rsidR="007717B2" w:rsidRPr="007717B2" w:rsidRDefault="007717B2" w:rsidP="003C1D42">
      <w:pPr>
        <w:numPr>
          <w:ilvl w:val="0"/>
          <w:numId w:val="4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Creación de la Unidad Ejecutora del Fondo Nacional de Cambio Climático -FONCC: Como avance identificado en la creación del FONCC en el tercer cuatrimestre 2022, se están realizando las gestiones necesarias para la conformación de la Unidad Ejecutora que tendrá bajo su cargo la administración de los recursos enfocados en proyectos para la mitigación y adaptación al cambio climático en Guatemala. El comité técnico se encuentra en la fase de actualización del Reglamento Orgánico Interno -ROI-, para su posterior entrega y aval por parte de la Oficina Nacional de Servicio Civil -ONSEC-. </w:t>
      </w:r>
    </w:p>
    <w:p w14:paraId="6A948A76" w14:textId="77777777" w:rsidR="007717B2" w:rsidRPr="007717B2" w:rsidRDefault="007717B2" w:rsidP="003C1D42">
      <w:pPr>
        <w:numPr>
          <w:ilvl w:val="0"/>
          <w:numId w:val="4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Reglamento para la Gestión Integral de los Residuos y Desechos Sólidos Comunes. Acuerdo Gubernativo 164-2021: se han capacitado a 63,743 personas. El objetivo principal es establecer las normas sanitarias y ambientales que deben aplicarse para la gestión integral de los residuos y desechos sólidos comunes.</w:t>
      </w:r>
      <w:r w:rsidRPr="007717B2">
        <w:rPr>
          <w:rFonts w:ascii="Calibri" w:eastAsia="Times New Roman" w:hAnsi="Calibri" w:cs="Calibri"/>
          <w:color w:val="000000"/>
          <w:sz w:val="24"/>
          <w:szCs w:val="24"/>
          <w:lang w:val="es-ES" w:eastAsia="es-GT"/>
        </w:rPr>
        <w:t> </w:t>
      </w:r>
    </w:p>
    <w:p w14:paraId="5F90CE4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Desarrollo Social (MIDES)</w:t>
      </w:r>
      <w:r w:rsidRPr="007717B2">
        <w:rPr>
          <w:rFonts w:ascii="Calibri" w:eastAsia="Times New Roman" w:hAnsi="Calibri" w:cs="Calibri"/>
          <w:sz w:val="24"/>
          <w:szCs w:val="24"/>
          <w:lang w:val="es-ES" w:eastAsia="es-GT"/>
        </w:rPr>
        <w:t> </w:t>
      </w:r>
    </w:p>
    <w:p w14:paraId="514715F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Los dos avances más sobresalientes del MIDES fueron:</w:t>
      </w:r>
    </w:p>
    <w:p w14:paraId="2F23B00E" w14:textId="77777777" w:rsidR="007717B2" w:rsidRPr="007717B2" w:rsidRDefault="007717B2" w:rsidP="003C1D42">
      <w:pPr>
        <w:numPr>
          <w:ilvl w:val="0"/>
          <w:numId w:val="9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Beca Artesano:</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eastAsia="es-GT"/>
        </w:rPr>
        <w:t>durante el año 2022 se atendió a 4,594 personas usuarias.</w:t>
      </w:r>
      <w:r w:rsidRPr="007717B2">
        <w:rPr>
          <w:rFonts w:ascii="Calibri" w:eastAsia="Times New Roman" w:hAnsi="Calibri" w:cs="Calibri"/>
          <w:color w:val="000000"/>
          <w:sz w:val="24"/>
          <w:szCs w:val="24"/>
          <w:lang w:val="es-ES" w:eastAsia="es-GT"/>
        </w:rPr>
        <w:t> </w:t>
      </w:r>
    </w:p>
    <w:p w14:paraId="0725C974" w14:textId="77777777" w:rsidR="007717B2" w:rsidRPr="007717B2" w:rsidRDefault="007717B2" w:rsidP="003C1D42">
      <w:pPr>
        <w:numPr>
          <w:ilvl w:val="0"/>
          <w:numId w:val="93"/>
        </w:num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Comedores:</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eastAsia="es-GT"/>
        </w:rPr>
        <w:t>de los principales logros obtenidos por el programa durante el tercer cuatrimestre del presente año, fue la continuidad de los 62 comedores sociales que ya estaban funcionando, así como la apertura de nueve 9 adicionales a nivel nacional. Durante este tercer cuatrimestre se han servido un total de 1,363,572 desayunos y 2,041,644 almuerzos, haciendo un total de 3,405,216 raciones de alimentos, contribuyendo a la seguridad alimentaria y nutricional de las personas en situación de vulnerabilidad.</w:t>
      </w:r>
      <w:r w:rsidRPr="007717B2">
        <w:rPr>
          <w:rFonts w:ascii="Calibri" w:eastAsia="Times New Roman" w:hAnsi="Calibri" w:cs="Calibri"/>
          <w:color w:val="000000"/>
          <w:sz w:val="24"/>
          <w:szCs w:val="24"/>
          <w:lang w:val="es-ES" w:eastAsia="es-GT"/>
        </w:rPr>
        <w:t> </w:t>
      </w:r>
    </w:p>
    <w:p w14:paraId="4FAE1BB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Educación (MINEDUC)</w:t>
      </w:r>
      <w:r w:rsidRPr="007717B2">
        <w:rPr>
          <w:rFonts w:ascii="Calibri" w:eastAsia="Times New Roman" w:hAnsi="Calibri" w:cs="Calibri"/>
          <w:sz w:val="24"/>
          <w:szCs w:val="24"/>
          <w:lang w:val="es-ES" w:eastAsia="es-GT"/>
        </w:rPr>
        <w:t> </w:t>
      </w:r>
    </w:p>
    <w:p w14:paraId="656B0F2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Los logros más destacados de la cartera de Educación, fueron:</w:t>
      </w:r>
      <w:r w:rsidRPr="007717B2">
        <w:rPr>
          <w:rFonts w:ascii="Calibri" w:eastAsia="Times New Roman" w:hAnsi="Calibri" w:cs="Calibri"/>
          <w:sz w:val="24"/>
          <w:szCs w:val="24"/>
          <w:lang w:val="es-ES" w:eastAsia="es-GT"/>
        </w:rPr>
        <w:t> </w:t>
      </w:r>
    </w:p>
    <w:p w14:paraId="57304D4A" w14:textId="77777777" w:rsidR="007717B2" w:rsidRPr="007717B2" w:rsidRDefault="007717B2" w:rsidP="003C1D42">
      <w:pPr>
        <w:numPr>
          <w:ilvl w:val="0"/>
          <w:numId w:val="4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2,560,790 estudiantes de preprimaria y primaria de centros educativos oficiales fueron beneficiados con el programa de Seguro Médico Escolar, en 301 municipios y 22 departamentos.</w:t>
      </w:r>
      <w:r w:rsidRPr="007717B2">
        <w:rPr>
          <w:rFonts w:ascii="Calibri" w:eastAsia="Times New Roman" w:hAnsi="Calibri" w:cs="Calibri"/>
          <w:color w:val="000000"/>
          <w:sz w:val="24"/>
          <w:szCs w:val="24"/>
          <w:vertAlign w:val="superscript"/>
          <w:lang w:eastAsia="es-GT"/>
        </w:rPr>
        <w:footnoteReference w:id="14"/>
      </w:r>
      <w:r w:rsidRPr="007717B2">
        <w:rPr>
          <w:rFonts w:ascii="Calibri" w:eastAsia="Times New Roman" w:hAnsi="Calibri" w:cs="Calibri"/>
          <w:color w:val="000000"/>
          <w:sz w:val="24"/>
          <w:szCs w:val="24"/>
          <w:lang w:val="es-ES" w:eastAsia="es-GT"/>
        </w:rPr>
        <w:t> </w:t>
      </w:r>
    </w:p>
    <w:p w14:paraId="7311E3BA" w14:textId="77777777" w:rsidR="007717B2" w:rsidRPr="007717B2" w:rsidRDefault="007717B2" w:rsidP="003C1D42">
      <w:pPr>
        <w:numPr>
          <w:ilvl w:val="0"/>
          <w:numId w:val="4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2,654,473 estudiantes de los niveles preprimaria y primarita fueron atendidos con el Programa de Alimentación Escolar, con el objeto de contribuir al crecimiento y desarrollo de niños y adolescentes en edad escolar, enfocándose en el aprendizaje, el rendimiento escolar y la formación de hábitos alimenticios saludables.</w:t>
      </w:r>
      <w:r w:rsidRPr="007717B2">
        <w:rPr>
          <w:rFonts w:ascii="Calibri" w:eastAsia="Times New Roman" w:hAnsi="Calibri" w:cs="Calibri"/>
          <w:color w:val="000000"/>
          <w:sz w:val="24"/>
          <w:szCs w:val="24"/>
          <w:lang w:val="es-ES" w:eastAsia="es-GT"/>
        </w:rPr>
        <w:t> </w:t>
      </w:r>
    </w:p>
    <w:p w14:paraId="105A3A3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Cultura y Deportes (MICUDE)</w:t>
      </w:r>
      <w:r w:rsidRPr="007717B2">
        <w:rPr>
          <w:rFonts w:ascii="Calibri" w:eastAsia="Times New Roman" w:hAnsi="Calibri" w:cs="Calibri"/>
          <w:sz w:val="24"/>
          <w:szCs w:val="24"/>
          <w:lang w:val="es-ES" w:eastAsia="es-GT"/>
        </w:rPr>
        <w:t> </w:t>
      </w:r>
    </w:p>
    <w:p w14:paraId="70788D0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Respecto al Ministerio de Cultura y Deportes, sus principales avances en el cuatrimestre fueron:</w:t>
      </w:r>
      <w:r w:rsidRPr="007717B2">
        <w:rPr>
          <w:rFonts w:ascii="Calibri" w:eastAsia="Times New Roman" w:hAnsi="Calibri" w:cs="Calibri"/>
          <w:sz w:val="24"/>
          <w:szCs w:val="24"/>
          <w:lang w:val="es-ES" w:eastAsia="es-GT"/>
        </w:rPr>
        <w:t> </w:t>
      </w:r>
    </w:p>
    <w:p w14:paraId="5BC703BB" w14:textId="77777777" w:rsidR="007717B2" w:rsidRPr="007717B2" w:rsidRDefault="007717B2" w:rsidP="003C1D42">
      <w:pPr>
        <w:numPr>
          <w:ilvl w:val="0"/>
          <w:numId w:val="46"/>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Reconocimiento de la Semana Santa guatemalteca, ante la UNESCO, como Patrimonio Cultural Inmaterial de la Humanidad.</w:t>
      </w:r>
      <w:r w:rsidRPr="007717B2">
        <w:rPr>
          <w:rFonts w:ascii="Calibri" w:eastAsia="Times New Roman" w:hAnsi="Calibri" w:cs="Calibri"/>
          <w:color w:val="000000"/>
          <w:sz w:val="24"/>
          <w:szCs w:val="24"/>
          <w:lang w:val="es-ES" w:eastAsia="es-GT"/>
        </w:rPr>
        <w:t> </w:t>
      </w:r>
    </w:p>
    <w:p w14:paraId="7CE71424" w14:textId="77777777" w:rsidR="007717B2" w:rsidRPr="007717B2" w:rsidRDefault="007717B2" w:rsidP="003C1D42">
      <w:pPr>
        <w:numPr>
          <w:ilvl w:val="0"/>
          <w:numId w:val="46"/>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logró beneficiar con el certamen de literatura, arte y cultura “</w:t>
      </w:r>
      <w:r w:rsidRPr="007717B2">
        <w:rPr>
          <w:rFonts w:ascii="Calibri" w:eastAsia="Times New Roman" w:hAnsi="Calibri" w:cs="Calibri"/>
          <w:i/>
          <w:iCs/>
          <w:color w:val="000000"/>
          <w:sz w:val="24"/>
          <w:szCs w:val="24"/>
          <w:lang w:eastAsia="es-GT"/>
        </w:rPr>
        <w:t>Guatepaz</w:t>
      </w:r>
      <w:r w:rsidRPr="007717B2">
        <w:rPr>
          <w:rFonts w:ascii="Calibri" w:eastAsia="Times New Roman" w:hAnsi="Calibri" w:cs="Calibri"/>
          <w:color w:val="000000"/>
          <w:sz w:val="24"/>
          <w:szCs w:val="24"/>
          <w:lang w:eastAsia="es-GT"/>
        </w:rPr>
        <w:t>,” a más de 11,000 artistas de poesía, cuento corto, declamación, oratoria, canto, dibujo y pintura, danzas tradicionales, teatro y marimba.</w:t>
      </w:r>
      <w:r w:rsidRPr="007717B2">
        <w:rPr>
          <w:rFonts w:ascii="Calibri" w:eastAsia="Times New Roman" w:hAnsi="Calibri" w:cs="Calibri"/>
          <w:color w:val="000000"/>
          <w:sz w:val="24"/>
          <w:szCs w:val="24"/>
          <w:lang w:val="es-ES" w:eastAsia="es-GT"/>
        </w:rPr>
        <w:t> </w:t>
      </w:r>
    </w:p>
    <w:p w14:paraId="47FCA8E8" w14:textId="77777777" w:rsidR="007717B2" w:rsidRPr="007717B2" w:rsidRDefault="007717B2" w:rsidP="003C1D42">
      <w:pPr>
        <w:numPr>
          <w:ilvl w:val="0"/>
          <w:numId w:val="46"/>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Institucionalización de la iniciativa “Espacios,” como estrategia de promoción y difusión artística a través de la entrega de reconocimientos en efectivo.</w:t>
      </w:r>
      <w:r w:rsidRPr="007717B2">
        <w:rPr>
          <w:rFonts w:ascii="Calibri" w:eastAsia="Times New Roman" w:hAnsi="Calibri" w:cs="Calibri"/>
          <w:color w:val="000000"/>
          <w:sz w:val="24"/>
          <w:szCs w:val="24"/>
          <w:lang w:val="es-ES" w:eastAsia="es-GT"/>
        </w:rPr>
        <w:t> </w:t>
      </w:r>
    </w:p>
    <w:p w14:paraId="42E8A1A0" w14:textId="77777777" w:rsidR="007717B2" w:rsidRPr="007717B2" w:rsidRDefault="007717B2" w:rsidP="003C1D42">
      <w:pPr>
        <w:numPr>
          <w:ilvl w:val="0"/>
          <w:numId w:val="46"/>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Revitalización y habilitación del patrimonio cultural y natural, a través de la puesta en valor del parque arqueológico Tayasal, el complejo de museos nacionales, el Palacio Nacional de la Cultura, y el proyecto de Takalik Abaj</w:t>
      </w:r>
      <w:r w:rsidRPr="007717B2">
        <w:rPr>
          <w:rFonts w:ascii="Calibri" w:eastAsia="Times New Roman" w:hAnsi="Calibri" w:cs="Calibri"/>
          <w:color w:val="000000"/>
          <w:sz w:val="24"/>
          <w:szCs w:val="24"/>
          <w:lang w:val="es-ES" w:eastAsia="es-GT"/>
        </w:rPr>
        <w:t>.</w:t>
      </w:r>
    </w:p>
    <w:p w14:paraId="718D4CB1" w14:textId="77777777" w:rsidR="007717B2" w:rsidRPr="007717B2" w:rsidRDefault="007717B2" w:rsidP="007717B2">
      <w:pPr>
        <w:spacing w:before="120" w:after="120" w:line="240" w:lineRule="auto"/>
        <w:jc w:val="both"/>
        <w:textAlignment w:val="baseline"/>
        <w:rPr>
          <w:rFonts w:ascii="Calibri" w:eastAsia="Times New Roman" w:hAnsi="Calibri" w:cs="Calibri"/>
          <w:b/>
          <w:bCs/>
          <w:i/>
          <w:iCs/>
          <w:sz w:val="24"/>
          <w:szCs w:val="24"/>
          <w:lang w:eastAsia="es-GT"/>
        </w:rPr>
      </w:pPr>
    </w:p>
    <w:p w14:paraId="54C40CC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Salud Pública y Asistencia Social (MSPAS)</w:t>
      </w:r>
      <w:r w:rsidRPr="007717B2">
        <w:rPr>
          <w:rFonts w:ascii="Calibri" w:eastAsia="Times New Roman" w:hAnsi="Calibri" w:cs="Calibri"/>
          <w:sz w:val="24"/>
          <w:szCs w:val="24"/>
          <w:lang w:val="es-ES" w:eastAsia="es-GT"/>
        </w:rPr>
        <w:t> </w:t>
      </w:r>
    </w:p>
    <w:p w14:paraId="002AE61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Respecto a la cartera de Salud, la misma logró algunos avances importantes, que se detallan a continuación:</w:t>
      </w:r>
      <w:r w:rsidRPr="007717B2">
        <w:rPr>
          <w:rFonts w:ascii="Calibri" w:eastAsia="Times New Roman" w:hAnsi="Calibri" w:cs="Calibri"/>
          <w:sz w:val="24"/>
          <w:szCs w:val="24"/>
          <w:lang w:val="es-ES" w:eastAsia="es-GT"/>
        </w:rPr>
        <w:t> </w:t>
      </w:r>
    </w:p>
    <w:p w14:paraId="08CACCBE" w14:textId="77777777" w:rsidR="007717B2" w:rsidRPr="007717B2" w:rsidRDefault="007717B2" w:rsidP="003C1D42">
      <w:pPr>
        <w:numPr>
          <w:ilvl w:val="0"/>
          <w:numId w:val="47"/>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programa de enfermedades transmitidas por vectores, subprograma de malaria, logró la adquisición de equipos de cómputo y microscópico para la red de microscopía de malaria a nivel nacional. Además, se obtuvieron 210 equipos de cómputo para la implementación a nivel nacional del sistema de gestión de casos como parte del sistema de información de malaria, la distribución de 87 microscopios para la red de microscopía de malaria a nivel nacional, en las áreas de salud de 18 departamentos. Asimismo, se logró la adquisición de 48,000 pruebas de diagnóstico rápido de malaria.</w:t>
      </w:r>
      <w:r w:rsidRPr="007717B2">
        <w:rPr>
          <w:rFonts w:ascii="Calibri" w:eastAsia="Times New Roman" w:hAnsi="Calibri" w:cs="Calibri"/>
          <w:color w:val="000000"/>
          <w:sz w:val="24"/>
          <w:szCs w:val="24"/>
          <w:lang w:val="es-ES" w:eastAsia="es-GT"/>
        </w:rPr>
        <w:t> </w:t>
      </w:r>
    </w:p>
    <w:p w14:paraId="671D3F35" w14:textId="77777777" w:rsidR="007717B2" w:rsidRPr="007717B2" w:rsidRDefault="007717B2" w:rsidP="003C1D42">
      <w:pPr>
        <w:numPr>
          <w:ilvl w:val="0"/>
          <w:numId w:val="47"/>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Como avance para el tercer cuatrimestre, en el cumplimiento de las metas institucionales del MSPAS y de los Objetivos de Desarrollo Sostenible, concretamente en materia de prevención y control de las enfermedades vectoriales y zoonóticas, como el dengue, chikungunya y zika, se logró la atención preventiva a través de las acciones realizadas por el personal de salud a nivel nacional, dando como resultado 194,286 personas beneficiadas.</w:t>
      </w:r>
    </w:p>
    <w:p w14:paraId="680EC69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Trabajo y Previsión Social (MINTRAB)</w:t>
      </w:r>
      <w:r w:rsidRPr="007717B2">
        <w:rPr>
          <w:rFonts w:ascii="Calibri" w:eastAsia="Times New Roman" w:hAnsi="Calibri" w:cs="Calibri"/>
          <w:color w:val="000000"/>
          <w:sz w:val="24"/>
          <w:szCs w:val="24"/>
          <w:lang w:val="es-ES" w:eastAsia="es-GT"/>
        </w:rPr>
        <w:t> </w:t>
      </w:r>
    </w:p>
    <w:p w14:paraId="19E53A1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MINTRAB, por su parte, obtuvo los logros siguientes:</w:t>
      </w:r>
      <w:r w:rsidRPr="007717B2">
        <w:rPr>
          <w:rFonts w:ascii="Calibri" w:eastAsia="Times New Roman" w:hAnsi="Calibri" w:cs="Calibri"/>
          <w:color w:val="000000"/>
          <w:sz w:val="24"/>
          <w:szCs w:val="24"/>
          <w:lang w:val="es-ES" w:eastAsia="es-GT"/>
        </w:rPr>
        <w:t> </w:t>
      </w:r>
    </w:p>
    <w:p w14:paraId="09F256C8" w14:textId="77777777" w:rsidR="007717B2" w:rsidRPr="007717B2" w:rsidRDefault="007717B2" w:rsidP="003C1D42">
      <w:pPr>
        <w:numPr>
          <w:ilvl w:val="0"/>
          <w:numId w:val="47"/>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Beca Mi Primer Empleo: se otorgaron 461 becas a jóvenes dentro del territorio nacional para su primera experiencia laboral.</w:t>
      </w:r>
    </w:p>
    <w:p w14:paraId="30F7E2A4" w14:textId="77777777" w:rsidR="007717B2" w:rsidRPr="007717B2" w:rsidRDefault="007717B2" w:rsidP="003C1D42">
      <w:pPr>
        <w:numPr>
          <w:ilvl w:val="0"/>
          <w:numId w:val="47"/>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Programa de Trabajo Temporal: se aprobó el Acuerdo Gubernativo 50-2022, Reglamento para el Registro de Reclutadores de Personas Trabajadoras Guatemaltecas y se vinculó a 221 trabajadores guatemaltecos temporales a Canadá y Estados Unidos, con oportunidades de empleo en el extranjero, a través de la migración regular, ordenada, segura.</w:t>
      </w:r>
      <w:r w:rsidRPr="007717B2">
        <w:rPr>
          <w:rFonts w:ascii="Calibri" w:eastAsia="Times New Roman" w:hAnsi="Calibri" w:cs="Calibri"/>
          <w:color w:val="000000"/>
          <w:sz w:val="24"/>
          <w:szCs w:val="24"/>
          <w:lang w:val="es-ES" w:eastAsia="es-GT"/>
        </w:rPr>
        <w:t> </w:t>
      </w:r>
    </w:p>
    <w:p w14:paraId="30BE78F5" w14:textId="77777777" w:rsidR="007717B2" w:rsidRPr="007717B2" w:rsidRDefault="007717B2" w:rsidP="003C1D42">
      <w:pPr>
        <w:numPr>
          <w:ilvl w:val="0"/>
          <w:numId w:val="47"/>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Programa de atención al adulto mayor: se benefició a 145,853 adultos mayores durante el cuatrimestre.</w:t>
      </w:r>
      <w:r w:rsidRPr="007717B2">
        <w:rPr>
          <w:rFonts w:ascii="Calibri" w:eastAsia="Times New Roman" w:hAnsi="Calibri" w:cs="Calibri"/>
          <w:color w:val="000000"/>
          <w:sz w:val="24"/>
          <w:szCs w:val="24"/>
          <w:lang w:val="es-ES" w:eastAsia="es-GT"/>
        </w:rPr>
        <w:t> </w:t>
      </w:r>
    </w:p>
    <w:p w14:paraId="16331E8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la Defensa Nacional (MINDEF)</w:t>
      </w:r>
      <w:r w:rsidRPr="007717B2">
        <w:rPr>
          <w:rFonts w:ascii="Calibri" w:eastAsia="Times New Roman" w:hAnsi="Calibri" w:cs="Calibri"/>
          <w:sz w:val="24"/>
          <w:szCs w:val="24"/>
          <w:lang w:val="es-ES" w:eastAsia="es-GT"/>
        </w:rPr>
        <w:t> </w:t>
      </w:r>
    </w:p>
    <w:p w14:paraId="422609F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Entre los logros del Ministerio de la Defensa Nacional, destacan los que se enuncian a continuación:</w:t>
      </w:r>
      <w:r w:rsidRPr="007717B2">
        <w:rPr>
          <w:rFonts w:ascii="Calibri" w:eastAsia="Times New Roman" w:hAnsi="Calibri" w:cs="Calibri"/>
          <w:sz w:val="24"/>
          <w:szCs w:val="24"/>
          <w:lang w:val="es-ES" w:eastAsia="es-GT"/>
        </w:rPr>
        <w:t> </w:t>
      </w:r>
    </w:p>
    <w:p w14:paraId="485A018E" w14:textId="77777777" w:rsidR="007717B2" w:rsidRPr="007717B2" w:rsidRDefault="007717B2" w:rsidP="003C1D42">
      <w:pPr>
        <w:numPr>
          <w:ilvl w:val="0"/>
          <w:numId w:val="48"/>
        </w:numPr>
        <w:spacing w:before="120" w:after="120" w:line="240" w:lineRule="auto"/>
        <w:contextualSpacing/>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Al tercer cuatrimestre 2022, el personal militar realizó operaciones a través de las fuerzas de tierra, aire y mar, logrando con ello mantener la independencia, la soberanía e integridad territorial, siendo las siguientes:</w:t>
      </w:r>
      <w:r w:rsidRPr="007717B2">
        <w:rPr>
          <w:rFonts w:ascii="Calibri" w:eastAsia="Times New Roman" w:hAnsi="Calibri" w:cs="Calibri"/>
          <w:color w:val="000000"/>
          <w:sz w:val="24"/>
          <w:szCs w:val="24"/>
          <w:lang w:val="es-ES" w:eastAsia="es-GT"/>
        </w:rPr>
        <w:t> </w:t>
      </w:r>
    </w:p>
    <w:p w14:paraId="3FFA8BD6" w14:textId="77777777" w:rsidR="007717B2" w:rsidRPr="007717B2" w:rsidRDefault="007717B2" w:rsidP="003C1D42">
      <w:pPr>
        <w:numPr>
          <w:ilvl w:val="0"/>
          <w:numId w:val="52"/>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Operaciones terrestres: 137,803</w:t>
      </w:r>
    </w:p>
    <w:p w14:paraId="09D37620" w14:textId="77777777" w:rsidR="007717B2" w:rsidRPr="007717B2" w:rsidRDefault="007717B2" w:rsidP="003C1D42">
      <w:pPr>
        <w:numPr>
          <w:ilvl w:val="0"/>
          <w:numId w:val="52"/>
        </w:numPr>
        <w:spacing w:before="120" w:after="120" w:line="240" w:lineRule="auto"/>
        <w:contextualSpacing/>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Operaciones marítimas: 60,459</w:t>
      </w:r>
      <w:r w:rsidRPr="007717B2">
        <w:rPr>
          <w:rFonts w:ascii="Calibri" w:eastAsia="Times New Roman" w:hAnsi="Calibri" w:cs="Calibri"/>
          <w:color w:val="000000"/>
          <w:sz w:val="24"/>
          <w:szCs w:val="24"/>
          <w:lang w:val="es-ES" w:eastAsia="es-GT"/>
        </w:rPr>
        <w:t> </w:t>
      </w:r>
    </w:p>
    <w:p w14:paraId="106753E3" w14:textId="77777777" w:rsidR="007717B2" w:rsidRPr="007717B2" w:rsidRDefault="007717B2" w:rsidP="003C1D42">
      <w:pPr>
        <w:numPr>
          <w:ilvl w:val="0"/>
          <w:numId w:val="52"/>
        </w:numPr>
        <w:spacing w:before="120" w:after="120" w:line="240" w:lineRule="auto"/>
        <w:contextualSpacing/>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 xml:space="preserve">Operaciones aéreas: 10,261 </w:t>
      </w:r>
      <w:r w:rsidRPr="007717B2">
        <w:rPr>
          <w:rFonts w:ascii="Calibri" w:eastAsia="Times New Roman" w:hAnsi="Calibri" w:cs="Calibri"/>
          <w:color w:val="000000"/>
          <w:sz w:val="24"/>
          <w:szCs w:val="24"/>
          <w:lang w:val="es-ES" w:eastAsia="es-GT"/>
        </w:rPr>
        <w:t> </w:t>
      </w:r>
    </w:p>
    <w:p w14:paraId="6709F006" w14:textId="77777777" w:rsidR="007717B2" w:rsidRPr="007717B2" w:rsidRDefault="007717B2" w:rsidP="003C1D42">
      <w:pPr>
        <w:numPr>
          <w:ilvl w:val="0"/>
          <w:numId w:val="52"/>
        </w:numPr>
        <w:spacing w:before="120" w:after="120" w:line="240" w:lineRule="auto"/>
        <w:contextualSpacing/>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Operaciones de apoyo interinstitucional: 14,400</w:t>
      </w:r>
      <w:r w:rsidRPr="007717B2">
        <w:rPr>
          <w:rFonts w:ascii="Calibri" w:eastAsia="Times New Roman" w:hAnsi="Calibri" w:cs="Calibri"/>
          <w:color w:val="000000"/>
          <w:sz w:val="24"/>
          <w:szCs w:val="24"/>
          <w:lang w:val="es-ES" w:eastAsia="es-GT"/>
        </w:rPr>
        <w:t> </w:t>
      </w:r>
    </w:p>
    <w:p w14:paraId="0C057CA0" w14:textId="77777777" w:rsidR="00CB3DFF" w:rsidRDefault="00CB3DFF" w:rsidP="007717B2">
      <w:pPr>
        <w:spacing w:before="120" w:after="120" w:line="240" w:lineRule="auto"/>
        <w:jc w:val="both"/>
        <w:textAlignment w:val="baseline"/>
        <w:rPr>
          <w:rFonts w:ascii="Calibri" w:eastAsia="Times New Roman" w:hAnsi="Calibri" w:cs="Calibri"/>
          <w:color w:val="000000"/>
          <w:sz w:val="24"/>
          <w:szCs w:val="24"/>
          <w:lang w:eastAsia="es-GT"/>
        </w:rPr>
      </w:pPr>
    </w:p>
    <w:p w14:paraId="0349F7BE" w14:textId="6F82E7DA"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 continuación, se detalla el resultado de las operaciones antes descritas, lo cual coadyuvó a fortalecer la seguridad interior y exterior la cooperación para la paz, afectando al crimen organizado transnacional con Q.2,449,739,114.55 millones y beneficiando a 17,357,886 habitantes, siendo los siguientes:</w:t>
      </w:r>
      <w:r w:rsidRPr="007717B2">
        <w:rPr>
          <w:rFonts w:ascii="Calibri" w:eastAsia="Times New Roman" w:hAnsi="Calibri" w:cs="Calibri"/>
          <w:color w:val="000000"/>
          <w:sz w:val="24"/>
          <w:szCs w:val="24"/>
          <w:lang w:val="es-ES" w:eastAsia="es-GT"/>
        </w:rPr>
        <w:t> </w:t>
      </w:r>
    </w:p>
    <w:p w14:paraId="47B1D42B" w14:textId="77777777" w:rsidR="007717B2" w:rsidRPr="007717B2" w:rsidRDefault="007717B2" w:rsidP="003C1D42">
      <w:pPr>
        <w:numPr>
          <w:ilvl w:val="0"/>
          <w:numId w:val="53"/>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20 pistas de aterrizaje clandestinas inhabilitadas.</w:t>
      </w:r>
    </w:p>
    <w:p w14:paraId="0C254C8B" w14:textId="77777777" w:rsidR="007717B2" w:rsidRPr="007717B2" w:rsidRDefault="007717B2" w:rsidP="003C1D42">
      <w:pPr>
        <w:numPr>
          <w:ilvl w:val="0"/>
          <w:numId w:val="53"/>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9 aeronaves localizadas y aseguradas.</w:t>
      </w:r>
    </w:p>
    <w:p w14:paraId="0DF62F97" w14:textId="77777777" w:rsidR="007717B2" w:rsidRPr="007717B2" w:rsidRDefault="007717B2" w:rsidP="003C1D42">
      <w:pPr>
        <w:numPr>
          <w:ilvl w:val="0"/>
          <w:numId w:val="53"/>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3,973 paquetes de cocaína incautados.</w:t>
      </w:r>
    </w:p>
    <w:p w14:paraId="388C6516" w14:textId="77777777" w:rsidR="007717B2" w:rsidRPr="007717B2" w:rsidRDefault="007717B2" w:rsidP="003C1D42">
      <w:pPr>
        <w:numPr>
          <w:ilvl w:val="0"/>
          <w:numId w:val="53"/>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4,371,437 arbustos de coca erradicados.</w:t>
      </w:r>
    </w:p>
    <w:p w14:paraId="7D0EBD6D" w14:textId="77777777" w:rsidR="007717B2" w:rsidRPr="007717B2" w:rsidRDefault="007717B2" w:rsidP="003C1D42">
      <w:pPr>
        <w:numPr>
          <w:ilvl w:val="0"/>
          <w:numId w:val="53"/>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3,425,537 matas de marihuana erradicadas.</w:t>
      </w:r>
    </w:p>
    <w:p w14:paraId="398606E5" w14:textId="77777777" w:rsidR="007717B2" w:rsidRPr="007717B2" w:rsidRDefault="007717B2" w:rsidP="003C1D42">
      <w:pPr>
        <w:numPr>
          <w:ilvl w:val="0"/>
          <w:numId w:val="53"/>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9,925,380 matas de amapola erradicadas.</w:t>
      </w:r>
    </w:p>
    <w:p w14:paraId="65C34240" w14:textId="77777777" w:rsidR="007717B2" w:rsidRPr="007717B2" w:rsidRDefault="007717B2" w:rsidP="003C1D42">
      <w:pPr>
        <w:numPr>
          <w:ilvl w:val="0"/>
          <w:numId w:val="52"/>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6 narco laboratorios destruidos.</w:t>
      </w:r>
    </w:p>
    <w:p w14:paraId="0ED180E5" w14:textId="498AC54A" w:rsidR="007717B2" w:rsidRPr="007717B2" w:rsidRDefault="007717B2" w:rsidP="003C1D42">
      <w:pPr>
        <w:numPr>
          <w:ilvl w:val="0"/>
          <w:numId w:val="52"/>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Se llevaron a cabo trabajos de rehabilitación y mejoramiento de la red vial estratégica de tercer orden en varios municipios de la República, con un avance de 1,116 km, cumpliendo la meta para el año 2022. Se benefició a aproximadamente 6,952,517 habitantes.</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b/>
          <w:bCs/>
          <w:i/>
          <w:iCs/>
          <w:sz w:val="24"/>
          <w:szCs w:val="24"/>
          <w:lang w:eastAsia="es-GT"/>
        </w:rPr>
        <w:t> </w:t>
      </w:r>
      <w:r w:rsidRPr="007717B2">
        <w:rPr>
          <w:rFonts w:ascii="Calibri" w:eastAsia="Times New Roman" w:hAnsi="Calibri" w:cs="Calibri"/>
          <w:sz w:val="24"/>
          <w:szCs w:val="24"/>
          <w:lang w:val="es-ES" w:eastAsia="es-GT"/>
        </w:rPr>
        <w:t> </w:t>
      </w:r>
    </w:p>
    <w:p w14:paraId="164A9D6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Relaciones Exteriores (MINEX)</w:t>
      </w:r>
      <w:r w:rsidRPr="007717B2">
        <w:rPr>
          <w:rFonts w:ascii="Calibri" w:eastAsia="Times New Roman" w:hAnsi="Calibri" w:cs="Calibri"/>
          <w:sz w:val="24"/>
          <w:szCs w:val="24"/>
          <w:lang w:val="es-ES" w:eastAsia="es-GT"/>
        </w:rPr>
        <w:t> </w:t>
      </w:r>
    </w:p>
    <w:p w14:paraId="4784FB1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El Ministerio de Exteriores, a lo largo del tercer cuatrimestre 2022, logró los avances siguientes:</w:t>
      </w:r>
      <w:r w:rsidRPr="007717B2">
        <w:rPr>
          <w:rFonts w:ascii="Calibri" w:eastAsia="Times New Roman" w:hAnsi="Calibri" w:cs="Calibri"/>
          <w:sz w:val="24"/>
          <w:szCs w:val="24"/>
          <w:lang w:val="es-ES" w:eastAsia="es-GT"/>
        </w:rPr>
        <w:t> </w:t>
      </w:r>
    </w:p>
    <w:p w14:paraId="53A2760E" w14:textId="77777777" w:rsidR="007717B2" w:rsidRPr="007717B2" w:rsidRDefault="007717B2" w:rsidP="003C1D42">
      <w:pPr>
        <w:numPr>
          <w:ilvl w:val="0"/>
          <w:numId w:val="49"/>
        </w:numPr>
        <w:spacing w:before="120" w:after="120" w:line="240" w:lineRule="auto"/>
        <w:ind w:left="714" w:hanging="357"/>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Incremento en la cobertura de los servicios consulares de documentación, asistencia, atención y protección consular, tanto en el exterior como en el interior del país. Los servicios en el exterior para el tercer cuatrimestre experimentaron un incremento del 15.85% con relación al segundo cuatrimestre, atendiendo a 484,950 personas durante el segundo cuatrimestre y 561,812 durante el último cuatrimestre.</w:t>
      </w:r>
    </w:p>
    <w:p w14:paraId="1A97CDDB" w14:textId="77777777" w:rsidR="007717B2" w:rsidRPr="007717B2" w:rsidRDefault="007717B2" w:rsidP="003C1D42">
      <w:pPr>
        <w:numPr>
          <w:ilvl w:val="0"/>
          <w:numId w:val="49"/>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Los servicios en el interior del país reflejan un incremento del 10.71%, atendiendo a 12,988 personas durante el segundo cuatrimestre y 14,379 durante el tercer cuatrimestre.</w:t>
      </w:r>
    </w:p>
    <w:p w14:paraId="4CC10B12" w14:textId="77777777"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Secretarías </w:t>
      </w:r>
    </w:p>
    <w:p w14:paraId="24D29A7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General de la Presidencia (SGP)</w:t>
      </w:r>
      <w:r w:rsidRPr="007717B2">
        <w:rPr>
          <w:rFonts w:ascii="Calibri" w:eastAsia="Times New Roman" w:hAnsi="Calibri" w:cs="Calibri"/>
          <w:sz w:val="24"/>
          <w:szCs w:val="24"/>
          <w:lang w:val="es-ES" w:eastAsia="es-GT"/>
        </w:rPr>
        <w:t> </w:t>
      </w:r>
    </w:p>
    <w:p w14:paraId="3E7B9FE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Los logros alcanzados en función de las atribuciones que le corresponde fueron:</w:t>
      </w:r>
      <w:r w:rsidRPr="007717B2">
        <w:rPr>
          <w:rFonts w:ascii="Calibri" w:eastAsia="Times New Roman" w:hAnsi="Calibri" w:cs="Calibri"/>
          <w:color w:val="000000"/>
          <w:sz w:val="24"/>
          <w:szCs w:val="24"/>
          <w:vertAlign w:val="superscript"/>
          <w:lang w:eastAsia="es-GT"/>
        </w:rPr>
        <w:footnoteReference w:id="15"/>
      </w:r>
    </w:p>
    <w:p w14:paraId="27B2BD0F" w14:textId="77777777" w:rsidR="007717B2" w:rsidRPr="007717B2" w:rsidRDefault="007717B2" w:rsidP="003C1D42">
      <w:pPr>
        <w:numPr>
          <w:ilvl w:val="0"/>
          <w:numId w:val="50"/>
        </w:numPr>
        <w:spacing w:before="120" w:after="120" w:line="240" w:lineRule="auto"/>
        <w:contextualSpacing/>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presentaron 6 iniciativas de ley al Congreso de la República.</w:t>
      </w:r>
      <w:r w:rsidRPr="007717B2">
        <w:rPr>
          <w:rFonts w:ascii="Calibri" w:eastAsia="Times New Roman" w:hAnsi="Calibri" w:cs="Calibri"/>
          <w:color w:val="000000"/>
          <w:sz w:val="24"/>
          <w:szCs w:val="24"/>
          <w:lang w:val="es-ES" w:eastAsia="es-GT"/>
        </w:rPr>
        <w:t> </w:t>
      </w:r>
    </w:p>
    <w:p w14:paraId="0F0BB541" w14:textId="77777777" w:rsidR="007717B2" w:rsidRPr="007717B2" w:rsidRDefault="007717B2" w:rsidP="003C1D42">
      <w:pPr>
        <w:numPr>
          <w:ilvl w:val="0"/>
          <w:numId w:val="50"/>
        </w:numPr>
        <w:spacing w:before="120" w:after="120" w:line="240" w:lineRule="auto"/>
        <w:contextualSpacing/>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emitieron 350 Acuerdos Gubernativos.</w:t>
      </w:r>
      <w:r w:rsidRPr="007717B2">
        <w:rPr>
          <w:rFonts w:ascii="Calibri" w:eastAsia="Times New Roman" w:hAnsi="Calibri" w:cs="Calibri"/>
          <w:color w:val="000000"/>
          <w:sz w:val="24"/>
          <w:szCs w:val="24"/>
          <w:lang w:val="es-ES" w:eastAsia="es-GT"/>
        </w:rPr>
        <w:t> </w:t>
      </w:r>
    </w:p>
    <w:p w14:paraId="4F35390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de Asuntos Administrativos y de Seguridad (SAAS)</w:t>
      </w:r>
      <w:r w:rsidRPr="007717B2">
        <w:rPr>
          <w:rFonts w:ascii="Calibri" w:eastAsia="Times New Roman" w:hAnsi="Calibri" w:cs="Calibri"/>
          <w:sz w:val="24"/>
          <w:szCs w:val="24"/>
          <w:lang w:val="es-ES" w:eastAsia="es-GT"/>
        </w:rPr>
        <w:t> </w:t>
      </w:r>
    </w:p>
    <w:p w14:paraId="47DAC20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Los logros de la SAAS durante el último trimestre de 2022, fueron:</w:t>
      </w:r>
      <w:r w:rsidRPr="007717B2">
        <w:rPr>
          <w:rFonts w:ascii="Calibri" w:eastAsia="Times New Roman" w:hAnsi="Calibri" w:cs="Calibri"/>
          <w:sz w:val="24"/>
          <w:szCs w:val="24"/>
          <w:lang w:val="es-ES" w:eastAsia="es-GT"/>
        </w:rPr>
        <w:t> </w:t>
      </w:r>
    </w:p>
    <w:p w14:paraId="2E5153C4" w14:textId="77777777" w:rsidR="007717B2" w:rsidRPr="007717B2" w:rsidRDefault="007717B2" w:rsidP="003C1D42">
      <w:pPr>
        <w:numPr>
          <w:ilvl w:val="0"/>
          <w:numId w:val="51"/>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Garantizar permanentemente la seguridad, integridad física y la vida del Presidente y</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val="es-ES" w:eastAsia="es-GT"/>
        </w:rPr>
        <w:br/>
      </w:r>
      <w:r w:rsidRPr="007717B2">
        <w:rPr>
          <w:rFonts w:ascii="Calibri" w:eastAsia="Times New Roman" w:hAnsi="Calibri" w:cs="Calibri"/>
          <w:color w:val="000000"/>
          <w:sz w:val="24"/>
          <w:szCs w:val="24"/>
          <w:lang w:eastAsia="es-GT"/>
        </w:rPr>
        <w:t>Vicepresidente de la República y la de sus respectivas familias, así como brindarles</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val="es-ES" w:eastAsia="es-GT"/>
        </w:rPr>
        <w:br/>
      </w:r>
      <w:r w:rsidRPr="007717B2">
        <w:rPr>
          <w:rFonts w:ascii="Calibri" w:eastAsia="Times New Roman" w:hAnsi="Calibri" w:cs="Calibri"/>
          <w:color w:val="000000"/>
          <w:sz w:val="24"/>
          <w:szCs w:val="24"/>
          <w:lang w:eastAsia="es-GT"/>
        </w:rPr>
        <w:t>toda clase de apoyo administrativo y logístico en actividades oficiales y personales</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val="es-ES" w:eastAsia="es-GT"/>
        </w:rPr>
        <w:br/>
      </w:r>
      <w:r w:rsidRPr="007717B2">
        <w:rPr>
          <w:rFonts w:ascii="Calibri" w:eastAsia="Times New Roman" w:hAnsi="Calibri" w:cs="Calibri"/>
          <w:color w:val="000000"/>
          <w:sz w:val="24"/>
          <w:szCs w:val="24"/>
          <w:lang w:eastAsia="es-GT"/>
        </w:rPr>
        <w:t>dentro del territorio nacional y en el extranjero.</w:t>
      </w:r>
      <w:r w:rsidRPr="007717B2">
        <w:rPr>
          <w:rFonts w:ascii="Calibri" w:eastAsia="Times New Roman" w:hAnsi="Calibri" w:cs="Calibri"/>
          <w:color w:val="000000"/>
          <w:sz w:val="24"/>
          <w:szCs w:val="24"/>
          <w:lang w:val="es-ES" w:eastAsia="es-GT"/>
        </w:rPr>
        <w:t> </w:t>
      </w:r>
    </w:p>
    <w:p w14:paraId="010750E9" w14:textId="77777777" w:rsidR="007717B2" w:rsidRPr="007717B2" w:rsidRDefault="007717B2" w:rsidP="003C1D42">
      <w:pPr>
        <w:numPr>
          <w:ilvl w:val="0"/>
          <w:numId w:val="51"/>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Eficacia en la ejecución del presupuesto.</w:t>
      </w:r>
      <w:r w:rsidRPr="007717B2">
        <w:rPr>
          <w:rFonts w:ascii="Calibri" w:eastAsia="Times New Roman" w:hAnsi="Calibri" w:cs="Calibri"/>
          <w:color w:val="000000"/>
          <w:sz w:val="24"/>
          <w:szCs w:val="24"/>
          <w:lang w:val="es-ES" w:eastAsia="es-GT"/>
        </w:rPr>
        <w:t> </w:t>
      </w:r>
    </w:p>
    <w:p w14:paraId="10B7B1C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de Inteligencia Estratégica del Estado (SIE)</w:t>
      </w:r>
      <w:r w:rsidRPr="007717B2">
        <w:rPr>
          <w:rFonts w:ascii="Calibri" w:eastAsia="Times New Roman" w:hAnsi="Calibri" w:cs="Calibri"/>
          <w:sz w:val="24"/>
          <w:szCs w:val="24"/>
          <w:lang w:val="es-ES" w:eastAsia="es-GT"/>
        </w:rPr>
        <w:t> </w:t>
      </w:r>
    </w:p>
    <w:p w14:paraId="722C8698"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La SIE, elaboró </w:t>
      </w:r>
      <w:r w:rsidRPr="007717B2">
        <w:rPr>
          <w:rFonts w:ascii="Calibri" w:eastAsia="Times New Roman" w:hAnsi="Calibri" w:cs="Calibri"/>
          <w:color w:val="000000"/>
          <w:sz w:val="24"/>
          <w:szCs w:val="24"/>
          <w:lang w:eastAsia="es-GT"/>
        </w:rPr>
        <w:t>la Agenda Nacional de Riesgos y Amenazas y el diseño de los mecanismos correspondientes de seguimiento para su implementación.</w:t>
      </w:r>
      <w:r w:rsidRPr="007717B2">
        <w:rPr>
          <w:rFonts w:ascii="Calibri" w:eastAsia="Times New Roman" w:hAnsi="Calibri" w:cs="Calibri"/>
          <w:color w:val="000000"/>
          <w:sz w:val="24"/>
          <w:szCs w:val="24"/>
          <w:lang w:val="es-ES" w:eastAsia="es-GT"/>
        </w:rPr>
        <w:t> </w:t>
      </w:r>
    </w:p>
    <w:p w14:paraId="3134765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contra la Violencia Sexual, Explotación y Trata de Personas (SVET)</w:t>
      </w:r>
      <w:r w:rsidRPr="007717B2">
        <w:rPr>
          <w:rFonts w:ascii="Calibri" w:eastAsia="Times New Roman" w:hAnsi="Calibri" w:cs="Calibri"/>
          <w:color w:val="000000"/>
          <w:sz w:val="24"/>
          <w:szCs w:val="24"/>
          <w:lang w:val="es-ES" w:eastAsia="es-GT"/>
        </w:rPr>
        <w:t> </w:t>
      </w:r>
    </w:p>
    <w:p w14:paraId="44AD7054" w14:textId="77777777"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sz w:val="24"/>
          <w:szCs w:val="24"/>
          <w:lang w:eastAsia="es-GT"/>
        </w:rPr>
        <w:t xml:space="preserve">Esta Secretaría logró en los últimos cuatro meses del año 2022, </w:t>
      </w:r>
      <w:r w:rsidRPr="007717B2">
        <w:rPr>
          <w:rFonts w:ascii="Calibri" w:eastAsia="Times New Roman" w:hAnsi="Calibri" w:cs="Calibri"/>
          <w:color w:val="000000"/>
          <w:sz w:val="24"/>
          <w:szCs w:val="24"/>
          <w:lang w:eastAsia="es-GT"/>
        </w:rPr>
        <w:t xml:space="preserve">la edición y socialización de una agenda prioritaria de desarrollo de las mujeres para la prevención de la violencia sexual, explotación y trata de personas, la cual fue elaborada con la participación de 585 mujeres a nivel nacional en un estudio exploratorio para implementarla junto a municipalidades. </w:t>
      </w:r>
      <w:r w:rsidRPr="007717B2">
        <w:rPr>
          <w:rFonts w:ascii="Calibri" w:eastAsia="Times New Roman" w:hAnsi="Calibri" w:cs="Calibri"/>
          <w:color w:val="000000"/>
          <w:sz w:val="24"/>
          <w:szCs w:val="24"/>
          <w:lang w:val="es-ES" w:eastAsia="es-GT"/>
        </w:rPr>
        <w:t> </w:t>
      </w:r>
    </w:p>
    <w:p w14:paraId="4CBB163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de Planificación y Programación de la Presidencia (SEGEPLAN)</w:t>
      </w:r>
      <w:r w:rsidRPr="007717B2">
        <w:rPr>
          <w:rFonts w:ascii="Calibri" w:eastAsia="Times New Roman" w:hAnsi="Calibri" w:cs="Calibri"/>
          <w:color w:val="000000"/>
          <w:sz w:val="24"/>
          <w:szCs w:val="24"/>
          <w:lang w:val="es-ES" w:eastAsia="es-GT"/>
        </w:rPr>
        <w:t> </w:t>
      </w:r>
    </w:p>
    <w:p w14:paraId="4051063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 su vez, SEGEPLAN logró importantes avances durante el tercer cuatrimestre 2022, destacando entre otros los siguientes:</w:t>
      </w:r>
      <w:r w:rsidRPr="007717B2">
        <w:rPr>
          <w:rFonts w:ascii="Calibri" w:eastAsia="Times New Roman" w:hAnsi="Calibri" w:cs="Calibri"/>
          <w:color w:val="000000"/>
          <w:sz w:val="24"/>
          <w:szCs w:val="24"/>
          <w:lang w:val="es-ES" w:eastAsia="es-GT"/>
        </w:rPr>
        <w:t> </w:t>
      </w:r>
    </w:p>
    <w:p w14:paraId="7F674C14" w14:textId="77777777" w:rsidR="007717B2" w:rsidRPr="007717B2" w:rsidRDefault="007717B2" w:rsidP="003C1D42">
      <w:pPr>
        <w:numPr>
          <w:ilvl w:val="0"/>
          <w:numId w:val="5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III Feria Nacional de Becas. Esta actividad ofreció más de 7 mil oportunidades de estudio en los niveles de licenciatura, maestría, doctorado y cursos cortos. El objetivo principal fue poner a disposición información del portafolio de becas de nivel superior. </w:t>
      </w:r>
      <w:r w:rsidRPr="007717B2">
        <w:rPr>
          <w:rFonts w:ascii="Calibri" w:eastAsia="Times New Roman" w:hAnsi="Calibri" w:cs="Calibri"/>
          <w:color w:val="000000"/>
          <w:sz w:val="24"/>
          <w:szCs w:val="24"/>
          <w:lang w:val="es-ES" w:eastAsia="es-GT"/>
        </w:rPr>
        <w:t> </w:t>
      </w:r>
    </w:p>
    <w:p w14:paraId="38DEAA01" w14:textId="77777777" w:rsidR="007717B2" w:rsidRPr="007717B2" w:rsidRDefault="007717B2" w:rsidP="003C1D42">
      <w:pPr>
        <w:numPr>
          <w:ilvl w:val="0"/>
          <w:numId w:val="5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5,156 proyectos finalizados, como parte del seguimiento a las obras inconclusas del período 2015-2019, fruto del convenio de coordinación interinstitucional entre CGC, MP y SEGEPLAN. El objetivo principal fue dar seguimiento y fiscalizar a entidades públicas que tengan obras no finalizadas y deducir las responsabilidades que correspondan, para fomento de la cultura de transparencia y ética para combatir la corrupción e impunidad.</w:t>
      </w:r>
      <w:r w:rsidRPr="007717B2">
        <w:rPr>
          <w:rFonts w:ascii="Calibri" w:eastAsia="Times New Roman" w:hAnsi="Calibri" w:cs="Calibri"/>
          <w:color w:val="000000"/>
          <w:sz w:val="24"/>
          <w:szCs w:val="24"/>
          <w:lang w:val="es-ES" w:eastAsia="es-GT"/>
        </w:rPr>
        <w:t> </w:t>
      </w:r>
    </w:p>
    <w:p w14:paraId="512CC34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de Comunicación Social de la Presidencia (SCSP)</w:t>
      </w:r>
      <w:r w:rsidRPr="007717B2">
        <w:rPr>
          <w:rFonts w:ascii="Calibri" w:eastAsia="Times New Roman" w:hAnsi="Calibri" w:cs="Calibri"/>
          <w:sz w:val="24"/>
          <w:szCs w:val="24"/>
          <w:lang w:val="es-ES" w:eastAsia="es-GT"/>
        </w:rPr>
        <w:t> </w:t>
      </w:r>
    </w:p>
    <w:p w14:paraId="3D4B54C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Esta Secretaría, obtuvo dos logros fundamentales:</w:t>
      </w:r>
      <w:r w:rsidRPr="007717B2">
        <w:rPr>
          <w:rFonts w:ascii="Calibri" w:eastAsia="Times New Roman" w:hAnsi="Calibri" w:cs="Calibri"/>
          <w:sz w:val="24"/>
          <w:szCs w:val="24"/>
          <w:lang w:val="es-ES" w:eastAsia="es-GT"/>
        </w:rPr>
        <w:t> </w:t>
      </w:r>
    </w:p>
    <w:p w14:paraId="0DFF362D" w14:textId="77777777" w:rsidR="007717B2" w:rsidRPr="007717B2" w:rsidRDefault="007717B2" w:rsidP="003C1D42">
      <w:pPr>
        <w:numPr>
          <w:ilvl w:val="0"/>
          <w:numId w:val="5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 la presentación de la plataforma GT News, la SCSP proveyó contenido relevante y estratégico de Guatemala y del quehacer del Organismo Ejecutivo en idioma inglés, con el objetivo de incrementar la presencia de información oficial en el público angloparlante. Con la implementación de esta acción estratégica, a partir del 9 de noviembre del año 2022, entre notas periodísticas, discursos, presentaciones, artes y material audiovisual, se logró la realización de 187 traducciones.</w:t>
      </w:r>
      <w:r w:rsidRPr="007717B2">
        <w:rPr>
          <w:rFonts w:ascii="Calibri" w:eastAsia="Times New Roman" w:hAnsi="Calibri" w:cs="Calibri"/>
          <w:color w:val="000000"/>
          <w:sz w:val="24"/>
          <w:szCs w:val="24"/>
          <w:lang w:val="es-ES" w:eastAsia="es-GT"/>
        </w:rPr>
        <w:t> </w:t>
      </w:r>
    </w:p>
    <w:p w14:paraId="12CE0975" w14:textId="77777777" w:rsidR="007717B2" w:rsidRPr="007717B2" w:rsidRDefault="007717B2" w:rsidP="003C1D42">
      <w:pPr>
        <w:numPr>
          <w:ilvl w:val="0"/>
          <w:numId w:val="5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 el fin de cumplir con mayores puntos de transmisión y llegar a los mejores estándares de calidad en la comunicación, durante el tercer cuatrimestre de 2022, la SCSP adquirió dos equipos de transmisión más, y su servidor, lo cual permite cumplir el mandato constitucional de manera más efectiva, incluyendo la transmisión de los principales eventos y actividades del Organismo Ejecutivo.</w:t>
      </w:r>
      <w:r w:rsidRPr="007717B2">
        <w:rPr>
          <w:rFonts w:ascii="Calibri" w:eastAsia="Times New Roman" w:hAnsi="Calibri" w:cs="Calibri"/>
          <w:color w:val="000000"/>
          <w:sz w:val="24"/>
          <w:szCs w:val="24"/>
          <w:lang w:val="es-ES" w:eastAsia="es-GT"/>
        </w:rPr>
        <w:t> </w:t>
      </w:r>
    </w:p>
    <w:p w14:paraId="054D8E5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Presidencial de la Mujer (SEPREM)</w:t>
      </w:r>
      <w:r w:rsidRPr="007717B2">
        <w:rPr>
          <w:rFonts w:ascii="Calibri" w:eastAsia="Times New Roman" w:hAnsi="Calibri" w:cs="Calibri"/>
          <w:sz w:val="24"/>
          <w:szCs w:val="24"/>
          <w:lang w:val="es-ES" w:eastAsia="es-GT"/>
        </w:rPr>
        <w:t> </w:t>
      </w:r>
    </w:p>
    <w:p w14:paraId="0B5997D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La SEPREM logró dos progresos especialmente importantes, en su accionar a favor de la mujer guatemalteca:</w:t>
      </w:r>
      <w:r w:rsidRPr="007717B2">
        <w:rPr>
          <w:rFonts w:ascii="Calibri" w:eastAsia="Times New Roman" w:hAnsi="Calibri" w:cs="Calibri"/>
          <w:color w:val="000000"/>
          <w:sz w:val="24"/>
          <w:szCs w:val="24"/>
          <w:lang w:val="es-ES" w:eastAsia="es-GT"/>
        </w:rPr>
        <w:t> </w:t>
      </w:r>
    </w:p>
    <w:p w14:paraId="0722C17D" w14:textId="77777777" w:rsidR="007717B2" w:rsidRPr="007717B2" w:rsidRDefault="007717B2" w:rsidP="003C1D42">
      <w:pPr>
        <w:numPr>
          <w:ilvl w:val="0"/>
          <w:numId w:val="56"/>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Asistencia técnica a 431 entidades del gobierno central, gobiernos locales y sistema de consejos de desarrollo urbano y rural, por medio de reuniones de transferencias metodológicas a instituciones públicas para la implementación de políticas públicas y la PNPDIM y el proceso de vinculación al Clasificador Temático con Enfoque de Género, alcanzando el 91.31 % con relación a las 472 entidades programadas para el presente ejercicio fiscal.</w:t>
      </w:r>
      <w:r w:rsidRPr="007717B2">
        <w:rPr>
          <w:rFonts w:ascii="Calibri" w:eastAsia="Times New Roman" w:hAnsi="Calibri" w:cs="Calibri"/>
          <w:color w:val="000000"/>
          <w:sz w:val="24"/>
          <w:szCs w:val="24"/>
          <w:lang w:val="es-ES" w:eastAsia="es-GT"/>
        </w:rPr>
        <w:t> </w:t>
      </w:r>
    </w:p>
    <w:p w14:paraId="5B659C98" w14:textId="77777777" w:rsidR="007717B2" w:rsidRPr="007717B2" w:rsidRDefault="007717B2" w:rsidP="003C1D42">
      <w:pPr>
        <w:numPr>
          <w:ilvl w:val="0"/>
          <w:numId w:val="56"/>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realizaron 22 procesos de convocatoria para realizar las asambleas para elección de representantes de organizaciones de mujeres ante los Consejos Departamentales de Desarrollo -CODEDE-. Como resultado, se cuenta con las representantes titulares y suplentes en los 22 departamentos del país.</w:t>
      </w:r>
      <w:r w:rsidRPr="007717B2">
        <w:rPr>
          <w:rFonts w:ascii="Calibri" w:eastAsia="Times New Roman" w:hAnsi="Calibri" w:cs="Calibri"/>
          <w:color w:val="000000"/>
          <w:sz w:val="24"/>
          <w:szCs w:val="24"/>
          <w:lang w:val="es-ES" w:eastAsia="es-GT"/>
        </w:rPr>
        <w:t> </w:t>
      </w:r>
    </w:p>
    <w:p w14:paraId="6435584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Nacional de Admisión de Bienes en Extinción de Dominio (SENABED)</w:t>
      </w:r>
      <w:r w:rsidRPr="007717B2">
        <w:rPr>
          <w:rFonts w:ascii="Calibri" w:eastAsia="Times New Roman" w:hAnsi="Calibri" w:cs="Calibri"/>
          <w:sz w:val="24"/>
          <w:szCs w:val="24"/>
          <w:lang w:val="es-ES" w:eastAsia="es-GT"/>
        </w:rPr>
        <w:t> </w:t>
      </w:r>
    </w:p>
    <w:p w14:paraId="6D8936B8"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Como avance identificado en el cumplimiento de los objetivos y metas institucionales de la SENABED, en el tercer cuatrimestre, se atendió lo solicitado por CONABED, dando el apoyo de donaciones de bienes, usos provisionales, distribución de dineros extinguidos, distribución de rendimiento financiero, distribución de producto financiero. </w:t>
      </w:r>
      <w:r w:rsidRPr="007717B2">
        <w:rPr>
          <w:rFonts w:ascii="Calibri" w:eastAsia="Times New Roman" w:hAnsi="Calibri" w:cs="Calibri"/>
          <w:color w:val="000000"/>
          <w:sz w:val="24"/>
          <w:szCs w:val="24"/>
          <w:lang w:val="es-ES" w:eastAsia="es-GT"/>
        </w:rPr>
        <w:t> </w:t>
      </w:r>
    </w:p>
    <w:p w14:paraId="44052C4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Nacional de Ciencia y Tecnología (SENACYT)</w:t>
      </w:r>
      <w:r w:rsidRPr="007717B2">
        <w:rPr>
          <w:rFonts w:ascii="Calibri" w:eastAsia="Times New Roman" w:hAnsi="Calibri" w:cs="Calibri"/>
          <w:color w:val="000000"/>
          <w:sz w:val="24"/>
          <w:szCs w:val="24"/>
          <w:lang w:val="es-ES" w:eastAsia="es-GT"/>
        </w:rPr>
        <w:t> </w:t>
      </w:r>
    </w:p>
    <w:p w14:paraId="157F736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cuanto a la SENACYT, sus logros principales fueron:</w:t>
      </w:r>
      <w:r w:rsidRPr="007717B2">
        <w:rPr>
          <w:rFonts w:ascii="Calibri" w:eastAsia="Times New Roman" w:hAnsi="Calibri" w:cs="Calibri"/>
          <w:color w:val="000000"/>
          <w:sz w:val="24"/>
          <w:szCs w:val="24"/>
          <w:lang w:val="es-ES" w:eastAsia="es-GT"/>
        </w:rPr>
        <w:t> </w:t>
      </w:r>
    </w:p>
    <w:p w14:paraId="557A522A" w14:textId="77777777" w:rsidR="007717B2" w:rsidRPr="007717B2" w:rsidRDefault="007717B2" w:rsidP="003C1D42">
      <w:pPr>
        <w:numPr>
          <w:ilvl w:val="0"/>
          <w:numId w:val="57"/>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el tercer cuatrimestre del año 2022, se financiaron 7 eventos de popularización y difusión de la ciencia, tecnología e innovación a grupos de interés, beneficiando a alrededor de 3,792 personas, que fueron capacitadas para promover el interés en la ciencia y la tecnología para el desarrollo del país.</w:t>
      </w:r>
      <w:r w:rsidRPr="007717B2">
        <w:rPr>
          <w:rFonts w:ascii="Calibri" w:eastAsia="Times New Roman" w:hAnsi="Calibri" w:cs="Calibri"/>
          <w:color w:val="000000"/>
          <w:sz w:val="24"/>
          <w:szCs w:val="24"/>
          <w:lang w:val="es-ES" w:eastAsia="es-GT"/>
        </w:rPr>
        <w:t> </w:t>
      </w:r>
    </w:p>
    <w:p w14:paraId="50AEEDBF" w14:textId="31F3D73A" w:rsidR="007717B2" w:rsidRPr="007717B2" w:rsidRDefault="007717B2" w:rsidP="003C1D42">
      <w:pPr>
        <w:numPr>
          <w:ilvl w:val="0"/>
          <w:numId w:val="57"/>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Como avance del programa de formación de capital humano en ciencia y tecnología, la SENACYT financió en el tercer cuatrimestre del año 2022, 6 proyectos de ciencia y tecnología en las especialidades de Doctorado en Investigación en Educación,  Maestría en Neuropsicología Aplicada, Maestría en Genética Biomédica, Doctorado en Desarrollo Sostenible, Maestría en Investigación con énfasis en Genética  y Maestría en Psicoterapia Infantil, las cuales permitirán la generación del conocimiento para la atención y solución de los problemas de la población del país.</w:t>
      </w:r>
      <w:r w:rsidRPr="007717B2">
        <w:rPr>
          <w:rFonts w:ascii="Calibri" w:eastAsia="Times New Roman" w:hAnsi="Calibri" w:cs="Calibri"/>
          <w:color w:val="000000"/>
          <w:sz w:val="24"/>
          <w:szCs w:val="24"/>
          <w:lang w:val="es-ES" w:eastAsia="es-GT"/>
        </w:rPr>
        <w:t> </w:t>
      </w:r>
    </w:p>
    <w:p w14:paraId="61E3A61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de Seguridad Alimentaria y Nutricional (SESAN)</w:t>
      </w:r>
      <w:r w:rsidRPr="007717B2">
        <w:rPr>
          <w:rFonts w:ascii="Calibri" w:eastAsia="Times New Roman" w:hAnsi="Calibri" w:cs="Calibri"/>
          <w:color w:val="000000"/>
          <w:sz w:val="24"/>
          <w:szCs w:val="24"/>
          <w:lang w:val="es-ES" w:eastAsia="es-GT"/>
        </w:rPr>
        <w:t> </w:t>
      </w:r>
    </w:p>
    <w:p w14:paraId="75674A78" w14:textId="77777777"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En lo que respecta a la SESAN, se obtuvieron en el último cuatrimestre dos avances de particular relevancia:</w:t>
      </w:r>
      <w:r w:rsidRPr="007717B2">
        <w:rPr>
          <w:rFonts w:ascii="Calibri" w:eastAsia="Times New Roman" w:hAnsi="Calibri" w:cs="Calibri"/>
          <w:color w:val="000000"/>
          <w:sz w:val="24"/>
          <w:szCs w:val="24"/>
          <w:lang w:val="es-ES" w:eastAsia="es-GT"/>
        </w:rPr>
        <w:t> </w:t>
      </w:r>
    </w:p>
    <w:p w14:paraId="16A0CB71" w14:textId="77777777" w:rsidR="007717B2" w:rsidRPr="007717B2" w:rsidRDefault="007717B2" w:rsidP="003C1D42">
      <w:pPr>
        <w:numPr>
          <w:ilvl w:val="0"/>
          <w:numId w:val="58"/>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el tercer cuatrimestre se aprobó en CONASAN la actualización de la Política Nacional de Seguridad Alimentaria y Nutricional (POLSAN) 2022-2037, un instrumento de planificación que permitirá contar con un marco de referencia para el actuar de las instituciones que conforman el SINASAN.</w:t>
      </w:r>
      <w:r w:rsidRPr="007717B2">
        <w:rPr>
          <w:rFonts w:ascii="Calibri" w:eastAsia="Times New Roman" w:hAnsi="Calibri" w:cs="Calibri"/>
          <w:color w:val="000000"/>
          <w:sz w:val="24"/>
          <w:szCs w:val="24"/>
          <w:lang w:val="es-ES" w:eastAsia="es-GT"/>
        </w:rPr>
        <w:t> </w:t>
      </w:r>
    </w:p>
    <w:p w14:paraId="31A96C9E" w14:textId="77777777" w:rsidR="007717B2" w:rsidRPr="007717B2" w:rsidRDefault="007717B2" w:rsidP="003C1D42">
      <w:pPr>
        <w:numPr>
          <w:ilvl w:val="0"/>
          <w:numId w:val="58"/>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el presente año, las instituciones ingresaron en la aplicación web actualizada y mejorada, toda la red de categorías programáticas a vincular en el POASAN 2022, incluyendo estructura presupuestaria, producto, subproducto y programación de meta física (cuando fue factible a nivel municipal), especificando su vinculación a las líneas de acción de la GCNN, al plan para la atención del hambre estacional y a las acciones de la ventana de oportunidad de los mil días, lo cual permite contar con la información integrada de este plan generando reportes y base de datos accesibles a los usuarios en general sobre la inversión que el gobierno realiza en el tema de SAN.</w:t>
      </w:r>
    </w:p>
    <w:p w14:paraId="4BB8B69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Ejecutiva de la Comisión contra las Adicciones y el Tráfico Ilícito de Drogas (SECATID)</w:t>
      </w:r>
      <w:r w:rsidRPr="007717B2">
        <w:rPr>
          <w:rFonts w:ascii="Calibri" w:eastAsia="Times New Roman" w:hAnsi="Calibri" w:cs="Calibri"/>
          <w:color w:val="000000"/>
          <w:sz w:val="24"/>
          <w:szCs w:val="24"/>
          <w:lang w:val="es-ES" w:eastAsia="es-GT"/>
        </w:rPr>
        <w:t> </w:t>
      </w:r>
    </w:p>
    <w:p w14:paraId="084102B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A lo largo del último trimestre 2022, la SECATID progresó en los siguientes aspectos: </w:t>
      </w:r>
      <w:r w:rsidRPr="007717B2">
        <w:rPr>
          <w:rFonts w:ascii="Calibri" w:eastAsia="Times New Roman" w:hAnsi="Calibri" w:cs="Calibri"/>
          <w:color w:val="000000"/>
          <w:sz w:val="24"/>
          <w:szCs w:val="24"/>
          <w:lang w:val="es-ES" w:eastAsia="es-GT"/>
        </w:rPr>
        <w:t> </w:t>
      </w:r>
    </w:p>
    <w:p w14:paraId="4110F93F" w14:textId="77777777" w:rsidR="007717B2" w:rsidRPr="007717B2" w:rsidRDefault="007717B2" w:rsidP="003C1D42">
      <w:pPr>
        <w:numPr>
          <w:ilvl w:val="0"/>
          <w:numId w:val="60"/>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Dirección de Prevención ha logrado visitar 92 municipios de Guatemala con las actividades de sensibilización, capacitación, talleres y asistencias técnicas, beneficiando a más de 59 mil personas durante el año. </w:t>
      </w:r>
    </w:p>
    <w:p w14:paraId="4336C186" w14:textId="77777777" w:rsidR="007717B2" w:rsidRPr="007717B2" w:rsidRDefault="007717B2" w:rsidP="003C1D42">
      <w:pPr>
        <w:numPr>
          <w:ilvl w:val="0"/>
          <w:numId w:val="60"/>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La Dirección de Tratamiento, Rehabilitación y Reinserción, por medio de la cual se ejecutan las políticas nacionales de tratamiento, rehabilitación de personas con trastorno por uso de sustancias. A través de diversos programas se logró beneficiar a 8,450 personas en el único centro de tratamiento ambulatorio del Estado de Guatemala que presta sus servicios de manera gratuita. </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eastAsia="es-GT"/>
        </w:rPr>
        <w:t> </w:t>
      </w:r>
      <w:r w:rsidRPr="007717B2">
        <w:rPr>
          <w:rFonts w:ascii="Calibri" w:eastAsia="Times New Roman" w:hAnsi="Calibri" w:cs="Calibri"/>
          <w:color w:val="000000"/>
          <w:sz w:val="24"/>
          <w:szCs w:val="24"/>
          <w:lang w:val="es-ES" w:eastAsia="es-GT"/>
        </w:rPr>
        <w:t> </w:t>
      </w:r>
    </w:p>
    <w:p w14:paraId="26AB1124" w14:textId="77777777"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Otras dependencias, empresas del Estado y órganos de control </w:t>
      </w:r>
    </w:p>
    <w:p w14:paraId="0BBD554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La </w:t>
      </w:r>
      <w:r w:rsidRPr="007717B2">
        <w:rPr>
          <w:rFonts w:ascii="Calibri" w:eastAsia="Times New Roman" w:hAnsi="Calibri" w:cs="Calibri"/>
          <w:b/>
          <w:bCs/>
          <w:i/>
          <w:iCs/>
          <w:sz w:val="24"/>
          <w:szCs w:val="24"/>
          <w:lang w:eastAsia="es-GT"/>
        </w:rPr>
        <w:t>Corte de Constitucionalidad (CC),</w:t>
      </w:r>
      <w:r w:rsidRPr="007717B2">
        <w:rPr>
          <w:rFonts w:ascii="Calibri" w:eastAsia="Times New Roman" w:hAnsi="Calibri" w:cs="Calibri"/>
          <w:sz w:val="24"/>
          <w:szCs w:val="24"/>
          <w:lang w:eastAsia="es-GT"/>
        </w:rPr>
        <w:t xml:space="preserve"> a su vez, logró los avances siguientes:</w:t>
      </w:r>
      <w:r w:rsidRPr="007717B2">
        <w:rPr>
          <w:rFonts w:ascii="Calibri" w:eastAsia="Times New Roman" w:hAnsi="Calibri" w:cs="Calibri"/>
          <w:sz w:val="24"/>
          <w:szCs w:val="24"/>
          <w:lang w:val="es-ES" w:eastAsia="es-GT"/>
        </w:rPr>
        <w:t> </w:t>
      </w:r>
    </w:p>
    <w:p w14:paraId="797DCF19" w14:textId="77777777" w:rsidR="007717B2" w:rsidRPr="007717B2" w:rsidRDefault="007717B2" w:rsidP="003C1D42">
      <w:pPr>
        <w:numPr>
          <w:ilvl w:val="0"/>
          <w:numId w:val="5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garantizó el orden constitucional manteniendo un estándar de calidad en la resolución de casos recibidos en el marco de su competencia para la población guatemalteca.</w:t>
      </w:r>
      <w:r w:rsidRPr="007717B2">
        <w:rPr>
          <w:rFonts w:ascii="Calibri" w:eastAsia="Times New Roman" w:hAnsi="Calibri" w:cs="Calibri"/>
          <w:color w:val="000000"/>
          <w:sz w:val="24"/>
          <w:szCs w:val="24"/>
          <w:lang w:val="es-ES" w:eastAsia="es-GT"/>
        </w:rPr>
        <w:t> </w:t>
      </w:r>
    </w:p>
    <w:p w14:paraId="6A7EDC67" w14:textId="77777777" w:rsidR="007717B2" w:rsidRPr="007717B2" w:rsidRDefault="007717B2" w:rsidP="003C1D42">
      <w:pPr>
        <w:numPr>
          <w:ilvl w:val="0"/>
          <w:numId w:val="5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ha continuado el proceso de formación del personal de las diferentes dependencias de la Corte de Constitucionalidad para la formulación, entrega y apropiación de la planificación estratégica y operativa, cumpliendo con los mandatos legales vigentes y los lineamientos de los entes rectores en la materia.</w:t>
      </w:r>
      <w:r w:rsidRPr="007717B2">
        <w:rPr>
          <w:rFonts w:ascii="Calibri" w:eastAsia="Times New Roman" w:hAnsi="Calibri" w:cs="Calibri"/>
          <w:color w:val="000000"/>
          <w:sz w:val="24"/>
          <w:szCs w:val="24"/>
          <w:lang w:val="es-ES" w:eastAsia="es-GT"/>
        </w:rPr>
        <w:t> </w:t>
      </w:r>
    </w:p>
    <w:p w14:paraId="1FDA5208"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Por su parte, el </w:t>
      </w:r>
      <w:r w:rsidRPr="007717B2">
        <w:rPr>
          <w:rFonts w:ascii="Calibri" w:eastAsia="Times New Roman" w:hAnsi="Calibri" w:cs="Calibri"/>
          <w:b/>
          <w:bCs/>
          <w:i/>
          <w:iCs/>
          <w:sz w:val="24"/>
          <w:szCs w:val="24"/>
          <w:lang w:eastAsia="es-GT"/>
        </w:rPr>
        <w:t>Ministerio Público (MP)</w:t>
      </w:r>
      <w:r w:rsidRPr="007717B2">
        <w:rPr>
          <w:rFonts w:ascii="Calibri" w:eastAsia="Times New Roman" w:hAnsi="Calibri" w:cs="Calibri"/>
          <w:sz w:val="24"/>
          <w:szCs w:val="24"/>
          <w:lang w:eastAsia="es-GT"/>
        </w:rPr>
        <w:t xml:space="preserve"> logró algunos avances de especial relevancia, que se observan a continuación:</w:t>
      </w:r>
      <w:r w:rsidRPr="007717B2">
        <w:rPr>
          <w:rFonts w:ascii="Calibri" w:eastAsia="Times New Roman" w:hAnsi="Calibri" w:cs="Calibri"/>
          <w:sz w:val="24"/>
          <w:szCs w:val="24"/>
          <w:lang w:val="es-ES" w:eastAsia="es-GT"/>
        </w:rPr>
        <w:t> </w:t>
      </w:r>
    </w:p>
    <w:p w14:paraId="1589C4FD" w14:textId="77777777" w:rsidR="007717B2" w:rsidRPr="007717B2" w:rsidRDefault="007717B2" w:rsidP="003C1D42">
      <w:pPr>
        <w:numPr>
          <w:ilvl w:val="0"/>
          <w:numId w:val="61"/>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crearon agencias fiscales contra el delito de femicidio en los departamentos de Santa Rosa y Escuintla. La población beneficiada para el Departamento de Escuintla fue de 864,348 y del Departamento de Santa Rosa 456,928.</w:t>
      </w:r>
      <w:r w:rsidRPr="007717B2">
        <w:rPr>
          <w:rFonts w:ascii="Calibri" w:eastAsia="Times New Roman" w:hAnsi="Calibri" w:cs="Calibri"/>
          <w:color w:val="000000"/>
          <w:sz w:val="24"/>
          <w:szCs w:val="24"/>
          <w:lang w:val="es-ES" w:eastAsia="es-GT"/>
        </w:rPr>
        <w:t> </w:t>
      </w:r>
    </w:p>
    <w:p w14:paraId="6156EDB5" w14:textId="77777777" w:rsidR="007717B2" w:rsidRPr="007717B2" w:rsidRDefault="007717B2" w:rsidP="003C1D42">
      <w:pPr>
        <w:numPr>
          <w:ilvl w:val="0"/>
          <w:numId w:val="61"/>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estableció la Agencia Fiscal contra la Trata de Personas en Petén, con una población beneficiada de 640,151</w:t>
      </w:r>
      <w:r w:rsidRPr="007717B2">
        <w:rPr>
          <w:rFonts w:ascii="Calibri" w:eastAsia="Times New Roman" w:hAnsi="Calibri" w:cs="Calibri"/>
          <w:color w:val="000000"/>
          <w:sz w:val="24"/>
          <w:szCs w:val="24"/>
          <w:lang w:val="es-ES" w:eastAsia="es-GT"/>
        </w:rPr>
        <w:t>.</w:t>
      </w:r>
    </w:p>
    <w:p w14:paraId="5EEA23C0" w14:textId="77777777" w:rsidR="007717B2" w:rsidRPr="007717B2" w:rsidRDefault="007717B2" w:rsidP="003C1D42">
      <w:pPr>
        <w:numPr>
          <w:ilvl w:val="0"/>
          <w:numId w:val="61"/>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instituyó la Agencia Fiscal de Adolescentes en Conflicto con la Ley Penal, en Totonicapán y Retalhuleu. Se beneficiará a 507,905 jóvenes para el departamento de Totonicapán y a 386,783 en Retalhuleu.</w:t>
      </w:r>
      <w:r w:rsidRPr="007717B2">
        <w:rPr>
          <w:rFonts w:ascii="Calibri" w:eastAsia="Times New Roman" w:hAnsi="Calibri" w:cs="Calibri"/>
          <w:color w:val="000000"/>
          <w:sz w:val="24"/>
          <w:szCs w:val="24"/>
          <w:lang w:val="es-ES" w:eastAsia="es-GT"/>
        </w:rPr>
        <w:t> </w:t>
      </w:r>
    </w:p>
    <w:p w14:paraId="576A654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 la </w:t>
      </w:r>
      <w:r w:rsidRPr="007717B2">
        <w:rPr>
          <w:rFonts w:ascii="Calibri" w:eastAsia="Times New Roman" w:hAnsi="Calibri" w:cs="Calibri"/>
          <w:b/>
          <w:bCs/>
          <w:i/>
          <w:iCs/>
          <w:color w:val="000000"/>
          <w:sz w:val="24"/>
          <w:szCs w:val="24"/>
          <w:lang w:eastAsia="es-GT"/>
        </w:rPr>
        <w:t>Contraloría General de Cuentas de la Nación (CGC),</w:t>
      </w:r>
      <w:r w:rsidRPr="007717B2">
        <w:rPr>
          <w:rFonts w:ascii="Calibri" w:eastAsia="Times New Roman" w:hAnsi="Calibri" w:cs="Calibri"/>
          <w:color w:val="000000"/>
          <w:sz w:val="24"/>
          <w:szCs w:val="24"/>
          <w:lang w:eastAsia="es-GT"/>
        </w:rPr>
        <w:t xml:space="preserve"> se logró lo siguiente:</w:t>
      </w:r>
      <w:r w:rsidRPr="007717B2">
        <w:rPr>
          <w:rFonts w:ascii="Calibri" w:eastAsia="Times New Roman" w:hAnsi="Calibri" w:cs="Calibri"/>
          <w:color w:val="000000"/>
          <w:sz w:val="24"/>
          <w:szCs w:val="24"/>
          <w:lang w:val="es-ES" w:eastAsia="es-GT"/>
        </w:rPr>
        <w:t> </w:t>
      </w:r>
    </w:p>
    <w:p w14:paraId="27BC172E" w14:textId="77777777" w:rsidR="007717B2" w:rsidRPr="007717B2" w:rsidRDefault="007717B2" w:rsidP="003C1D42">
      <w:pPr>
        <w:numPr>
          <w:ilvl w:val="0"/>
          <w:numId w:val="6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Se suscribió el convenio de cooperación interinstitucional contra la corrupción entre: Comisión Presidencial contra la Corrupción, Superintendencia de Administración Tributaria, Contraloría General de Cuentas, Ministerio Público, Procuraduría General de la Nación, Superintendencia de Bancos y el Gobierno de Guatemala. El Convenio impulsa acciones que fortalecen la calidad del gasto público, la cultura de probidad, la transparencia y la rendición de cuentas; asimismo, la prevención de hechos ilícitos, irregularidades o alertas observadas en las instituciones involucradas en este proceso. </w:t>
      </w:r>
    </w:p>
    <w:p w14:paraId="75D21700" w14:textId="77777777" w:rsidR="007717B2" w:rsidRPr="007717B2" w:rsidRDefault="007717B2" w:rsidP="003C1D42">
      <w:pPr>
        <w:numPr>
          <w:ilvl w:val="0"/>
          <w:numId w:val="6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Programa de capacitación de auditores y no auditores de diferentes instituciones, en el Diplomado de Control Interno Gubernamental con especialidad en auditoría de cumplimiento, desempeño y financiera. (586 personas capacitadas en octubre de 2022). </w:t>
      </w:r>
      <w:r w:rsidRPr="007717B2">
        <w:rPr>
          <w:rFonts w:ascii="Calibri" w:eastAsia="Times New Roman" w:hAnsi="Calibri" w:cs="Calibri"/>
          <w:color w:val="000000"/>
          <w:sz w:val="24"/>
          <w:szCs w:val="24"/>
          <w:lang w:val="es-ES" w:eastAsia="es-GT"/>
        </w:rPr>
        <w:t> </w:t>
      </w:r>
    </w:p>
    <w:p w14:paraId="17C94C4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relación a la </w:t>
      </w:r>
      <w:r w:rsidRPr="007717B2">
        <w:rPr>
          <w:rFonts w:ascii="Calibri" w:eastAsia="Times New Roman" w:hAnsi="Calibri" w:cs="Calibri"/>
          <w:b/>
          <w:bCs/>
          <w:i/>
          <w:iCs/>
          <w:color w:val="000000"/>
          <w:sz w:val="24"/>
          <w:szCs w:val="24"/>
          <w:lang w:eastAsia="es-GT"/>
        </w:rPr>
        <w:t>Procuraduría de los Derechos Humanos (PDH),</w:t>
      </w:r>
      <w:r w:rsidRPr="007717B2">
        <w:rPr>
          <w:rFonts w:ascii="Calibri" w:eastAsia="Times New Roman" w:hAnsi="Calibri" w:cs="Calibri"/>
          <w:color w:val="000000"/>
          <w:sz w:val="24"/>
          <w:szCs w:val="24"/>
          <w:lang w:eastAsia="es-GT"/>
        </w:rPr>
        <w:t xml:space="preserve"> sus logros de mayor significancia en el último cuatrimestre fueron:</w:t>
      </w:r>
      <w:r w:rsidRPr="007717B2">
        <w:rPr>
          <w:rFonts w:ascii="Calibri" w:eastAsia="Times New Roman" w:hAnsi="Calibri" w:cs="Calibri"/>
          <w:color w:val="000000"/>
          <w:sz w:val="24"/>
          <w:szCs w:val="24"/>
          <w:lang w:val="es-ES" w:eastAsia="es-GT"/>
        </w:rPr>
        <w:t> </w:t>
      </w:r>
    </w:p>
    <w:p w14:paraId="2080A54D" w14:textId="4B8E0EBD" w:rsidR="007717B2" w:rsidRPr="007717B2" w:rsidRDefault="007717B2" w:rsidP="003C1D42">
      <w:pPr>
        <w:numPr>
          <w:ilvl w:val="0"/>
          <w:numId w:val="63"/>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Promoción y educación en derechos humanos. Se capacitó a 23,252 personas en las 35 </w:t>
      </w:r>
      <w:r w:rsidR="004D16E0" w:rsidRPr="007717B2">
        <w:rPr>
          <w:rFonts w:ascii="Calibri" w:eastAsia="Times New Roman" w:hAnsi="Calibri" w:cs="Calibri"/>
          <w:color w:val="000000"/>
          <w:sz w:val="24"/>
          <w:szCs w:val="24"/>
          <w:lang w:eastAsia="es-GT"/>
        </w:rPr>
        <w:t>Auxiliaturas</w:t>
      </w:r>
      <w:r w:rsidRPr="007717B2">
        <w:rPr>
          <w:rFonts w:ascii="Calibri" w:eastAsia="Times New Roman" w:hAnsi="Calibri" w:cs="Calibri"/>
          <w:color w:val="000000"/>
          <w:sz w:val="24"/>
          <w:szCs w:val="24"/>
          <w:lang w:eastAsia="es-GT"/>
        </w:rPr>
        <w:t xml:space="preserve"> a nivel nacional y se realizaron 371 eventos en diferentes actividades, entre programas radiales, televisivos, estaciones promocionales, entre otros.</w:t>
      </w:r>
      <w:r w:rsidRPr="007717B2">
        <w:rPr>
          <w:rFonts w:ascii="Calibri" w:eastAsia="Times New Roman" w:hAnsi="Calibri" w:cs="Calibri"/>
          <w:color w:val="000000"/>
          <w:sz w:val="24"/>
          <w:szCs w:val="24"/>
          <w:lang w:val="es-ES" w:eastAsia="es-GT"/>
        </w:rPr>
        <w:t> </w:t>
      </w:r>
    </w:p>
    <w:p w14:paraId="02523C77" w14:textId="77777777" w:rsidR="007717B2" w:rsidRPr="007717B2" w:rsidRDefault="007717B2" w:rsidP="003C1D42">
      <w:pPr>
        <w:numPr>
          <w:ilvl w:val="0"/>
          <w:numId w:val="63"/>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Prevención, defensa y protección de los derechos humanos. Se emitieron 2,503 expedientes de investigación de denuncias de violación a los derechos humanos.</w:t>
      </w:r>
    </w:p>
    <w:p w14:paraId="27E64B44" w14:textId="77777777" w:rsidR="007717B2" w:rsidRPr="007717B2" w:rsidRDefault="007717B2" w:rsidP="003C1D42">
      <w:pPr>
        <w:numPr>
          <w:ilvl w:val="0"/>
          <w:numId w:val="63"/>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Transparencia y acceso a la información pública. Se capacitaron 2,030 personas sobre el derecho a saber (Ley de Acceso a la Información Pública). </w:t>
      </w:r>
      <w:r w:rsidRPr="007717B2">
        <w:rPr>
          <w:rFonts w:ascii="Calibri" w:eastAsia="Times New Roman" w:hAnsi="Calibri" w:cs="Calibri"/>
          <w:color w:val="000000"/>
          <w:sz w:val="24"/>
          <w:szCs w:val="24"/>
          <w:lang w:val="es-ES" w:eastAsia="es-GT"/>
        </w:rPr>
        <w:t> </w:t>
      </w:r>
    </w:p>
    <w:p w14:paraId="48E245B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lado, la </w:t>
      </w:r>
      <w:r w:rsidRPr="007717B2">
        <w:rPr>
          <w:rFonts w:ascii="Calibri" w:eastAsia="Times New Roman" w:hAnsi="Calibri" w:cs="Calibri"/>
          <w:b/>
          <w:bCs/>
          <w:i/>
          <w:iCs/>
          <w:color w:val="000000"/>
          <w:sz w:val="24"/>
          <w:szCs w:val="24"/>
          <w:lang w:eastAsia="es-GT"/>
        </w:rPr>
        <w:t>Oficina Nacional de Servicio Civil (ONSEC),</w:t>
      </w:r>
      <w:r w:rsidRPr="007717B2">
        <w:rPr>
          <w:rFonts w:ascii="Calibri" w:eastAsia="Times New Roman" w:hAnsi="Calibri" w:cs="Calibri"/>
          <w:color w:val="000000"/>
          <w:sz w:val="24"/>
          <w:szCs w:val="24"/>
          <w:lang w:eastAsia="es-GT"/>
        </w:rPr>
        <w:t xml:space="preserve"> registró en los últimos cuatro meses de 2022 los avances siguientes:</w:t>
      </w:r>
      <w:r w:rsidRPr="007717B2">
        <w:rPr>
          <w:rFonts w:ascii="Calibri" w:eastAsia="Times New Roman" w:hAnsi="Calibri" w:cs="Calibri"/>
          <w:color w:val="000000"/>
          <w:sz w:val="24"/>
          <w:szCs w:val="24"/>
          <w:lang w:val="es-ES" w:eastAsia="es-GT"/>
        </w:rPr>
        <w:t> </w:t>
      </w:r>
    </w:p>
    <w:p w14:paraId="2B99A8C5" w14:textId="77777777" w:rsidR="007717B2" w:rsidRPr="007717B2" w:rsidRDefault="007717B2" w:rsidP="003C1D42">
      <w:pPr>
        <w:numPr>
          <w:ilvl w:val="0"/>
          <w:numId w:val="6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logró favorecer a 22,364 servidores, ex servidores públicos del Organismo Ejecutivo y sus beneficiarios con acciones de recursos humanos aprobadas.</w:t>
      </w:r>
      <w:r w:rsidRPr="007717B2">
        <w:rPr>
          <w:rFonts w:ascii="Calibri" w:eastAsia="Times New Roman" w:hAnsi="Calibri" w:cs="Calibri"/>
          <w:color w:val="000000"/>
          <w:sz w:val="24"/>
          <w:szCs w:val="24"/>
          <w:lang w:val="es-ES" w:eastAsia="es-GT"/>
        </w:rPr>
        <w:t> </w:t>
      </w:r>
    </w:p>
    <w:p w14:paraId="40EC49E2" w14:textId="77777777" w:rsidR="007717B2" w:rsidRPr="007717B2" w:rsidRDefault="007717B2" w:rsidP="003C1D42">
      <w:pPr>
        <w:numPr>
          <w:ilvl w:val="0"/>
          <w:numId w:val="6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logró favorecer a 3,520 servidores, ex servidores públicos del Estado y sus beneficiarios con pensiones y otros beneficios.</w:t>
      </w:r>
      <w:r w:rsidRPr="007717B2">
        <w:rPr>
          <w:rFonts w:ascii="Calibri" w:eastAsia="Times New Roman" w:hAnsi="Calibri" w:cs="Calibri"/>
          <w:color w:val="000000"/>
          <w:sz w:val="24"/>
          <w:szCs w:val="24"/>
          <w:lang w:val="es-ES" w:eastAsia="es-GT"/>
        </w:rPr>
        <w:t> </w:t>
      </w:r>
    </w:p>
    <w:p w14:paraId="43DB4568"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w:t>
      </w:r>
      <w:r w:rsidRPr="007717B2">
        <w:rPr>
          <w:rFonts w:ascii="Calibri" w:eastAsia="Times New Roman" w:hAnsi="Calibri" w:cs="Calibri"/>
          <w:b/>
          <w:bCs/>
          <w:i/>
          <w:iCs/>
          <w:color w:val="000000"/>
          <w:sz w:val="24"/>
          <w:szCs w:val="24"/>
          <w:lang w:eastAsia="es-GT"/>
        </w:rPr>
        <w:t>Comisión Presidencial por la Paz y los Derechos Humanos (COPADEH),</w:t>
      </w:r>
      <w:r w:rsidRPr="007717B2">
        <w:rPr>
          <w:rFonts w:ascii="Calibri" w:eastAsia="Times New Roman" w:hAnsi="Calibri" w:cs="Calibri"/>
          <w:color w:val="000000"/>
          <w:sz w:val="24"/>
          <w:szCs w:val="24"/>
          <w:lang w:eastAsia="es-GT"/>
        </w:rPr>
        <w:t xml:space="preserve"> logró que 286 víctimas se convirtieran en beneficiarios de 11 sentencias de la Corte Interamericana de Derechos Humanos, por lo que recibieron pago por reparaciones económicas, erogando un monto aproximado de Q. 33,387,830.60. </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eastAsia="es-GT"/>
        </w:rPr>
        <w:t>Asimismo, la Comisión logró atender 377 conflictos, por medio de acciones de coordinación interinstitucional y asesoría a nivel nacional, de los cuales se tienen 47 conflictos finalizados y 330 en proceso de atención.</w:t>
      </w:r>
      <w:r w:rsidRPr="007717B2">
        <w:rPr>
          <w:rFonts w:ascii="Calibri" w:eastAsia="Times New Roman" w:hAnsi="Calibri" w:cs="Calibri"/>
          <w:color w:val="000000"/>
          <w:sz w:val="24"/>
          <w:szCs w:val="24"/>
          <w:lang w:val="es-ES" w:eastAsia="es-GT"/>
        </w:rPr>
        <w:t> </w:t>
      </w:r>
    </w:p>
    <w:p w14:paraId="4E028C9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lo concerniente al </w:t>
      </w:r>
      <w:r w:rsidRPr="007717B2">
        <w:rPr>
          <w:rFonts w:ascii="Calibri" w:eastAsia="Times New Roman" w:hAnsi="Calibri" w:cs="Calibri"/>
          <w:b/>
          <w:bCs/>
          <w:i/>
          <w:iCs/>
          <w:color w:val="000000"/>
          <w:sz w:val="24"/>
          <w:szCs w:val="24"/>
          <w:lang w:eastAsia="es-GT"/>
        </w:rPr>
        <w:t>Registro Nacional de las Personas (RENAP),</w:t>
      </w:r>
      <w:r w:rsidRPr="007717B2">
        <w:rPr>
          <w:rFonts w:ascii="Calibri" w:eastAsia="Times New Roman" w:hAnsi="Calibri" w:cs="Calibri"/>
          <w:color w:val="000000"/>
          <w:sz w:val="24"/>
          <w:szCs w:val="24"/>
          <w:lang w:eastAsia="es-GT"/>
        </w:rPr>
        <w:t xml:space="preserve"> esta entidad logró lo siguiente:</w:t>
      </w:r>
      <w:r w:rsidRPr="007717B2">
        <w:rPr>
          <w:rFonts w:ascii="Calibri" w:eastAsia="Times New Roman" w:hAnsi="Calibri" w:cs="Calibri"/>
          <w:color w:val="000000"/>
          <w:sz w:val="24"/>
          <w:szCs w:val="24"/>
          <w:lang w:val="es-ES" w:eastAsia="es-GT"/>
        </w:rPr>
        <w:t> </w:t>
      </w:r>
    </w:p>
    <w:p w14:paraId="52D910BE" w14:textId="77777777" w:rsidR="007717B2" w:rsidRPr="007717B2" w:rsidRDefault="007717B2" w:rsidP="003C1D42">
      <w:pPr>
        <w:numPr>
          <w:ilvl w:val="0"/>
          <w:numId w:val="6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Instalación y configuración de 25 estaciones de captura de datos para la emisión del Documento Personal de Identificación (DPI) a Misiones Consulares y Diplomáticas.</w:t>
      </w:r>
      <w:r w:rsidRPr="007717B2">
        <w:rPr>
          <w:rFonts w:ascii="Calibri" w:eastAsia="Times New Roman" w:hAnsi="Calibri" w:cs="Calibri"/>
          <w:color w:val="000000"/>
          <w:sz w:val="24"/>
          <w:szCs w:val="24"/>
          <w:lang w:val="es-ES" w:eastAsia="es-GT"/>
        </w:rPr>
        <w:t> </w:t>
      </w:r>
    </w:p>
    <w:p w14:paraId="6C641B38" w14:textId="77777777" w:rsidR="007717B2" w:rsidRPr="007717B2" w:rsidRDefault="007717B2" w:rsidP="003C1D42">
      <w:pPr>
        <w:numPr>
          <w:ilvl w:val="0"/>
          <w:numId w:val="6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inició con transferencia de atestados a nivel nacional para su resguardo en el Archivo Central del Registro Nacional de las Personas -RENAP-, completando la ruta 1 que incluyó 21 Oficinas del RENAP, que comprende 164,500 atestados aproximados.</w:t>
      </w:r>
      <w:r w:rsidRPr="007717B2">
        <w:rPr>
          <w:rFonts w:ascii="Calibri" w:eastAsia="Times New Roman" w:hAnsi="Calibri" w:cs="Calibri"/>
          <w:color w:val="000000"/>
          <w:sz w:val="24"/>
          <w:szCs w:val="24"/>
          <w:lang w:val="es-ES" w:eastAsia="es-GT"/>
        </w:rPr>
        <w:t> </w:t>
      </w:r>
    </w:p>
    <w:p w14:paraId="57751726" w14:textId="77777777"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 xml:space="preserve">El </w:t>
      </w:r>
      <w:r w:rsidRPr="007717B2">
        <w:rPr>
          <w:rFonts w:ascii="Calibri" w:eastAsia="Times New Roman" w:hAnsi="Calibri" w:cs="Calibri"/>
          <w:b/>
          <w:bCs/>
          <w:i/>
          <w:iCs/>
          <w:color w:val="000000"/>
          <w:sz w:val="24"/>
          <w:szCs w:val="24"/>
          <w:lang w:eastAsia="es-GT"/>
        </w:rPr>
        <w:t xml:space="preserve">Registro General de la Propiedad (RGP), </w:t>
      </w:r>
      <w:r w:rsidRPr="007717B2">
        <w:rPr>
          <w:rFonts w:ascii="Calibri" w:eastAsia="Times New Roman" w:hAnsi="Calibri" w:cs="Calibri"/>
          <w:color w:val="000000"/>
          <w:sz w:val="24"/>
          <w:szCs w:val="24"/>
          <w:lang w:eastAsia="es-GT"/>
        </w:rPr>
        <w:t>por su parte,</w:t>
      </w:r>
      <w:r w:rsidRPr="007717B2">
        <w:rPr>
          <w:rFonts w:ascii="Calibri" w:eastAsia="Times New Roman" w:hAnsi="Calibri" w:cs="Calibri"/>
          <w:b/>
          <w:bCs/>
          <w:i/>
          <w:iCs/>
          <w:color w:val="000000"/>
          <w:sz w:val="24"/>
          <w:szCs w:val="24"/>
          <w:lang w:eastAsia="es-GT"/>
        </w:rPr>
        <w:t xml:space="preserve"> </w:t>
      </w:r>
      <w:r w:rsidRPr="007717B2">
        <w:rPr>
          <w:rFonts w:ascii="Calibri" w:eastAsia="Times New Roman" w:hAnsi="Calibri" w:cs="Calibri"/>
          <w:color w:val="000000"/>
          <w:sz w:val="24"/>
          <w:szCs w:val="24"/>
          <w:lang w:eastAsia="es-GT"/>
        </w:rPr>
        <w:t>obtuvo los logros siguientes:</w:t>
      </w:r>
    </w:p>
    <w:p w14:paraId="4205E48C" w14:textId="77777777" w:rsidR="007717B2" w:rsidRPr="007717B2" w:rsidRDefault="007717B2" w:rsidP="003C1D42">
      <w:pPr>
        <w:numPr>
          <w:ilvl w:val="0"/>
          <w:numId w:val="66"/>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A partir del mes de agosto se implementaron acciones administrativas para agilizar el proceso de operación registral de los documentos ingresados, logrando reducir el tiempo de espera en 10 días respecto al tiempo promedio registrado durante el primer cuatrimestre del año. De esta forma se ha contribuido a mantener el dinamismo registrado por el mercado inmobiliario, derivado de la reactivación económica experimentada en el país en el período post-pandemia. </w:t>
      </w:r>
    </w:p>
    <w:p w14:paraId="771D9D3B" w14:textId="77777777" w:rsidR="007717B2" w:rsidRPr="007717B2" w:rsidRDefault="007717B2" w:rsidP="003C1D42">
      <w:pPr>
        <w:numPr>
          <w:ilvl w:val="0"/>
          <w:numId w:val="66"/>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el marco de la política de modernización de los servicios institucionales, se incrementó el catálogo de servicios en línea, logrando poner a disposición de los usuarios los siguientes servicios: Inmovilización tradicional de bienes inmuebles en línea, solicitud en línea de informes de aviso de testamento o donación por causa de muerte y cálculo de honorarios en línea.</w:t>
      </w:r>
      <w:r w:rsidRPr="007717B2">
        <w:rPr>
          <w:rFonts w:ascii="Calibri" w:eastAsia="Times New Roman" w:hAnsi="Calibri" w:cs="Calibri"/>
          <w:color w:val="000000"/>
          <w:sz w:val="24"/>
          <w:szCs w:val="24"/>
          <w:lang w:val="es-ES" w:eastAsia="es-GT"/>
        </w:rPr>
        <w:t> </w:t>
      </w:r>
    </w:p>
    <w:p w14:paraId="4625E07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lo relativo al </w:t>
      </w:r>
      <w:r w:rsidRPr="007717B2">
        <w:rPr>
          <w:rFonts w:ascii="Calibri" w:eastAsia="Times New Roman" w:hAnsi="Calibri" w:cs="Calibri"/>
          <w:b/>
          <w:bCs/>
          <w:i/>
          <w:iCs/>
          <w:color w:val="000000"/>
          <w:sz w:val="24"/>
          <w:szCs w:val="24"/>
          <w:lang w:eastAsia="es-GT"/>
        </w:rPr>
        <w:t>Segundo Registro de la Propiedad,</w:t>
      </w:r>
      <w:r w:rsidRPr="007717B2">
        <w:rPr>
          <w:rFonts w:ascii="Calibri" w:eastAsia="Times New Roman" w:hAnsi="Calibri" w:cs="Calibri"/>
          <w:color w:val="000000"/>
          <w:sz w:val="24"/>
          <w:szCs w:val="24"/>
          <w:lang w:eastAsia="es-GT"/>
        </w:rPr>
        <w:t xml:space="preserve"> alrededor de 114,266 asientos registrales se operaron de bienes reales em los que van inmersas primeras inscripciones de dominio y 72,071 certificaciones registrales fueron elaboradas, brindando certeza y seguridad registral en todos sus actos. Por medio de estos servicios fueron beneficiados ciudadanos de la región noroccidente y suroccidente del país.</w:t>
      </w:r>
      <w:r w:rsidRPr="007717B2">
        <w:rPr>
          <w:rFonts w:ascii="Calibri" w:eastAsia="Times New Roman" w:hAnsi="Calibri" w:cs="Calibri"/>
          <w:color w:val="000000"/>
          <w:sz w:val="24"/>
          <w:szCs w:val="24"/>
          <w:lang w:val="es-ES" w:eastAsia="es-GT"/>
        </w:rPr>
        <w:t> </w:t>
      </w:r>
    </w:p>
    <w:p w14:paraId="3621DF3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En cuanto al </w:t>
      </w:r>
      <w:r w:rsidRPr="007717B2">
        <w:rPr>
          <w:rFonts w:ascii="Calibri" w:eastAsia="Times New Roman" w:hAnsi="Calibri" w:cs="Calibri"/>
          <w:b/>
          <w:bCs/>
          <w:i/>
          <w:iCs/>
          <w:sz w:val="24"/>
          <w:szCs w:val="24"/>
          <w:lang w:eastAsia="es-GT"/>
        </w:rPr>
        <w:t>Registro de Información Catastral de Guatemala (RIC),</w:t>
      </w:r>
      <w:r w:rsidRPr="007717B2">
        <w:rPr>
          <w:rFonts w:ascii="Calibri" w:eastAsia="Times New Roman" w:hAnsi="Calibri" w:cs="Calibri"/>
          <w:sz w:val="24"/>
          <w:szCs w:val="24"/>
          <w:lang w:eastAsia="es-GT"/>
        </w:rPr>
        <w:t xml:space="preserve"> sus principales logros en el cuatrimestre final del año 2022 fueron:</w:t>
      </w:r>
      <w:r w:rsidRPr="007717B2">
        <w:rPr>
          <w:rFonts w:ascii="Calibri" w:eastAsia="Times New Roman" w:hAnsi="Calibri" w:cs="Calibri"/>
          <w:sz w:val="24"/>
          <w:szCs w:val="24"/>
          <w:lang w:val="es-ES" w:eastAsia="es-GT"/>
        </w:rPr>
        <w:t> </w:t>
      </w:r>
    </w:p>
    <w:p w14:paraId="7E70C044" w14:textId="086EC22B" w:rsidR="007717B2" w:rsidRPr="004D16E0" w:rsidRDefault="007717B2" w:rsidP="007717B2">
      <w:pPr>
        <w:numPr>
          <w:ilvl w:val="0"/>
          <w:numId w:val="9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atención al resultado institucional: para el año 2028 se ha incrementado en un 11.18% los municipios catastrados del país (de un 3.82% en 2018 a 15% en 2028), en el tercer cuatrimestre se logró declarar catastrados 2 nuevos municipios, Purulhá de Baja Verapaz y Siquinalá de Escuintla, con lo cual se incrementó en 0.59% los municipios catastrados llegando a un total acumulado de 5% de cobertura. El objetivo principal del resultado es brindar certeza espacial orientada a la certeza jurídica en la tenencia de la tierra.</w:t>
      </w:r>
      <w:r w:rsidRPr="007717B2">
        <w:rPr>
          <w:rFonts w:ascii="Calibri" w:eastAsia="Times New Roman" w:hAnsi="Calibri" w:cs="Calibri"/>
          <w:color w:val="000000"/>
          <w:sz w:val="24"/>
          <w:szCs w:val="24"/>
          <w:lang w:val="es-ES" w:eastAsia="es-GT"/>
        </w:rPr>
        <w:t> </w:t>
      </w:r>
    </w:p>
    <w:p w14:paraId="468CEA3D" w14:textId="77777777" w:rsidR="007717B2" w:rsidRPr="007717B2" w:rsidRDefault="007717B2" w:rsidP="003C1D42">
      <w:pPr>
        <w:numPr>
          <w:ilvl w:val="0"/>
          <w:numId w:val="9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logró la regularización de la tenencia de la tierra de 490 posesionarios que corresponden a 227 predios de titulación especial en los municipios de Tamahú, Alta Verapaz y Usumatlán, Zacapa; y 263 predios ubicados en la lotificación Los Limones, Gualán, Zacapa, que se encuentran en la Finca municipal No. 8,832 Folio 332 Libro 18E de Zacapa, con lo cual se cumple con el propósito de coadyuvar al logro de la certeza y seguridad jurídica de la tenencia de la tierra.</w:t>
      </w:r>
      <w:r w:rsidRPr="007717B2">
        <w:rPr>
          <w:rFonts w:ascii="Calibri" w:eastAsia="Times New Roman" w:hAnsi="Calibri" w:cs="Calibri"/>
          <w:color w:val="000000"/>
          <w:sz w:val="24"/>
          <w:szCs w:val="24"/>
          <w:lang w:val="es-ES" w:eastAsia="es-GT"/>
        </w:rPr>
        <w:t> </w:t>
      </w:r>
    </w:p>
    <w:p w14:paraId="2702F19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Pr="007717B2">
        <w:rPr>
          <w:rFonts w:ascii="Calibri" w:eastAsia="Times New Roman" w:hAnsi="Calibri" w:cs="Calibri"/>
          <w:b/>
          <w:bCs/>
          <w:i/>
          <w:iCs/>
          <w:color w:val="000000"/>
          <w:sz w:val="24"/>
          <w:szCs w:val="24"/>
          <w:lang w:eastAsia="es-GT"/>
        </w:rPr>
        <w:t>Instituto Nacional de Bosques (INAB),</w:t>
      </w:r>
      <w:r w:rsidRPr="007717B2">
        <w:rPr>
          <w:rFonts w:ascii="Calibri" w:eastAsia="Times New Roman" w:hAnsi="Calibri" w:cs="Calibri"/>
          <w:color w:val="000000"/>
          <w:sz w:val="24"/>
          <w:szCs w:val="24"/>
          <w:lang w:eastAsia="es-GT"/>
        </w:rPr>
        <w:t xml:space="preserve"> obtuvo en el último cuatrimestre 2022 los logros siguientes:</w:t>
      </w:r>
      <w:r w:rsidRPr="007717B2">
        <w:rPr>
          <w:rFonts w:ascii="Calibri" w:eastAsia="Times New Roman" w:hAnsi="Calibri" w:cs="Calibri"/>
          <w:color w:val="000000"/>
          <w:sz w:val="24"/>
          <w:szCs w:val="24"/>
          <w:lang w:val="es-ES" w:eastAsia="es-GT"/>
        </w:rPr>
        <w:t>  </w:t>
      </w:r>
    </w:p>
    <w:p w14:paraId="36FBEA81" w14:textId="77777777" w:rsidR="007717B2" w:rsidRPr="007717B2" w:rsidRDefault="007717B2" w:rsidP="003C1D42">
      <w:pPr>
        <w:numPr>
          <w:ilvl w:val="0"/>
          <w:numId w:val="67"/>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Se finalizó con la certificación de proyectos de incentivos forestales, alcanzando un total de 46,447, equivalente al pago de 630.4 millones de quetzales. Con ello se llevó a cabo el manejo sostenible y la conservación de 244,370 hectáreas de bosque y la recuperación de 26,264 hectáreas de tierras de vocación forestal, mediante plantaciones y sistemas agroforestales. </w:t>
      </w:r>
      <w:r w:rsidRPr="007717B2">
        <w:rPr>
          <w:rFonts w:ascii="Calibri" w:eastAsia="Times New Roman" w:hAnsi="Calibri" w:cs="Calibri"/>
          <w:color w:val="000000"/>
          <w:sz w:val="24"/>
          <w:szCs w:val="24"/>
          <w:lang w:val="es-ES" w:eastAsia="es-GT"/>
        </w:rPr>
        <w:t> </w:t>
      </w:r>
    </w:p>
    <w:p w14:paraId="796021DD" w14:textId="77777777" w:rsidR="007717B2" w:rsidRPr="007717B2" w:rsidRDefault="007717B2" w:rsidP="003C1D42">
      <w:pPr>
        <w:numPr>
          <w:ilvl w:val="0"/>
          <w:numId w:val="67"/>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concluyó el estudio del mapa de cobertura forestal 2020 y dinámica de la cobertura forestal 2016-2020, donde se estima una cobertura forestal de 33.3% del territorio nacional, es decir, 0.3% más que para el periodo 2010-2016, disminuyendo la tasa de deforestación de 0.5% a 0.3% en 2020.</w:t>
      </w:r>
      <w:r w:rsidRPr="007717B2">
        <w:rPr>
          <w:rFonts w:ascii="Calibri" w:eastAsia="Times New Roman" w:hAnsi="Calibri" w:cs="Calibri"/>
          <w:color w:val="000000"/>
          <w:sz w:val="24"/>
          <w:szCs w:val="24"/>
          <w:lang w:val="es-ES" w:eastAsia="es-GT"/>
        </w:rPr>
        <w:t> </w:t>
      </w:r>
    </w:p>
    <w:p w14:paraId="780014A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parte, el </w:t>
      </w:r>
      <w:r w:rsidRPr="007717B2">
        <w:rPr>
          <w:rFonts w:ascii="Calibri" w:eastAsia="Times New Roman" w:hAnsi="Calibri" w:cs="Calibri"/>
          <w:b/>
          <w:bCs/>
          <w:i/>
          <w:iCs/>
          <w:color w:val="000000"/>
          <w:sz w:val="24"/>
          <w:szCs w:val="24"/>
          <w:lang w:eastAsia="es-GT"/>
        </w:rPr>
        <w:t>Fondo de Desarrollo Indígena Guatemalteco (FODIGUA),</w:t>
      </w:r>
      <w:r w:rsidRPr="007717B2">
        <w:rPr>
          <w:rFonts w:ascii="Calibri" w:eastAsia="Times New Roman" w:hAnsi="Calibri" w:cs="Calibri"/>
          <w:color w:val="000000"/>
          <w:sz w:val="24"/>
          <w:szCs w:val="24"/>
          <w:lang w:eastAsia="es-GT"/>
        </w:rPr>
        <w:t xml:space="preserve"> logró brindar atención a jóvenes, 40% más de la meta y atención a mujeres indígenas  en un 42% más de la meta establecida.</w:t>
      </w:r>
      <w:r w:rsidRPr="007717B2">
        <w:rPr>
          <w:rFonts w:ascii="Calibri" w:eastAsia="Times New Roman" w:hAnsi="Calibri" w:cs="Calibri"/>
          <w:color w:val="000000"/>
          <w:sz w:val="24"/>
          <w:szCs w:val="24"/>
          <w:lang w:val="es-ES" w:eastAsia="es-GT"/>
        </w:rPr>
        <w:t> </w:t>
      </w:r>
    </w:p>
    <w:p w14:paraId="3625C7D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Respecto a la</w:t>
      </w:r>
      <w:r w:rsidRPr="007717B2">
        <w:rPr>
          <w:rFonts w:ascii="Calibri" w:eastAsia="Times New Roman" w:hAnsi="Calibri" w:cs="Calibri"/>
          <w:b/>
          <w:bCs/>
          <w:sz w:val="24"/>
          <w:szCs w:val="24"/>
          <w:lang w:eastAsia="es-GT"/>
        </w:rPr>
        <w:t xml:space="preserve"> </w:t>
      </w:r>
      <w:r w:rsidRPr="007717B2">
        <w:rPr>
          <w:rFonts w:ascii="Calibri" w:eastAsia="Times New Roman" w:hAnsi="Calibri" w:cs="Calibri"/>
          <w:b/>
          <w:bCs/>
          <w:i/>
          <w:iCs/>
          <w:sz w:val="24"/>
          <w:szCs w:val="24"/>
          <w:lang w:eastAsia="es-GT"/>
        </w:rPr>
        <w:t xml:space="preserve">Academia de Lenguas Mayas de Guatemala (ALMG), </w:t>
      </w:r>
      <w:r w:rsidRPr="007717B2">
        <w:rPr>
          <w:rFonts w:ascii="Calibri" w:eastAsia="Times New Roman" w:hAnsi="Calibri" w:cs="Calibri"/>
          <w:sz w:val="24"/>
          <w:szCs w:val="24"/>
          <w:lang w:eastAsia="es-GT"/>
        </w:rPr>
        <w:t>esta entidad</w:t>
      </w:r>
      <w:r w:rsidRPr="007717B2">
        <w:rPr>
          <w:rFonts w:ascii="Calibri" w:eastAsia="Times New Roman" w:hAnsi="Calibri" w:cs="Calibri"/>
          <w:b/>
          <w:bCs/>
          <w:i/>
          <w:iCs/>
          <w:sz w:val="24"/>
          <w:szCs w:val="24"/>
          <w:lang w:eastAsia="es-GT"/>
        </w:rPr>
        <w:t xml:space="preserve"> </w:t>
      </w:r>
      <w:r w:rsidRPr="007717B2">
        <w:rPr>
          <w:rFonts w:ascii="Calibri" w:eastAsia="Times New Roman" w:hAnsi="Calibri" w:cs="Calibri"/>
          <w:sz w:val="24"/>
          <w:szCs w:val="24"/>
          <w:lang w:eastAsia="es-GT"/>
        </w:rPr>
        <w:t>obtuvo los logros siguientes:</w:t>
      </w:r>
    </w:p>
    <w:p w14:paraId="6270C70B" w14:textId="77777777" w:rsidR="007717B2" w:rsidRPr="007717B2" w:rsidRDefault="007717B2" w:rsidP="003C1D42">
      <w:pPr>
        <w:numPr>
          <w:ilvl w:val="0"/>
          <w:numId w:val="68"/>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realizaron 22 investigaciones en temas lingüísticos y culturales y la elaboración de 18 materiales lingüísticos culturales y educativos.</w:t>
      </w:r>
      <w:r w:rsidRPr="007717B2">
        <w:rPr>
          <w:rFonts w:ascii="Calibri" w:eastAsia="Times New Roman" w:hAnsi="Calibri" w:cs="Calibri"/>
          <w:color w:val="000000"/>
          <w:sz w:val="24"/>
          <w:szCs w:val="24"/>
          <w:lang w:val="es-ES" w:eastAsia="es-GT"/>
        </w:rPr>
        <w:t> </w:t>
      </w:r>
    </w:p>
    <w:p w14:paraId="1B90CA77" w14:textId="77777777" w:rsidR="007717B2" w:rsidRPr="007717B2" w:rsidRDefault="007717B2" w:rsidP="003C1D42">
      <w:pPr>
        <w:numPr>
          <w:ilvl w:val="0"/>
          <w:numId w:val="68"/>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realizaron 66 festivales entre artísticos, literarios y académicos y la generación de 1,398 materiales entre audiovisuales, radiofónicos, materiales promocionales e impresiones.</w:t>
      </w:r>
      <w:r w:rsidRPr="007717B2">
        <w:rPr>
          <w:rFonts w:ascii="Calibri" w:eastAsia="Times New Roman" w:hAnsi="Calibri" w:cs="Calibri"/>
          <w:color w:val="000000"/>
          <w:sz w:val="24"/>
          <w:szCs w:val="24"/>
          <w:lang w:val="es-ES" w:eastAsia="es-GT"/>
        </w:rPr>
        <w:t> </w:t>
      </w:r>
    </w:p>
    <w:p w14:paraId="1CB3E610" w14:textId="77777777" w:rsidR="007717B2" w:rsidRPr="007717B2" w:rsidRDefault="007717B2" w:rsidP="003C1D42">
      <w:pPr>
        <w:numPr>
          <w:ilvl w:val="0"/>
          <w:numId w:val="68"/>
        </w:numPr>
        <w:spacing w:before="120" w:after="120" w:line="240" w:lineRule="auto"/>
        <w:ind w:left="714" w:hanging="357"/>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 xml:space="preserve">4,002 certificaciones en idiomas mayas y traducciones de documentos y 31 servicios de interpretaciones en las 22 Comunidades Lingüísticas. </w:t>
      </w:r>
      <w:r w:rsidRPr="007717B2">
        <w:rPr>
          <w:rFonts w:ascii="Calibri" w:eastAsia="Times New Roman" w:hAnsi="Calibri" w:cs="Calibri"/>
          <w:color w:val="000000"/>
          <w:sz w:val="24"/>
          <w:szCs w:val="24"/>
          <w:lang w:val="es-ES" w:eastAsia="es-GT"/>
        </w:rPr>
        <w:t> </w:t>
      </w:r>
    </w:p>
    <w:p w14:paraId="3C8DBB7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lo concerniente al </w:t>
      </w:r>
      <w:r w:rsidRPr="007717B2">
        <w:rPr>
          <w:rFonts w:ascii="Calibri" w:eastAsia="Times New Roman" w:hAnsi="Calibri" w:cs="Calibri"/>
          <w:b/>
          <w:bCs/>
          <w:i/>
          <w:iCs/>
          <w:color w:val="000000"/>
          <w:sz w:val="24"/>
          <w:szCs w:val="24"/>
          <w:lang w:eastAsia="es-GT"/>
        </w:rPr>
        <w:t>Consejo Nacional para la Atención a Personas con Discapacidad (CONADI),</w:t>
      </w:r>
      <w:r w:rsidRPr="007717B2">
        <w:rPr>
          <w:rFonts w:ascii="Calibri" w:eastAsia="Times New Roman" w:hAnsi="Calibri" w:cs="Calibri"/>
          <w:color w:val="000000"/>
          <w:sz w:val="24"/>
          <w:szCs w:val="24"/>
          <w:lang w:eastAsia="es-GT"/>
        </w:rPr>
        <w:t xml:space="preserve"> en seguimiento y cumplimiento a la carta de entendimiento suscrita entre este Consejo y el Comité Nacional de Alfabetización –CONALFA, se ha conformado una mesa técnica de trabajo integrada por delegados de CONALFA, INE, ALMG y CONADI. Uno de los productos de esta mesa es la elaboración del Plan de Trabajo 2022-2023, que contempla procesos de alfabetización dirigidos a personas con discapacidad visual y auditiva de los departamentos de Quetzaltenango, Suchitepéquez, Baja Verapaz y Totonicapán. Siendo esta, la primera vez en dirigir estos procesos a personas con discapacidad auditiva.</w:t>
      </w:r>
      <w:r w:rsidRPr="007717B2">
        <w:rPr>
          <w:rFonts w:ascii="Calibri" w:eastAsia="Times New Roman" w:hAnsi="Calibri" w:cs="Calibri"/>
          <w:color w:val="000000"/>
          <w:sz w:val="24"/>
          <w:szCs w:val="24"/>
          <w:lang w:val="es-ES" w:eastAsia="es-GT"/>
        </w:rPr>
        <w:t> </w:t>
      </w:r>
    </w:p>
    <w:p w14:paraId="245CD0C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CONADI también brindó capacitaciones sobre “Herramientas para la atención a las personas con discapacidad auditiva” dirigida a personal administrativo y operativo de la Entidad Metropolitana Reguladora de Transporte y Tránsito y sus Áreas de Influencia Urbana (EMETRA), con la participación de 474 personas sensibilizadas en el tema, para mejorar el servicio a la población con Discapacidad Auditiva.</w:t>
      </w:r>
      <w:r w:rsidRPr="007717B2">
        <w:rPr>
          <w:rFonts w:ascii="Calibri" w:eastAsia="Times New Roman" w:hAnsi="Calibri" w:cs="Calibri"/>
          <w:color w:val="000000"/>
          <w:sz w:val="24"/>
          <w:szCs w:val="24"/>
          <w:lang w:val="es-ES" w:eastAsia="es-GT"/>
        </w:rPr>
        <w:t> </w:t>
      </w:r>
    </w:p>
    <w:p w14:paraId="17C1CC9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Por su parte, el </w:t>
      </w:r>
      <w:r w:rsidRPr="007717B2">
        <w:rPr>
          <w:rFonts w:ascii="Calibri" w:eastAsia="Times New Roman" w:hAnsi="Calibri" w:cs="Calibri"/>
          <w:b/>
          <w:bCs/>
          <w:i/>
          <w:iCs/>
          <w:sz w:val="24"/>
          <w:szCs w:val="24"/>
          <w:lang w:eastAsia="es-GT"/>
        </w:rPr>
        <w:t>Consejo Nacional de Áreas Protegidas (CONAP),</w:t>
      </w:r>
      <w:r w:rsidRPr="007717B2">
        <w:rPr>
          <w:rFonts w:ascii="Calibri" w:eastAsia="Times New Roman" w:hAnsi="Calibri" w:cs="Calibri"/>
          <w:b/>
          <w:bCs/>
          <w:sz w:val="24"/>
          <w:szCs w:val="24"/>
          <w:lang w:eastAsia="es-GT"/>
        </w:rPr>
        <w:t xml:space="preserve"> </w:t>
      </w:r>
      <w:r w:rsidRPr="007717B2">
        <w:rPr>
          <w:rFonts w:ascii="Calibri" w:eastAsia="Times New Roman" w:hAnsi="Calibri" w:cs="Calibri"/>
          <w:sz w:val="24"/>
          <w:szCs w:val="24"/>
          <w:lang w:eastAsia="es-GT"/>
        </w:rPr>
        <w:t>obtuvo los logros siguientes:</w:t>
      </w:r>
      <w:r w:rsidRPr="007717B2">
        <w:rPr>
          <w:rFonts w:ascii="Calibri" w:eastAsia="Times New Roman" w:hAnsi="Calibri" w:cs="Calibri"/>
          <w:sz w:val="24"/>
          <w:szCs w:val="24"/>
          <w:lang w:val="es-ES" w:eastAsia="es-GT"/>
        </w:rPr>
        <w:t> </w:t>
      </w:r>
    </w:p>
    <w:p w14:paraId="00D19698" w14:textId="77777777" w:rsidR="007717B2" w:rsidRPr="007717B2" w:rsidRDefault="007717B2" w:rsidP="003C1D42">
      <w:pPr>
        <w:numPr>
          <w:ilvl w:val="0"/>
          <w:numId w:val="69"/>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Como avance identificado en el cumplimiento de los objetivos y las metas institucionales el CONAP, en el tercer cuatrimestre 2022, en la gestión del fuego dentro de áreas protegidas, para la temporada, 2021–2022, se reportaron un total de 169 incendios en áreas protegidas, los cuales afectaron un total de 5,126.26 hectáreas, 53.53 % de bosque, 20.09 % de plantación forestal y 36.39 % de otro tipo de vegetación no forestal.</w:t>
      </w:r>
    </w:p>
    <w:p w14:paraId="038AF660" w14:textId="77777777" w:rsidR="007717B2" w:rsidRPr="007717B2" w:rsidRDefault="007717B2" w:rsidP="003C1D42">
      <w:pPr>
        <w:numPr>
          <w:ilvl w:val="0"/>
          <w:numId w:val="69"/>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impartieron cursos/talleres de preparación para la atención de incendios forestales.</w:t>
      </w:r>
      <w:r w:rsidRPr="007717B2">
        <w:rPr>
          <w:rFonts w:ascii="Calibri" w:eastAsia="Times New Roman" w:hAnsi="Calibri" w:cs="Calibri"/>
          <w:color w:val="000000"/>
          <w:sz w:val="24"/>
          <w:szCs w:val="24"/>
          <w:lang w:val="es-ES" w:eastAsia="es-GT"/>
        </w:rPr>
        <w:t> </w:t>
      </w:r>
    </w:p>
    <w:p w14:paraId="051A7A5A" w14:textId="77777777" w:rsidR="007717B2" w:rsidRPr="007717B2" w:rsidRDefault="007717B2" w:rsidP="007717B2">
      <w:pPr>
        <w:spacing w:before="120" w:after="120" w:line="240" w:lineRule="auto"/>
        <w:ind w:left="714"/>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Los cursos fueron impartidos en técnicas básicas como uso de herramienta y equipo, quemas o rozas agrícolas, primeros auxilios, elaboración de brecha corta fuego, entre otros. Entre el personal capacitado figuran técnicos forestales, guarda-recursos, comunitarios, entre otros. Estos talleres se realizan bajo estándares calificados de formación, (adiestramiento) capacitando a 1,415 hombres que corresponde al 84% y 263 mujeres que corresponde al 16%, de un total de 1,678 personas.</w:t>
      </w:r>
    </w:p>
    <w:p w14:paraId="63D47384" w14:textId="77777777" w:rsidR="007717B2" w:rsidRPr="007717B2" w:rsidRDefault="007717B2" w:rsidP="003C1D42">
      <w:pPr>
        <w:numPr>
          <w:ilvl w:val="0"/>
          <w:numId w:val="6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Charlas de prevención y sensibilización sobre de incendios forestales. Del total de 2,976 personas sensibilizadas, el 57% corresponden a hombres (1,692) y el 43% a mujeres (1,284).</w:t>
      </w:r>
    </w:p>
    <w:p w14:paraId="68607EF2" w14:textId="77777777" w:rsidR="007717B2" w:rsidRPr="007717B2" w:rsidRDefault="007717B2" w:rsidP="003C1D42">
      <w:pPr>
        <w:numPr>
          <w:ilvl w:val="0"/>
          <w:numId w:val="6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Flora no maderable:</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eastAsia="es-GT"/>
        </w:rPr>
        <w:t>se exportó flora no maderable de las siguientes especies: gallitos, tillandsias, xate, izote, pimienta gorda, aloe, cactus, e izote pony. El monto de lo exportado asciende a un total de Q.1,635,905,774.88. Con el comercio internacional, el CONAP aporta a la economía del país y a las comunidades, haciendo un uso sostenible de los recursos naturales.</w:t>
      </w:r>
    </w:p>
    <w:p w14:paraId="58F2F92E" w14:textId="77777777" w:rsidR="007717B2" w:rsidRPr="007717B2" w:rsidRDefault="007717B2" w:rsidP="003C1D42">
      <w:pPr>
        <w:numPr>
          <w:ilvl w:val="0"/>
          <w:numId w:val="6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Flora maderable:</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eastAsia="es-GT"/>
        </w:rPr>
        <w:t>la comercialización lícita de madera de especies incluidas en apéndices II y III de CITES, proveniente de concesiones forestales, ha generado empleos e ingreso de divisas al país en beneficio de la población, manteniendo una sostenibilidad de los recursos forestales.</w:t>
      </w:r>
    </w:p>
    <w:p w14:paraId="7C4E4FC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En relación al </w:t>
      </w:r>
      <w:r w:rsidRPr="007717B2">
        <w:rPr>
          <w:rFonts w:ascii="Calibri" w:eastAsia="Times New Roman" w:hAnsi="Calibri" w:cs="Calibri"/>
          <w:b/>
          <w:bCs/>
          <w:i/>
          <w:iCs/>
          <w:sz w:val="24"/>
          <w:szCs w:val="24"/>
          <w:lang w:eastAsia="es-GT"/>
        </w:rPr>
        <w:t xml:space="preserve">Fondo de Tierras, </w:t>
      </w:r>
      <w:r w:rsidRPr="007717B2">
        <w:rPr>
          <w:rFonts w:ascii="Calibri" w:eastAsia="Times New Roman" w:hAnsi="Calibri" w:cs="Calibri"/>
          <w:sz w:val="24"/>
          <w:szCs w:val="24"/>
          <w:lang w:eastAsia="es-GT"/>
        </w:rPr>
        <w:t>este tiene en su haber los logros que se detallan a continuación:</w:t>
      </w:r>
      <w:r w:rsidRPr="007717B2">
        <w:rPr>
          <w:rFonts w:ascii="Calibri" w:eastAsia="Times New Roman" w:hAnsi="Calibri" w:cs="Calibri"/>
          <w:sz w:val="24"/>
          <w:szCs w:val="24"/>
          <w:lang w:val="es-ES" w:eastAsia="es-GT"/>
        </w:rPr>
        <w:t> </w:t>
      </w:r>
    </w:p>
    <w:p w14:paraId="63582923" w14:textId="77777777" w:rsidR="007717B2" w:rsidRPr="007717B2" w:rsidRDefault="007717B2" w:rsidP="003C1D42">
      <w:pPr>
        <w:numPr>
          <w:ilvl w:val="0"/>
          <w:numId w:val="69"/>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De septiembre a diciembre 2022 se logró atender a 70 familias beneficiarias del programa de acceso a la tierra, concretamente en compra de tierras. Se aprobó un crédito y subsidio de abono a la deuda a 70 familias de 2 comunidades. Se formalizó otro crédito y subsidio similar a nombre de la Asociación De Agricultores del Sur Eben Ezer, conformada por 10 familias adquiriendo la finca Hacienda San Lucas, ubicada en el municipio de Champerico departamento de Retalhuleu. Se aprobó el segundo crédito y subsidio al abono a la deuda de la Asociación de Desarrollo Integral El Recuerdo Dos, conformada por 60 familias adquiriendo la finca Los Recuerdos, en el municipio de Panzós, Alta Verapaz. </w:t>
      </w:r>
    </w:p>
    <w:p w14:paraId="482F1070" w14:textId="77777777" w:rsidR="007717B2" w:rsidRPr="007717B2" w:rsidRDefault="007717B2" w:rsidP="003C1D42">
      <w:pPr>
        <w:numPr>
          <w:ilvl w:val="0"/>
          <w:numId w:val="6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A lo largo del cuatrimestre se logró atender a 14,151 familias beneficiarias del programa de acceso a la tierra. </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eastAsia="es-GT"/>
        </w:rPr>
        <w:t>Este programa atiende principalmente a cabezas de familia mujeres.</w:t>
      </w:r>
      <w:r w:rsidRPr="007717B2">
        <w:rPr>
          <w:rFonts w:ascii="Calibri" w:eastAsia="Times New Roman" w:hAnsi="Calibri" w:cs="Calibri"/>
          <w:color w:val="000000"/>
          <w:sz w:val="24"/>
          <w:szCs w:val="24"/>
          <w:lang w:val="es-ES" w:eastAsia="es-GT"/>
        </w:rPr>
        <w:t> </w:t>
      </w:r>
    </w:p>
    <w:p w14:paraId="509661A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Por su parte, el </w:t>
      </w:r>
      <w:r w:rsidRPr="007717B2">
        <w:rPr>
          <w:rFonts w:ascii="Calibri" w:eastAsia="Times New Roman" w:hAnsi="Calibri" w:cs="Calibri"/>
          <w:b/>
          <w:bCs/>
          <w:i/>
          <w:iCs/>
          <w:sz w:val="24"/>
          <w:szCs w:val="24"/>
          <w:lang w:eastAsia="es-GT"/>
        </w:rPr>
        <w:t>Consejo Nacional de Adopciones (CNA),</w:t>
      </w:r>
      <w:r w:rsidRPr="007717B2">
        <w:rPr>
          <w:rFonts w:ascii="Calibri" w:eastAsia="Times New Roman" w:hAnsi="Calibri" w:cs="Calibri"/>
          <w:sz w:val="24"/>
          <w:szCs w:val="24"/>
          <w:lang w:eastAsia="es-GT"/>
        </w:rPr>
        <w:t xml:space="preserve"> ha logrado lo siguiente:</w:t>
      </w:r>
      <w:r w:rsidRPr="007717B2">
        <w:rPr>
          <w:rFonts w:ascii="Calibri" w:eastAsia="Times New Roman" w:hAnsi="Calibri" w:cs="Calibri"/>
          <w:sz w:val="24"/>
          <w:szCs w:val="24"/>
          <w:lang w:val="es-ES" w:eastAsia="es-GT"/>
        </w:rPr>
        <w:t> </w:t>
      </w:r>
    </w:p>
    <w:p w14:paraId="342DB3D0" w14:textId="77777777" w:rsidR="007717B2" w:rsidRPr="007717B2" w:rsidRDefault="007717B2" w:rsidP="003C1D42">
      <w:pPr>
        <w:numPr>
          <w:ilvl w:val="0"/>
          <w:numId w:val="70"/>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Dentro del programa 11, que se refiere a las acciones que realiza el CNA para restituir el derecho a una familia de los niños, niñas y adolescentes declarados adoptables, a pesar de no alcanzar el total de la meta anual, se considera un logro importante durante el tercer cuatrimestre del 2022, haber podido ubicar a 28 niños, niñas y adolescentes en familias adoptivas, tomando en consideración que más del 95% de los casos se encuentran dentro de difíciles, debido a su perfil (mayor de seis años, grupo de hermanos, con discapacidad o necesidad médica, entre otros) y que la mayoría de familias declaradas idóneas se interesan más por perfiles de niños menores de siete años y sanos.</w:t>
      </w:r>
      <w:r w:rsidRPr="007717B2">
        <w:rPr>
          <w:rFonts w:ascii="Calibri" w:eastAsia="Times New Roman" w:hAnsi="Calibri" w:cs="Calibri"/>
          <w:color w:val="000000"/>
          <w:sz w:val="24"/>
          <w:szCs w:val="24"/>
          <w:lang w:val="es-ES" w:eastAsia="es-GT"/>
        </w:rPr>
        <w:t> </w:t>
      </w:r>
    </w:p>
    <w:p w14:paraId="58581278" w14:textId="77777777" w:rsidR="007717B2" w:rsidRPr="007717B2" w:rsidRDefault="007717B2" w:rsidP="003C1D42">
      <w:pPr>
        <w:numPr>
          <w:ilvl w:val="0"/>
          <w:numId w:val="70"/>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considera un logro importante el haber informado, evaluado y asesorado a 94 madres y/o padres biológicos que presentaban conflicto con su parentalidad. La asesoría que se brinda es fundamental para que las madres eviten el abandono de niños, trata de personas o la institucionalización o adopciones irregulares.</w:t>
      </w:r>
      <w:r w:rsidRPr="007717B2">
        <w:rPr>
          <w:rFonts w:ascii="Calibri" w:eastAsia="Times New Roman" w:hAnsi="Calibri" w:cs="Calibri"/>
          <w:color w:val="000000"/>
          <w:sz w:val="24"/>
          <w:szCs w:val="24"/>
          <w:lang w:val="es-ES" w:eastAsia="es-GT"/>
        </w:rPr>
        <w:t> </w:t>
      </w:r>
    </w:p>
    <w:p w14:paraId="45C9729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parte, el </w:t>
      </w:r>
      <w:r w:rsidRPr="007717B2">
        <w:rPr>
          <w:rFonts w:ascii="Calibri" w:eastAsia="Times New Roman" w:hAnsi="Calibri" w:cs="Calibri"/>
          <w:b/>
          <w:bCs/>
          <w:i/>
          <w:iCs/>
          <w:color w:val="000000"/>
          <w:sz w:val="24"/>
          <w:szCs w:val="24"/>
          <w:lang w:eastAsia="es-GT"/>
        </w:rPr>
        <w:t>Comité Nacional de Alfabetización (CONALFA)</w:t>
      </w:r>
      <w:r w:rsidRPr="007717B2">
        <w:rPr>
          <w:rFonts w:ascii="Calibri" w:eastAsia="Times New Roman" w:hAnsi="Calibri" w:cs="Calibri"/>
          <w:color w:val="000000"/>
          <w:sz w:val="24"/>
          <w:szCs w:val="24"/>
          <w:lang w:eastAsia="es-GT"/>
        </w:rPr>
        <w:t xml:space="preserve"> ha logrado los siguientes avances:</w:t>
      </w:r>
      <w:r w:rsidRPr="007717B2">
        <w:rPr>
          <w:rFonts w:ascii="Calibri" w:eastAsia="Times New Roman" w:hAnsi="Calibri" w:cs="Calibri"/>
          <w:color w:val="000000"/>
          <w:sz w:val="24"/>
          <w:szCs w:val="24"/>
          <w:lang w:val="es-ES" w:eastAsia="es-GT"/>
        </w:rPr>
        <w:t> </w:t>
      </w:r>
    </w:p>
    <w:p w14:paraId="5C3ED5E3" w14:textId="77777777" w:rsidR="007717B2" w:rsidRPr="007717B2" w:rsidRDefault="007717B2" w:rsidP="003C1D42">
      <w:pPr>
        <w:numPr>
          <w:ilvl w:val="0"/>
          <w:numId w:val="70"/>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Personas de 15 años en adelante, atendidas en idioma español, se reportan 82,967 beneficiadas. </w:t>
      </w:r>
    </w:p>
    <w:p w14:paraId="71A05209" w14:textId="77777777" w:rsidR="007717B2" w:rsidRPr="007717B2" w:rsidRDefault="007717B2" w:rsidP="003C1D42">
      <w:pPr>
        <w:numPr>
          <w:ilvl w:val="0"/>
          <w:numId w:val="70"/>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Personas de 15 años en adelante, de fase inicial, atendidas en idioma español, se reportan 49,218 personas beneficiadas.</w:t>
      </w:r>
    </w:p>
    <w:p w14:paraId="2E7804AD" w14:textId="3297B799" w:rsidR="007717B2" w:rsidRPr="007717B2" w:rsidRDefault="007717B2" w:rsidP="003C1D42">
      <w:pPr>
        <w:numPr>
          <w:ilvl w:val="0"/>
          <w:numId w:val="70"/>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Personas de 15 años en adelante, de I Etapa de </w:t>
      </w:r>
      <w:r w:rsidR="004D16E0" w:rsidRPr="007717B2">
        <w:rPr>
          <w:rFonts w:ascii="Calibri" w:eastAsia="Times New Roman" w:hAnsi="Calibri" w:cs="Calibri"/>
          <w:color w:val="000000"/>
          <w:sz w:val="24"/>
          <w:szCs w:val="24"/>
          <w:lang w:eastAsia="es-GT"/>
        </w:rPr>
        <w:t>Postalfabetización</w:t>
      </w:r>
      <w:r w:rsidRPr="007717B2">
        <w:rPr>
          <w:rFonts w:ascii="Calibri" w:eastAsia="Times New Roman" w:hAnsi="Calibri" w:cs="Calibri"/>
          <w:color w:val="000000"/>
          <w:sz w:val="24"/>
          <w:szCs w:val="24"/>
          <w:lang w:eastAsia="es-GT"/>
        </w:rPr>
        <w:t xml:space="preserve">, atendidas en idioma español, se reportan 20,899 personas beneficiadas. </w:t>
      </w:r>
    </w:p>
    <w:p w14:paraId="4D583FC8" w14:textId="095BEC5E" w:rsidR="007717B2" w:rsidRPr="007717B2" w:rsidRDefault="007717B2" w:rsidP="00DF02CF">
      <w:pPr>
        <w:numPr>
          <w:ilvl w:val="0"/>
          <w:numId w:val="70"/>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Personas de 15 años en adelante, de II Etapa de </w:t>
      </w:r>
      <w:r w:rsidR="004D16E0" w:rsidRPr="007717B2">
        <w:rPr>
          <w:rFonts w:ascii="Calibri" w:eastAsia="Times New Roman" w:hAnsi="Calibri" w:cs="Calibri"/>
          <w:color w:val="000000"/>
          <w:sz w:val="24"/>
          <w:szCs w:val="24"/>
          <w:lang w:eastAsia="es-GT"/>
        </w:rPr>
        <w:t>Postalfabetización</w:t>
      </w:r>
      <w:r w:rsidRPr="007717B2">
        <w:rPr>
          <w:rFonts w:ascii="Calibri" w:eastAsia="Times New Roman" w:hAnsi="Calibri" w:cs="Calibri"/>
          <w:color w:val="000000"/>
          <w:sz w:val="24"/>
          <w:szCs w:val="24"/>
          <w:lang w:eastAsia="es-GT"/>
        </w:rPr>
        <w:t xml:space="preserve">, atendidas en idioma español, se reportan 12,850 personas beneficiadas. </w:t>
      </w:r>
    </w:p>
    <w:p w14:paraId="4D93BAD1" w14:textId="77777777" w:rsidR="007717B2" w:rsidRPr="007717B2" w:rsidRDefault="007717B2" w:rsidP="00DF02CF">
      <w:pPr>
        <w:numPr>
          <w:ilvl w:val="0"/>
          <w:numId w:val="70"/>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Personas de 15 años en adelante atendidas en idiomas maya, garífuna y xinca, se reportan 29,898 personas beneficiadas. </w:t>
      </w:r>
    </w:p>
    <w:p w14:paraId="3772B1A1" w14:textId="77777777" w:rsidR="007717B2" w:rsidRPr="007717B2" w:rsidRDefault="007717B2" w:rsidP="00DF02CF">
      <w:pPr>
        <w:numPr>
          <w:ilvl w:val="0"/>
          <w:numId w:val="70"/>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Personas analfabetas de 15 años en adelante, de fase inicial, atendidas en idiomas mayas, garífuna y xinca, se reportan 16,188 personas beneficiadas. </w:t>
      </w:r>
    </w:p>
    <w:p w14:paraId="46152ED3" w14:textId="7522F8CC" w:rsidR="007717B2" w:rsidRPr="007717B2" w:rsidRDefault="007717B2" w:rsidP="00DF02CF">
      <w:pPr>
        <w:numPr>
          <w:ilvl w:val="0"/>
          <w:numId w:val="70"/>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Personas analfabetas de 15 años en adelante, de I Etapa de </w:t>
      </w:r>
      <w:r w:rsidR="004D16E0" w:rsidRPr="007717B2">
        <w:rPr>
          <w:rFonts w:ascii="Calibri" w:eastAsia="Times New Roman" w:hAnsi="Calibri" w:cs="Calibri"/>
          <w:color w:val="000000"/>
          <w:sz w:val="24"/>
          <w:szCs w:val="24"/>
          <w:lang w:eastAsia="es-GT"/>
        </w:rPr>
        <w:t>Pos</w:t>
      </w:r>
      <w:r w:rsidR="004D16E0">
        <w:rPr>
          <w:rFonts w:ascii="Calibri" w:eastAsia="Times New Roman" w:hAnsi="Calibri" w:cs="Calibri"/>
          <w:color w:val="000000"/>
          <w:sz w:val="24"/>
          <w:szCs w:val="24"/>
          <w:lang w:eastAsia="es-GT"/>
        </w:rPr>
        <w:t>ta</w:t>
      </w:r>
      <w:r w:rsidR="004D16E0" w:rsidRPr="007717B2">
        <w:rPr>
          <w:rFonts w:ascii="Calibri" w:eastAsia="Times New Roman" w:hAnsi="Calibri" w:cs="Calibri"/>
          <w:color w:val="000000"/>
          <w:sz w:val="24"/>
          <w:szCs w:val="24"/>
          <w:lang w:eastAsia="es-GT"/>
        </w:rPr>
        <w:t>lfabetización</w:t>
      </w:r>
      <w:r w:rsidRPr="007717B2">
        <w:rPr>
          <w:rFonts w:ascii="Calibri" w:eastAsia="Times New Roman" w:hAnsi="Calibri" w:cs="Calibri"/>
          <w:color w:val="000000"/>
          <w:sz w:val="24"/>
          <w:szCs w:val="24"/>
          <w:lang w:eastAsia="es-GT"/>
        </w:rPr>
        <w:t>, atendidas en idiomas Maya, Garífuna y Xinca, se reportan 8,723 personas beneficiadas. </w:t>
      </w:r>
    </w:p>
    <w:p w14:paraId="35B23D7A" w14:textId="5AB97BC0" w:rsidR="007717B2" w:rsidRPr="007717B2" w:rsidRDefault="007717B2" w:rsidP="00DF02CF">
      <w:pPr>
        <w:numPr>
          <w:ilvl w:val="0"/>
          <w:numId w:val="70"/>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Personas analfabetas de 15 años en adelante, de II Etapa de </w:t>
      </w:r>
      <w:r w:rsidR="004D16E0" w:rsidRPr="007717B2">
        <w:rPr>
          <w:rFonts w:ascii="Calibri" w:eastAsia="Times New Roman" w:hAnsi="Calibri" w:cs="Calibri"/>
          <w:color w:val="000000"/>
          <w:sz w:val="24"/>
          <w:szCs w:val="24"/>
          <w:lang w:eastAsia="es-GT"/>
        </w:rPr>
        <w:t>Pos</w:t>
      </w:r>
      <w:r w:rsidR="004D16E0">
        <w:rPr>
          <w:rFonts w:ascii="Calibri" w:eastAsia="Times New Roman" w:hAnsi="Calibri" w:cs="Calibri"/>
          <w:color w:val="000000"/>
          <w:sz w:val="24"/>
          <w:szCs w:val="24"/>
          <w:lang w:eastAsia="es-GT"/>
        </w:rPr>
        <w:t>ta</w:t>
      </w:r>
      <w:r w:rsidR="004D16E0" w:rsidRPr="007717B2">
        <w:rPr>
          <w:rFonts w:ascii="Calibri" w:eastAsia="Times New Roman" w:hAnsi="Calibri" w:cs="Calibri"/>
          <w:color w:val="000000"/>
          <w:sz w:val="24"/>
          <w:szCs w:val="24"/>
          <w:lang w:eastAsia="es-GT"/>
        </w:rPr>
        <w:t>lfabetización</w:t>
      </w:r>
      <w:r w:rsidRPr="007717B2">
        <w:rPr>
          <w:rFonts w:ascii="Calibri" w:eastAsia="Times New Roman" w:hAnsi="Calibri" w:cs="Calibri"/>
          <w:color w:val="000000"/>
          <w:sz w:val="24"/>
          <w:szCs w:val="24"/>
          <w:lang w:eastAsia="es-GT"/>
        </w:rPr>
        <w:t>, atendidas en idiomas Maya, Garífuna y Xinca, se reportan 4,987 personas beneficiadas.</w:t>
      </w:r>
      <w:r w:rsidRPr="007717B2">
        <w:rPr>
          <w:rFonts w:ascii="Calibri" w:eastAsia="Times New Roman" w:hAnsi="Calibri" w:cs="Calibri"/>
          <w:color w:val="000000"/>
          <w:sz w:val="24"/>
          <w:szCs w:val="24"/>
          <w:lang w:val="es-ES" w:eastAsia="es-GT"/>
        </w:rPr>
        <w:t> </w:t>
      </w:r>
    </w:p>
    <w:p w14:paraId="11ED4F95" w14:textId="77777777" w:rsidR="007717B2" w:rsidRPr="007717B2" w:rsidRDefault="007717B2" w:rsidP="00DF02CF">
      <w:pPr>
        <w:numPr>
          <w:ilvl w:val="0"/>
          <w:numId w:val="7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Se acreditó a los participantes promovidos de quince años y más por medio de certificados y diplomas, en los 22 departamentos del país, en los 340 municipios, en los programas español y bilingüe, en sus diferentes fases y etapas, en idioma español y 17 idiomas mayas. </w:t>
      </w:r>
      <w:r w:rsidRPr="007717B2">
        <w:rPr>
          <w:rFonts w:ascii="Calibri" w:eastAsia="Times New Roman" w:hAnsi="Calibri" w:cs="Calibri"/>
          <w:color w:val="000000"/>
          <w:sz w:val="24"/>
          <w:szCs w:val="24"/>
          <w:lang w:val="es-ES" w:eastAsia="es-GT"/>
        </w:rPr>
        <w:t> </w:t>
      </w:r>
    </w:p>
    <w:p w14:paraId="5812CDEF" w14:textId="77777777" w:rsidR="007717B2" w:rsidRPr="007717B2" w:rsidRDefault="007717B2" w:rsidP="00DF02CF">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Pr="007717B2">
        <w:rPr>
          <w:rFonts w:ascii="Calibri" w:eastAsia="Times New Roman" w:hAnsi="Calibri" w:cs="Calibri"/>
          <w:b/>
          <w:bCs/>
          <w:i/>
          <w:iCs/>
          <w:color w:val="000000"/>
          <w:sz w:val="24"/>
          <w:szCs w:val="24"/>
          <w:lang w:eastAsia="es-GT"/>
        </w:rPr>
        <w:t>Consejo Económico y Social de Guatemala</w:t>
      </w:r>
      <w:r w:rsidRPr="007717B2">
        <w:rPr>
          <w:rFonts w:ascii="Calibri" w:eastAsia="Times New Roman" w:hAnsi="Calibri" w:cs="Calibri"/>
          <w:color w:val="000000"/>
          <w:sz w:val="24"/>
          <w:szCs w:val="24"/>
          <w:lang w:eastAsia="es-GT"/>
        </w:rPr>
        <w:t xml:space="preserve"> no tiene producción final, debido a la naturaleza institucional que la Ley de su creación (Decreto 2-2012) le confiere, como órgano consultivo de los organismos del Estado. </w:t>
      </w:r>
      <w:r w:rsidRPr="007717B2">
        <w:rPr>
          <w:rFonts w:ascii="Calibri" w:eastAsia="Times New Roman" w:hAnsi="Calibri" w:cs="Calibri"/>
          <w:color w:val="000000"/>
          <w:sz w:val="24"/>
          <w:szCs w:val="24"/>
          <w:lang w:val="es-ES" w:eastAsia="es-GT"/>
        </w:rPr>
        <w:t> </w:t>
      </w:r>
    </w:p>
    <w:p w14:paraId="64733C9D" w14:textId="4E6A2B95" w:rsidR="007717B2" w:rsidRPr="007717B2" w:rsidRDefault="007717B2" w:rsidP="00DF02CF">
      <w:p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No obstante, como parte del fortalecimiento a entidades de gobierno en materia de políticas públicas, destaca entre sus logros haber efectuado procesos de capacitación (en materia de políticas públicas). En este sentido, en el tercer cuatrimestre capacitó alrededor de 180 personas de la Secretaría de Coordinación Ejecutiva de la Presidencia, por otra parte. </w:t>
      </w:r>
    </w:p>
    <w:p w14:paraId="0B44E5B2" w14:textId="5BEF29DD" w:rsidR="00DF02CF" w:rsidRPr="007717B2" w:rsidRDefault="007717B2" w:rsidP="00DF02CF">
      <w:p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Por otra parte como acciones de diálogo y socialización, en seguimiento al Plan de reactivación Económica y Social que impulsa el CES, en octubre se realizó el evento denominado: "</w:t>
      </w:r>
      <w:r w:rsidR="004F6131">
        <w:rPr>
          <w:rFonts w:ascii="Calibri" w:eastAsia="Times New Roman" w:hAnsi="Calibri" w:cs="Calibri"/>
          <w:color w:val="000000"/>
          <w:sz w:val="24"/>
          <w:szCs w:val="24"/>
          <w:lang w:eastAsia="es-GT"/>
        </w:rPr>
        <w:t>E</w:t>
      </w:r>
      <w:r w:rsidRPr="007717B2">
        <w:rPr>
          <w:rFonts w:ascii="Calibri" w:eastAsia="Times New Roman" w:hAnsi="Calibri" w:cs="Calibri"/>
          <w:color w:val="000000"/>
          <w:sz w:val="24"/>
          <w:szCs w:val="24"/>
          <w:lang w:eastAsia="es-GT"/>
        </w:rPr>
        <w:t>l sistema de información nacional y las políticas públicas, una articulación necesaria" en donde se contó con expertos en el tema y publico de diversos sectores, estimando su número en 60 participantes.  </w:t>
      </w:r>
    </w:p>
    <w:p w14:paraId="67AC1171" w14:textId="77777777" w:rsidR="007717B2" w:rsidRPr="007717B2" w:rsidRDefault="007717B2" w:rsidP="00DF02CF">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Respecto a la Secretarí</w:t>
      </w:r>
      <w:r w:rsidRPr="007717B2">
        <w:rPr>
          <w:rFonts w:ascii="Calibri" w:eastAsia="Times New Roman" w:hAnsi="Calibri" w:cs="Calibri"/>
          <w:b/>
          <w:bCs/>
          <w:i/>
          <w:iCs/>
          <w:color w:val="000000"/>
          <w:sz w:val="24"/>
          <w:szCs w:val="24"/>
          <w:lang w:eastAsia="es-GT"/>
        </w:rPr>
        <w:t>a Ejecutiva de la Instancia Coordinadora de la Modernización del Sector Justicia,</w:t>
      </w:r>
      <w:r w:rsidRPr="007717B2">
        <w:rPr>
          <w:rFonts w:ascii="Calibri" w:eastAsia="Times New Roman" w:hAnsi="Calibri" w:cs="Calibri"/>
          <w:color w:val="000000"/>
          <w:sz w:val="24"/>
          <w:szCs w:val="24"/>
          <w:lang w:eastAsia="es-GT"/>
        </w:rPr>
        <w:t xml:space="preserve"> sus logros son: </w:t>
      </w:r>
      <w:r w:rsidRPr="007717B2">
        <w:rPr>
          <w:rFonts w:ascii="Calibri" w:eastAsia="Times New Roman" w:hAnsi="Calibri" w:cs="Calibri"/>
          <w:color w:val="000000"/>
          <w:sz w:val="24"/>
          <w:szCs w:val="24"/>
          <w:lang w:val="es-ES" w:eastAsia="es-GT"/>
        </w:rPr>
        <w:t> </w:t>
      </w:r>
    </w:p>
    <w:p w14:paraId="4F25F85D" w14:textId="77777777" w:rsidR="007717B2" w:rsidRPr="007717B2" w:rsidRDefault="007717B2" w:rsidP="00DF02CF">
      <w:pPr>
        <w:numPr>
          <w:ilvl w:val="0"/>
          <w:numId w:val="70"/>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Se logró fortalecer a las cinco instituciones que conforman la ICMSJ y al INACIF, siendo algunas de estas: mobiliario, equipo y materiales de construcción. Esto se logró a través del Programa PREVI, el cual es ejecutado por la SEICMSJ, así como también mediante los Encuentros Regionales de la ICMSJ, llevándose a cabo por regiones en toda Guatemala. Al lograr fortalecer estas instituciones se logra poder brindarle un mejor servicio a la población guatemalteca. </w:t>
      </w:r>
    </w:p>
    <w:p w14:paraId="7EB5D93B" w14:textId="054AF5B1" w:rsidR="007717B2" w:rsidRPr="00DF02CF" w:rsidRDefault="007717B2" w:rsidP="00DF02CF">
      <w:pPr>
        <w:numPr>
          <w:ilvl w:val="0"/>
          <w:numId w:val="70"/>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logró el fortalecimiento, mejora y mantenimiento de los cinco Centros de Administración de Justicia -CAJ-, los cuales brindan atención y asesoramiento a la población guatemalteca mediante sus Bufetes Populares.</w:t>
      </w:r>
      <w:r w:rsidRPr="007717B2">
        <w:rPr>
          <w:rFonts w:ascii="Calibri" w:eastAsia="Times New Roman" w:hAnsi="Calibri" w:cs="Calibri"/>
          <w:color w:val="000000"/>
          <w:sz w:val="24"/>
          <w:szCs w:val="24"/>
          <w:lang w:val="es-ES" w:eastAsia="es-GT"/>
        </w:rPr>
        <w:t> </w:t>
      </w:r>
    </w:p>
    <w:p w14:paraId="27C03EE6" w14:textId="77777777" w:rsidR="00DF02CF" w:rsidRPr="00DF02CF" w:rsidRDefault="00DF02CF" w:rsidP="00DF02CF">
      <w:pPr>
        <w:spacing w:before="120" w:after="120" w:line="240" w:lineRule="auto"/>
        <w:jc w:val="both"/>
        <w:textAlignment w:val="baseline"/>
        <w:rPr>
          <w:rFonts w:ascii="Calibri" w:eastAsia="Times New Roman" w:hAnsi="Calibri" w:cs="Calibri"/>
          <w:sz w:val="24"/>
          <w:szCs w:val="24"/>
          <w:lang w:val="es-ES" w:eastAsia="es-GT"/>
        </w:rPr>
      </w:pPr>
    </w:p>
    <w:p w14:paraId="215B974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color w:val="002060"/>
          <w:sz w:val="28"/>
          <w:szCs w:val="28"/>
        </w:rPr>
        <w:t>Entidades descentralizadas y autónomas </w:t>
      </w:r>
    </w:p>
    <w:p w14:paraId="51C77FE5" w14:textId="77777777" w:rsidR="007717B2" w:rsidRPr="007717B2" w:rsidRDefault="007717B2" w:rsidP="00A97A3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parte, el </w:t>
      </w:r>
      <w:r w:rsidRPr="007717B2">
        <w:rPr>
          <w:rFonts w:ascii="Calibri" w:eastAsia="Times New Roman" w:hAnsi="Calibri" w:cs="Calibri"/>
          <w:b/>
          <w:bCs/>
          <w:i/>
          <w:iCs/>
          <w:color w:val="000000"/>
          <w:sz w:val="24"/>
          <w:szCs w:val="24"/>
          <w:lang w:eastAsia="es-GT"/>
        </w:rPr>
        <w:t>Instituto Nacional de Electrificación (INDE),</w:t>
      </w:r>
      <w:r w:rsidRPr="007717B2">
        <w:rPr>
          <w:rFonts w:ascii="Calibri" w:eastAsia="Times New Roman" w:hAnsi="Calibri" w:cs="Calibri"/>
          <w:color w:val="000000"/>
          <w:sz w:val="24"/>
          <w:szCs w:val="24"/>
          <w:lang w:eastAsia="es-GT"/>
        </w:rPr>
        <w:t xml:space="preserve"> logró los avances siguientes:</w:t>
      </w:r>
      <w:r w:rsidRPr="007717B2">
        <w:rPr>
          <w:rFonts w:ascii="Calibri" w:eastAsia="Times New Roman" w:hAnsi="Calibri" w:cs="Calibri"/>
          <w:color w:val="000000"/>
          <w:sz w:val="24"/>
          <w:szCs w:val="24"/>
          <w:lang w:val="es-ES" w:eastAsia="es-GT"/>
        </w:rPr>
        <w:t> </w:t>
      </w:r>
    </w:p>
    <w:p w14:paraId="6D824CC1" w14:textId="77777777" w:rsidR="007717B2" w:rsidRPr="007717B2" w:rsidRDefault="007717B2" w:rsidP="00A97A3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el tercer cuatrimestre 2022, se logró beneficiar a 1,096 hogares con electricidad, mediante la construcción de líneas y redes de distribución de energía eléctrica.  Lo anterior contribuye con la meta de la Política General de Gobierno, orientada a incrementar la población con acceso a energía eléctrica.</w:t>
      </w:r>
      <w:r w:rsidRPr="007717B2">
        <w:rPr>
          <w:rFonts w:ascii="Calibri" w:eastAsia="Times New Roman" w:hAnsi="Calibri" w:cs="Calibri"/>
          <w:color w:val="000000"/>
          <w:sz w:val="24"/>
          <w:szCs w:val="24"/>
          <w:lang w:val="es-ES" w:eastAsia="es-GT"/>
        </w:rPr>
        <w:t> </w:t>
      </w:r>
    </w:p>
    <w:p w14:paraId="5BE67080" w14:textId="4EF56861" w:rsidR="00A97A32" w:rsidRPr="00A97A32" w:rsidRDefault="007717B2" w:rsidP="00F0629E">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A97A32">
        <w:rPr>
          <w:rFonts w:ascii="Calibri" w:eastAsia="Times New Roman" w:hAnsi="Calibri" w:cs="Calibri"/>
          <w:color w:val="000000"/>
          <w:sz w:val="24"/>
          <w:szCs w:val="24"/>
          <w:lang w:eastAsia="es-GT"/>
        </w:rPr>
        <w:t>Para el tercer cuatrimestre 2022, se logró garantizar la generación de energía eléctrica con 980.69 GWh de energía producida por las plantas hidroeléctricas del INDE, beneficiando en general a toda la población del país.</w:t>
      </w:r>
    </w:p>
    <w:p w14:paraId="120AB118" w14:textId="77777777" w:rsidR="007717B2" w:rsidRPr="007717B2" w:rsidRDefault="007717B2" w:rsidP="00A97A3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lo que respecta a la </w:t>
      </w:r>
      <w:r w:rsidRPr="007717B2">
        <w:rPr>
          <w:rFonts w:ascii="Calibri" w:eastAsia="Times New Roman" w:hAnsi="Calibri" w:cs="Calibri"/>
          <w:b/>
          <w:bCs/>
          <w:i/>
          <w:iCs/>
          <w:color w:val="000000"/>
          <w:sz w:val="24"/>
          <w:szCs w:val="24"/>
          <w:lang w:eastAsia="es-GT"/>
        </w:rPr>
        <w:t>Comisión Nacional de la Energía Eléctrica (CNEE),</w:t>
      </w:r>
      <w:r w:rsidRPr="007717B2">
        <w:rPr>
          <w:rFonts w:ascii="Calibri" w:eastAsia="Times New Roman" w:hAnsi="Calibri" w:cs="Calibri"/>
          <w:color w:val="000000"/>
          <w:sz w:val="24"/>
          <w:szCs w:val="24"/>
          <w:lang w:eastAsia="es-GT"/>
        </w:rPr>
        <w:t xml:space="preserve"> sus mayores logros son:</w:t>
      </w:r>
      <w:r w:rsidRPr="007717B2">
        <w:rPr>
          <w:rFonts w:ascii="Calibri" w:eastAsia="Times New Roman" w:hAnsi="Calibri" w:cs="Calibri"/>
          <w:color w:val="000000"/>
          <w:sz w:val="24"/>
          <w:szCs w:val="24"/>
          <w:lang w:val="es-ES" w:eastAsia="es-GT"/>
        </w:rPr>
        <w:t> </w:t>
      </w:r>
    </w:p>
    <w:p w14:paraId="3F388E2E" w14:textId="77777777" w:rsidR="007717B2" w:rsidRPr="007717B2" w:rsidRDefault="007717B2" w:rsidP="00A97A3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Se realizó la publicación en el diario de mayor circulación de los resultados de la encuesta de calidad del año 2022, de conformidad con el artículo 114 del Reglamento de la Ley General de Electricidad. La encuesta de calidad mide la percepción de los usuarios con relación al servicio de distribución final que le presta su empresa distribuidora, específicamente sobre aspectos relacionados con la calidad de producto técnico, calidad de servicio técnico y calidad comercial.</w:t>
      </w:r>
    </w:p>
    <w:p w14:paraId="77B357D8" w14:textId="2728898F" w:rsidR="007717B2" w:rsidRPr="007717B2" w:rsidRDefault="007717B2" w:rsidP="00A97A3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publi</w:t>
      </w:r>
      <w:r w:rsidR="00A97A32">
        <w:rPr>
          <w:rFonts w:ascii="Calibri" w:eastAsia="Times New Roman" w:hAnsi="Calibri" w:cs="Calibri"/>
          <w:color w:val="000000"/>
          <w:sz w:val="24"/>
          <w:szCs w:val="24"/>
          <w:lang w:eastAsia="es-GT"/>
        </w:rPr>
        <w:t>có</w:t>
      </w:r>
      <w:r w:rsidRPr="007717B2">
        <w:rPr>
          <w:rFonts w:ascii="Calibri" w:eastAsia="Times New Roman" w:hAnsi="Calibri" w:cs="Calibri"/>
          <w:color w:val="000000"/>
          <w:sz w:val="24"/>
          <w:szCs w:val="24"/>
          <w:lang w:eastAsia="es-GT"/>
        </w:rPr>
        <w:t xml:space="preserve"> en la página web de la institución</w:t>
      </w:r>
      <w:r w:rsidR="00A97A32">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 xml:space="preserve"> para los participantes del mercado mayorista y del público en general</w:t>
      </w:r>
      <w:r w:rsidR="00A97A32">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 xml:space="preserve"> los monitores del mercado eléctrico nacional, en cumplimiento de los artículos 11, 12 y 13 del Reglamento del Administrador del Mercado Mayorista y la Ley General de Electricidad y sus reglamentos.</w:t>
      </w:r>
      <w:r w:rsidRPr="007717B2">
        <w:rPr>
          <w:rFonts w:ascii="Calibri" w:eastAsia="Times New Roman" w:hAnsi="Calibri" w:cs="Calibri"/>
          <w:color w:val="000000"/>
          <w:sz w:val="24"/>
          <w:szCs w:val="24"/>
          <w:lang w:val="es-ES" w:eastAsia="es-GT"/>
        </w:rPr>
        <w:t> </w:t>
      </w:r>
    </w:p>
    <w:p w14:paraId="363DF13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A su vez, la </w:t>
      </w:r>
      <w:r w:rsidRPr="007717B2">
        <w:rPr>
          <w:rFonts w:ascii="Calibri" w:eastAsia="Times New Roman" w:hAnsi="Calibri" w:cs="Calibri"/>
          <w:b/>
          <w:bCs/>
          <w:i/>
          <w:iCs/>
          <w:color w:val="000000"/>
          <w:sz w:val="24"/>
          <w:szCs w:val="24"/>
          <w:lang w:eastAsia="es-GT"/>
        </w:rPr>
        <w:t xml:space="preserve">Superintendencia de Administración Tributaria (SAT), </w:t>
      </w:r>
      <w:r w:rsidRPr="007717B2">
        <w:rPr>
          <w:rFonts w:ascii="Calibri" w:eastAsia="Times New Roman" w:hAnsi="Calibri" w:cs="Calibri"/>
          <w:color w:val="000000"/>
          <w:sz w:val="24"/>
          <w:szCs w:val="24"/>
          <w:lang w:eastAsia="es-GT"/>
        </w:rPr>
        <w:t>logró en el cuatrimestre (septiembre-diciembre 2022) los siguientes avances de especial trascendencia:</w:t>
      </w:r>
      <w:r w:rsidRPr="007717B2">
        <w:rPr>
          <w:rFonts w:ascii="Calibri" w:eastAsia="Times New Roman" w:hAnsi="Calibri" w:cs="Calibri"/>
          <w:color w:val="000000"/>
          <w:sz w:val="24"/>
          <w:szCs w:val="24"/>
          <w:lang w:val="es-ES" w:eastAsia="es-GT"/>
        </w:rPr>
        <w:t> </w:t>
      </w:r>
    </w:p>
    <w:p w14:paraId="015B3BED" w14:textId="77777777" w:rsidR="007717B2" w:rsidRPr="007717B2" w:rsidRDefault="007717B2" w:rsidP="00FA32C4">
      <w:pPr>
        <w:numPr>
          <w:ilvl w:val="0"/>
          <w:numId w:val="73"/>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En el tercer cuatrimestre 2022, el valor de la recaudación al mes de noviembre 2022 ascendió a Q81,033.4 millones, mostrando un crecimiento interanual de 15.7%, equivalente a Q10,989.3 millones más que lo registrado durante el mismo periodo del año anterior.</w:t>
      </w:r>
    </w:p>
    <w:p w14:paraId="24169305" w14:textId="77777777" w:rsidR="007717B2" w:rsidRPr="007717B2" w:rsidRDefault="007717B2" w:rsidP="00FA32C4">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El segmento de comercio exterior registró Q26,131.7 millones, equivalentes a un crecimiento interanual de 22.1%, derivado de los Q4,726.4 millones más que lo recaudado respecto del mismo periodo del año anterior. Este logro contribuye al programa de recaudación de tributos del comercio exterior.</w:t>
      </w:r>
    </w:p>
    <w:p w14:paraId="1112E8D5" w14:textId="77777777" w:rsidR="007717B2" w:rsidRPr="007717B2" w:rsidRDefault="007717B2" w:rsidP="00FA32C4">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Los impuestos internos presentan una recaudación acumulada de Q54,901.7 millones, los cuales alcanzaron una variación interanual positiva de 12.9%, equivalente a Q6,262.9 millones más que lo ingresado durante el mismo periodo en 2021. En el detalle resalta la variación significativa al alza en el Impuesto sobre la Renta (Q3,708.3 millones más, lo que constituye un crecimiento de 18.2% respecto del año anterior), en el Impuesto al Valor Agregado doméstico (Q1,498.8 millones más, lo que constituye un crecimiento de 9.9% respecto del año anterior) y en el Impuesto de Solidaridad (Q717.6 millones más, 13.6% de incremento respecto del mismo periodo del año anterior). Esto contribuye al programa de recaudación de tributos internos.</w:t>
      </w:r>
      <w:r w:rsidRPr="007717B2">
        <w:rPr>
          <w:rFonts w:ascii="Calibri" w:eastAsia="Times New Roman" w:hAnsi="Calibri" w:cs="Calibri"/>
          <w:color w:val="000000"/>
          <w:sz w:val="24"/>
          <w:szCs w:val="24"/>
          <w:lang w:val="es-ES" w:eastAsia="es-GT"/>
        </w:rPr>
        <w:t> </w:t>
      </w:r>
    </w:p>
    <w:p w14:paraId="1D7AF355" w14:textId="77777777"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Como parte de las acciones de medidas administrativas del Plan Anual de Recaudación, Control y Fiscalización 2022 –PARCF, en el control de cumplimiento tributario, el resultado obedece a las citaciones realizadas a través de envío de correspondencia, correos electrónicos y mensajes de texto a los contribuyentes detectados con omisiones o morosos; y las inconsistencias en declaraciones presentadas o las discrepancias entre ingresos declarados y los informados por terceros respecto de los sub-declarantes. </w:t>
      </w:r>
    </w:p>
    <w:p w14:paraId="10D5CBB3" w14:textId="77777777"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Así mismo, se han tenido avances en la elaboración de estudios sectoriales, en el desarrollo de herramientas de control de operaciones económico-tributarias, mejoras al sistema de facilidades de pago, al sistema de omisos, entre otros.</w:t>
      </w:r>
    </w:p>
    <w:p w14:paraId="74F45C9E" w14:textId="50577A04"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cuanto al incremento en la eficiencia del control aduanero, los resultados obtenidos al mes de agosto del 2022, son derivados de los esfuerzos en las mejoras aplicadas a la transferencia de capacidades por medio de la implementación del sistema de la base de valor, el trabajo de inteligencia aduanera que permite el envío de mensajes de orientación al revisor para la correcta valoración y clasificación de las mercancías, así como la identificación por parte de los técnicos en aduanas de aquellas mercancías susceptibles de riesgo de defraudación aduanera. Transformación digital de las gestiones de franquicias.</w:t>
      </w:r>
      <w:r w:rsidRPr="007717B2">
        <w:rPr>
          <w:rFonts w:ascii="Calibri" w:eastAsia="Times New Roman" w:hAnsi="Calibri" w:cs="Calibri"/>
          <w:color w:val="000000"/>
          <w:sz w:val="24"/>
          <w:szCs w:val="24"/>
          <w:lang w:val="es-ES" w:eastAsia="es-GT"/>
        </w:rPr>
        <w:t> </w:t>
      </w:r>
    </w:p>
    <w:p w14:paraId="5D91FFA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cuanto al </w:t>
      </w:r>
      <w:r w:rsidRPr="007717B2">
        <w:rPr>
          <w:rFonts w:ascii="Calibri" w:eastAsia="Times New Roman" w:hAnsi="Calibri" w:cs="Calibri"/>
          <w:b/>
          <w:bCs/>
          <w:i/>
          <w:iCs/>
          <w:color w:val="000000"/>
          <w:sz w:val="24"/>
          <w:szCs w:val="24"/>
          <w:lang w:eastAsia="es-GT"/>
        </w:rPr>
        <w:t>Consejo Nacional para la Protección de la Antigua Guatemala,</w:t>
      </w:r>
      <w:r w:rsidRPr="007717B2">
        <w:rPr>
          <w:rFonts w:ascii="Calibri" w:eastAsia="Times New Roman" w:hAnsi="Calibri" w:cs="Calibri"/>
          <w:color w:val="000000"/>
          <w:sz w:val="24"/>
          <w:szCs w:val="24"/>
          <w:lang w:eastAsia="es-GT"/>
        </w:rPr>
        <w:t xml:space="preserve"> un logro identificado durante el tercer cuatrimestre 2022 fue el hecho de que se logró cumplir con los mantenimientos y limpiezas generales en los monumentos, lo que complementa en gran parte el cumplimiento de metas de avance físico. </w:t>
      </w:r>
      <w:r w:rsidRPr="007717B2">
        <w:rPr>
          <w:rFonts w:ascii="Calibri" w:eastAsia="Times New Roman" w:hAnsi="Calibri" w:cs="Calibri"/>
          <w:color w:val="000000"/>
          <w:sz w:val="24"/>
          <w:szCs w:val="24"/>
          <w:lang w:val="es-ES" w:eastAsia="es-GT"/>
        </w:rPr>
        <w:t> </w:t>
      </w:r>
    </w:p>
    <w:p w14:paraId="4508F78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el presente año se logró eficientizar la producción del Departamento de Restauración de Bienes Muebles, ya que se ha logrado un incremento del 50% en la entrega de productos.</w:t>
      </w:r>
      <w:r w:rsidRPr="007717B2">
        <w:rPr>
          <w:rFonts w:ascii="Calibri" w:eastAsia="Times New Roman" w:hAnsi="Calibri" w:cs="Calibri"/>
          <w:color w:val="000000"/>
          <w:sz w:val="24"/>
          <w:szCs w:val="24"/>
          <w:lang w:val="es-ES" w:eastAsia="es-GT"/>
        </w:rPr>
        <w:t> </w:t>
      </w:r>
    </w:p>
    <w:p w14:paraId="040D557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w:t>
      </w:r>
      <w:r w:rsidRPr="007717B2">
        <w:rPr>
          <w:rFonts w:ascii="Calibri" w:eastAsia="Times New Roman" w:hAnsi="Calibri" w:cs="Calibri"/>
          <w:b/>
          <w:bCs/>
          <w:i/>
          <w:iCs/>
          <w:color w:val="000000"/>
          <w:sz w:val="24"/>
          <w:szCs w:val="24"/>
          <w:lang w:eastAsia="es-GT"/>
        </w:rPr>
        <w:t>Autoridad para el Manejo Sustentable de la Cuenca y el Lago de Amatitlán (AMSA),</w:t>
      </w:r>
      <w:r w:rsidRPr="007717B2">
        <w:rPr>
          <w:rFonts w:ascii="Calibri" w:eastAsia="Times New Roman" w:hAnsi="Calibri" w:cs="Calibri"/>
          <w:color w:val="000000"/>
          <w:sz w:val="24"/>
          <w:szCs w:val="24"/>
          <w:lang w:eastAsia="es-GT"/>
        </w:rPr>
        <w:t xml:space="preserve"> obtuvo los logros siguientes:</w:t>
      </w:r>
      <w:r w:rsidRPr="007717B2">
        <w:rPr>
          <w:rFonts w:ascii="Calibri" w:eastAsia="Times New Roman" w:hAnsi="Calibri" w:cs="Calibri"/>
          <w:color w:val="000000"/>
          <w:sz w:val="24"/>
          <w:szCs w:val="24"/>
          <w:lang w:val="es-ES" w:eastAsia="es-GT"/>
        </w:rPr>
        <w:t> </w:t>
      </w:r>
    </w:p>
    <w:p w14:paraId="0E951C30" w14:textId="230F5C39"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Extracción de 37,204 metros cúbicos de desechos sólidos flotantes y plantas acuáticas del lago de Amatitlán durante el tercer cuatrimestre</w:t>
      </w:r>
      <w:r w:rsidR="00FA32C4">
        <w:rPr>
          <w:rFonts w:ascii="Calibri" w:eastAsia="Times New Roman" w:hAnsi="Calibri" w:cs="Calibri"/>
          <w:color w:val="000000"/>
          <w:sz w:val="24"/>
          <w:szCs w:val="24"/>
          <w:lang w:eastAsia="es-GT"/>
        </w:rPr>
        <w:t>, c</w:t>
      </w:r>
      <w:r w:rsidRPr="007717B2">
        <w:rPr>
          <w:rFonts w:ascii="Calibri" w:eastAsia="Times New Roman" w:hAnsi="Calibri" w:cs="Calibri"/>
          <w:color w:val="000000"/>
          <w:sz w:val="24"/>
          <w:szCs w:val="24"/>
          <w:lang w:eastAsia="es-GT"/>
        </w:rPr>
        <w:t>on un acumulado de 65,000 metros cúbicos extraídos durante el año 2022.   </w:t>
      </w:r>
    </w:p>
    <w:p w14:paraId="09672260" w14:textId="5573EFD6"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3,680 muestras para determinar la calidad del agua del lago de Amatitlán y sus afluentes</w:t>
      </w:r>
      <w:r w:rsidR="00FA32C4">
        <w:rPr>
          <w:rFonts w:ascii="Calibri" w:eastAsia="Times New Roman" w:hAnsi="Calibri" w:cs="Calibri"/>
          <w:color w:val="000000"/>
          <w:sz w:val="24"/>
          <w:szCs w:val="24"/>
          <w:lang w:eastAsia="es-GT"/>
        </w:rPr>
        <w:t xml:space="preserve">, con </w:t>
      </w:r>
      <w:r w:rsidRPr="007717B2">
        <w:rPr>
          <w:rFonts w:ascii="Calibri" w:eastAsia="Times New Roman" w:hAnsi="Calibri" w:cs="Calibri"/>
          <w:color w:val="000000"/>
          <w:sz w:val="24"/>
          <w:szCs w:val="24"/>
          <w:lang w:eastAsia="es-GT"/>
        </w:rPr>
        <w:t>un acumulado de 11,670 muestras durante el 2022.</w:t>
      </w:r>
      <w:r w:rsidRPr="007717B2">
        <w:rPr>
          <w:rFonts w:ascii="Calibri" w:eastAsia="Times New Roman" w:hAnsi="Calibri" w:cs="Calibri"/>
          <w:color w:val="000000"/>
          <w:sz w:val="24"/>
          <w:szCs w:val="24"/>
          <w:lang w:val="es-ES" w:eastAsia="es-GT"/>
        </w:rPr>
        <w:t> </w:t>
      </w:r>
    </w:p>
    <w:p w14:paraId="549E748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w:t>
      </w:r>
      <w:r w:rsidRPr="007717B2">
        <w:rPr>
          <w:rFonts w:ascii="Calibri" w:eastAsia="Times New Roman" w:hAnsi="Calibri" w:cs="Calibri"/>
          <w:b/>
          <w:bCs/>
          <w:i/>
          <w:iCs/>
          <w:color w:val="000000"/>
          <w:sz w:val="24"/>
          <w:szCs w:val="24"/>
          <w:lang w:eastAsia="es-GT"/>
        </w:rPr>
        <w:t>Autoridad para el Manejo Sustentable del Lago de Atitlán y su Entorno (AMSCLAE),</w:t>
      </w:r>
      <w:r w:rsidRPr="007717B2">
        <w:rPr>
          <w:rFonts w:ascii="Calibri" w:eastAsia="Times New Roman" w:hAnsi="Calibri" w:cs="Calibri"/>
          <w:color w:val="000000"/>
          <w:sz w:val="24"/>
          <w:szCs w:val="24"/>
          <w:lang w:eastAsia="es-GT"/>
        </w:rPr>
        <w:t xml:space="preserve"> tiene en el último cuatrimestre 2022 los avances siguientes:</w:t>
      </w:r>
      <w:r w:rsidRPr="007717B2">
        <w:rPr>
          <w:rFonts w:ascii="Calibri" w:eastAsia="Times New Roman" w:hAnsi="Calibri" w:cs="Calibri"/>
          <w:color w:val="000000"/>
          <w:sz w:val="24"/>
          <w:szCs w:val="24"/>
          <w:lang w:val="es-ES" w:eastAsia="es-GT"/>
        </w:rPr>
        <w:t> </w:t>
      </w:r>
    </w:p>
    <w:p w14:paraId="5DE9F720" w14:textId="24A91266"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Como logro relevante en el tercer cuatrimestre</w:t>
      </w:r>
      <w:r w:rsidR="00616CCA">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 xml:space="preserve"> se cumplió con la ejecución</w:t>
      </w:r>
      <w:r w:rsidR="00616CCA">
        <w:rPr>
          <w:rFonts w:ascii="Calibri" w:eastAsia="Times New Roman" w:hAnsi="Calibri" w:cs="Calibri"/>
          <w:color w:val="000000"/>
          <w:sz w:val="24"/>
          <w:szCs w:val="24"/>
          <w:lang w:eastAsia="es-GT"/>
        </w:rPr>
        <w:t xml:space="preserve"> del</w:t>
      </w:r>
      <w:r w:rsidRPr="007717B2">
        <w:rPr>
          <w:rFonts w:ascii="Calibri" w:eastAsia="Times New Roman" w:hAnsi="Calibri" w:cs="Calibri"/>
          <w:color w:val="000000"/>
          <w:sz w:val="24"/>
          <w:szCs w:val="24"/>
          <w:lang w:eastAsia="es-GT"/>
        </w:rPr>
        <w:t xml:space="preserve"> 100% de metas físicas asociadas al producto: intervenciones de manejo integrado de la cuenca del lago de Atitlán que permitan conservar, preservar y resguardar los ecosistemas de la cuenca del lago de Atitlán, siendo beneficiadas 11,193 personas</w:t>
      </w:r>
      <w:r w:rsidR="00616CCA">
        <w:rPr>
          <w:rFonts w:ascii="Calibri" w:eastAsia="Times New Roman" w:hAnsi="Calibri" w:cs="Calibri"/>
          <w:color w:val="000000"/>
          <w:sz w:val="24"/>
          <w:szCs w:val="24"/>
          <w:lang w:eastAsia="es-GT"/>
        </w:rPr>
        <w:t>.</w:t>
      </w:r>
    </w:p>
    <w:p w14:paraId="73BA5F6A" w14:textId="77777777"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concluyó y finalizó el proyecto de mejoramiento de infraestructuras ambientales, con la ejecución del 100% de la Obra: mejoramiento del sistema de tratamiento aguas residuales cebollales 1, Panajachel, Sololá, con 356 metros cuadrados construidos.</w:t>
      </w:r>
    </w:p>
    <w:p w14:paraId="4FEB48B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 la </w:t>
      </w:r>
      <w:r w:rsidRPr="007717B2">
        <w:rPr>
          <w:rFonts w:ascii="Calibri" w:eastAsia="Times New Roman" w:hAnsi="Calibri" w:cs="Calibri"/>
          <w:b/>
          <w:bCs/>
          <w:i/>
          <w:iCs/>
          <w:color w:val="000000"/>
          <w:sz w:val="24"/>
          <w:szCs w:val="24"/>
          <w:lang w:eastAsia="es-GT"/>
        </w:rPr>
        <w:t>Empresa Portuaria Nacional Santo Tomás de Castilla (EMPORNAC),</w:t>
      </w:r>
      <w:r w:rsidRPr="007717B2">
        <w:rPr>
          <w:rFonts w:ascii="Calibri" w:eastAsia="Times New Roman" w:hAnsi="Calibri" w:cs="Calibri"/>
          <w:color w:val="000000"/>
          <w:sz w:val="24"/>
          <w:szCs w:val="24"/>
          <w:lang w:eastAsia="es-GT"/>
        </w:rPr>
        <w:t xml:space="preserve"> se logró en los meses finales de 2022 lo siguiente:</w:t>
      </w:r>
      <w:r w:rsidRPr="007717B2">
        <w:rPr>
          <w:rFonts w:ascii="Calibri" w:eastAsia="Times New Roman" w:hAnsi="Calibri" w:cs="Calibri"/>
          <w:color w:val="000000"/>
          <w:sz w:val="24"/>
          <w:szCs w:val="24"/>
          <w:lang w:val="es-ES" w:eastAsia="es-GT"/>
        </w:rPr>
        <w:t> </w:t>
      </w:r>
    </w:p>
    <w:p w14:paraId="10515AD7" w14:textId="749D47DD"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Con el objetivo de modernizar los servicios portuarios, optimizar los tiempos en las operaciones y verificar la información de la carga que ingresa y egresa del país</w:t>
      </w:r>
      <w:r w:rsidR="00825AC4">
        <w:rPr>
          <w:rFonts w:ascii="Calibri" w:eastAsia="Times New Roman" w:hAnsi="Calibri" w:cs="Calibri"/>
          <w:color w:val="000000"/>
          <w:sz w:val="24"/>
          <w:szCs w:val="24"/>
          <w:lang w:eastAsia="es-GT"/>
        </w:rPr>
        <w:t>, las</w:t>
      </w:r>
      <w:r w:rsidRPr="007717B2">
        <w:rPr>
          <w:rFonts w:ascii="Calibri" w:eastAsia="Times New Roman" w:hAnsi="Calibri" w:cs="Calibri"/>
          <w:color w:val="000000"/>
          <w:sz w:val="24"/>
          <w:szCs w:val="24"/>
          <w:lang w:eastAsia="es-GT"/>
        </w:rPr>
        <w:t xml:space="preserve"> autoridades aduaneras y portuarias realizaron el lanzamiento oficial de los servicios web integrados entre la Superintendencia de Administración Tributaria –SAT- y el Depósito Aduanero Temporal Empresa Portuaria Santo Tomás de Castilla –EMPORNAC. </w:t>
      </w:r>
    </w:p>
    <w:p w14:paraId="1C16B317" w14:textId="77777777"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Aprobación del Plan Estratégico Institucional 2023-2027 de Empresa Portuaria Santo Tomás de Castilla –EMPORNAC.</w:t>
      </w:r>
      <w:r w:rsidRPr="007717B2">
        <w:rPr>
          <w:rFonts w:ascii="Calibri" w:eastAsia="Times New Roman" w:hAnsi="Calibri" w:cs="Calibri"/>
          <w:color w:val="000000"/>
          <w:sz w:val="24"/>
          <w:szCs w:val="24"/>
          <w:lang w:val="es-ES" w:eastAsia="es-GT"/>
        </w:rPr>
        <w:t> </w:t>
      </w:r>
    </w:p>
    <w:p w14:paraId="2DE129B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w:t>
      </w:r>
      <w:r w:rsidRPr="007717B2">
        <w:rPr>
          <w:rFonts w:ascii="Calibri" w:eastAsia="Times New Roman" w:hAnsi="Calibri" w:cs="Calibri"/>
          <w:b/>
          <w:bCs/>
          <w:i/>
          <w:iCs/>
          <w:color w:val="000000"/>
          <w:sz w:val="24"/>
          <w:szCs w:val="24"/>
          <w:lang w:eastAsia="es-GT"/>
        </w:rPr>
        <w:t>Zona Libre de Industria y Comercio Santo Tomás de Castilla (ZOLIC),</w:t>
      </w:r>
      <w:r w:rsidRPr="007717B2">
        <w:rPr>
          <w:rFonts w:ascii="Calibri" w:eastAsia="Times New Roman" w:hAnsi="Calibri" w:cs="Calibri"/>
          <w:color w:val="000000"/>
          <w:sz w:val="24"/>
          <w:szCs w:val="24"/>
          <w:lang w:eastAsia="es-GT"/>
        </w:rPr>
        <w:t xml:space="preserve"> obtuvo los siguientes logros:</w:t>
      </w:r>
      <w:r w:rsidRPr="007717B2">
        <w:rPr>
          <w:rFonts w:ascii="Calibri" w:eastAsia="Times New Roman" w:hAnsi="Calibri" w:cs="Calibri"/>
          <w:color w:val="000000"/>
          <w:sz w:val="24"/>
          <w:szCs w:val="24"/>
          <w:lang w:val="es-ES" w:eastAsia="es-GT"/>
        </w:rPr>
        <w:t> </w:t>
      </w:r>
    </w:p>
    <w:p w14:paraId="3208FE7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el cumplimiento de los objetivos y las metas institucionales de la Zona Libre de Industria y Comercio, en el tercer cuatrimestre 2022, se contó con la aprobación de tres usuarios de ZDEEP lo que permite con esta nueva integración la generación de empleo e inversión. Dando cumplimiento al punto dogmático de la Ley Orgánica de ZOLIC en cuanto a crear fuentes de empleo e inversión.  </w:t>
      </w:r>
      <w:r w:rsidRPr="007717B2">
        <w:rPr>
          <w:rFonts w:ascii="Calibri" w:eastAsia="Times New Roman" w:hAnsi="Calibri" w:cs="Calibri"/>
          <w:color w:val="000000"/>
          <w:sz w:val="24"/>
          <w:szCs w:val="24"/>
          <w:lang w:val="es-ES" w:eastAsia="es-GT"/>
        </w:rPr>
        <w:t> </w:t>
      </w:r>
    </w:p>
    <w:p w14:paraId="1E17A1B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Pr="007717B2">
        <w:rPr>
          <w:rFonts w:ascii="Calibri" w:eastAsia="Times New Roman" w:hAnsi="Calibri" w:cs="Calibri"/>
          <w:b/>
          <w:bCs/>
          <w:i/>
          <w:iCs/>
          <w:color w:val="000000"/>
          <w:sz w:val="24"/>
          <w:szCs w:val="24"/>
          <w:lang w:eastAsia="es-GT"/>
        </w:rPr>
        <w:t xml:space="preserve">Instituto Guatemalteco de Migración (IGM), </w:t>
      </w:r>
      <w:r w:rsidRPr="007717B2">
        <w:rPr>
          <w:rFonts w:ascii="Calibri" w:eastAsia="Times New Roman" w:hAnsi="Calibri" w:cs="Calibri"/>
          <w:color w:val="000000"/>
          <w:sz w:val="24"/>
          <w:szCs w:val="24"/>
          <w:lang w:eastAsia="es-GT"/>
        </w:rPr>
        <w:t xml:space="preserve">en el transcurso del tercer cuatrimestre 2022, obtuvo los progresos siguientes: </w:t>
      </w:r>
      <w:r w:rsidRPr="007717B2">
        <w:rPr>
          <w:rFonts w:ascii="Calibri" w:eastAsia="Times New Roman" w:hAnsi="Calibri" w:cs="Calibri"/>
          <w:color w:val="000000"/>
          <w:sz w:val="24"/>
          <w:szCs w:val="24"/>
          <w:lang w:val="es-ES" w:eastAsia="es-GT"/>
        </w:rPr>
        <w:t> </w:t>
      </w:r>
    </w:p>
    <w:p w14:paraId="0BA35B3F" w14:textId="0ED46F2F"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En el cumplimiento de los objetivos y metas institucionales, </w:t>
      </w:r>
      <w:r w:rsidR="00113894">
        <w:rPr>
          <w:rFonts w:ascii="Calibri" w:eastAsia="Times New Roman" w:hAnsi="Calibri" w:cs="Calibri"/>
          <w:color w:val="000000"/>
          <w:sz w:val="24"/>
          <w:szCs w:val="24"/>
          <w:lang w:eastAsia="es-GT"/>
        </w:rPr>
        <w:t>el IGM,</w:t>
      </w:r>
      <w:r w:rsidRPr="007717B2">
        <w:rPr>
          <w:rFonts w:ascii="Calibri" w:eastAsia="Times New Roman" w:hAnsi="Calibri" w:cs="Calibri"/>
          <w:color w:val="000000"/>
          <w:sz w:val="24"/>
          <w:szCs w:val="24"/>
          <w:lang w:eastAsia="es-GT"/>
        </w:rPr>
        <w:t xml:space="preserve"> durante el tercer cuatrimestre, brindó atención a 35,205 personas en albergues y centros de retornados, solicitantes de refugio, solicitantes de asilo político y a solicitantes de estatus extraordinario migratorio, dicha cantidad de personas atendidas aportan al Resultado Estratégico correspondiente al Derecho Migratorio, en donde se logró  incrementar  la protección de derechos a personas migrantes en un 75 % para el año 2030. </w:t>
      </w:r>
    </w:p>
    <w:p w14:paraId="14F04619" w14:textId="08C63F5C"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00113894">
        <w:rPr>
          <w:rFonts w:ascii="Calibri" w:eastAsia="Times New Roman" w:hAnsi="Calibri" w:cs="Calibri"/>
          <w:color w:val="000000"/>
          <w:sz w:val="24"/>
          <w:szCs w:val="24"/>
          <w:lang w:eastAsia="es-GT"/>
        </w:rPr>
        <w:t>IGM,</w:t>
      </w:r>
      <w:r w:rsidRPr="007717B2">
        <w:rPr>
          <w:rFonts w:ascii="Calibri" w:eastAsia="Times New Roman" w:hAnsi="Calibri" w:cs="Calibri"/>
          <w:color w:val="000000"/>
          <w:sz w:val="24"/>
          <w:szCs w:val="24"/>
          <w:lang w:eastAsia="es-GT"/>
        </w:rPr>
        <w:t xml:space="preserve"> efectuó el control y registro de 3,142,028 personas nacionales y extranjeras durante el tercer cuatrimestre, contribuyendo al Eje Estratégico “Control Migratorio”, el cual contempla actividades de registro de ingreso y egreso de personas nacionales y extranjeras al territorio nacional, a través de los puestos fronterizos en vías aéreas, terrestres o marítimas. </w:t>
      </w:r>
      <w:r w:rsidRPr="007717B2">
        <w:rPr>
          <w:rFonts w:ascii="Calibri" w:eastAsia="Times New Roman" w:hAnsi="Calibri" w:cs="Calibri"/>
          <w:color w:val="000000"/>
          <w:sz w:val="24"/>
          <w:szCs w:val="24"/>
          <w:lang w:val="es-ES" w:eastAsia="es-GT"/>
        </w:rPr>
        <w:t> </w:t>
      </w:r>
    </w:p>
    <w:p w14:paraId="60BDE820" w14:textId="77777777"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Respecto al </w:t>
      </w:r>
      <w:r w:rsidRPr="007717B2">
        <w:rPr>
          <w:rFonts w:ascii="Calibri" w:eastAsia="Times New Roman" w:hAnsi="Calibri" w:cs="Calibri"/>
          <w:b/>
          <w:bCs/>
          <w:i/>
          <w:iCs/>
          <w:color w:val="000000"/>
          <w:sz w:val="24"/>
          <w:szCs w:val="24"/>
          <w:lang w:eastAsia="es-GT"/>
        </w:rPr>
        <w:t>Comité Olímpico Guatemalteco (COG),</w:t>
      </w:r>
      <w:r w:rsidRPr="007717B2">
        <w:rPr>
          <w:rFonts w:ascii="Calibri" w:eastAsia="Times New Roman" w:hAnsi="Calibri" w:cs="Calibri"/>
          <w:color w:val="000000"/>
          <w:sz w:val="24"/>
          <w:szCs w:val="24"/>
          <w:lang w:eastAsia="es-GT"/>
        </w:rPr>
        <w:t xml:space="preserve"> en el tercer cuatrimestre se superaron 5 de las 6 metas programadas para todo el año 2022. </w:t>
      </w:r>
    </w:p>
    <w:p w14:paraId="707EF28E" w14:textId="77777777"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Apoyo Económico a deportistas de alto rendimiento en los procesos del ciclo Olímpico, programado 300 se benefició 335 Deportistas. </w:t>
      </w:r>
    </w:p>
    <w:p w14:paraId="512C371C" w14:textId="77777777"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Programa de campamentos y competencias (alto rendimiento) se programó 350 y la ejecución fue de 670. </w:t>
      </w:r>
    </w:p>
    <w:p w14:paraId="284AFB06" w14:textId="77777777"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Ayuda Económica en la contratación de entrenadores nacionales y extranjeros mediante el programa de asistencia técnica, programado 140, se benefició a 151 profesionales. </w:t>
      </w:r>
    </w:p>
    <w:p w14:paraId="5F8CE474" w14:textId="42E0E57D"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Asistencia de ciencias aplicadas al deporte, seguro de gastos médicos y de vida a deportistas federados de alto nivel, miembros de Comités de las FADN y personal del COG programado 13,500, se benefició y atendió a 49,377 personas. </w:t>
      </w:r>
    </w:p>
    <w:p w14:paraId="3B2516B9" w14:textId="3CD8A175"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Promoción de los principios y valores del Ol</w:t>
      </w:r>
      <w:r w:rsidR="00DF02CF">
        <w:rPr>
          <w:rFonts w:ascii="Calibri" w:eastAsia="Times New Roman" w:hAnsi="Calibri" w:cs="Calibri"/>
          <w:color w:val="000000"/>
          <w:sz w:val="24"/>
          <w:szCs w:val="24"/>
          <w:lang w:eastAsia="es-GT"/>
        </w:rPr>
        <w:t>i</w:t>
      </w:r>
      <w:r w:rsidRPr="007717B2">
        <w:rPr>
          <w:rFonts w:ascii="Calibri" w:eastAsia="Times New Roman" w:hAnsi="Calibri" w:cs="Calibri"/>
          <w:color w:val="000000"/>
          <w:sz w:val="24"/>
          <w:szCs w:val="24"/>
          <w:lang w:eastAsia="es-GT"/>
        </w:rPr>
        <w:t>mpismo, programado 16,000, ejecutado 21,903.</w:t>
      </w:r>
      <w:r w:rsidRPr="007717B2">
        <w:rPr>
          <w:rFonts w:ascii="Calibri" w:eastAsia="Times New Roman" w:hAnsi="Calibri" w:cs="Calibri"/>
          <w:color w:val="000000"/>
          <w:sz w:val="24"/>
          <w:szCs w:val="24"/>
          <w:lang w:val="es-ES" w:eastAsia="es-GT"/>
        </w:rPr>
        <w:t> </w:t>
      </w:r>
    </w:p>
    <w:p w14:paraId="18E59638" w14:textId="4AF5502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002E7114">
        <w:rPr>
          <w:rFonts w:ascii="Calibri" w:eastAsia="Times New Roman" w:hAnsi="Calibri" w:cs="Calibri"/>
          <w:b/>
          <w:bCs/>
          <w:i/>
          <w:iCs/>
          <w:color w:val="000000"/>
          <w:sz w:val="24"/>
          <w:szCs w:val="24"/>
          <w:lang w:eastAsia="es-GT"/>
        </w:rPr>
        <w:t>Consejo</w:t>
      </w:r>
      <w:r w:rsidRPr="007717B2">
        <w:rPr>
          <w:rFonts w:ascii="Calibri" w:eastAsia="Times New Roman" w:hAnsi="Calibri" w:cs="Calibri"/>
          <w:b/>
          <w:bCs/>
          <w:i/>
          <w:iCs/>
          <w:color w:val="000000"/>
          <w:sz w:val="24"/>
          <w:szCs w:val="24"/>
          <w:lang w:eastAsia="es-GT"/>
        </w:rPr>
        <w:t xml:space="preserve"> Nacional del Deporte, </w:t>
      </w:r>
      <w:r w:rsidR="002E7114">
        <w:rPr>
          <w:rFonts w:ascii="Calibri" w:eastAsia="Times New Roman" w:hAnsi="Calibri" w:cs="Calibri"/>
          <w:b/>
          <w:bCs/>
          <w:i/>
          <w:iCs/>
          <w:color w:val="000000"/>
          <w:sz w:val="24"/>
          <w:szCs w:val="24"/>
          <w:lang w:eastAsia="es-GT"/>
        </w:rPr>
        <w:t xml:space="preserve">la </w:t>
      </w:r>
      <w:r w:rsidRPr="007717B2">
        <w:rPr>
          <w:rFonts w:ascii="Calibri" w:eastAsia="Times New Roman" w:hAnsi="Calibri" w:cs="Calibri"/>
          <w:b/>
          <w:bCs/>
          <w:i/>
          <w:iCs/>
          <w:color w:val="000000"/>
          <w:sz w:val="24"/>
          <w:szCs w:val="24"/>
          <w:lang w:eastAsia="es-GT"/>
        </w:rPr>
        <w:t>Educación Física y</w:t>
      </w:r>
      <w:r w:rsidR="002E7114">
        <w:rPr>
          <w:rFonts w:ascii="Calibri" w:eastAsia="Times New Roman" w:hAnsi="Calibri" w:cs="Calibri"/>
          <w:b/>
          <w:bCs/>
          <w:i/>
          <w:iCs/>
          <w:color w:val="000000"/>
          <w:sz w:val="24"/>
          <w:szCs w:val="24"/>
          <w:lang w:eastAsia="es-GT"/>
        </w:rPr>
        <w:t xml:space="preserve"> la</w:t>
      </w:r>
      <w:r w:rsidRPr="007717B2">
        <w:rPr>
          <w:rFonts w:ascii="Calibri" w:eastAsia="Times New Roman" w:hAnsi="Calibri" w:cs="Calibri"/>
          <w:b/>
          <w:bCs/>
          <w:i/>
          <w:iCs/>
          <w:color w:val="000000"/>
          <w:sz w:val="24"/>
          <w:szCs w:val="24"/>
          <w:lang w:eastAsia="es-GT"/>
        </w:rPr>
        <w:t xml:space="preserve"> Recreación</w:t>
      </w:r>
      <w:r w:rsidRPr="007717B2">
        <w:rPr>
          <w:rFonts w:ascii="Calibri" w:eastAsia="Times New Roman" w:hAnsi="Calibri" w:cs="Calibri"/>
          <w:color w:val="000000"/>
          <w:sz w:val="24"/>
          <w:szCs w:val="24"/>
          <w:lang w:eastAsia="es-GT"/>
        </w:rPr>
        <w:t xml:space="preserve"> obtuvo dos logros destacados, siendo éstos los siguientes:</w:t>
      </w:r>
      <w:r w:rsidRPr="007717B2">
        <w:rPr>
          <w:rFonts w:ascii="Calibri" w:eastAsia="Times New Roman" w:hAnsi="Calibri" w:cs="Calibri"/>
          <w:color w:val="000000"/>
          <w:sz w:val="24"/>
          <w:szCs w:val="24"/>
          <w:lang w:val="es-ES" w:eastAsia="es-GT"/>
        </w:rPr>
        <w:t> </w:t>
      </w:r>
    </w:p>
    <w:p w14:paraId="3AC0A21C" w14:textId="613397A8"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La aprobación del Plan Nacional del Deporte, la Educación Física y la Recreación Física 2022-2032 con la participación de las entidades que conformar el CONADER</w:t>
      </w:r>
      <w:r w:rsidR="0006382F">
        <w:rPr>
          <w:rFonts w:ascii="Calibri" w:eastAsia="Times New Roman" w:hAnsi="Calibri" w:cs="Calibri"/>
          <w:color w:val="000000"/>
          <w:sz w:val="24"/>
          <w:szCs w:val="24"/>
          <w:lang w:eastAsia="es-GT"/>
        </w:rPr>
        <w:t>.</w:t>
      </w:r>
    </w:p>
    <w:p w14:paraId="0B17D5C1" w14:textId="11C9B2B6"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Por medio de convenios interinstitucionales promovidos por el Instituto de Cultura Física del CONADER y la Universidad del Valle de Guatemala se promueve el programa de becas para estudiantes del nivel universitario, para el año 2022 se benefició a 48 mujeres y 104 varones para un total de 152 beneficiarios</w:t>
      </w:r>
      <w:r w:rsidR="005156D6">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val="es-ES" w:eastAsia="es-GT"/>
        </w:rPr>
        <w:t> </w:t>
      </w:r>
    </w:p>
    <w:p w14:paraId="2C700ED4" w14:textId="1DEE45DF"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el caso del </w:t>
      </w:r>
      <w:r w:rsidRPr="007717B2">
        <w:rPr>
          <w:rFonts w:ascii="Calibri" w:eastAsia="Times New Roman" w:hAnsi="Calibri" w:cs="Calibri"/>
          <w:b/>
          <w:bCs/>
          <w:i/>
          <w:iCs/>
          <w:color w:val="000000"/>
          <w:sz w:val="24"/>
          <w:szCs w:val="24"/>
          <w:lang w:eastAsia="es-GT"/>
        </w:rPr>
        <w:t>Instituto Nacional de Estadística (INE),</w:t>
      </w:r>
      <w:r w:rsidRPr="007717B2">
        <w:rPr>
          <w:rFonts w:ascii="Calibri" w:eastAsia="Times New Roman" w:hAnsi="Calibri" w:cs="Calibri"/>
          <w:color w:val="000000"/>
          <w:sz w:val="24"/>
          <w:szCs w:val="24"/>
          <w:lang w:eastAsia="es-GT"/>
        </w:rPr>
        <w:t xml:space="preserve"> en el tercer cuatrimestre</w:t>
      </w:r>
      <w:r w:rsidR="00A41A19">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 xml:space="preserve"> en el programa de Producción de Estadísticas e Indicadores se actualizaron los Índices económicos, IPC, CBA-CA, IPMC, así como la publicación de  Precios de referencia según requerimiento de los usuarios a través de la recolección y análisis de precios de productos y Estadísticas Continuas con información social, económica y ambiental, información que está disponible para los usuarios y población en general, con base en la recopilación de registros administrativos a nivel nacional. En el Programa de Generación de Censos y Encuestas se finalizó la 11</w:t>
      </w:r>
      <w:r w:rsidR="00A41A19">
        <w:rPr>
          <w:rFonts w:ascii="Calibri" w:eastAsia="Times New Roman" w:hAnsi="Calibri" w:cs="Calibri"/>
          <w:color w:val="000000"/>
          <w:sz w:val="24"/>
          <w:szCs w:val="24"/>
          <w:lang w:eastAsia="es-GT"/>
        </w:rPr>
        <w:t xml:space="preserve">ava. </w:t>
      </w:r>
      <w:r w:rsidRPr="007717B2">
        <w:rPr>
          <w:rFonts w:ascii="Calibri" w:eastAsia="Times New Roman" w:hAnsi="Calibri" w:cs="Calibri"/>
          <w:color w:val="000000"/>
          <w:sz w:val="24"/>
          <w:szCs w:val="24"/>
          <w:lang w:eastAsia="es-GT"/>
        </w:rPr>
        <w:t>comisión de operativo de campo de la ENIGH y se finalizó el operativo de campo de la ENEI.</w:t>
      </w:r>
      <w:r w:rsidRPr="007717B2">
        <w:rPr>
          <w:rFonts w:ascii="Calibri" w:eastAsia="Times New Roman" w:hAnsi="Calibri" w:cs="Calibri"/>
          <w:color w:val="000000"/>
          <w:sz w:val="24"/>
          <w:szCs w:val="24"/>
          <w:lang w:val="es-ES" w:eastAsia="es-GT"/>
        </w:rPr>
        <w:t> </w:t>
      </w:r>
    </w:p>
    <w:p w14:paraId="61F599F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lo que atañe al </w:t>
      </w:r>
      <w:r w:rsidRPr="007717B2">
        <w:rPr>
          <w:rFonts w:ascii="Calibri" w:eastAsia="Times New Roman" w:hAnsi="Calibri" w:cs="Calibri"/>
          <w:b/>
          <w:bCs/>
          <w:i/>
          <w:iCs/>
          <w:color w:val="000000"/>
          <w:sz w:val="24"/>
          <w:szCs w:val="24"/>
          <w:lang w:eastAsia="es-GT"/>
        </w:rPr>
        <w:t xml:space="preserve">Instituto para la Asistencia y Atención a la Víctima del Delito, </w:t>
      </w:r>
      <w:r w:rsidRPr="007717B2">
        <w:rPr>
          <w:rFonts w:ascii="Calibri" w:eastAsia="Times New Roman" w:hAnsi="Calibri" w:cs="Calibri"/>
          <w:color w:val="000000"/>
          <w:sz w:val="24"/>
          <w:szCs w:val="24"/>
          <w:lang w:eastAsia="es-GT"/>
        </w:rPr>
        <w:t>para el tercer cuatrimestre en cumplimiento del mandato del Instituto de la Víctima, así como de tener cobertura de los servicios de orientación, asistencia legal, y atención victimológica que presta en el territorio nacional, de forma estratégica se amplió la cobertura a través las siguientes Subsedes:</w:t>
      </w:r>
      <w:r w:rsidRPr="007717B2">
        <w:rPr>
          <w:rFonts w:ascii="Calibri" w:eastAsia="Times New Roman" w:hAnsi="Calibri" w:cs="Calibri"/>
          <w:color w:val="000000"/>
          <w:sz w:val="24"/>
          <w:szCs w:val="24"/>
          <w:lang w:val="es-ES" w:eastAsia="es-GT"/>
        </w:rPr>
        <w:t> </w:t>
      </w:r>
    </w:p>
    <w:p w14:paraId="65BD5093" w14:textId="2CED286C" w:rsidR="00A41A19" w:rsidRDefault="007717B2" w:rsidP="00A41A19">
      <w:pPr>
        <w:spacing w:before="120" w:after="120" w:line="240" w:lineRule="auto"/>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 Subsede del Instituto de la Víctima en Torre de Tribunales. </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val="es-ES" w:eastAsia="es-GT"/>
        </w:rPr>
        <w:br/>
      </w:r>
      <w:r w:rsidRPr="007717B2">
        <w:rPr>
          <w:rFonts w:ascii="Calibri" w:eastAsia="Times New Roman" w:hAnsi="Calibri" w:cs="Calibri"/>
          <w:color w:val="000000"/>
          <w:sz w:val="24"/>
          <w:szCs w:val="24"/>
          <w:lang w:eastAsia="es-GT"/>
        </w:rPr>
        <w:t>• Subsede del Instituto de la Víctima en el Tribunal de Sentencia Penal de Delitos de</w:t>
      </w:r>
      <w:r w:rsidR="00A41A19">
        <w:rPr>
          <w:rFonts w:ascii="Calibri" w:eastAsia="Times New Roman" w:hAnsi="Calibri" w:cs="Calibri"/>
          <w:color w:val="000000"/>
          <w:sz w:val="24"/>
          <w:szCs w:val="24"/>
          <w:lang w:eastAsia="es-GT"/>
        </w:rPr>
        <w:t xml:space="preserve"> </w:t>
      </w:r>
      <w:r w:rsidRPr="007717B2">
        <w:rPr>
          <w:rFonts w:ascii="Calibri" w:eastAsia="Times New Roman" w:hAnsi="Calibri" w:cs="Calibri"/>
          <w:color w:val="000000"/>
          <w:sz w:val="24"/>
          <w:szCs w:val="24"/>
          <w:lang w:eastAsia="es-GT"/>
        </w:rPr>
        <w:t>Femicidio y otras Formas de Violencia contra la Mujer y Violencia Sexual del Departamento de Santa Rosa</w:t>
      </w:r>
      <w:r w:rsidR="00A41A19">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val="es-ES" w:eastAsia="es-GT"/>
        </w:rPr>
        <w:br/>
      </w:r>
      <w:r w:rsidRPr="007717B2">
        <w:rPr>
          <w:rFonts w:ascii="Calibri" w:eastAsia="Times New Roman" w:hAnsi="Calibri" w:cs="Calibri"/>
          <w:color w:val="000000"/>
          <w:sz w:val="24"/>
          <w:szCs w:val="24"/>
          <w:lang w:eastAsia="es-GT"/>
        </w:rPr>
        <w:t>• Subsede del Instituto de la Víctima en el Centro Integral de Justicia -CIJ- del Municipio de</w:t>
      </w:r>
      <w:r w:rsidR="00A41A19">
        <w:rPr>
          <w:rFonts w:ascii="Calibri" w:eastAsia="Times New Roman" w:hAnsi="Calibri" w:cs="Calibri"/>
          <w:color w:val="000000"/>
          <w:sz w:val="24"/>
          <w:szCs w:val="24"/>
          <w:lang w:eastAsia="es-GT"/>
        </w:rPr>
        <w:t xml:space="preserve"> C</w:t>
      </w:r>
      <w:r w:rsidRPr="007717B2">
        <w:rPr>
          <w:rFonts w:ascii="Calibri" w:eastAsia="Times New Roman" w:hAnsi="Calibri" w:cs="Calibri"/>
          <w:color w:val="000000"/>
          <w:sz w:val="24"/>
          <w:szCs w:val="24"/>
          <w:lang w:eastAsia="es-GT"/>
        </w:rPr>
        <w:t>archá, Departamento de Alta Verapaz</w:t>
      </w:r>
      <w:r w:rsidR="00A41A19">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val="es-ES" w:eastAsia="es-GT"/>
        </w:rPr>
        <w:t> </w:t>
      </w:r>
    </w:p>
    <w:p w14:paraId="37EBBD13" w14:textId="3C74BE82" w:rsidR="007717B2" w:rsidRPr="007717B2" w:rsidRDefault="007717B2" w:rsidP="00A41A19">
      <w:pPr>
        <w:spacing w:before="120" w:after="120" w:line="240" w:lineRule="auto"/>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relación al </w:t>
      </w:r>
      <w:r w:rsidRPr="007717B2">
        <w:rPr>
          <w:rFonts w:ascii="Calibri" w:eastAsia="Times New Roman" w:hAnsi="Calibri" w:cs="Calibri"/>
          <w:b/>
          <w:bCs/>
          <w:i/>
          <w:iCs/>
          <w:color w:val="000000"/>
          <w:sz w:val="24"/>
          <w:szCs w:val="24"/>
          <w:lang w:eastAsia="es-GT"/>
        </w:rPr>
        <w:t xml:space="preserve">Instituto Guatemalteco de Turismo (INGUAT), </w:t>
      </w:r>
      <w:r w:rsidRPr="007717B2">
        <w:rPr>
          <w:rFonts w:ascii="Calibri" w:eastAsia="Times New Roman" w:hAnsi="Calibri" w:cs="Calibri"/>
          <w:color w:val="000000"/>
          <w:sz w:val="24"/>
          <w:szCs w:val="24"/>
          <w:lang w:eastAsia="es-GT"/>
        </w:rPr>
        <w:t>éste tuvo los avances siguientes:</w:t>
      </w:r>
      <w:r w:rsidRPr="007717B2">
        <w:rPr>
          <w:rFonts w:ascii="Calibri" w:eastAsia="Times New Roman" w:hAnsi="Calibri" w:cs="Calibri"/>
          <w:color w:val="000000"/>
          <w:sz w:val="24"/>
          <w:szCs w:val="24"/>
          <w:lang w:val="es-ES" w:eastAsia="es-GT"/>
        </w:rPr>
        <w:t> </w:t>
      </w:r>
    </w:p>
    <w:p w14:paraId="69C16315" w14:textId="7901B3D2" w:rsidR="007717B2" w:rsidRPr="007717B2" w:rsidRDefault="007717B2" w:rsidP="00A41A19">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De septiembre y diciembre de 2022 se realizaron 18 actividades para la conservación del patrimonio, de los cuales 12 fueron eventos culturales en igual número de localidades del país, beneficiando con este tipo de actividades a la cadena de valor del sector turístico en las comunidades involucradas. </w:t>
      </w:r>
    </w:p>
    <w:p w14:paraId="3B030D06" w14:textId="761617FA" w:rsidR="007717B2" w:rsidRPr="007717B2" w:rsidRDefault="007717B2" w:rsidP="003C1D42">
      <w:pPr>
        <w:numPr>
          <w:ilvl w:val="0"/>
          <w:numId w:val="72"/>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Para orientar el desplazamiento de los visitantes hacia y en los diversos lugares de interés turístico del país, en el tercer cuatrimestre, se instalaron 55 señales viales y 11 señales interpretativas. Además, se colocaron 9 señales interpretativas en el Parque Arqueológico Quiriguá, letras emblemáticas en el Castillo de San Felipe y Mercado de Artesanías.                      </w:t>
      </w:r>
      <w:r w:rsidRPr="007717B2">
        <w:rPr>
          <w:rFonts w:ascii="Calibri" w:eastAsia="Times New Roman" w:hAnsi="Calibri" w:cs="Calibri"/>
          <w:color w:val="000000"/>
          <w:sz w:val="24"/>
          <w:szCs w:val="24"/>
          <w:lang w:val="es-ES" w:eastAsia="es-GT"/>
        </w:rPr>
        <w:t> </w:t>
      </w:r>
    </w:p>
    <w:p w14:paraId="7F17645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al </w:t>
      </w:r>
      <w:r w:rsidRPr="007717B2">
        <w:rPr>
          <w:rFonts w:ascii="Calibri" w:eastAsia="Times New Roman" w:hAnsi="Calibri" w:cs="Calibri"/>
          <w:b/>
          <w:bCs/>
          <w:i/>
          <w:iCs/>
          <w:color w:val="000000"/>
          <w:sz w:val="24"/>
          <w:szCs w:val="24"/>
          <w:lang w:eastAsia="es-GT"/>
        </w:rPr>
        <w:t>Instituto de Fomento Municipal (INFOM),</w:t>
      </w:r>
      <w:r w:rsidRPr="007717B2">
        <w:rPr>
          <w:rFonts w:ascii="Calibri" w:eastAsia="Times New Roman" w:hAnsi="Calibri" w:cs="Calibri"/>
          <w:color w:val="000000"/>
          <w:sz w:val="24"/>
          <w:szCs w:val="24"/>
          <w:lang w:eastAsia="es-GT"/>
        </w:rPr>
        <w:t xml:space="preserve"> esta institución obtuvo los logros siguientes:        </w:t>
      </w:r>
      <w:r w:rsidRPr="007717B2">
        <w:rPr>
          <w:rFonts w:ascii="Calibri" w:eastAsia="Times New Roman" w:hAnsi="Calibri" w:cs="Calibri"/>
          <w:color w:val="000000"/>
          <w:sz w:val="24"/>
          <w:szCs w:val="24"/>
          <w:lang w:val="es-ES" w:eastAsia="es-GT"/>
        </w:rPr>
        <w:t> </w:t>
      </w:r>
    </w:p>
    <w:p w14:paraId="736C1920" w14:textId="32CF77A8" w:rsidR="007717B2" w:rsidRPr="007717B2" w:rsidRDefault="007717B2" w:rsidP="00532256">
      <w:pPr>
        <w:numPr>
          <w:ilvl w:val="0"/>
          <w:numId w:val="72"/>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En el tercer cuatrimestre </w:t>
      </w:r>
      <w:r w:rsidR="009431B8">
        <w:rPr>
          <w:rFonts w:ascii="Calibri" w:eastAsia="Times New Roman" w:hAnsi="Calibri" w:cs="Calibri"/>
          <w:color w:val="000000"/>
          <w:sz w:val="24"/>
          <w:szCs w:val="24"/>
          <w:lang w:eastAsia="es-GT"/>
        </w:rPr>
        <w:t xml:space="preserve">del año </w:t>
      </w:r>
      <w:r w:rsidRPr="007717B2">
        <w:rPr>
          <w:rFonts w:ascii="Calibri" w:eastAsia="Times New Roman" w:hAnsi="Calibri" w:cs="Calibri"/>
          <w:color w:val="000000"/>
          <w:sz w:val="24"/>
          <w:szCs w:val="24"/>
          <w:lang w:eastAsia="es-GT"/>
        </w:rPr>
        <w:t>2022, se logró colocar 12 de 50 préstamos programados en el 2022 de asistencia crediticia</w:t>
      </w:r>
      <w:r w:rsidR="00255EDD">
        <w:rPr>
          <w:rFonts w:ascii="Calibri" w:eastAsia="Times New Roman" w:hAnsi="Calibri" w:cs="Calibri"/>
          <w:color w:val="000000"/>
          <w:sz w:val="24"/>
          <w:szCs w:val="24"/>
          <w:lang w:eastAsia="es-GT"/>
        </w:rPr>
        <w:t>.</w:t>
      </w:r>
      <w:r w:rsidR="009431B8">
        <w:rPr>
          <w:rFonts w:ascii="Calibri" w:eastAsia="Times New Roman" w:hAnsi="Calibri" w:cs="Calibri"/>
          <w:color w:val="000000"/>
          <w:sz w:val="24"/>
          <w:szCs w:val="24"/>
          <w:lang w:eastAsia="es-GT"/>
        </w:rPr>
        <w:t xml:space="preserve"> Los beneficiados son los</w:t>
      </w:r>
      <w:r w:rsidRPr="007717B2">
        <w:rPr>
          <w:rFonts w:ascii="Calibri" w:eastAsia="Times New Roman" w:hAnsi="Calibri" w:cs="Calibri"/>
          <w:color w:val="000000"/>
          <w:sz w:val="24"/>
          <w:szCs w:val="24"/>
          <w:lang w:eastAsia="es-GT"/>
        </w:rPr>
        <w:t xml:space="preserve"> departamentos y municipios siguientes: Alta Verapaz (Santa Catalina La Tinta), Escuintla (La Democracia), Petén (Flores, La Libertad y Las Cruces), Quetzaltenango (Colomba Costa Cuca), Sacatepéquez (Santo Domingo Xenacoj), Santa Rosa (Guazacapán), Sololá (San José Chacayá, San Pablo La Laguna) y Suchitepéquez (San Francisco Zapotitlán, San Gabriel, San Juan Bautista y Zunilito). </w:t>
      </w:r>
    </w:p>
    <w:p w14:paraId="235A080E" w14:textId="2D69772F" w:rsidR="00532256" w:rsidRPr="00532256" w:rsidRDefault="007717B2" w:rsidP="00F0629E">
      <w:pPr>
        <w:numPr>
          <w:ilvl w:val="0"/>
          <w:numId w:val="72"/>
        </w:numPr>
        <w:spacing w:before="120" w:after="120" w:line="240" w:lineRule="auto"/>
        <w:jc w:val="both"/>
        <w:textAlignment w:val="baseline"/>
        <w:rPr>
          <w:rFonts w:ascii="Calibri" w:eastAsia="Times New Roman" w:hAnsi="Calibri" w:cs="Calibri"/>
          <w:sz w:val="24"/>
          <w:szCs w:val="24"/>
          <w:lang w:val="es-ES" w:eastAsia="es-GT"/>
        </w:rPr>
      </w:pPr>
      <w:r w:rsidRPr="00532256">
        <w:rPr>
          <w:rFonts w:ascii="Calibri" w:eastAsia="Times New Roman" w:hAnsi="Calibri" w:cs="Calibri"/>
          <w:color w:val="000000"/>
          <w:sz w:val="24"/>
          <w:szCs w:val="24"/>
          <w:lang w:eastAsia="es-GT"/>
        </w:rPr>
        <w:t xml:space="preserve">En el tercer cuatrimestre </w:t>
      </w:r>
      <w:r w:rsidR="009431B8" w:rsidRPr="00532256">
        <w:rPr>
          <w:rFonts w:ascii="Calibri" w:eastAsia="Times New Roman" w:hAnsi="Calibri" w:cs="Calibri"/>
          <w:color w:val="000000"/>
          <w:sz w:val="24"/>
          <w:szCs w:val="24"/>
          <w:lang w:eastAsia="es-GT"/>
        </w:rPr>
        <w:t xml:space="preserve">del año </w:t>
      </w:r>
      <w:r w:rsidRPr="00532256">
        <w:rPr>
          <w:rFonts w:ascii="Calibri" w:eastAsia="Times New Roman" w:hAnsi="Calibri" w:cs="Calibri"/>
          <w:color w:val="000000"/>
          <w:sz w:val="24"/>
          <w:szCs w:val="24"/>
          <w:lang w:eastAsia="es-GT"/>
        </w:rPr>
        <w:t>2022, se realizaron 2,997 análisis de laboratorio de agua potable y residual</w:t>
      </w:r>
      <w:r w:rsidR="00532256" w:rsidRPr="00532256">
        <w:rPr>
          <w:rFonts w:ascii="Calibri" w:eastAsia="Times New Roman" w:hAnsi="Calibri" w:cs="Calibri"/>
          <w:color w:val="000000"/>
          <w:sz w:val="24"/>
          <w:szCs w:val="24"/>
          <w:lang w:eastAsia="es-GT"/>
        </w:rPr>
        <w:t xml:space="preserve">, con atención a </w:t>
      </w:r>
      <w:r w:rsidRPr="00532256">
        <w:rPr>
          <w:rFonts w:ascii="Calibri" w:eastAsia="Times New Roman" w:hAnsi="Calibri" w:cs="Calibri"/>
          <w:color w:val="000000"/>
          <w:sz w:val="24"/>
          <w:szCs w:val="24"/>
          <w:lang w:eastAsia="es-GT"/>
        </w:rPr>
        <w:t>18 departamentos y 85 municipios de todo el país.</w:t>
      </w:r>
    </w:p>
    <w:p w14:paraId="41BAE89A" w14:textId="59A2FED5" w:rsidR="007717B2" w:rsidRPr="007717B2" w:rsidRDefault="007717B2" w:rsidP="00532256">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cuanto al </w:t>
      </w:r>
      <w:r w:rsidRPr="007717B2">
        <w:rPr>
          <w:rFonts w:ascii="Calibri" w:eastAsia="Times New Roman" w:hAnsi="Calibri" w:cs="Calibri"/>
          <w:b/>
          <w:bCs/>
          <w:i/>
          <w:iCs/>
          <w:color w:val="000000"/>
          <w:sz w:val="24"/>
          <w:szCs w:val="24"/>
          <w:lang w:eastAsia="es-GT"/>
        </w:rPr>
        <w:t xml:space="preserve">Instituto Nacional de Ciencias Forenses, </w:t>
      </w:r>
      <w:r w:rsidRPr="007717B2">
        <w:rPr>
          <w:rFonts w:ascii="Calibri" w:eastAsia="Times New Roman" w:hAnsi="Calibri" w:cs="Calibri"/>
          <w:color w:val="000000"/>
          <w:sz w:val="24"/>
          <w:szCs w:val="24"/>
          <w:lang w:eastAsia="es-GT"/>
        </w:rPr>
        <w:t>uno de los logros alcanzados es la cantidad de solicitudes que se han atendido a requerimiento del Ministerio Público y Organismo Judicial,</w:t>
      </w:r>
      <w:r w:rsidR="00532256">
        <w:rPr>
          <w:rFonts w:ascii="Calibri" w:eastAsia="Times New Roman" w:hAnsi="Calibri" w:cs="Calibri"/>
          <w:color w:val="000000"/>
          <w:sz w:val="24"/>
          <w:szCs w:val="24"/>
          <w:lang w:eastAsia="es-GT"/>
        </w:rPr>
        <w:t xml:space="preserve"> de </w:t>
      </w:r>
      <w:r w:rsidR="00532256" w:rsidRPr="007717B2">
        <w:rPr>
          <w:rFonts w:ascii="Calibri" w:eastAsia="Times New Roman" w:hAnsi="Calibri" w:cs="Calibri"/>
          <w:color w:val="000000"/>
          <w:sz w:val="24"/>
          <w:szCs w:val="24"/>
          <w:lang w:eastAsia="es-GT"/>
        </w:rPr>
        <w:t>84,523</w:t>
      </w:r>
      <w:r w:rsidR="00532256" w:rsidRPr="007717B2">
        <w:rPr>
          <w:rFonts w:ascii="Calibri" w:eastAsia="Times New Roman" w:hAnsi="Calibri" w:cs="Calibri"/>
          <w:color w:val="000000"/>
          <w:sz w:val="24"/>
          <w:szCs w:val="24"/>
          <w:lang w:val="es-ES" w:eastAsia="es-GT"/>
        </w:rPr>
        <w:t> </w:t>
      </w:r>
      <w:r w:rsidR="00532256">
        <w:rPr>
          <w:rFonts w:ascii="Calibri" w:eastAsia="Times New Roman" w:hAnsi="Calibri" w:cs="Calibri"/>
          <w:color w:val="000000"/>
          <w:sz w:val="24"/>
          <w:szCs w:val="24"/>
          <w:lang w:eastAsia="es-GT"/>
        </w:rPr>
        <w:t>s</w:t>
      </w:r>
      <w:r w:rsidR="00532256" w:rsidRPr="007717B2">
        <w:rPr>
          <w:rFonts w:ascii="Calibri" w:eastAsia="Times New Roman" w:hAnsi="Calibri" w:cs="Calibri"/>
          <w:color w:val="000000"/>
          <w:sz w:val="24"/>
          <w:szCs w:val="24"/>
          <w:lang w:eastAsia="es-GT"/>
        </w:rPr>
        <w:t>olicitudes ingresadas</w:t>
      </w:r>
      <w:r w:rsidR="00532256">
        <w:rPr>
          <w:rFonts w:ascii="Calibri" w:eastAsia="Times New Roman" w:hAnsi="Calibri" w:cs="Calibri"/>
          <w:color w:val="000000"/>
          <w:sz w:val="24"/>
          <w:szCs w:val="24"/>
          <w:lang w:eastAsia="es-GT"/>
        </w:rPr>
        <w:t xml:space="preserve">, se atendieron </w:t>
      </w:r>
      <w:r w:rsidRPr="007717B2">
        <w:rPr>
          <w:rFonts w:ascii="Calibri" w:eastAsia="Times New Roman" w:hAnsi="Calibri" w:cs="Calibri"/>
          <w:color w:val="000000"/>
          <w:sz w:val="24"/>
          <w:szCs w:val="24"/>
          <w:lang w:eastAsia="es-GT"/>
        </w:rPr>
        <w:t>71,273</w:t>
      </w:r>
      <w:r w:rsidR="00532256">
        <w:rPr>
          <w:rFonts w:ascii="Calibri" w:eastAsia="Times New Roman" w:hAnsi="Calibri" w:cs="Calibri"/>
          <w:color w:val="000000"/>
          <w:sz w:val="24"/>
          <w:szCs w:val="24"/>
          <w:lang w:val="es-ES" w:eastAsia="es-GT"/>
        </w:rPr>
        <w:t>.</w:t>
      </w:r>
    </w:p>
    <w:p w14:paraId="3A7A41A0" w14:textId="77777777" w:rsidR="007717B2" w:rsidRPr="007717B2" w:rsidRDefault="007717B2" w:rsidP="00532256">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Pr="007717B2">
        <w:rPr>
          <w:rFonts w:ascii="Calibri" w:eastAsia="Times New Roman" w:hAnsi="Calibri" w:cs="Calibri"/>
          <w:b/>
          <w:bCs/>
          <w:i/>
          <w:iCs/>
          <w:color w:val="000000"/>
          <w:sz w:val="24"/>
          <w:szCs w:val="24"/>
          <w:lang w:eastAsia="es-GT"/>
        </w:rPr>
        <w:t>Crédito Hipotecario Nacional</w:t>
      </w:r>
      <w:r w:rsidRPr="007717B2">
        <w:rPr>
          <w:rFonts w:ascii="Calibri" w:eastAsia="Times New Roman" w:hAnsi="Calibri" w:cs="Calibri"/>
          <w:i/>
          <w:iCs/>
          <w:color w:val="000000"/>
          <w:sz w:val="24"/>
          <w:szCs w:val="24"/>
          <w:lang w:eastAsia="es-GT"/>
        </w:rPr>
        <w:t xml:space="preserve"> </w:t>
      </w:r>
      <w:r w:rsidRPr="007717B2">
        <w:rPr>
          <w:rFonts w:ascii="Calibri" w:eastAsia="Times New Roman" w:hAnsi="Calibri" w:cs="Calibri"/>
          <w:b/>
          <w:bCs/>
          <w:i/>
          <w:iCs/>
          <w:color w:val="000000"/>
          <w:sz w:val="24"/>
          <w:szCs w:val="24"/>
          <w:lang w:eastAsia="es-GT"/>
        </w:rPr>
        <w:t xml:space="preserve">(CHN), </w:t>
      </w:r>
      <w:r w:rsidRPr="007717B2">
        <w:rPr>
          <w:rFonts w:ascii="Calibri" w:eastAsia="Times New Roman" w:hAnsi="Calibri" w:cs="Calibri"/>
          <w:color w:val="000000"/>
          <w:sz w:val="24"/>
          <w:szCs w:val="24"/>
          <w:lang w:eastAsia="es-GT"/>
        </w:rPr>
        <w:t>durante el último cuatrimestre de 2022, logró:</w:t>
      </w:r>
      <w:r w:rsidRPr="007717B2">
        <w:rPr>
          <w:rFonts w:ascii="Calibri" w:eastAsia="Times New Roman" w:hAnsi="Calibri" w:cs="Calibri"/>
          <w:color w:val="000000"/>
          <w:sz w:val="24"/>
          <w:szCs w:val="24"/>
          <w:lang w:val="es-ES" w:eastAsia="es-GT"/>
        </w:rPr>
        <w:t> </w:t>
      </w:r>
    </w:p>
    <w:p w14:paraId="7F345D41" w14:textId="77777777" w:rsidR="007717B2" w:rsidRPr="007717B2" w:rsidRDefault="007717B2" w:rsidP="00532256">
      <w:pPr>
        <w:numPr>
          <w:ilvl w:val="0"/>
          <w:numId w:val="31"/>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Contribuir en la reducción del déficit habitacional de la población.</w:t>
      </w:r>
      <w:r w:rsidRPr="007717B2">
        <w:rPr>
          <w:rFonts w:ascii="Calibri" w:eastAsia="Times New Roman" w:hAnsi="Calibri" w:cs="Calibri"/>
          <w:color w:val="000000"/>
          <w:sz w:val="24"/>
          <w:szCs w:val="24"/>
          <w:lang w:val="es-ES" w:eastAsia="es-GT"/>
        </w:rPr>
        <w:t> </w:t>
      </w:r>
    </w:p>
    <w:p w14:paraId="16EA876B" w14:textId="77777777" w:rsidR="007717B2" w:rsidRPr="007717B2" w:rsidRDefault="007717B2" w:rsidP="00532256">
      <w:pPr>
        <w:numPr>
          <w:ilvl w:val="0"/>
          <w:numId w:val="31"/>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Contribuir en apoyar financieramente a pequeños empresarios.</w:t>
      </w:r>
      <w:r w:rsidRPr="007717B2">
        <w:rPr>
          <w:rFonts w:ascii="Calibri" w:eastAsia="Times New Roman" w:hAnsi="Calibri" w:cs="Calibri"/>
          <w:color w:val="000000"/>
          <w:sz w:val="24"/>
          <w:szCs w:val="24"/>
          <w:lang w:val="es-ES" w:eastAsia="es-GT"/>
        </w:rPr>
        <w:t> </w:t>
      </w:r>
    </w:p>
    <w:p w14:paraId="3E59D0A3" w14:textId="32BD0D21" w:rsidR="007717B2" w:rsidRPr="007717B2" w:rsidRDefault="007717B2" w:rsidP="00DF02CF">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parte, el </w:t>
      </w:r>
      <w:r w:rsidRPr="007717B2">
        <w:rPr>
          <w:rFonts w:ascii="Calibri" w:eastAsia="Times New Roman" w:hAnsi="Calibri" w:cs="Calibri"/>
          <w:b/>
          <w:bCs/>
          <w:i/>
          <w:iCs/>
          <w:color w:val="000000"/>
          <w:sz w:val="24"/>
          <w:szCs w:val="24"/>
          <w:lang w:eastAsia="es-GT"/>
        </w:rPr>
        <w:t>Instituto Nacional de Comercialización Agrícola (INDECA),</w:t>
      </w:r>
      <w:r w:rsidRPr="007717B2">
        <w:rPr>
          <w:rFonts w:ascii="Calibri" w:eastAsia="Times New Roman" w:hAnsi="Calibri" w:cs="Calibri"/>
          <w:color w:val="000000"/>
          <w:sz w:val="24"/>
          <w:szCs w:val="24"/>
          <w:lang w:eastAsia="es-GT"/>
        </w:rPr>
        <w:t xml:space="preserve"> durante el tercer cuatrimestre de 2022, como parte del </w:t>
      </w:r>
      <w:r w:rsidR="00C31C3E">
        <w:rPr>
          <w:rFonts w:ascii="Calibri" w:eastAsia="Times New Roman" w:hAnsi="Calibri" w:cs="Calibri"/>
          <w:color w:val="000000"/>
          <w:sz w:val="24"/>
          <w:szCs w:val="24"/>
          <w:lang w:eastAsia="es-GT"/>
        </w:rPr>
        <w:t>P</w:t>
      </w:r>
      <w:r w:rsidRPr="007717B2">
        <w:rPr>
          <w:rFonts w:ascii="Calibri" w:eastAsia="Times New Roman" w:hAnsi="Calibri" w:cs="Calibri"/>
          <w:color w:val="000000"/>
          <w:sz w:val="24"/>
          <w:szCs w:val="24"/>
          <w:lang w:eastAsia="es-GT"/>
        </w:rPr>
        <w:t xml:space="preserve">rograma </w:t>
      </w:r>
      <w:r w:rsidR="00C31C3E">
        <w:rPr>
          <w:rFonts w:ascii="Calibri" w:eastAsia="Times New Roman" w:hAnsi="Calibri" w:cs="Calibri"/>
          <w:color w:val="000000"/>
          <w:sz w:val="24"/>
          <w:szCs w:val="24"/>
          <w:lang w:eastAsia="es-GT"/>
        </w:rPr>
        <w:t>de</w:t>
      </w:r>
      <w:r w:rsidRPr="007717B2">
        <w:rPr>
          <w:rFonts w:ascii="Calibri" w:eastAsia="Times New Roman" w:hAnsi="Calibri" w:cs="Calibri"/>
          <w:color w:val="000000"/>
          <w:sz w:val="24"/>
          <w:szCs w:val="24"/>
          <w:lang w:eastAsia="es-GT"/>
        </w:rPr>
        <w:t xml:space="preserve"> Manejo de Alimentos, </w:t>
      </w:r>
      <w:r w:rsidR="00C31C3E">
        <w:rPr>
          <w:rFonts w:ascii="Calibri" w:eastAsia="Times New Roman" w:hAnsi="Calibri" w:cs="Calibri"/>
          <w:color w:val="000000"/>
          <w:sz w:val="24"/>
          <w:szCs w:val="24"/>
          <w:lang w:eastAsia="es-GT"/>
        </w:rPr>
        <w:t xml:space="preserve">se </w:t>
      </w:r>
      <w:r w:rsidRPr="007717B2">
        <w:rPr>
          <w:rFonts w:ascii="Calibri" w:eastAsia="Times New Roman" w:hAnsi="Calibri" w:cs="Calibri"/>
          <w:color w:val="000000"/>
          <w:sz w:val="24"/>
          <w:szCs w:val="24"/>
          <w:lang w:eastAsia="es-GT"/>
        </w:rPr>
        <w:t>almacenó un total de 36,782.58</w:t>
      </w:r>
      <w:r w:rsidR="00C31C3E">
        <w:rPr>
          <w:rFonts w:ascii="Calibri" w:eastAsia="Times New Roman" w:hAnsi="Calibri" w:cs="Calibri"/>
          <w:color w:val="000000"/>
          <w:sz w:val="24"/>
          <w:szCs w:val="24"/>
          <w:lang w:eastAsia="es-GT"/>
        </w:rPr>
        <w:t xml:space="preserve"> toneladas métricas</w:t>
      </w:r>
      <w:r w:rsidRPr="007717B2">
        <w:rPr>
          <w:rFonts w:ascii="Calibri" w:eastAsia="Times New Roman" w:hAnsi="Calibri" w:cs="Calibri"/>
          <w:color w:val="000000"/>
          <w:sz w:val="24"/>
          <w:szCs w:val="24"/>
          <w:lang w:eastAsia="es-GT"/>
        </w:rPr>
        <w:t xml:space="preserve"> de existencias diarias promedio mensuales, parte de las cuales estuvieron disponibles para atender tanto los programas y/o proyectos regulares de asistencia alimentaria del Ministerio de Agricultura, Ganadería y Alimentación -MAGA- así como del Ministerio de Desarrollo -MIDES-, como algún requerimiento de alimentos atendido en calidad de emergencia por estos dos ministerios. (Los beneficiarios finales de las actividades del INDECA lo constituyen las instituciones que atiende, por lo que no entrega alimentos a la población, en consecuencia, no se reporta número de beneficiarios).</w:t>
      </w:r>
      <w:r w:rsidRPr="007717B2">
        <w:rPr>
          <w:rFonts w:ascii="Calibri" w:eastAsia="Times New Roman" w:hAnsi="Calibri" w:cs="Calibri"/>
          <w:color w:val="000000"/>
          <w:sz w:val="24"/>
          <w:szCs w:val="24"/>
          <w:lang w:val="es-ES" w:eastAsia="es-GT"/>
        </w:rPr>
        <w:t> </w:t>
      </w:r>
    </w:p>
    <w:p w14:paraId="16A5E2F8" w14:textId="2A8D2048" w:rsidR="007717B2" w:rsidRPr="007717B2" w:rsidRDefault="007717B2" w:rsidP="00DF02CF">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cuanto al </w:t>
      </w:r>
      <w:r w:rsidRPr="007717B2">
        <w:rPr>
          <w:rFonts w:ascii="Calibri" w:eastAsia="Times New Roman" w:hAnsi="Calibri" w:cs="Calibri"/>
          <w:b/>
          <w:bCs/>
          <w:i/>
          <w:iCs/>
          <w:color w:val="000000"/>
          <w:sz w:val="24"/>
          <w:szCs w:val="24"/>
          <w:lang w:eastAsia="es-GT"/>
        </w:rPr>
        <w:t>Instituto Guatemalteco de Seguridad Social (IGSS)</w:t>
      </w:r>
      <w:r w:rsidR="007F3E7B">
        <w:rPr>
          <w:rFonts w:ascii="Calibri" w:eastAsia="Times New Roman" w:hAnsi="Calibri" w:cs="Calibri"/>
          <w:color w:val="000000"/>
          <w:sz w:val="24"/>
          <w:szCs w:val="24"/>
          <w:lang w:eastAsia="es-GT"/>
        </w:rPr>
        <w:t>, a través del</w:t>
      </w:r>
      <w:r w:rsidRPr="007717B2">
        <w:rPr>
          <w:rFonts w:ascii="Calibri" w:eastAsia="Times New Roman" w:hAnsi="Calibri" w:cs="Calibri"/>
          <w:color w:val="000000"/>
          <w:sz w:val="24"/>
          <w:szCs w:val="24"/>
          <w:lang w:eastAsia="es-GT"/>
        </w:rPr>
        <w:t xml:space="preserve"> Programa de Promoción de la Salud y Prevención de Enfermedades</w:t>
      </w:r>
      <w:r w:rsidR="007F3E7B">
        <w:rPr>
          <w:rFonts w:ascii="Calibri" w:eastAsia="Times New Roman" w:hAnsi="Calibri" w:cs="Calibri"/>
          <w:color w:val="000000"/>
          <w:sz w:val="24"/>
          <w:szCs w:val="24"/>
          <w:lang w:eastAsia="es-GT"/>
        </w:rPr>
        <w:t>, se logró lo siguiente</w:t>
      </w:r>
      <w:r w:rsidR="00EB51DF">
        <w:rPr>
          <w:rFonts w:ascii="Calibri" w:eastAsia="Times New Roman" w:hAnsi="Calibri" w:cs="Calibri"/>
          <w:color w:val="000000"/>
          <w:sz w:val="24"/>
          <w:szCs w:val="24"/>
          <w:lang w:eastAsia="es-GT"/>
        </w:rPr>
        <w:t>:</w:t>
      </w:r>
    </w:p>
    <w:p w14:paraId="75011131" w14:textId="77777777" w:rsidR="007717B2" w:rsidRPr="007717B2" w:rsidRDefault="007717B2" w:rsidP="00DF02CF">
      <w:pPr>
        <w:numPr>
          <w:ilvl w:val="0"/>
          <w:numId w:val="31"/>
        </w:numPr>
        <w:spacing w:before="120" w:after="120" w:line="240" w:lineRule="auto"/>
        <w:ind w:left="360" w:firstLine="0"/>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Se atendieron 179,643 consultas externas de prevención de enfermedades (niño sano, métodos de planificación familiar, detección temprana y oportuna de enfermedades, y control pre y posnatal). </w:t>
      </w:r>
    </w:p>
    <w:p w14:paraId="44FD817B" w14:textId="77777777" w:rsidR="007717B2" w:rsidRPr="007717B2" w:rsidRDefault="007717B2" w:rsidP="00DF02CF">
      <w:pPr>
        <w:numPr>
          <w:ilvl w:val="0"/>
          <w:numId w:val="31"/>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administraron 181,100 dosis de vacunas, según esquema a afiliados, beneficiarios, pensionados y jubilados.</w:t>
      </w:r>
      <w:r w:rsidRPr="007717B2">
        <w:rPr>
          <w:rFonts w:ascii="Calibri" w:eastAsia="Times New Roman" w:hAnsi="Calibri" w:cs="Calibri"/>
          <w:color w:val="000000"/>
          <w:sz w:val="24"/>
          <w:szCs w:val="24"/>
          <w:lang w:val="es-ES" w:eastAsia="es-GT"/>
        </w:rPr>
        <w:t> </w:t>
      </w:r>
    </w:p>
    <w:p w14:paraId="63AC0275" w14:textId="346D7D73" w:rsidR="00DF02CF" w:rsidRDefault="007717B2" w:rsidP="00DF02CF">
      <w:pPr>
        <w:numPr>
          <w:ilvl w:val="0"/>
          <w:numId w:val="7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 otorgaron 187,450 consejerías y pláticas para la promoción de la salud.</w:t>
      </w:r>
      <w:r w:rsidRPr="007717B2">
        <w:rPr>
          <w:rFonts w:ascii="Calibri" w:eastAsia="Times New Roman" w:hAnsi="Calibri" w:cs="Calibri"/>
          <w:color w:val="000000"/>
          <w:sz w:val="24"/>
          <w:szCs w:val="24"/>
          <w:lang w:val="es-ES" w:eastAsia="es-GT"/>
        </w:rPr>
        <w:t> </w:t>
      </w:r>
    </w:p>
    <w:p w14:paraId="2DE546CD" w14:textId="38BB926A" w:rsidR="007717B2" w:rsidRPr="007717B2" w:rsidRDefault="007717B2" w:rsidP="00DF02CF">
      <w:pPr>
        <w:spacing w:before="120" w:after="120" w:line="240" w:lineRule="auto"/>
        <w:jc w:val="both"/>
        <w:textAlignment w:val="baseline"/>
        <w:rPr>
          <w:rFonts w:ascii="Calibri" w:eastAsia="Times New Roman" w:hAnsi="Calibri" w:cs="Calibri"/>
          <w:color w:val="002060"/>
          <w:sz w:val="28"/>
          <w:szCs w:val="28"/>
          <w:lang w:val="es-ES" w:eastAsia="es-GT"/>
        </w:rPr>
      </w:pPr>
      <w:r w:rsidRPr="007717B2">
        <w:rPr>
          <w:rFonts w:ascii="Calibri" w:eastAsia="Times New Roman" w:hAnsi="Calibri" w:cs="Calibri"/>
          <w:b/>
          <w:bCs/>
          <w:color w:val="002060"/>
          <w:sz w:val="28"/>
          <w:szCs w:val="28"/>
          <w:lang w:eastAsia="es-GT"/>
        </w:rPr>
        <w:t>Asociaciones y federaciones deportivas</w:t>
      </w:r>
      <w:r w:rsidRPr="007717B2">
        <w:rPr>
          <w:rFonts w:ascii="Calibri" w:eastAsia="Times New Roman" w:hAnsi="Calibri" w:cs="Calibri"/>
          <w:color w:val="002060"/>
          <w:sz w:val="28"/>
          <w:szCs w:val="28"/>
          <w:lang w:val="es-ES" w:eastAsia="es-GT"/>
        </w:rPr>
        <w:t> </w:t>
      </w:r>
    </w:p>
    <w:p w14:paraId="4FD9E317" w14:textId="0EECD03E" w:rsidR="007717B2" w:rsidRPr="007717B2" w:rsidRDefault="007717B2" w:rsidP="00DF02CF">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La </w:t>
      </w:r>
      <w:r w:rsidRPr="007717B2">
        <w:rPr>
          <w:rFonts w:ascii="Calibri" w:eastAsia="Times New Roman" w:hAnsi="Calibri" w:cs="Calibri"/>
          <w:b/>
          <w:bCs/>
          <w:i/>
          <w:iCs/>
          <w:sz w:val="24"/>
          <w:szCs w:val="24"/>
          <w:lang w:eastAsia="es-GT"/>
        </w:rPr>
        <w:t>Federación Deportiva Nacional de Ajedrez,</w:t>
      </w:r>
      <w:r w:rsidRPr="007717B2">
        <w:rPr>
          <w:rFonts w:ascii="Calibri" w:eastAsia="Times New Roman" w:hAnsi="Calibri" w:cs="Calibri"/>
          <w:sz w:val="24"/>
          <w:szCs w:val="24"/>
          <w:lang w:eastAsia="es-GT"/>
        </w:rPr>
        <w:t xml:space="preserve"> reporta los logros siguientes:</w:t>
      </w:r>
      <w:r w:rsidRPr="007717B2">
        <w:rPr>
          <w:rFonts w:ascii="Calibri" w:eastAsia="Times New Roman" w:hAnsi="Calibri" w:cs="Calibri"/>
          <w:sz w:val="24"/>
          <w:szCs w:val="24"/>
          <w:lang w:val="es-ES" w:eastAsia="es-GT"/>
        </w:rPr>
        <w:t> </w:t>
      </w:r>
    </w:p>
    <w:p w14:paraId="16CBB1EC" w14:textId="32866338" w:rsidR="00EB51DF" w:rsidRPr="00EB51DF" w:rsidRDefault="00EB51DF" w:rsidP="00EB51DF">
      <w:pPr>
        <w:pStyle w:val="Prrafodelista"/>
        <w:numPr>
          <w:ilvl w:val="0"/>
          <w:numId w:val="74"/>
        </w:numPr>
        <w:spacing w:before="120" w:after="120" w:line="240" w:lineRule="auto"/>
        <w:ind w:left="714" w:hanging="357"/>
        <w:contextualSpacing w:val="0"/>
        <w:jc w:val="both"/>
        <w:textAlignment w:val="baseline"/>
        <w:rPr>
          <w:rFonts w:ascii="Calibri" w:eastAsia="Times New Roman" w:hAnsi="Calibri" w:cs="Calibri"/>
          <w:color w:val="000000"/>
          <w:sz w:val="24"/>
          <w:szCs w:val="24"/>
          <w:lang w:eastAsia="es-GT"/>
        </w:rPr>
      </w:pPr>
      <w:r w:rsidRPr="00EB51DF">
        <w:rPr>
          <w:rFonts w:ascii="Calibri" w:eastAsia="Times New Roman" w:hAnsi="Calibri" w:cs="Calibri"/>
          <w:color w:val="000000"/>
          <w:sz w:val="24"/>
          <w:szCs w:val="24"/>
          <w:lang w:eastAsia="es-GT"/>
        </w:rPr>
        <w:t>S</w:t>
      </w:r>
      <w:r w:rsidR="007717B2" w:rsidRPr="00EB51DF">
        <w:rPr>
          <w:rFonts w:ascii="Calibri" w:eastAsia="Times New Roman" w:hAnsi="Calibri" w:cs="Calibri"/>
          <w:color w:val="000000"/>
          <w:sz w:val="24"/>
          <w:szCs w:val="24"/>
          <w:lang w:eastAsia="es-GT"/>
        </w:rPr>
        <w:t>e logró culminar con 37 atletas de alto rendimiento en el año 2022, logrando subir a 4</w:t>
      </w:r>
      <w:r w:rsidR="005752C7">
        <w:rPr>
          <w:rFonts w:ascii="Calibri" w:eastAsia="Times New Roman" w:hAnsi="Calibri" w:cs="Calibri"/>
          <w:color w:val="000000"/>
          <w:sz w:val="24"/>
          <w:szCs w:val="24"/>
          <w:lang w:eastAsia="es-GT"/>
        </w:rPr>
        <w:t xml:space="preserve"> atletas</w:t>
      </w:r>
      <w:r w:rsidR="007717B2" w:rsidRPr="00EB51DF">
        <w:rPr>
          <w:rFonts w:ascii="Calibri" w:eastAsia="Times New Roman" w:hAnsi="Calibri" w:cs="Calibri"/>
          <w:color w:val="000000"/>
          <w:sz w:val="24"/>
          <w:szCs w:val="24"/>
          <w:lang w:eastAsia="es-GT"/>
        </w:rPr>
        <w:t xml:space="preserve"> de tercera línea a 2da línea.</w:t>
      </w:r>
    </w:p>
    <w:p w14:paraId="74E9C12B" w14:textId="10365D09" w:rsidR="007717B2" w:rsidRPr="00EB51DF" w:rsidRDefault="007717B2" w:rsidP="00EB51DF">
      <w:pPr>
        <w:pStyle w:val="Prrafodelista"/>
        <w:numPr>
          <w:ilvl w:val="0"/>
          <w:numId w:val="74"/>
        </w:numPr>
        <w:spacing w:before="120" w:after="120" w:line="240" w:lineRule="auto"/>
        <w:ind w:left="714" w:hanging="357"/>
        <w:contextualSpacing w:val="0"/>
        <w:jc w:val="both"/>
        <w:textAlignment w:val="baseline"/>
        <w:rPr>
          <w:rFonts w:ascii="Calibri" w:eastAsia="Times New Roman" w:hAnsi="Calibri" w:cs="Calibri"/>
          <w:sz w:val="24"/>
          <w:szCs w:val="24"/>
          <w:lang w:val="es-ES" w:eastAsia="es-GT"/>
        </w:rPr>
      </w:pPr>
      <w:r w:rsidRPr="00EB51DF">
        <w:rPr>
          <w:rFonts w:ascii="Calibri" w:eastAsia="Times New Roman" w:hAnsi="Calibri" w:cs="Calibri"/>
          <w:color w:val="000000"/>
          <w:sz w:val="24"/>
          <w:szCs w:val="24"/>
          <w:lang w:eastAsia="es-GT"/>
        </w:rPr>
        <w:t>Se atendieron a 1,466 atletas en el 3er</w:t>
      </w:r>
      <w:r w:rsidR="007C6826">
        <w:rPr>
          <w:rFonts w:ascii="Calibri" w:eastAsia="Times New Roman" w:hAnsi="Calibri" w:cs="Calibri"/>
          <w:color w:val="000000"/>
          <w:sz w:val="24"/>
          <w:szCs w:val="24"/>
          <w:lang w:eastAsia="es-GT"/>
        </w:rPr>
        <w:t>.</w:t>
      </w:r>
      <w:r w:rsidRPr="00EB51DF">
        <w:rPr>
          <w:rFonts w:ascii="Calibri" w:eastAsia="Times New Roman" w:hAnsi="Calibri" w:cs="Calibri"/>
          <w:color w:val="000000"/>
          <w:sz w:val="24"/>
          <w:szCs w:val="24"/>
          <w:lang w:eastAsia="es-GT"/>
        </w:rPr>
        <w:t xml:space="preserve"> cuatrimestre </w:t>
      </w:r>
      <w:r w:rsidR="00422A26">
        <w:rPr>
          <w:rFonts w:ascii="Calibri" w:eastAsia="Times New Roman" w:hAnsi="Calibri" w:cs="Calibri"/>
          <w:color w:val="000000"/>
          <w:sz w:val="24"/>
          <w:szCs w:val="24"/>
          <w:lang w:eastAsia="es-GT"/>
        </w:rPr>
        <w:t xml:space="preserve">de manera </w:t>
      </w:r>
      <w:r w:rsidRPr="00EB51DF">
        <w:rPr>
          <w:rFonts w:ascii="Calibri" w:eastAsia="Times New Roman" w:hAnsi="Calibri" w:cs="Calibri"/>
          <w:color w:val="000000"/>
          <w:sz w:val="24"/>
          <w:szCs w:val="24"/>
          <w:lang w:eastAsia="es-GT"/>
        </w:rPr>
        <w:t xml:space="preserve">presencial a nivel nacional. </w:t>
      </w:r>
    </w:p>
    <w:p w14:paraId="46A48A54" w14:textId="77777777" w:rsidR="007717B2" w:rsidRPr="007717B2" w:rsidRDefault="007717B2" w:rsidP="00DF02CF">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parte, la </w:t>
      </w:r>
      <w:r w:rsidRPr="007717B2">
        <w:rPr>
          <w:rFonts w:ascii="Calibri" w:eastAsia="Times New Roman" w:hAnsi="Calibri" w:cs="Calibri"/>
          <w:b/>
          <w:bCs/>
          <w:i/>
          <w:iCs/>
          <w:color w:val="000000"/>
          <w:sz w:val="24"/>
          <w:szCs w:val="24"/>
          <w:lang w:eastAsia="es-GT"/>
        </w:rPr>
        <w:t>Federación Deportiva Nacional de Triatlón,</w:t>
      </w:r>
      <w:r w:rsidRPr="007717B2">
        <w:rPr>
          <w:rFonts w:ascii="Calibri" w:eastAsia="Times New Roman" w:hAnsi="Calibri" w:cs="Calibri"/>
          <w:color w:val="000000"/>
          <w:sz w:val="24"/>
          <w:szCs w:val="24"/>
          <w:lang w:eastAsia="es-GT"/>
        </w:rPr>
        <w:t xml:space="preserve"> tiene como logro que se ha finalizado favorablemente en la detección de nuevos talentos para el producto "Atletas que reciben atención y desarrollo técnico.</w:t>
      </w:r>
      <w:r w:rsidRPr="007717B2">
        <w:rPr>
          <w:rFonts w:ascii="Calibri" w:eastAsia="Times New Roman" w:hAnsi="Calibri" w:cs="Calibri"/>
          <w:color w:val="000000"/>
          <w:sz w:val="24"/>
          <w:szCs w:val="24"/>
          <w:lang w:val="es-ES" w:eastAsia="es-GT"/>
        </w:rPr>
        <w:t> </w:t>
      </w:r>
    </w:p>
    <w:p w14:paraId="315B8E29" w14:textId="69908A77" w:rsidR="007717B2" w:rsidRPr="007717B2" w:rsidRDefault="007717B2" w:rsidP="00DF02CF">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 la </w:t>
      </w:r>
      <w:r w:rsidRPr="007717B2">
        <w:rPr>
          <w:rFonts w:ascii="Calibri" w:eastAsia="Times New Roman" w:hAnsi="Calibri" w:cs="Calibri"/>
          <w:b/>
          <w:bCs/>
          <w:i/>
          <w:iCs/>
          <w:color w:val="000000"/>
          <w:sz w:val="24"/>
          <w:szCs w:val="24"/>
          <w:lang w:eastAsia="es-GT"/>
        </w:rPr>
        <w:t>Asociación Deportiva Nacional de Tiro con Arco,</w:t>
      </w:r>
      <w:r w:rsidRPr="007717B2">
        <w:rPr>
          <w:rFonts w:ascii="Calibri" w:eastAsia="Times New Roman" w:hAnsi="Calibri" w:cs="Calibri"/>
          <w:color w:val="000000"/>
          <w:sz w:val="24"/>
          <w:szCs w:val="24"/>
          <w:lang w:eastAsia="es-GT"/>
        </w:rPr>
        <w:t xml:space="preserve"> como logro</w:t>
      </w:r>
      <w:r w:rsidR="004C0B8C">
        <w:rPr>
          <w:rFonts w:ascii="Calibri" w:eastAsia="Times New Roman" w:hAnsi="Calibri" w:cs="Calibri"/>
          <w:color w:val="000000"/>
          <w:sz w:val="24"/>
          <w:szCs w:val="24"/>
          <w:lang w:eastAsia="es-GT"/>
        </w:rPr>
        <w:t xml:space="preserve">, </w:t>
      </w:r>
      <w:r w:rsidRPr="007717B2">
        <w:rPr>
          <w:rFonts w:ascii="Calibri" w:eastAsia="Times New Roman" w:hAnsi="Calibri" w:cs="Calibri"/>
          <w:color w:val="000000"/>
          <w:sz w:val="24"/>
          <w:szCs w:val="24"/>
          <w:lang w:eastAsia="es-GT"/>
        </w:rPr>
        <w:t xml:space="preserve">puede destacarse que en el tercer cuatrimestre 2022, 50 atletas obtuvieron el beneficio del entrenamiento que les permitió llegar a la fase de especialización, siendo beneficiados con el uso de equipo deportivo para obtener el resultado esperado. Asimismo, 35 atletas en fase de profesionalización y 3 atletas en alto rendimiento. </w:t>
      </w:r>
      <w:r w:rsidRPr="007717B2">
        <w:rPr>
          <w:rFonts w:ascii="Calibri" w:eastAsia="Times New Roman" w:hAnsi="Calibri" w:cs="Calibri"/>
          <w:color w:val="000000"/>
          <w:sz w:val="24"/>
          <w:szCs w:val="24"/>
          <w:lang w:val="es-ES" w:eastAsia="es-GT"/>
        </w:rPr>
        <w:t> </w:t>
      </w:r>
    </w:p>
    <w:p w14:paraId="206985FA" w14:textId="0A54979D" w:rsidR="007717B2" w:rsidRDefault="007717B2" w:rsidP="00DF02CF">
      <w:p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Por último, la </w:t>
      </w:r>
      <w:r w:rsidRPr="007717B2">
        <w:rPr>
          <w:rFonts w:ascii="Calibri" w:eastAsia="Times New Roman" w:hAnsi="Calibri" w:cs="Calibri"/>
          <w:b/>
          <w:bCs/>
          <w:i/>
          <w:iCs/>
          <w:color w:val="000000"/>
          <w:sz w:val="24"/>
          <w:szCs w:val="24"/>
          <w:lang w:eastAsia="es-GT"/>
        </w:rPr>
        <w:t>Asociación Deportiva Nacional de Rugby</w:t>
      </w:r>
      <w:r w:rsidR="008C7A42">
        <w:rPr>
          <w:rFonts w:ascii="Calibri" w:eastAsia="Times New Roman" w:hAnsi="Calibri" w:cs="Calibri"/>
          <w:color w:val="000000"/>
          <w:sz w:val="24"/>
          <w:szCs w:val="24"/>
          <w:lang w:eastAsia="es-GT"/>
        </w:rPr>
        <w:t xml:space="preserve">, benefició </w:t>
      </w:r>
      <w:r w:rsidR="004C0B8C">
        <w:rPr>
          <w:rFonts w:ascii="Calibri" w:eastAsia="Times New Roman" w:hAnsi="Calibri" w:cs="Calibri"/>
          <w:color w:val="000000"/>
          <w:sz w:val="24"/>
          <w:szCs w:val="24"/>
          <w:lang w:eastAsia="es-GT"/>
        </w:rPr>
        <w:t>a</w:t>
      </w:r>
      <w:r w:rsidRPr="007717B2">
        <w:rPr>
          <w:rFonts w:ascii="Calibri" w:eastAsia="Times New Roman" w:hAnsi="Calibri" w:cs="Calibri"/>
          <w:color w:val="000000"/>
          <w:sz w:val="24"/>
          <w:szCs w:val="24"/>
          <w:lang w:eastAsia="es-GT"/>
        </w:rPr>
        <w:t>lrededor de 200 atletas con competencias</w:t>
      </w:r>
      <w:r w:rsidR="008C7A42">
        <w:rPr>
          <w:rFonts w:ascii="Calibri" w:eastAsia="Times New Roman" w:hAnsi="Calibri" w:cs="Calibri"/>
          <w:color w:val="000000"/>
          <w:sz w:val="24"/>
          <w:szCs w:val="24"/>
          <w:lang w:eastAsia="es-GT"/>
        </w:rPr>
        <w:t>.</w:t>
      </w:r>
    </w:p>
    <w:p w14:paraId="0B457B7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color w:val="002060"/>
          <w:sz w:val="28"/>
          <w:szCs w:val="28"/>
        </w:rPr>
        <w:t>Análisis de los desafíos institucionales </w:t>
      </w:r>
    </w:p>
    <w:p w14:paraId="039DA407" w14:textId="77777777"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Ministerios </w:t>
      </w:r>
    </w:p>
    <w:p w14:paraId="51AA4B5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Finanzas Públicas (MINFIN)</w:t>
      </w:r>
      <w:r w:rsidRPr="007717B2">
        <w:rPr>
          <w:rFonts w:ascii="Calibri" w:eastAsia="Times New Roman" w:hAnsi="Calibri" w:cs="Calibri"/>
          <w:sz w:val="24"/>
          <w:szCs w:val="24"/>
          <w:lang w:val="es-ES" w:eastAsia="es-GT"/>
        </w:rPr>
        <w:t> </w:t>
      </w:r>
    </w:p>
    <w:p w14:paraId="0D18A47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Los principales desafíos de este Ministerio son:</w:t>
      </w:r>
      <w:r w:rsidRPr="007717B2">
        <w:rPr>
          <w:rFonts w:ascii="Calibri" w:eastAsia="Times New Roman" w:hAnsi="Calibri" w:cs="Calibri"/>
          <w:sz w:val="24"/>
          <w:szCs w:val="24"/>
          <w:lang w:val="es-ES" w:eastAsia="es-GT"/>
        </w:rPr>
        <w:t> </w:t>
      </w:r>
    </w:p>
    <w:p w14:paraId="056B3A7D" w14:textId="77777777" w:rsidR="007717B2" w:rsidRPr="007717B2" w:rsidRDefault="007717B2" w:rsidP="003C1D42">
      <w:pPr>
        <w:numPr>
          <w:ilvl w:val="0"/>
          <w:numId w:val="75"/>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Continuar con la ejecución de los proyectos BANCAMUNI, Módulo de Cobro de Energía Eléctrica Municipal y Sincronización SIPLANGL-SICOINGL, con los cuales se espera beneficiar a los gobiernos locales del país y coadyuvar con la gestión financiera, principalmente a nivel de municipalidades.</w:t>
      </w:r>
    </w:p>
    <w:p w14:paraId="7DAF702C" w14:textId="77777777" w:rsidR="007717B2" w:rsidRPr="007717B2" w:rsidRDefault="007717B2" w:rsidP="003C1D42">
      <w:pPr>
        <w:numPr>
          <w:ilvl w:val="0"/>
          <w:numId w:val="7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Rediseñar los servicios priorizados del Ministerio de Finanzas Públicas, en el marco de la implementación de la Ley para la Simplificación de Requisitos y Trámites Administrativos, así como la implementación del instrumento para la recopilación de avances del plan de trabajo de evaluación de riesgos de las dependencias, en el marco del Sistema Nacional de Control Interno Gubernamental.</w:t>
      </w:r>
      <w:r w:rsidRPr="007717B2">
        <w:rPr>
          <w:rFonts w:ascii="Calibri" w:eastAsia="Times New Roman" w:hAnsi="Calibri" w:cs="Calibri"/>
          <w:color w:val="000000"/>
          <w:sz w:val="24"/>
          <w:szCs w:val="24"/>
          <w:lang w:val="es-ES" w:eastAsia="es-GT"/>
        </w:rPr>
        <w:t> </w:t>
      </w:r>
    </w:p>
    <w:p w14:paraId="4E6F52F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w:t>
      </w:r>
      <w:r w:rsidRPr="007717B2">
        <w:rPr>
          <w:rFonts w:ascii="Calibri" w:eastAsia="Times New Roman" w:hAnsi="Calibri" w:cs="Calibri"/>
          <w:b/>
          <w:bCs/>
          <w:i/>
          <w:iCs/>
          <w:color w:val="000000"/>
          <w:sz w:val="24"/>
          <w:szCs w:val="24"/>
          <w:lang w:eastAsia="es-GT"/>
        </w:rPr>
        <w:t>Ministerio de Economía (MINECO)</w:t>
      </w:r>
      <w:r w:rsidRPr="007717B2">
        <w:rPr>
          <w:rFonts w:ascii="Calibri" w:eastAsia="Times New Roman" w:hAnsi="Calibri" w:cs="Calibri"/>
          <w:color w:val="000000"/>
          <w:sz w:val="24"/>
          <w:szCs w:val="24"/>
          <w:lang w:val="es-ES" w:eastAsia="es-GT"/>
        </w:rPr>
        <w:t> </w:t>
      </w:r>
    </w:p>
    <w:p w14:paraId="1FCF189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La cartera de Economía, por su parte, debe encarar los retos siguientes:</w:t>
      </w:r>
      <w:r w:rsidRPr="007717B2">
        <w:rPr>
          <w:rFonts w:ascii="Calibri" w:eastAsia="Times New Roman" w:hAnsi="Calibri" w:cs="Calibri"/>
          <w:color w:val="000000"/>
          <w:sz w:val="24"/>
          <w:szCs w:val="24"/>
          <w:lang w:val="es-ES" w:eastAsia="es-GT"/>
        </w:rPr>
        <w:t> </w:t>
      </w:r>
    </w:p>
    <w:p w14:paraId="66EE1AAF" w14:textId="78D6C0A7" w:rsidR="007717B2" w:rsidRPr="007717B2" w:rsidRDefault="007717B2" w:rsidP="003C1D42">
      <w:pPr>
        <w:numPr>
          <w:ilvl w:val="0"/>
          <w:numId w:val="31"/>
        </w:numPr>
        <w:spacing w:before="120" w:after="120" w:line="240" w:lineRule="auto"/>
        <w:ind w:left="360" w:firstLine="0"/>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Ejecutar acciones dentro del programa Guatemala No </w:t>
      </w:r>
      <w:r w:rsidR="00FC47DD">
        <w:rPr>
          <w:rFonts w:ascii="Calibri" w:eastAsia="Times New Roman" w:hAnsi="Calibri" w:cs="Calibri"/>
          <w:color w:val="000000"/>
          <w:sz w:val="24"/>
          <w:szCs w:val="24"/>
          <w:lang w:eastAsia="es-GT"/>
        </w:rPr>
        <w:t>s</w:t>
      </w:r>
      <w:r w:rsidRPr="007717B2">
        <w:rPr>
          <w:rFonts w:ascii="Calibri" w:eastAsia="Times New Roman" w:hAnsi="Calibri" w:cs="Calibri"/>
          <w:color w:val="000000"/>
          <w:sz w:val="24"/>
          <w:szCs w:val="24"/>
          <w:lang w:eastAsia="es-GT"/>
        </w:rPr>
        <w:t>e Detiene </w:t>
      </w:r>
    </w:p>
    <w:p w14:paraId="5782ABA0" w14:textId="77777777" w:rsidR="007717B2" w:rsidRPr="007717B2" w:rsidRDefault="007717B2" w:rsidP="003C1D42">
      <w:pPr>
        <w:numPr>
          <w:ilvl w:val="0"/>
          <w:numId w:val="31"/>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Incrementar la atracción de inversiones y reinversiones</w:t>
      </w:r>
      <w:r w:rsidRPr="007717B2">
        <w:rPr>
          <w:rFonts w:ascii="Calibri" w:eastAsia="Times New Roman" w:hAnsi="Calibri" w:cs="Calibri"/>
          <w:color w:val="000000"/>
          <w:sz w:val="24"/>
          <w:szCs w:val="24"/>
          <w:lang w:val="es-ES" w:eastAsia="es-GT"/>
        </w:rPr>
        <w:t> </w:t>
      </w:r>
    </w:p>
    <w:p w14:paraId="4AFF0339" w14:textId="77777777" w:rsidR="007717B2" w:rsidRPr="007717B2" w:rsidRDefault="007717B2" w:rsidP="003C1D42">
      <w:pPr>
        <w:numPr>
          <w:ilvl w:val="0"/>
          <w:numId w:val="31"/>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Modernización y digitalización de servicios registrales</w:t>
      </w:r>
      <w:r w:rsidRPr="007717B2">
        <w:rPr>
          <w:rFonts w:ascii="Calibri" w:eastAsia="Times New Roman" w:hAnsi="Calibri" w:cs="Calibri"/>
          <w:color w:val="000000"/>
          <w:sz w:val="24"/>
          <w:szCs w:val="24"/>
          <w:lang w:val="es-ES" w:eastAsia="es-GT"/>
        </w:rPr>
        <w:t> </w:t>
      </w:r>
    </w:p>
    <w:p w14:paraId="342B8357" w14:textId="77777777" w:rsidR="007717B2" w:rsidRPr="007717B2" w:rsidRDefault="007717B2" w:rsidP="003C1D42">
      <w:pPr>
        <w:numPr>
          <w:ilvl w:val="0"/>
          <w:numId w:val="31"/>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Continuar con las negociaciones de los acuerdos comerciales en las mejores condiciones   para el país </w:t>
      </w:r>
    </w:p>
    <w:p w14:paraId="045A6E16" w14:textId="77777777" w:rsidR="007717B2" w:rsidRPr="007717B2" w:rsidRDefault="007717B2" w:rsidP="003C1D42">
      <w:pPr>
        <w:numPr>
          <w:ilvl w:val="0"/>
          <w:numId w:val="31"/>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Administración de los acuerdos comerciales</w:t>
      </w:r>
      <w:r w:rsidRPr="007717B2">
        <w:rPr>
          <w:rFonts w:ascii="Calibri" w:eastAsia="Times New Roman" w:hAnsi="Calibri" w:cs="Calibri"/>
          <w:color w:val="000000"/>
          <w:sz w:val="24"/>
          <w:szCs w:val="24"/>
          <w:lang w:val="es-ES" w:eastAsia="es-GT"/>
        </w:rPr>
        <w:t> </w:t>
      </w:r>
    </w:p>
    <w:p w14:paraId="1C3DEE6D" w14:textId="77777777" w:rsidR="007717B2" w:rsidRPr="007717B2" w:rsidRDefault="007717B2" w:rsidP="003C1D42">
      <w:pPr>
        <w:numPr>
          <w:ilvl w:val="0"/>
          <w:numId w:val="31"/>
        </w:numPr>
        <w:spacing w:before="120" w:after="120" w:line="240" w:lineRule="auto"/>
        <w:ind w:left="360" w:firstLine="0"/>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Defensa y protección del consumidor y usuario </w:t>
      </w:r>
    </w:p>
    <w:p w14:paraId="0EF09A6D" w14:textId="77777777" w:rsidR="007717B2" w:rsidRPr="007717B2" w:rsidRDefault="007717B2" w:rsidP="003C1D42">
      <w:pPr>
        <w:numPr>
          <w:ilvl w:val="0"/>
          <w:numId w:val="31"/>
        </w:numPr>
        <w:spacing w:before="120" w:after="120" w:line="240" w:lineRule="auto"/>
        <w:contextualSpacing/>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Personas beneficiadas con becas de aprendizaje de idioma inglés para empleo y enfermería </w:t>
      </w:r>
    </w:p>
    <w:p w14:paraId="3F60FE5F" w14:textId="77777777" w:rsidR="007717B2" w:rsidRPr="007717B2" w:rsidRDefault="007717B2" w:rsidP="003C1D42">
      <w:pPr>
        <w:numPr>
          <w:ilvl w:val="0"/>
          <w:numId w:val="31"/>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Otorgamiento de servicios financieros y de desarrollo empresarial a MIPYMES</w:t>
      </w:r>
      <w:r w:rsidRPr="007717B2">
        <w:rPr>
          <w:rFonts w:ascii="Calibri" w:eastAsia="Times New Roman" w:hAnsi="Calibri" w:cs="Calibri"/>
          <w:color w:val="000000"/>
          <w:sz w:val="24"/>
          <w:szCs w:val="24"/>
          <w:lang w:val="es-ES" w:eastAsia="es-GT"/>
        </w:rPr>
        <w:t> </w:t>
      </w:r>
    </w:p>
    <w:p w14:paraId="070B53E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Agricultura, Ganadería y Alimentación (MAGA)</w:t>
      </w:r>
      <w:r w:rsidRPr="007717B2">
        <w:rPr>
          <w:rFonts w:ascii="Calibri" w:eastAsia="Times New Roman" w:hAnsi="Calibri" w:cs="Calibri"/>
          <w:color w:val="000000"/>
          <w:sz w:val="24"/>
          <w:szCs w:val="24"/>
          <w:lang w:val="es-ES" w:eastAsia="es-GT"/>
        </w:rPr>
        <w:t> </w:t>
      </w:r>
    </w:p>
    <w:p w14:paraId="589DE8F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Entre los desafíos del MAGA, destacan los siguientes:</w:t>
      </w:r>
      <w:r w:rsidRPr="007717B2">
        <w:rPr>
          <w:rFonts w:ascii="Calibri" w:eastAsia="Times New Roman" w:hAnsi="Calibri" w:cs="Calibri"/>
          <w:color w:val="000000"/>
          <w:sz w:val="24"/>
          <w:szCs w:val="24"/>
          <w:lang w:val="es-ES" w:eastAsia="es-GT"/>
        </w:rPr>
        <w:t> </w:t>
      </w:r>
    </w:p>
    <w:p w14:paraId="3CFFC3E5" w14:textId="77777777" w:rsidR="007717B2" w:rsidRPr="007717B2" w:rsidRDefault="007717B2" w:rsidP="003C1D42">
      <w:pPr>
        <w:numPr>
          <w:ilvl w:val="0"/>
          <w:numId w:val="75"/>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Fortalecer la inversión en seguro agrícola a efecto de brindar cobertura a pequeños agricultores, ante los efectos del cambio climático. </w:t>
      </w:r>
    </w:p>
    <w:p w14:paraId="3B0AF272" w14:textId="77777777" w:rsidR="007717B2" w:rsidRPr="007717B2" w:rsidRDefault="007717B2" w:rsidP="003C1D42">
      <w:pPr>
        <w:numPr>
          <w:ilvl w:val="0"/>
          <w:numId w:val="7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Dinamizar las gestiones y procesos de compra, para mejorar la ejecución física y financiera de las intervenciones en los primeros dos cuatrimestres del año 2023.</w:t>
      </w:r>
      <w:r w:rsidRPr="007717B2">
        <w:rPr>
          <w:rFonts w:ascii="Calibri" w:eastAsia="Times New Roman" w:hAnsi="Calibri" w:cs="Calibri"/>
          <w:color w:val="000000"/>
          <w:sz w:val="24"/>
          <w:szCs w:val="24"/>
          <w:lang w:val="es-ES" w:eastAsia="es-GT"/>
        </w:rPr>
        <w:t> </w:t>
      </w:r>
    </w:p>
    <w:p w14:paraId="2E03D97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Energía y Minas (MEM)</w:t>
      </w:r>
      <w:r w:rsidRPr="007717B2">
        <w:rPr>
          <w:rFonts w:ascii="Calibri" w:eastAsia="Times New Roman" w:hAnsi="Calibri" w:cs="Calibri"/>
          <w:color w:val="000000"/>
          <w:sz w:val="24"/>
          <w:szCs w:val="24"/>
          <w:lang w:val="es-ES" w:eastAsia="es-GT"/>
        </w:rPr>
        <w:t> </w:t>
      </w:r>
    </w:p>
    <w:p w14:paraId="64BB03E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 el caso del MEM, sus mayores desafíos son:</w:t>
      </w:r>
      <w:r w:rsidRPr="007717B2">
        <w:rPr>
          <w:rFonts w:ascii="Calibri" w:eastAsia="Times New Roman" w:hAnsi="Calibri" w:cs="Calibri"/>
          <w:color w:val="000000"/>
          <w:sz w:val="24"/>
          <w:szCs w:val="24"/>
          <w:lang w:val="es-ES" w:eastAsia="es-GT"/>
        </w:rPr>
        <w:t> </w:t>
      </w:r>
    </w:p>
    <w:p w14:paraId="75915B94" w14:textId="77777777" w:rsidR="007717B2" w:rsidRPr="007717B2" w:rsidRDefault="007717B2" w:rsidP="003C1D42">
      <w:pPr>
        <w:numPr>
          <w:ilvl w:val="0"/>
          <w:numId w:val="75"/>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Gestionar los recursos presupuestarios y cuota financiera que permitirán la adquisición de bienes, servicios e implementación de proyecto de inversión, con el propósito de atender de forma eficaz y eficiente la demanda de servicios que realizan los usurarios ante el Ministerio. </w:t>
      </w:r>
    </w:p>
    <w:p w14:paraId="6473327A" w14:textId="77777777" w:rsidR="007717B2" w:rsidRPr="007717B2" w:rsidRDefault="007717B2" w:rsidP="003C1D42">
      <w:pPr>
        <w:numPr>
          <w:ilvl w:val="0"/>
          <w:numId w:val="7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Implementar tecnología en los servicios que brinda el MEM, con el fin de facilitar el acceso a los ciudadanos para generar una mayor demanda de los mismos. Esto permitirá el incremento y cumplimiento de metas físicas planteadas por las Direcciones y Unidades de Apoyo que conforman el Ministerio.</w:t>
      </w:r>
      <w:r w:rsidRPr="007717B2">
        <w:rPr>
          <w:rFonts w:ascii="Calibri" w:eastAsia="Times New Roman" w:hAnsi="Calibri" w:cs="Calibri"/>
          <w:color w:val="000000"/>
          <w:sz w:val="24"/>
          <w:szCs w:val="24"/>
          <w:lang w:val="es-ES" w:eastAsia="es-GT"/>
        </w:rPr>
        <w:t> </w:t>
      </w:r>
    </w:p>
    <w:p w14:paraId="326459F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b/>
          <w:bCs/>
          <w:i/>
          <w:iCs/>
          <w:sz w:val="24"/>
          <w:szCs w:val="24"/>
          <w:lang w:eastAsia="es-GT"/>
        </w:rPr>
        <w:t>Ministerio de Ambiente y Recursos Naturales (MARN)</w:t>
      </w:r>
      <w:r w:rsidRPr="007717B2">
        <w:rPr>
          <w:rFonts w:ascii="Calibri" w:eastAsia="Times New Roman" w:hAnsi="Calibri" w:cs="Calibri"/>
          <w:sz w:val="24"/>
          <w:szCs w:val="24"/>
          <w:lang w:val="es-ES" w:eastAsia="es-GT"/>
        </w:rPr>
        <w:t> </w:t>
      </w:r>
    </w:p>
    <w:p w14:paraId="4EDB7AC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 </w:t>
      </w:r>
      <w:r w:rsidRPr="007717B2">
        <w:rPr>
          <w:rFonts w:ascii="Calibri" w:eastAsia="Times New Roman" w:hAnsi="Calibri" w:cs="Calibri"/>
          <w:color w:val="000000"/>
          <w:sz w:val="24"/>
          <w:szCs w:val="24"/>
          <w:lang w:eastAsia="es-GT"/>
        </w:rPr>
        <w:t xml:space="preserve">Como desafíos a encarar por el Ministerio de Ambiente, se encuentran los siguientes: </w:t>
      </w:r>
      <w:r w:rsidRPr="007717B2">
        <w:rPr>
          <w:rFonts w:ascii="Calibri" w:eastAsia="Times New Roman" w:hAnsi="Calibri" w:cs="Calibri"/>
          <w:color w:val="000000"/>
          <w:sz w:val="24"/>
          <w:szCs w:val="24"/>
          <w:lang w:val="es-ES" w:eastAsia="es-GT"/>
        </w:rPr>
        <w:t> </w:t>
      </w:r>
    </w:p>
    <w:p w14:paraId="5501B9F2" w14:textId="77777777" w:rsidR="007717B2" w:rsidRPr="007717B2" w:rsidRDefault="007717B2" w:rsidP="003C1D42">
      <w:pPr>
        <w:numPr>
          <w:ilvl w:val="0"/>
          <w:numId w:val="7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Reducir los niveles de contaminación de la cuenca del Rio Motagua, derivado de las acciones implementadas en la Aldea el Quetzalito, Puerto Barrios Izabal, con un sistema de retención de desechos sólidos flotantes comunes.</w:t>
      </w:r>
      <w:r w:rsidRPr="007717B2">
        <w:rPr>
          <w:rFonts w:ascii="Calibri" w:eastAsia="Times New Roman" w:hAnsi="Calibri" w:cs="Calibri"/>
          <w:color w:val="000000"/>
          <w:sz w:val="24"/>
          <w:szCs w:val="24"/>
          <w:lang w:val="es-ES" w:eastAsia="es-GT"/>
        </w:rPr>
        <w:t> </w:t>
      </w:r>
    </w:p>
    <w:p w14:paraId="3E4765B6" w14:textId="77777777" w:rsidR="007717B2" w:rsidRPr="007717B2" w:rsidRDefault="007717B2" w:rsidP="003C1D42">
      <w:pPr>
        <w:numPr>
          <w:ilvl w:val="0"/>
          <w:numId w:val="75"/>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Incrementar la participación ciudadana en temas ambientales con la socialización del reglamento para la Gestión Integral de los Residuos y Desechos Sólidos Flotantes (AG: 164-2021), así como en temas de educación y sensibilización ambiental relacionados al Cambio Climático y la Gestión de los Recursos Naturales.</w:t>
      </w:r>
      <w:r w:rsidRPr="007717B2">
        <w:rPr>
          <w:rFonts w:ascii="Calibri" w:eastAsia="Times New Roman" w:hAnsi="Calibri" w:cs="Calibri"/>
          <w:color w:val="000000"/>
          <w:sz w:val="24"/>
          <w:szCs w:val="24"/>
          <w:lang w:val="es-ES" w:eastAsia="es-GT"/>
        </w:rPr>
        <w:t> </w:t>
      </w:r>
    </w:p>
    <w:p w14:paraId="5415C71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Desarrollo Social (MIDES)</w:t>
      </w:r>
      <w:r w:rsidRPr="007717B2">
        <w:rPr>
          <w:rFonts w:ascii="Calibri" w:eastAsia="Times New Roman" w:hAnsi="Calibri" w:cs="Calibri"/>
          <w:sz w:val="24"/>
          <w:szCs w:val="24"/>
          <w:lang w:val="es-ES" w:eastAsia="es-GT"/>
        </w:rPr>
        <w:t> </w:t>
      </w:r>
    </w:p>
    <w:p w14:paraId="6282A9B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El MIDES tiene como mayores desafíos:</w:t>
      </w:r>
      <w:r w:rsidRPr="007717B2">
        <w:rPr>
          <w:rFonts w:ascii="Calibri" w:eastAsia="Times New Roman" w:hAnsi="Calibri" w:cs="Calibri"/>
          <w:sz w:val="24"/>
          <w:szCs w:val="24"/>
          <w:lang w:val="es-ES" w:eastAsia="es-GT"/>
        </w:rPr>
        <w:t> </w:t>
      </w:r>
    </w:p>
    <w:p w14:paraId="49B6E4A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Beca Artesano:</w:t>
      </w:r>
      <w:r w:rsidRPr="007717B2">
        <w:rPr>
          <w:rFonts w:ascii="Calibri" w:eastAsia="Times New Roman" w:hAnsi="Calibri" w:cs="Calibri"/>
          <w:color w:val="000000"/>
          <w:sz w:val="24"/>
          <w:szCs w:val="24"/>
          <w:lang w:val="es-ES" w:eastAsia="es-GT"/>
        </w:rPr>
        <w:t> </w:t>
      </w:r>
    </w:p>
    <w:p w14:paraId="086F5DA0" w14:textId="77777777" w:rsidR="007717B2" w:rsidRPr="007717B2" w:rsidRDefault="007717B2" w:rsidP="003C1D42">
      <w:pPr>
        <w:numPr>
          <w:ilvl w:val="0"/>
          <w:numId w:val="75"/>
        </w:numPr>
        <w:spacing w:before="120" w:after="120" w:line="240" w:lineRule="auto"/>
        <w:ind w:left="714" w:hanging="357"/>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Establecer vínculos interinstitucionales para fortalecer la ejecución del programa social.</w:t>
      </w:r>
    </w:p>
    <w:p w14:paraId="33676D03" w14:textId="77777777" w:rsidR="007717B2" w:rsidRPr="007717B2" w:rsidRDefault="007717B2" w:rsidP="003C1D42">
      <w:pPr>
        <w:numPr>
          <w:ilvl w:val="0"/>
          <w:numId w:val="75"/>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Encaminar a las familias usuarias para que tengan una fuente de ingreso propio.</w:t>
      </w:r>
      <w:r w:rsidRPr="007717B2">
        <w:rPr>
          <w:rFonts w:ascii="Calibri" w:eastAsia="Times New Roman" w:hAnsi="Calibri" w:cs="Calibri"/>
          <w:color w:val="000000"/>
          <w:sz w:val="24"/>
          <w:szCs w:val="24"/>
          <w:lang w:val="es-ES" w:eastAsia="es-GT"/>
        </w:rPr>
        <w:t> </w:t>
      </w:r>
    </w:p>
    <w:p w14:paraId="21CDD42C" w14:textId="77777777"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Comedor Social: </w:t>
      </w:r>
    </w:p>
    <w:p w14:paraId="70516BC8" w14:textId="2EE97311"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Uno de los principales desafíos es el presupuesto disponible para dar continuidad al servicio de alimentación gratuita durante todo el período 2023 en los Comedores Sociales</w:t>
      </w:r>
      <w:r w:rsidR="00FC47DD">
        <w:rPr>
          <w:rFonts w:ascii="Calibri" w:eastAsia="Times New Roman" w:hAnsi="Calibri" w:cs="Calibri"/>
          <w:color w:val="000000"/>
          <w:sz w:val="24"/>
          <w:szCs w:val="24"/>
          <w:lang w:eastAsia="es-GT"/>
        </w:rPr>
        <w:t xml:space="preserve">, así como </w:t>
      </w:r>
      <w:r w:rsidRPr="007717B2">
        <w:rPr>
          <w:rFonts w:ascii="Calibri" w:eastAsia="Times New Roman" w:hAnsi="Calibri" w:cs="Calibri"/>
          <w:color w:val="000000"/>
          <w:sz w:val="24"/>
          <w:szCs w:val="24"/>
          <w:lang w:eastAsia="es-GT"/>
        </w:rPr>
        <w:t>ampliar la cobertura del programa.</w:t>
      </w:r>
      <w:r w:rsidRPr="007717B2">
        <w:rPr>
          <w:rFonts w:ascii="Calibri" w:eastAsia="Times New Roman" w:hAnsi="Calibri" w:cs="Calibri"/>
          <w:color w:val="000000"/>
          <w:sz w:val="24"/>
          <w:szCs w:val="24"/>
          <w:lang w:val="es-ES" w:eastAsia="es-GT"/>
        </w:rPr>
        <w:t> </w:t>
      </w:r>
    </w:p>
    <w:p w14:paraId="7EA0C2A6"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Ha sido un desafío importante la priorización geográfica de la cobertura del programa, siendo que actualmente la población guatemalteca vive principalmente en situación de pobreza o pobreza extrema y/o padece una situación de inseguridad alimentaria y nutricional.  </w:t>
      </w:r>
      <w:r w:rsidRPr="007717B2">
        <w:rPr>
          <w:rFonts w:ascii="Calibri" w:eastAsia="Times New Roman" w:hAnsi="Calibri" w:cs="Calibri"/>
          <w:color w:val="000000"/>
          <w:sz w:val="24"/>
          <w:szCs w:val="24"/>
          <w:lang w:val="es-ES" w:eastAsia="es-GT"/>
        </w:rPr>
        <w:t> </w:t>
      </w:r>
    </w:p>
    <w:p w14:paraId="7858693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Educación (MINEDUC)</w:t>
      </w:r>
      <w:r w:rsidRPr="007717B2">
        <w:rPr>
          <w:rFonts w:ascii="Calibri" w:eastAsia="Times New Roman" w:hAnsi="Calibri" w:cs="Calibri"/>
          <w:sz w:val="24"/>
          <w:szCs w:val="24"/>
          <w:lang w:val="es-ES" w:eastAsia="es-GT"/>
        </w:rPr>
        <w:t> </w:t>
      </w:r>
    </w:p>
    <w:p w14:paraId="72C8659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Los retos más destacados de la cartera de Educación, son:</w:t>
      </w:r>
      <w:r w:rsidRPr="007717B2">
        <w:rPr>
          <w:rFonts w:ascii="Calibri" w:eastAsia="Times New Roman" w:hAnsi="Calibri" w:cs="Calibri"/>
          <w:sz w:val="24"/>
          <w:szCs w:val="24"/>
          <w:lang w:val="es-ES" w:eastAsia="es-GT"/>
        </w:rPr>
        <w:t> </w:t>
      </w:r>
    </w:p>
    <w:p w14:paraId="0CEF8977"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Derivado de las condiciones que prevalecieron durante el ejercicio fiscal 2022 para brindar servicios de educación, uno de los principales desafíos para el 2023 es la continuación del programa de remozamientos de establecimientos educativos, con el objetivo de que los alumnos cuenten con infraestructura adecuada para recibir clases, que permitan las medidas adecuadas para la presencialidad en el desarrollo de las actividades educativas. </w:t>
      </w:r>
    </w:p>
    <w:p w14:paraId="5C7941B7"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Ante el conflicto geopolítico entre Rusia y Ucrania que genera desabastecimiento de bienes de consumo, así como las condiciones climáticas que afectan la producción agrícola en el territorio nacional, uno de los desafíos será contar con existencia suficiente de alimentos para la entrega del programa de alimentación escolar. </w:t>
      </w:r>
    </w:p>
    <w:p w14:paraId="32DAFF1E" w14:textId="65E2061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Contar con una red de proveedores a nivel nacional para el programa de seguro médico escolar, que permita ampliar la cobertura a una mayor cantidad de estudiantes en todos los municipios del país.</w:t>
      </w:r>
    </w:p>
    <w:p w14:paraId="167A027C" w14:textId="77777777" w:rsidR="007717B2" w:rsidRPr="007717B2" w:rsidRDefault="007717B2" w:rsidP="007717B2">
      <w:pPr>
        <w:spacing w:before="120" w:after="120" w:line="240" w:lineRule="auto"/>
        <w:jc w:val="both"/>
        <w:textAlignment w:val="baseline"/>
        <w:rPr>
          <w:rFonts w:ascii="Calibri" w:eastAsia="Times New Roman" w:hAnsi="Calibri" w:cs="Calibri"/>
          <w:b/>
          <w:bCs/>
          <w:i/>
          <w:iCs/>
          <w:color w:val="000000"/>
          <w:sz w:val="24"/>
          <w:szCs w:val="24"/>
          <w:lang w:eastAsia="es-GT"/>
        </w:rPr>
      </w:pPr>
      <w:r w:rsidRPr="007717B2">
        <w:rPr>
          <w:rFonts w:ascii="Calibri" w:eastAsia="Times New Roman" w:hAnsi="Calibri" w:cs="Calibri"/>
          <w:b/>
          <w:bCs/>
          <w:i/>
          <w:iCs/>
          <w:color w:val="000000"/>
          <w:sz w:val="24"/>
          <w:szCs w:val="24"/>
          <w:lang w:eastAsia="es-GT"/>
        </w:rPr>
        <w:t>Ministerio de Cultura y Deportes</w:t>
      </w:r>
      <w:r w:rsidRPr="007717B2">
        <w:rPr>
          <w:rFonts w:ascii="Calibri" w:eastAsia="Times New Roman" w:hAnsi="Calibri" w:cs="Calibri"/>
          <w:b/>
          <w:bCs/>
          <w:i/>
          <w:iCs/>
          <w:sz w:val="24"/>
          <w:szCs w:val="24"/>
          <w:lang w:eastAsia="es-GT"/>
        </w:rPr>
        <w:t xml:space="preserve"> (MICUDE)</w:t>
      </w:r>
      <w:r w:rsidRPr="007717B2">
        <w:rPr>
          <w:rFonts w:ascii="Calibri" w:eastAsia="Times New Roman" w:hAnsi="Calibri" w:cs="Calibri"/>
          <w:b/>
          <w:bCs/>
          <w:i/>
          <w:iCs/>
          <w:sz w:val="24"/>
          <w:szCs w:val="24"/>
          <w:lang w:val="es-ES" w:eastAsia="es-GT"/>
        </w:rPr>
        <w:t> </w:t>
      </w:r>
    </w:p>
    <w:p w14:paraId="61BE07B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Respecto al Ministerio de Cultura y Deportes, sus principales retos a futuro son:</w:t>
      </w:r>
      <w:r w:rsidRPr="007717B2">
        <w:rPr>
          <w:rFonts w:ascii="Calibri" w:eastAsia="Times New Roman" w:hAnsi="Calibri" w:cs="Calibri"/>
          <w:sz w:val="24"/>
          <w:szCs w:val="24"/>
          <w:lang w:val="es-ES" w:eastAsia="es-GT"/>
        </w:rPr>
        <w:t> </w:t>
      </w:r>
    </w:p>
    <w:p w14:paraId="5239F76D"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Implementar la migración de trámites administrativos priorizados en el proceso de simplificación a la ventanilla ágil en la página web del Ministerio. </w:t>
      </w:r>
    </w:p>
    <w:p w14:paraId="14D6008B"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Seguimiento y mitigación de los riesgos detectados en el informe de control interno en el tema SINACIG.</w:t>
      </w:r>
      <w:r w:rsidRPr="007717B2">
        <w:rPr>
          <w:rFonts w:ascii="Calibri" w:eastAsia="Times New Roman" w:hAnsi="Calibri" w:cs="Calibri"/>
          <w:color w:val="000000"/>
          <w:sz w:val="24"/>
          <w:szCs w:val="24"/>
          <w:lang w:val="es-ES" w:eastAsia="es-GT"/>
        </w:rPr>
        <w:t> </w:t>
      </w:r>
    </w:p>
    <w:p w14:paraId="70DF963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w:t>
      </w:r>
      <w:r w:rsidRPr="007717B2">
        <w:rPr>
          <w:rFonts w:ascii="Calibri" w:eastAsia="Times New Roman" w:hAnsi="Calibri" w:cs="Calibri"/>
          <w:sz w:val="24"/>
          <w:szCs w:val="24"/>
          <w:lang w:val="es-ES" w:eastAsia="es-GT"/>
        </w:rPr>
        <w:t> </w:t>
      </w:r>
      <w:r w:rsidRPr="007717B2">
        <w:rPr>
          <w:rFonts w:ascii="Calibri" w:eastAsia="Times New Roman" w:hAnsi="Calibri" w:cs="Calibri"/>
          <w:b/>
          <w:bCs/>
          <w:i/>
          <w:iCs/>
          <w:sz w:val="24"/>
          <w:szCs w:val="24"/>
          <w:lang w:eastAsia="es-GT"/>
        </w:rPr>
        <w:t>Ministerio de Salud Pública y Asistencia Social (MSPAS)</w:t>
      </w:r>
      <w:r w:rsidRPr="007717B2">
        <w:rPr>
          <w:rFonts w:ascii="Calibri" w:eastAsia="Times New Roman" w:hAnsi="Calibri" w:cs="Calibri"/>
          <w:sz w:val="24"/>
          <w:szCs w:val="24"/>
          <w:lang w:val="es-ES" w:eastAsia="es-GT"/>
        </w:rPr>
        <w:t> </w:t>
      </w:r>
    </w:p>
    <w:p w14:paraId="4C92548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w:t>
      </w:r>
      <w:r w:rsidRPr="007717B2">
        <w:rPr>
          <w:rFonts w:ascii="Calibri" w:eastAsia="Times New Roman" w:hAnsi="Calibri" w:cs="Calibri"/>
          <w:sz w:val="24"/>
          <w:szCs w:val="24"/>
          <w:lang w:val="es-ES" w:eastAsia="es-GT"/>
        </w:rPr>
        <w:t> </w:t>
      </w:r>
      <w:r w:rsidRPr="007717B2">
        <w:rPr>
          <w:rFonts w:ascii="Calibri" w:eastAsia="Times New Roman" w:hAnsi="Calibri" w:cs="Calibri"/>
          <w:sz w:val="24"/>
          <w:szCs w:val="24"/>
          <w:lang w:eastAsia="es-GT"/>
        </w:rPr>
        <w:t>Los mayores retos de este Ministerio son:</w:t>
      </w:r>
      <w:r w:rsidRPr="007717B2">
        <w:rPr>
          <w:rFonts w:ascii="Calibri" w:eastAsia="Times New Roman" w:hAnsi="Calibri" w:cs="Calibri"/>
          <w:sz w:val="24"/>
          <w:szCs w:val="24"/>
          <w:lang w:val="es-ES" w:eastAsia="es-GT"/>
        </w:rPr>
        <w:t> </w:t>
      </w:r>
    </w:p>
    <w:p w14:paraId="24C2BB9B"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Que las Unidades Ejecutoras realicen sus programaciones de metas físicas y financieras de forma consciente y consistente con sus capacidades. </w:t>
      </w:r>
    </w:p>
    <w:p w14:paraId="5DA3F1FD"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Que se tomen medidas correctivas a los centros de costo que no ingresen el avance de metas, o que lo ingresen mal.</w:t>
      </w:r>
      <w:r w:rsidRPr="007717B2">
        <w:rPr>
          <w:rFonts w:ascii="Calibri" w:eastAsia="Times New Roman" w:hAnsi="Calibri" w:cs="Calibri"/>
          <w:color w:val="000000"/>
          <w:sz w:val="24"/>
          <w:szCs w:val="24"/>
          <w:lang w:val="es-ES" w:eastAsia="es-GT"/>
        </w:rPr>
        <w:t> </w:t>
      </w:r>
    </w:p>
    <w:p w14:paraId="7587581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Trabajo y Previsión Social (MINTRAB)</w:t>
      </w:r>
      <w:r w:rsidRPr="007717B2">
        <w:rPr>
          <w:rFonts w:ascii="Calibri" w:eastAsia="Times New Roman" w:hAnsi="Calibri" w:cs="Calibri"/>
          <w:color w:val="000000"/>
          <w:sz w:val="24"/>
          <w:szCs w:val="24"/>
          <w:lang w:val="es-ES" w:eastAsia="es-GT"/>
        </w:rPr>
        <w:t> </w:t>
      </w:r>
    </w:p>
    <w:p w14:paraId="644B5AB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Los desafíos principales que afronta este Ministerio son:</w:t>
      </w:r>
      <w:r w:rsidRPr="007717B2">
        <w:rPr>
          <w:rFonts w:ascii="Calibri" w:eastAsia="Times New Roman" w:hAnsi="Calibri" w:cs="Calibri"/>
          <w:color w:val="000000"/>
          <w:sz w:val="24"/>
          <w:szCs w:val="24"/>
          <w:lang w:val="es-ES" w:eastAsia="es-GT"/>
        </w:rPr>
        <w:t> </w:t>
      </w:r>
    </w:p>
    <w:p w14:paraId="39E53CE9"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Reestructuración de personal en puestos permanentes, atendiendo la estructura establecida y las funciones que corresponden a la naturaleza de cada dependencia del Ministerio. Se desarrollará de forma paulatina iniciando con la Dirección del Programa del Adulto Mayor, Dirección de Recursos Humanos, Dirección Administrativa, Dirección de Administración Financiera y la Unidad de Planificación y Cooperación. </w:t>
      </w:r>
    </w:p>
    <w:p w14:paraId="2A5E8339"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Actualización y aprobación del Reglamento Orgánico Interno, derivado a que es necesario realizar acciones correctivas en cuanto a las funciones de las dependencias del Ministerio de Trabajo y Previsión Social.</w:t>
      </w:r>
      <w:r w:rsidRPr="007717B2">
        <w:rPr>
          <w:rFonts w:ascii="Calibri" w:eastAsia="Times New Roman" w:hAnsi="Calibri" w:cs="Calibri"/>
          <w:color w:val="000000"/>
          <w:sz w:val="24"/>
          <w:szCs w:val="24"/>
          <w:lang w:val="es-ES" w:eastAsia="es-GT"/>
        </w:rPr>
        <w:t> </w:t>
      </w:r>
    </w:p>
    <w:p w14:paraId="06DCED9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la Defensa Nacional (MINDEF)</w:t>
      </w:r>
      <w:r w:rsidRPr="007717B2">
        <w:rPr>
          <w:rFonts w:ascii="Calibri" w:eastAsia="Times New Roman" w:hAnsi="Calibri" w:cs="Calibri"/>
          <w:sz w:val="24"/>
          <w:szCs w:val="24"/>
          <w:lang w:val="es-ES" w:eastAsia="es-GT"/>
        </w:rPr>
        <w:t> </w:t>
      </w:r>
    </w:p>
    <w:p w14:paraId="6494539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Esta cartera ministerial cuenta con los retos siguientes:</w:t>
      </w:r>
      <w:r w:rsidRPr="007717B2">
        <w:rPr>
          <w:rFonts w:ascii="Calibri" w:eastAsia="Times New Roman" w:hAnsi="Calibri" w:cs="Calibri"/>
          <w:sz w:val="24"/>
          <w:szCs w:val="24"/>
          <w:lang w:val="es-ES" w:eastAsia="es-GT"/>
        </w:rPr>
        <w:t> </w:t>
      </w:r>
    </w:p>
    <w:p w14:paraId="29577A22"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Vincular la asignación de recursos financieros con las metas físicas plasmadas en las diferentes herramientas de planificación del Ministerio de la Defensa Nacional y planes, a fin de lograr la optimización de los recursos, la transparencia y la rendición de cuentas. </w:t>
      </w:r>
    </w:p>
    <w:p w14:paraId="1BF53F9F"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Fortalecer los procesos en la planificación, formulación, aprobación, ejecución, seguimiento, monitoreo y evaluación para el adecuado cumplimiento de las metas físicas establecidas en los instrumentos de planificación del MDN (PEI, POM, POA), con la finalidad de lograr los resultados estratégicos institucionales planificados.</w:t>
      </w:r>
      <w:r w:rsidRPr="007717B2">
        <w:rPr>
          <w:rFonts w:ascii="Calibri" w:eastAsia="Times New Roman" w:hAnsi="Calibri" w:cs="Calibri"/>
          <w:color w:val="000000"/>
          <w:sz w:val="24"/>
          <w:szCs w:val="24"/>
          <w:lang w:val="es-ES" w:eastAsia="es-GT"/>
        </w:rPr>
        <w:t> </w:t>
      </w:r>
    </w:p>
    <w:p w14:paraId="2A96855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Relaciones Exteriores (MINEX)</w:t>
      </w:r>
      <w:r w:rsidRPr="007717B2">
        <w:rPr>
          <w:rFonts w:ascii="Calibri" w:eastAsia="Times New Roman" w:hAnsi="Calibri" w:cs="Calibri"/>
          <w:sz w:val="24"/>
          <w:szCs w:val="24"/>
          <w:lang w:val="es-ES" w:eastAsia="es-GT"/>
        </w:rPr>
        <w:t> </w:t>
      </w:r>
    </w:p>
    <w:p w14:paraId="6B87090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Sus mayores desafíos son:</w:t>
      </w:r>
      <w:r w:rsidRPr="007717B2">
        <w:rPr>
          <w:rFonts w:ascii="Calibri" w:eastAsia="Times New Roman" w:hAnsi="Calibri" w:cs="Calibri"/>
          <w:color w:val="000000"/>
          <w:sz w:val="24"/>
          <w:szCs w:val="24"/>
          <w:lang w:val="es-ES" w:eastAsia="es-GT"/>
        </w:rPr>
        <w:t> </w:t>
      </w:r>
    </w:p>
    <w:p w14:paraId="3671BC30"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Lograr la aprobación de la totalidad de las cuotas financieras solicitadas. </w:t>
      </w:r>
    </w:p>
    <w:p w14:paraId="444D6045"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Fortalecer la red consular para acercar los servicios consulares a la población guatemalteca en el exterior. </w:t>
      </w:r>
    </w:p>
    <w:p w14:paraId="677300F2" w14:textId="77777777"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Secretarías </w:t>
      </w:r>
    </w:p>
    <w:p w14:paraId="41F8218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General de la Presidencia (SGP)</w:t>
      </w:r>
      <w:r w:rsidRPr="007717B2">
        <w:rPr>
          <w:rFonts w:ascii="Calibri" w:eastAsia="Times New Roman" w:hAnsi="Calibri" w:cs="Calibri"/>
          <w:sz w:val="24"/>
          <w:szCs w:val="24"/>
          <w:lang w:val="es-ES" w:eastAsia="es-GT"/>
        </w:rPr>
        <w:t> </w:t>
      </w:r>
    </w:p>
    <w:p w14:paraId="672A005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Para la encuesta del Primer Cuatrimestre, se hizo mención que el principal desafío que la Secretaría General presentaba para el presente año, era no contar con el presupuesto suficiente para todo el ejercicio fiscal 2022, por lo que se hacía necesaria la aprobación de un incremento presupuestario; sin embargo, el incremento de presupuesto fue aprobado.</w:t>
      </w:r>
      <w:r w:rsidRPr="007717B2">
        <w:rPr>
          <w:rFonts w:ascii="Calibri" w:eastAsia="Times New Roman" w:hAnsi="Calibri" w:cs="Calibri"/>
          <w:color w:val="000000"/>
          <w:sz w:val="24"/>
          <w:szCs w:val="24"/>
          <w:lang w:val="es-ES" w:eastAsia="es-GT"/>
        </w:rPr>
        <w:t> </w:t>
      </w:r>
    </w:p>
    <w:p w14:paraId="515B14F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de Asuntos Administrativos y de Seguridad (SAAS)</w:t>
      </w:r>
      <w:r w:rsidRPr="007717B2">
        <w:rPr>
          <w:rFonts w:ascii="Calibri" w:eastAsia="Times New Roman" w:hAnsi="Calibri" w:cs="Calibri"/>
          <w:sz w:val="24"/>
          <w:szCs w:val="24"/>
          <w:lang w:val="es-ES" w:eastAsia="es-GT"/>
        </w:rPr>
        <w:t> </w:t>
      </w:r>
    </w:p>
    <w:p w14:paraId="2E3F428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Los retos más relevantes para la SAAS son:</w:t>
      </w:r>
      <w:r w:rsidRPr="007717B2">
        <w:rPr>
          <w:rFonts w:ascii="Calibri" w:eastAsia="Times New Roman" w:hAnsi="Calibri" w:cs="Calibri"/>
          <w:sz w:val="24"/>
          <w:szCs w:val="24"/>
          <w:lang w:val="es-ES" w:eastAsia="es-GT"/>
        </w:rPr>
        <w:t> </w:t>
      </w:r>
    </w:p>
    <w:p w14:paraId="4BE750B7"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Readecuación presupuestaria por la disminución del presupuesto en el presente ejercicio fiscal. </w:t>
      </w:r>
    </w:p>
    <w:p w14:paraId="04104E02"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Priorización de los gastos para garantizar el cumplimiento de la misión. </w:t>
      </w:r>
    </w:p>
    <w:p w14:paraId="213224CE" w14:textId="77777777" w:rsidR="00106882" w:rsidRDefault="00106882" w:rsidP="007717B2">
      <w:pPr>
        <w:spacing w:before="120" w:after="120" w:line="240" w:lineRule="auto"/>
        <w:jc w:val="both"/>
        <w:textAlignment w:val="baseline"/>
        <w:rPr>
          <w:rFonts w:ascii="Calibri" w:eastAsia="Times New Roman" w:hAnsi="Calibri" w:cs="Calibri"/>
          <w:b/>
          <w:bCs/>
          <w:i/>
          <w:iCs/>
          <w:color w:val="000000"/>
          <w:sz w:val="24"/>
          <w:szCs w:val="24"/>
          <w:lang w:eastAsia="es-GT"/>
        </w:rPr>
      </w:pPr>
    </w:p>
    <w:p w14:paraId="650C1FE5" w14:textId="77777777" w:rsidR="00106882" w:rsidRDefault="00106882" w:rsidP="007717B2">
      <w:pPr>
        <w:spacing w:before="120" w:after="120" w:line="240" w:lineRule="auto"/>
        <w:jc w:val="both"/>
        <w:textAlignment w:val="baseline"/>
        <w:rPr>
          <w:rFonts w:ascii="Calibri" w:eastAsia="Times New Roman" w:hAnsi="Calibri" w:cs="Calibri"/>
          <w:b/>
          <w:bCs/>
          <w:i/>
          <w:iCs/>
          <w:color w:val="000000"/>
          <w:sz w:val="24"/>
          <w:szCs w:val="24"/>
          <w:lang w:eastAsia="es-GT"/>
        </w:rPr>
      </w:pPr>
    </w:p>
    <w:p w14:paraId="662AD861" w14:textId="77777777" w:rsidR="00106882" w:rsidRDefault="00106882" w:rsidP="007717B2">
      <w:pPr>
        <w:spacing w:before="120" w:after="120" w:line="240" w:lineRule="auto"/>
        <w:jc w:val="both"/>
        <w:textAlignment w:val="baseline"/>
        <w:rPr>
          <w:rFonts w:ascii="Calibri" w:eastAsia="Times New Roman" w:hAnsi="Calibri" w:cs="Calibri"/>
          <w:b/>
          <w:bCs/>
          <w:i/>
          <w:iCs/>
          <w:color w:val="000000"/>
          <w:sz w:val="24"/>
          <w:szCs w:val="24"/>
          <w:lang w:eastAsia="es-GT"/>
        </w:rPr>
      </w:pPr>
    </w:p>
    <w:p w14:paraId="008D47D2" w14:textId="1D306F4F" w:rsidR="007717B2" w:rsidRPr="007717B2" w:rsidRDefault="007717B2" w:rsidP="007717B2">
      <w:pPr>
        <w:spacing w:before="120" w:after="120" w:line="240" w:lineRule="auto"/>
        <w:jc w:val="both"/>
        <w:textAlignment w:val="baseline"/>
        <w:rPr>
          <w:rFonts w:ascii="Calibri" w:eastAsia="Times New Roman" w:hAnsi="Calibri" w:cs="Calibri"/>
          <w:b/>
          <w:bCs/>
          <w:i/>
          <w:iCs/>
          <w:sz w:val="24"/>
          <w:szCs w:val="24"/>
          <w:lang w:val="es-ES" w:eastAsia="es-GT"/>
        </w:rPr>
      </w:pPr>
      <w:r w:rsidRPr="007717B2">
        <w:rPr>
          <w:rFonts w:ascii="Calibri" w:eastAsia="Times New Roman" w:hAnsi="Calibri" w:cs="Calibri"/>
          <w:b/>
          <w:bCs/>
          <w:i/>
          <w:iCs/>
          <w:color w:val="000000"/>
          <w:sz w:val="24"/>
          <w:szCs w:val="24"/>
          <w:lang w:eastAsia="es-GT"/>
        </w:rPr>
        <w:t>Secretaría de Inteligencia E</w:t>
      </w:r>
      <w:r w:rsidRPr="007717B2">
        <w:rPr>
          <w:rFonts w:ascii="Calibri" w:eastAsia="Times New Roman" w:hAnsi="Calibri" w:cs="Calibri"/>
          <w:b/>
          <w:bCs/>
          <w:i/>
          <w:iCs/>
          <w:sz w:val="24"/>
          <w:szCs w:val="24"/>
          <w:lang w:eastAsia="es-GT"/>
        </w:rPr>
        <w:t>stratégica del Estado (SIE)</w:t>
      </w:r>
      <w:r w:rsidRPr="007717B2">
        <w:rPr>
          <w:rFonts w:ascii="Calibri" w:eastAsia="Times New Roman" w:hAnsi="Calibri" w:cs="Calibri"/>
          <w:b/>
          <w:bCs/>
          <w:i/>
          <w:iCs/>
          <w:sz w:val="24"/>
          <w:szCs w:val="24"/>
          <w:lang w:val="es-ES" w:eastAsia="es-GT"/>
        </w:rPr>
        <w:t> </w:t>
      </w:r>
    </w:p>
    <w:p w14:paraId="4708F36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La SIE, tiene como retos principales:</w:t>
      </w:r>
      <w:r w:rsidRPr="007717B2">
        <w:rPr>
          <w:rFonts w:ascii="Calibri" w:eastAsia="Times New Roman" w:hAnsi="Calibri" w:cs="Calibri"/>
          <w:sz w:val="24"/>
          <w:szCs w:val="24"/>
          <w:lang w:val="es-ES" w:eastAsia="es-GT"/>
        </w:rPr>
        <w:t> </w:t>
      </w:r>
    </w:p>
    <w:p w14:paraId="3D6E34B2" w14:textId="47627288"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De acuerdo al diagnóstico realizado en el 2022 </w:t>
      </w:r>
      <w:r w:rsidR="001F5A28">
        <w:rPr>
          <w:rFonts w:ascii="Calibri" w:eastAsia="Times New Roman" w:hAnsi="Calibri" w:cs="Calibri"/>
          <w:color w:val="000000"/>
          <w:sz w:val="24"/>
          <w:szCs w:val="24"/>
          <w:lang w:eastAsia="es-GT"/>
        </w:rPr>
        <w:t xml:space="preserve">sobre </w:t>
      </w:r>
      <w:r w:rsidRPr="007717B2">
        <w:rPr>
          <w:rFonts w:ascii="Calibri" w:eastAsia="Times New Roman" w:hAnsi="Calibri" w:cs="Calibri"/>
          <w:color w:val="000000"/>
          <w:sz w:val="24"/>
          <w:szCs w:val="24"/>
          <w:lang w:eastAsia="es-GT"/>
        </w:rPr>
        <w:t>la ejecución de metas, para el año 2023 se tiene contemplado la implementación de nuevos productos de inteligencia que fortalezcan la toma de decisiones. </w:t>
      </w:r>
    </w:p>
    <w:p w14:paraId="47E86F26"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Implementar un sistema de indicadores automatizados para el seguimiento oportuno de las metas físicas de la Secretaría de Inteligencia Estratégica del Estado. </w:t>
      </w:r>
      <w:r w:rsidRPr="007717B2">
        <w:rPr>
          <w:rFonts w:ascii="Calibri" w:eastAsia="Times New Roman" w:hAnsi="Calibri" w:cs="Calibri"/>
          <w:color w:val="000000"/>
          <w:sz w:val="24"/>
          <w:szCs w:val="24"/>
          <w:lang w:val="es-ES" w:eastAsia="es-GT"/>
        </w:rPr>
        <w:t> </w:t>
      </w:r>
    </w:p>
    <w:p w14:paraId="3AFCE08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contra la Violencia Sexual, Explotación y Trata de Personas (SVET)</w:t>
      </w:r>
      <w:r w:rsidRPr="007717B2">
        <w:rPr>
          <w:rFonts w:ascii="Calibri" w:eastAsia="Times New Roman" w:hAnsi="Calibri" w:cs="Calibri"/>
          <w:color w:val="000000"/>
          <w:sz w:val="24"/>
          <w:szCs w:val="24"/>
          <w:lang w:val="es-ES" w:eastAsia="es-GT"/>
        </w:rPr>
        <w:t> </w:t>
      </w:r>
    </w:p>
    <w:p w14:paraId="123E0E6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Esta Secretaría tiene ante sí, dos desafíos de especial relevancia:</w:t>
      </w:r>
      <w:r w:rsidRPr="007717B2">
        <w:rPr>
          <w:rFonts w:ascii="Calibri" w:eastAsia="Times New Roman" w:hAnsi="Calibri" w:cs="Calibri"/>
          <w:sz w:val="24"/>
          <w:szCs w:val="24"/>
          <w:lang w:val="es-ES" w:eastAsia="es-GT"/>
        </w:rPr>
        <w:t> </w:t>
      </w:r>
    </w:p>
    <w:p w14:paraId="71BA84B0"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En cuanto a metas físicas; aumentar la cobertura a nivel nacional, actualmente se llega al 5% de la población elegible.  </w:t>
      </w:r>
    </w:p>
    <w:p w14:paraId="1B8151E5"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Financieramente, que como instrumento de alcance de metas, el presupuesto asignado coincida con la necesidad de abordaje nacional. </w:t>
      </w:r>
      <w:r w:rsidRPr="007717B2">
        <w:rPr>
          <w:rFonts w:ascii="Calibri" w:eastAsia="Times New Roman" w:hAnsi="Calibri" w:cs="Calibri"/>
          <w:color w:val="000000"/>
          <w:sz w:val="24"/>
          <w:szCs w:val="24"/>
          <w:lang w:val="es-ES" w:eastAsia="es-GT"/>
        </w:rPr>
        <w:t> </w:t>
      </w:r>
    </w:p>
    <w:p w14:paraId="4B2F7EB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de Planificación y Programación de la Presidencia (SEGEPLAN)</w:t>
      </w:r>
      <w:r w:rsidRPr="007717B2">
        <w:rPr>
          <w:rFonts w:ascii="Calibri" w:eastAsia="Times New Roman" w:hAnsi="Calibri" w:cs="Calibri"/>
          <w:color w:val="000000"/>
          <w:sz w:val="24"/>
          <w:szCs w:val="24"/>
          <w:lang w:val="es-ES" w:eastAsia="es-GT"/>
        </w:rPr>
        <w:t> </w:t>
      </w:r>
    </w:p>
    <w:p w14:paraId="781CA84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 su vez, SEGEPLAN tiene ante sí, entre otros, los desafíos siguientes:</w:t>
      </w:r>
      <w:r w:rsidRPr="007717B2">
        <w:rPr>
          <w:rFonts w:ascii="Calibri" w:eastAsia="Times New Roman" w:hAnsi="Calibri" w:cs="Calibri"/>
          <w:color w:val="000000"/>
          <w:sz w:val="24"/>
          <w:szCs w:val="24"/>
          <w:lang w:val="es-ES" w:eastAsia="es-GT"/>
        </w:rPr>
        <w:t> </w:t>
      </w:r>
    </w:p>
    <w:p w14:paraId="7E71041C"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Implementar medidas para mejorar la ejecución financiera en tiempo.  </w:t>
      </w:r>
    </w:p>
    <w:p w14:paraId="0829D6CD" w14:textId="4A6F04F9" w:rsidR="001F5A28" w:rsidRPr="001F5A28" w:rsidRDefault="007717B2" w:rsidP="001F5A28">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Establecer un nuevo procedimiento para disminuir las reprogramaciones presupuestaria</w:t>
      </w:r>
      <w:r w:rsidR="001F5A28">
        <w:rPr>
          <w:rFonts w:ascii="Calibri" w:eastAsia="Times New Roman" w:hAnsi="Calibri" w:cs="Calibri"/>
          <w:color w:val="000000"/>
          <w:sz w:val="24"/>
          <w:szCs w:val="24"/>
          <w:lang w:eastAsia="es-GT"/>
        </w:rPr>
        <w:t>s.</w:t>
      </w:r>
    </w:p>
    <w:p w14:paraId="2D012A7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de Comunicación Social de la Presidencia (SCSP)</w:t>
      </w:r>
      <w:r w:rsidRPr="007717B2">
        <w:rPr>
          <w:rFonts w:ascii="Calibri" w:eastAsia="Times New Roman" w:hAnsi="Calibri" w:cs="Calibri"/>
          <w:sz w:val="24"/>
          <w:szCs w:val="24"/>
          <w:lang w:val="es-ES" w:eastAsia="es-GT"/>
        </w:rPr>
        <w:t> </w:t>
      </w:r>
    </w:p>
    <w:p w14:paraId="20C687CC" w14:textId="201EA87D"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Esta Secretaría, tiene los siguientes retos:</w:t>
      </w:r>
      <w:r w:rsidRPr="007717B2">
        <w:rPr>
          <w:rFonts w:ascii="Calibri" w:eastAsia="Times New Roman" w:hAnsi="Calibri" w:cs="Calibri"/>
          <w:sz w:val="24"/>
          <w:szCs w:val="24"/>
          <w:lang w:val="es-ES" w:eastAsia="es-GT"/>
        </w:rPr>
        <w:t> </w:t>
      </w:r>
    </w:p>
    <w:p w14:paraId="7B5466E9"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Continuar con el fortalecimiento del equipo técnico de las áreas de producción y divulgación, a través del proceso de reestructuración institucional y actualización del Reglamento Orgánico Interno, acciones que tienen por objetivo fortalecer la estructura organizacional de la SCSP y contar con un mayor ordenamiento de los tramos de control y niveles jerárquicos dentro de esta. </w:t>
      </w:r>
    </w:p>
    <w:p w14:paraId="6FFCF59F" w14:textId="4C840CDC"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Continuar con la actualización de los procesos administrativos y operativos con el fin de fortalecer las gestiones internas y así mejorar la operatividad de la Secretaría</w:t>
      </w:r>
      <w:r w:rsidR="00FC34A3">
        <w:rPr>
          <w:rFonts w:ascii="Calibri" w:eastAsia="Times New Roman" w:hAnsi="Calibri" w:cs="Calibri"/>
          <w:color w:val="000000"/>
          <w:sz w:val="24"/>
          <w:szCs w:val="24"/>
          <w:lang w:eastAsia="es-GT"/>
        </w:rPr>
        <w:t>.</w:t>
      </w:r>
    </w:p>
    <w:p w14:paraId="5667D41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Presidencial de la Mujer (SEPREM)</w:t>
      </w:r>
      <w:r w:rsidRPr="007717B2">
        <w:rPr>
          <w:rFonts w:ascii="Calibri" w:eastAsia="Times New Roman" w:hAnsi="Calibri" w:cs="Calibri"/>
          <w:sz w:val="24"/>
          <w:szCs w:val="24"/>
          <w:lang w:val="es-ES" w:eastAsia="es-GT"/>
        </w:rPr>
        <w:t> </w:t>
      </w:r>
    </w:p>
    <w:p w14:paraId="683F5B0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La SEPREM tiene dos retos especialmente importantes, en su accionar a favor de la mujer guatemalteca:</w:t>
      </w:r>
      <w:r w:rsidRPr="007717B2">
        <w:rPr>
          <w:rFonts w:ascii="Calibri" w:eastAsia="Times New Roman" w:hAnsi="Calibri" w:cs="Calibri"/>
          <w:color w:val="000000"/>
          <w:sz w:val="24"/>
          <w:szCs w:val="24"/>
          <w:lang w:val="es-ES" w:eastAsia="es-GT"/>
        </w:rPr>
        <w:t> </w:t>
      </w:r>
    </w:p>
    <w:p w14:paraId="619406FD"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Fortalecer la presencia institucional de Seprem a nivel sectorial y territorial para alcanzar el resultado institucional que consiste en el análisis de programas para implementar el enfoque de equidad entre hombres y mujeres que permita el cierre de brechas existentes. </w:t>
      </w:r>
    </w:p>
    <w:p w14:paraId="06DD03E3"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Contar con un sistema de evaluación y seguimiento que brinde información sistemática, continua y periódica de los avances en la implementación de políticas públicas y el cumplimiento de los compromisos internacionales vinculados a los derechos humanos de las mujeres.</w:t>
      </w:r>
      <w:r w:rsidRPr="007717B2">
        <w:rPr>
          <w:rFonts w:ascii="Calibri" w:eastAsia="Times New Roman" w:hAnsi="Calibri" w:cs="Calibri"/>
          <w:color w:val="000000"/>
          <w:sz w:val="24"/>
          <w:szCs w:val="24"/>
          <w:lang w:val="es-ES" w:eastAsia="es-GT"/>
        </w:rPr>
        <w:t> </w:t>
      </w:r>
    </w:p>
    <w:p w14:paraId="67EAC51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Nacional de Admisión de Bienes en Extinción de Dominio (SENABED)</w:t>
      </w:r>
      <w:r w:rsidRPr="007717B2">
        <w:rPr>
          <w:rFonts w:ascii="Calibri" w:eastAsia="Times New Roman" w:hAnsi="Calibri" w:cs="Calibri"/>
          <w:sz w:val="24"/>
          <w:szCs w:val="24"/>
          <w:lang w:val="es-ES" w:eastAsia="es-GT"/>
        </w:rPr>
        <w:t> </w:t>
      </w:r>
    </w:p>
    <w:p w14:paraId="3499362A" w14:textId="6959A9FA"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Esta Secretaría tiene como desafío </w:t>
      </w:r>
      <w:r w:rsidR="000E555B">
        <w:rPr>
          <w:rFonts w:ascii="Calibri" w:eastAsia="Times New Roman" w:hAnsi="Calibri" w:cs="Calibri"/>
          <w:color w:val="000000"/>
          <w:sz w:val="24"/>
          <w:szCs w:val="24"/>
          <w:lang w:eastAsia="es-GT"/>
        </w:rPr>
        <w:t xml:space="preserve">el </w:t>
      </w:r>
      <w:r w:rsidRPr="007717B2">
        <w:rPr>
          <w:rFonts w:ascii="Calibri" w:eastAsia="Times New Roman" w:hAnsi="Calibri" w:cs="Calibri"/>
          <w:color w:val="000000"/>
          <w:sz w:val="24"/>
          <w:szCs w:val="24"/>
          <w:lang w:eastAsia="es-GT"/>
        </w:rPr>
        <w:t xml:space="preserve">avance de los productos y subproductos cada cuatrimestre. </w:t>
      </w:r>
      <w:r w:rsidRPr="007717B2">
        <w:rPr>
          <w:rFonts w:ascii="Calibri" w:eastAsia="Times New Roman" w:hAnsi="Calibri" w:cs="Calibri"/>
          <w:color w:val="000000"/>
          <w:sz w:val="24"/>
          <w:szCs w:val="24"/>
          <w:lang w:val="es-ES" w:eastAsia="es-GT"/>
        </w:rPr>
        <w:t> </w:t>
      </w:r>
    </w:p>
    <w:p w14:paraId="74BFC56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Nacional de Ciencia y Tecnología (SENACYT)</w:t>
      </w:r>
      <w:r w:rsidRPr="007717B2">
        <w:rPr>
          <w:rFonts w:ascii="Calibri" w:eastAsia="Times New Roman" w:hAnsi="Calibri" w:cs="Calibri"/>
          <w:color w:val="000000"/>
          <w:sz w:val="24"/>
          <w:szCs w:val="24"/>
          <w:lang w:val="es-ES" w:eastAsia="es-GT"/>
        </w:rPr>
        <w:t> </w:t>
      </w:r>
    </w:p>
    <w:p w14:paraId="7C0583B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Los principales retos a futuro que deberá enfrentar esta Secretaría son:</w:t>
      </w:r>
      <w:r w:rsidRPr="007717B2">
        <w:rPr>
          <w:rFonts w:ascii="Calibri" w:eastAsia="Times New Roman" w:hAnsi="Calibri" w:cs="Calibri"/>
          <w:color w:val="000000"/>
          <w:sz w:val="24"/>
          <w:szCs w:val="24"/>
          <w:lang w:val="es-ES" w:eastAsia="es-GT"/>
        </w:rPr>
        <w:t> </w:t>
      </w:r>
    </w:p>
    <w:p w14:paraId="7A9C032F" w14:textId="19F47ADC"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En el año 2022 la SENACYT, construyó un macroproceso de agilización de la ejecución física y financiera de los proyectos de </w:t>
      </w:r>
      <w:r w:rsidR="00D017BD">
        <w:rPr>
          <w:rFonts w:ascii="Calibri" w:eastAsia="Times New Roman" w:hAnsi="Calibri" w:cs="Calibri"/>
          <w:color w:val="000000"/>
          <w:sz w:val="24"/>
          <w:szCs w:val="24"/>
          <w:lang w:eastAsia="es-GT"/>
        </w:rPr>
        <w:t xml:space="preserve">ciencia y tecnología </w:t>
      </w:r>
      <w:r w:rsidRPr="007717B2">
        <w:rPr>
          <w:rFonts w:ascii="Calibri" w:eastAsia="Times New Roman" w:hAnsi="Calibri" w:cs="Calibri"/>
          <w:color w:val="000000"/>
          <w:sz w:val="24"/>
          <w:szCs w:val="24"/>
          <w:lang w:eastAsia="es-GT"/>
        </w:rPr>
        <w:t xml:space="preserve">uno de los desafíos es definir los procedimientos con las dependencias de la institución para el logro de la ejecución de las metas financieras y por ende las metas físicas </w:t>
      </w:r>
    </w:p>
    <w:p w14:paraId="4E332952" w14:textId="0BD746A8"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Como segundo reto</w:t>
      </w:r>
      <w:r w:rsidR="00D017BD">
        <w:rPr>
          <w:rFonts w:ascii="Calibri" w:eastAsia="Times New Roman" w:hAnsi="Calibri" w:cs="Calibri"/>
          <w:color w:val="000000"/>
          <w:sz w:val="24"/>
          <w:szCs w:val="24"/>
          <w:lang w:eastAsia="es-GT"/>
        </w:rPr>
        <w:t>, es</w:t>
      </w:r>
      <w:r w:rsidRPr="007717B2">
        <w:rPr>
          <w:rFonts w:ascii="Calibri" w:eastAsia="Times New Roman" w:hAnsi="Calibri" w:cs="Calibri"/>
          <w:color w:val="000000"/>
          <w:sz w:val="24"/>
          <w:szCs w:val="24"/>
          <w:lang w:eastAsia="es-GT"/>
        </w:rPr>
        <w:t xml:space="preserve"> revisar y analizar el proceso de seguimiento y monitoreo de la ejecución técnica de los proyectos de </w:t>
      </w:r>
      <w:r w:rsidR="00D017BD">
        <w:rPr>
          <w:rFonts w:ascii="Calibri" w:eastAsia="Times New Roman" w:hAnsi="Calibri" w:cs="Calibri"/>
          <w:color w:val="000000"/>
          <w:sz w:val="24"/>
          <w:szCs w:val="24"/>
          <w:lang w:eastAsia="es-GT"/>
        </w:rPr>
        <w:t>ciencia y tecnología</w:t>
      </w:r>
      <w:r w:rsidRPr="007717B2">
        <w:rPr>
          <w:rFonts w:ascii="Calibri" w:eastAsia="Times New Roman" w:hAnsi="Calibri" w:cs="Calibri"/>
          <w:color w:val="000000"/>
          <w:sz w:val="24"/>
          <w:szCs w:val="24"/>
          <w:lang w:eastAsia="es-GT"/>
        </w:rPr>
        <w:t xml:space="preserve"> para lograr el avance financiero de las metas establecidas.</w:t>
      </w:r>
      <w:r w:rsidRPr="007717B2">
        <w:rPr>
          <w:rFonts w:ascii="Calibri" w:eastAsia="Times New Roman" w:hAnsi="Calibri" w:cs="Calibri"/>
          <w:color w:val="000000"/>
          <w:sz w:val="24"/>
          <w:szCs w:val="24"/>
          <w:lang w:val="es-ES" w:eastAsia="es-GT"/>
        </w:rPr>
        <w:t> </w:t>
      </w:r>
    </w:p>
    <w:p w14:paraId="1BC5036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de Seguridad Alimentaria y Nutricional (SESAN)</w:t>
      </w:r>
      <w:r w:rsidRPr="007717B2">
        <w:rPr>
          <w:rFonts w:ascii="Calibri" w:eastAsia="Times New Roman" w:hAnsi="Calibri" w:cs="Calibri"/>
          <w:color w:val="000000"/>
          <w:sz w:val="24"/>
          <w:szCs w:val="24"/>
          <w:lang w:val="es-ES" w:eastAsia="es-GT"/>
        </w:rPr>
        <w:t> </w:t>
      </w:r>
    </w:p>
    <w:p w14:paraId="701FA33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En lo que respecta a la SESAN, se cuenta a futuro con los siguientes desafíos:</w:t>
      </w:r>
      <w:r w:rsidRPr="007717B2">
        <w:rPr>
          <w:rFonts w:ascii="Calibri" w:eastAsia="Times New Roman" w:hAnsi="Calibri" w:cs="Calibri"/>
          <w:color w:val="000000"/>
          <w:sz w:val="24"/>
          <w:szCs w:val="24"/>
          <w:lang w:val="es-ES" w:eastAsia="es-GT"/>
        </w:rPr>
        <w:t> </w:t>
      </w:r>
    </w:p>
    <w:p w14:paraId="08C53BF1"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Socializar la POLSAN 2022-2037 en todos los ámbitos territoriales, en todos los espacios de coordinación y con la sociedad civil para que sea tomada en cuenta en la planificación estratégica y operativa de las instituciones que realizan intervenciones enfocadas a la SAN.</w:t>
      </w:r>
    </w:p>
    <w:p w14:paraId="119940A1"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Aprobar y socializar el Plan Estratégico de Seguridad Alimentaria y Nutricional (PESAN) 2023-2032 para su implementación como instrumento guía en cuanto a las acciones en el tema de SAN. </w:t>
      </w:r>
      <w:r w:rsidRPr="007717B2">
        <w:rPr>
          <w:rFonts w:ascii="Calibri" w:eastAsia="Times New Roman" w:hAnsi="Calibri" w:cs="Calibri"/>
          <w:color w:val="000000"/>
          <w:sz w:val="24"/>
          <w:szCs w:val="24"/>
          <w:lang w:val="es-ES" w:eastAsia="es-GT"/>
        </w:rPr>
        <w:t> </w:t>
      </w:r>
    </w:p>
    <w:p w14:paraId="3F511D2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Ejecutiva de la Comisión contra las Adicciones y el Tráfico Ilícito de Drogas (SECATID)</w:t>
      </w:r>
      <w:r w:rsidRPr="007717B2">
        <w:rPr>
          <w:rFonts w:ascii="Calibri" w:eastAsia="Times New Roman" w:hAnsi="Calibri" w:cs="Calibri"/>
          <w:color w:val="000000"/>
          <w:sz w:val="24"/>
          <w:szCs w:val="24"/>
          <w:lang w:val="es-ES" w:eastAsia="es-GT"/>
        </w:rPr>
        <w:t> </w:t>
      </w:r>
    </w:p>
    <w:p w14:paraId="25D94C7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A lo largo del último trimestre 2022, la SECATID tiene como desafíos los siguientes aspectos: </w:t>
      </w:r>
      <w:r w:rsidRPr="007717B2">
        <w:rPr>
          <w:rFonts w:ascii="Calibri" w:eastAsia="Times New Roman" w:hAnsi="Calibri" w:cs="Calibri"/>
          <w:color w:val="000000"/>
          <w:sz w:val="24"/>
          <w:szCs w:val="24"/>
          <w:lang w:val="es-ES" w:eastAsia="es-GT"/>
        </w:rPr>
        <w:t> </w:t>
      </w:r>
    </w:p>
    <w:p w14:paraId="1C58755D"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Ampliación presupuestaria para la atención de las acciones relevantes de ejecución financiera y de acuerdo a la identificación de necesidades, para poder brindar la atención a la población en situación de vulnerabilidad en el tema de las adicciones. </w:t>
      </w:r>
    </w:p>
    <w:p w14:paraId="089B205E"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Implementación de sistemas y modernización de procesos administrativos en la medida que el presupuesto lo permita.</w:t>
      </w:r>
      <w:r w:rsidRPr="007717B2">
        <w:rPr>
          <w:rFonts w:ascii="Calibri" w:eastAsia="Times New Roman" w:hAnsi="Calibri" w:cs="Calibri"/>
          <w:color w:val="000000"/>
          <w:sz w:val="24"/>
          <w:szCs w:val="24"/>
          <w:lang w:val="es-ES" w:eastAsia="es-GT"/>
        </w:rPr>
        <w:t> </w:t>
      </w:r>
    </w:p>
    <w:p w14:paraId="423576B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color w:val="002060"/>
          <w:sz w:val="28"/>
          <w:szCs w:val="28"/>
        </w:rPr>
        <w:t>Otras dependencias, empresas del Estado y órganos de control </w:t>
      </w:r>
    </w:p>
    <w:p w14:paraId="1818FA2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cuanto al </w:t>
      </w:r>
      <w:r w:rsidRPr="007717B2">
        <w:rPr>
          <w:rFonts w:ascii="Calibri" w:eastAsia="Times New Roman" w:hAnsi="Calibri" w:cs="Calibri"/>
          <w:b/>
          <w:bCs/>
          <w:i/>
          <w:iCs/>
          <w:color w:val="000000"/>
          <w:sz w:val="24"/>
          <w:szCs w:val="24"/>
          <w:lang w:eastAsia="es-GT"/>
        </w:rPr>
        <w:t>Congreso de la República,</w:t>
      </w:r>
      <w:r w:rsidRPr="007717B2">
        <w:rPr>
          <w:rFonts w:ascii="Calibri" w:eastAsia="Times New Roman" w:hAnsi="Calibri" w:cs="Calibri"/>
          <w:color w:val="000000"/>
          <w:sz w:val="24"/>
          <w:szCs w:val="24"/>
          <w:lang w:eastAsia="es-GT"/>
        </w:rPr>
        <w:t xml:space="preserve"> sus mayores desafíos son:</w:t>
      </w:r>
      <w:r w:rsidRPr="007717B2">
        <w:rPr>
          <w:rFonts w:ascii="Calibri" w:eastAsia="Times New Roman" w:hAnsi="Calibri" w:cs="Calibri"/>
          <w:color w:val="000000"/>
          <w:sz w:val="24"/>
          <w:szCs w:val="24"/>
          <w:lang w:val="es-ES" w:eastAsia="es-GT"/>
        </w:rPr>
        <w:t> </w:t>
      </w:r>
    </w:p>
    <w:p w14:paraId="1141FE5E"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Implementar capacitaciones a todas las unidades administrativas para el desarrollo de mejores instrumentos de planificación. </w:t>
      </w:r>
    </w:p>
    <w:p w14:paraId="2BC81F36" w14:textId="5AE50874" w:rsidR="007717B2" w:rsidRPr="00E90DD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Dar seguimiento personalizado a las unidades administrativas para una mejora ejecución de sus metas acorde a sus funciones.</w:t>
      </w:r>
      <w:r w:rsidRPr="007717B2">
        <w:rPr>
          <w:rFonts w:ascii="Calibri" w:eastAsia="Times New Roman" w:hAnsi="Calibri" w:cs="Calibri"/>
          <w:color w:val="000000"/>
          <w:sz w:val="24"/>
          <w:szCs w:val="24"/>
          <w:lang w:val="es-ES" w:eastAsia="es-GT"/>
        </w:rPr>
        <w:t> </w:t>
      </w:r>
    </w:p>
    <w:p w14:paraId="1F821F56" w14:textId="77777777" w:rsidR="00E90DD2" w:rsidRPr="007717B2" w:rsidRDefault="00E90DD2" w:rsidP="00E90DD2">
      <w:pPr>
        <w:spacing w:before="120" w:after="120" w:line="240" w:lineRule="auto"/>
        <w:jc w:val="both"/>
        <w:textAlignment w:val="baseline"/>
        <w:rPr>
          <w:rFonts w:ascii="Calibri" w:eastAsia="Times New Roman" w:hAnsi="Calibri" w:cs="Calibri"/>
          <w:sz w:val="24"/>
          <w:szCs w:val="24"/>
          <w:lang w:val="es-ES" w:eastAsia="es-GT"/>
        </w:rPr>
      </w:pPr>
    </w:p>
    <w:p w14:paraId="376223E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sz w:val="24"/>
          <w:szCs w:val="24"/>
          <w:lang w:eastAsia="es-GT"/>
        </w:rPr>
        <w:t xml:space="preserve">La </w:t>
      </w:r>
      <w:r w:rsidRPr="007717B2">
        <w:rPr>
          <w:rFonts w:ascii="Calibri" w:eastAsia="Times New Roman" w:hAnsi="Calibri" w:cs="Calibri"/>
          <w:b/>
          <w:bCs/>
          <w:i/>
          <w:iCs/>
          <w:sz w:val="24"/>
          <w:szCs w:val="24"/>
          <w:lang w:eastAsia="es-GT"/>
        </w:rPr>
        <w:t>Corte de Constitucionalidad (CC),</w:t>
      </w:r>
      <w:r w:rsidRPr="007717B2">
        <w:rPr>
          <w:rFonts w:ascii="Calibri" w:eastAsia="Times New Roman" w:hAnsi="Calibri" w:cs="Calibri"/>
          <w:sz w:val="24"/>
          <w:szCs w:val="24"/>
          <w:lang w:eastAsia="es-GT"/>
        </w:rPr>
        <w:t xml:space="preserve"> a su vez, tiene ante sí los retos siguientes:</w:t>
      </w:r>
      <w:r w:rsidRPr="007717B2">
        <w:rPr>
          <w:rFonts w:ascii="Calibri" w:eastAsia="Times New Roman" w:hAnsi="Calibri" w:cs="Calibri"/>
          <w:sz w:val="24"/>
          <w:szCs w:val="24"/>
          <w:lang w:val="es-ES" w:eastAsia="es-GT"/>
        </w:rPr>
        <w:t> </w:t>
      </w:r>
    </w:p>
    <w:p w14:paraId="4B07FAC2" w14:textId="77777777"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Institucionalización de la planificación estratégica y operativa en la Corte de Constitucionalidad para contar con estrategias, metodologías, herramientas e instrumentos que permitan identificar las mediciones idóneas para la ejecución de lo programado durante el ejercicio fiscal vigente. </w:t>
      </w:r>
    </w:p>
    <w:p w14:paraId="0C2BB3E7" w14:textId="35E9B603" w:rsidR="007717B2" w:rsidRPr="007717B2" w:rsidRDefault="007717B2" w:rsidP="003C1D42">
      <w:pPr>
        <w:numPr>
          <w:ilvl w:val="0"/>
          <w:numId w:val="7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Contar con programas y proyectos que sean prioritarios y puedan desarrollarse a nivel institucional.</w:t>
      </w:r>
      <w:r w:rsidRPr="007717B2">
        <w:rPr>
          <w:rFonts w:ascii="Calibri" w:eastAsia="Times New Roman" w:hAnsi="Calibri" w:cs="Calibri"/>
          <w:color w:val="000000"/>
          <w:sz w:val="24"/>
          <w:szCs w:val="24"/>
          <w:lang w:val="es-ES" w:eastAsia="es-GT"/>
        </w:rPr>
        <w:t> </w:t>
      </w:r>
    </w:p>
    <w:p w14:paraId="03A16D14" w14:textId="61F859D8"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w:t>
      </w:r>
      <w:r w:rsidRPr="007717B2">
        <w:rPr>
          <w:rFonts w:ascii="Calibri" w:eastAsia="Times New Roman" w:hAnsi="Calibri" w:cs="Calibri"/>
          <w:sz w:val="24"/>
          <w:szCs w:val="24"/>
          <w:lang w:val="es-ES" w:eastAsia="es-GT"/>
        </w:rPr>
        <w:t> </w:t>
      </w:r>
      <w:r w:rsidRPr="007717B2">
        <w:rPr>
          <w:rFonts w:ascii="Calibri" w:eastAsia="Times New Roman" w:hAnsi="Calibri" w:cs="Calibri"/>
          <w:sz w:val="24"/>
          <w:szCs w:val="24"/>
          <w:lang w:eastAsia="es-GT"/>
        </w:rPr>
        <w:t xml:space="preserve">Por su parte, el </w:t>
      </w:r>
      <w:r w:rsidRPr="007717B2">
        <w:rPr>
          <w:rFonts w:ascii="Calibri" w:eastAsia="Times New Roman" w:hAnsi="Calibri" w:cs="Calibri"/>
          <w:b/>
          <w:bCs/>
          <w:i/>
          <w:iCs/>
          <w:sz w:val="24"/>
          <w:szCs w:val="24"/>
          <w:lang w:eastAsia="es-GT"/>
        </w:rPr>
        <w:t>Ministerio Público (MP),</w:t>
      </w:r>
      <w:r w:rsidRPr="007717B2">
        <w:rPr>
          <w:rFonts w:ascii="Calibri" w:eastAsia="Times New Roman" w:hAnsi="Calibri" w:cs="Calibri"/>
          <w:sz w:val="24"/>
          <w:szCs w:val="24"/>
          <w:lang w:eastAsia="es-GT"/>
        </w:rPr>
        <w:t xml:space="preserve"> sus mayores desafíos se presentan a continuación:</w:t>
      </w:r>
      <w:r w:rsidRPr="007717B2">
        <w:rPr>
          <w:rFonts w:ascii="Calibri" w:eastAsia="Times New Roman" w:hAnsi="Calibri" w:cs="Calibri"/>
          <w:sz w:val="24"/>
          <w:szCs w:val="24"/>
          <w:lang w:val="es-ES" w:eastAsia="es-GT"/>
        </w:rPr>
        <w:t> </w:t>
      </w:r>
    </w:p>
    <w:p w14:paraId="62E248AB" w14:textId="77777777" w:rsidR="007717B2" w:rsidRPr="007717B2" w:rsidRDefault="007717B2" w:rsidP="00164D9D">
      <w:pPr>
        <w:numPr>
          <w:ilvl w:val="0"/>
          <w:numId w:val="32"/>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Desarrollar la cultura de denuncia por parte de la población para la resolución de casos</w:t>
      </w:r>
      <w:r w:rsidRPr="007717B2">
        <w:rPr>
          <w:rFonts w:ascii="Calibri" w:eastAsia="Times New Roman" w:hAnsi="Calibri" w:cs="Calibri"/>
          <w:color w:val="000000"/>
          <w:sz w:val="24"/>
          <w:szCs w:val="24"/>
          <w:lang w:val="es-ES" w:eastAsia="es-GT"/>
        </w:rPr>
        <w:t> </w:t>
      </w:r>
    </w:p>
    <w:p w14:paraId="1E0AAF00" w14:textId="77777777" w:rsidR="007717B2" w:rsidRPr="007717B2" w:rsidRDefault="007717B2" w:rsidP="00164D9D">
      <w:pPr>
        <w:numPr>
          <w:ilvl w:val="0"/>
          <w:numId w:val="32"/>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Atención especializada de casos en toda la República.</w:t>
      </w:r>
      <w:r w:rsidRPr="007717B2">
        <w:rPr>
          <w:rFonts w:ascii="Calibri" w:eastAsia="Times New Roman" w:hAnsi="Calibri" w:cs="Calibri"/>
          <w:color w:val="000000"/>
          <w:sz w:val="24"/>
          <w:szCs w:val="24"/>
          <w:lang w:val="es-ES" w:eastAsia="es-GT"/>
        </w:rPr>
        <w:t> </w:t>
      </w:r>
    </w:p>
    <w:p w14:paraId="1AE8558A" w14:textId="77777777" w:rsidR="007717B2" w:rsidRPr="007717B2" w:rsidRDefault="007717B2" w:rsidP="00164D9D">
      <w:pPr>
        <w:numPr>
          <w:ilvl w:val="0"/>
          <w:numId w:val="32"/>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Implementar medidas correctivas a efecto de elevar la ejecución financiera.</w:t>
      </w:r>
      <w:r w:rsidRPr="007717B2">
        <w:rPr>
          <w:rFonts w:ascii="Calibri" w:eastAsia="Times New Roman" w:hAnsi="Calibri" w:cs="Calibri"/>
          <w:color w:val="000000"/>
          <w:sz w:val="24"/>
          <w:szCs w:val="24"/>
          <w:lang w:val="es-ES" w:eastAsia="es-GT"/>
        </w:rPr>
        <w:t> </w:t>
      </w:r>
    </w:p>
    <w:p w14:paraId="5E264DF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w:t>
      </w:r>
      <w:r w:rsidRPr="007717B2">
        <w:rPr>
          <w:rFonts w:ascii="Calibri" w:eastAsia="Times New Roman" w:hAnsi="Calibri" w:cs="Calibri"/>
          <w:sz w:val="24"/>
          <w:szCs w:val="24"/>
          <w:lang w:val="es-ES" w:eastAsia="es-GT"/>
        </w:rPr>
        <w:t> </w:t>
      </w:r>
      <w:r w:rsidRPr="007717B2">
        <w:rPr>
          <w:rFonts w:ascii="Calibri" w:eastAsia="Times New Roman" w:hAnsi="Calibri" w:cs="Calibri"/>
          <w:color w:val="000000"/>
          <w:sz w:val="24"/>
          <w:szCs w:val="24"/>
          <w:lang w:eastAsia="es-GT"/>
        </w:rPr>
        <w:t xml:space="preserve">Para la </w:t>
      </w:r>
      <w:r w:rsidRPr="007717B2">
        <w:rPr>
          <w:rFonts w:ascii="Calibri" w:eastAsia="Times New Roman" w:hAnsi="Calibri" w:cs="Calibri"/>
          <w:b/>
          <w:bCs/>
          <w:i/>
          <w:iCs/>
          <w:color w:val="000000"/>
          <w:sz w:val="24"/>
          <w:szCs w:val="24"/>
          <w:lang w:eastAsia="es-GT"/>
        </w:rPr>
        <w:t>Contraloría General de Cuentas de la Nación (CGC),</w:t>
      </w:r>
      <w:r w:rsidRPr="007717B2">
        <w:rPr>
          <w:rFonts w:ascii="Calibri" w:eastAsia="Times New Roman" w:hAnsi="Calibri" w:cs="Calibri"/>
          <w:color w:val="000000"/>
          <w:sz w:val="24"/>
          <w:szCs w:val="24"/>
          <w:lang w:eastAsia="es-GT"/>
        </w:rPr>
        <w:t xml:space="preserve"> sus retos son:</w:t>
      </w:r>
      <w:r w:rsidRPr="007717B2">
        <w:rPr>
          <w:rFonts w:ascii="Calibri" w:eastAsia="Times New Roman" w:hAnsi="Calibri" w:cs="Calibri"/>
          <w:color w:val="000000"/>
          <w:sz w:val="24"/>
          <w:szCs w:val="24"/>
          <w:lang w:val="es-ES" w:eastAsia="es-GT"/>
        </w:rPr>
        <w:t> </w:t>
      </w:r>
    </w:p>
    <w:p w14:paraId="7E8B18AF" w14:textId="77777777" w:rsidR="007717B2" w:rsidRPr="007717B2" w:rsidRDefault="007717B2" w:rsidP="003C1D42">
      <w:pPr>
        <w:numPr>
          <w:ilvl w:val="0"/>
          <w:numId w:val="77"/>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Implementar las estrategias para mejorar la ejecución de programas orientados a incrementar la cantidad de personas capacitadas, impulsando nuevas temáticas relacionadas con la fiscalización al gasto público, probidad y transparencia.</w:t>
      </w:r>
    </w:p>
    <w:p w14:paraId="393EE4BD" w14:textId="77777777" w:rsidR="007717B2" w:rsidRPr="007717B2" w:rsidRDefault="007717B2" w:rsidP="003C1D42">
      <w:pPr>
        <w:numPr>
          <w:ilvl w:val="0"/>
          <w:numId w:val="77"/>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Implementar las acciones para ampliar la cobertura a entidades a fiscalizar y así, incrementar la meta de auditorías al gasto público y la probidad. </w:t>
      </w:r>
    </w:p>
    <w:p w14:paraId="3CDA078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 la </w:t>
      </w:r>
      <w:r w:rsidRPr="007717B2">
        <w:rPr>
          <w:rFonts w:ascii="Calibri" w:eastAsia="Times New Roman" w:hAnsi="Calibri" w:cs="Calibri"/>
          <w:b/>
          <w:bCs/>
          <w:i/>
          <w:iCs/>
          <w:color w:val="000000"/>
          <w:sz w:val="24"/>
          <w:szCs w:val="24"/>
          <w:lang w:eastAsia="es-GT"/>
        </w:rPr>
        <w:t>Procuraduría de los Derechos Humanos (PDH),</w:t>
      </w:r>
      <w:r w:rsidRPr="007717B2">
        <w:rPr>
          <w:rFonts w:ascii="Calibri" w:eastAsia="Times New Roman" w:hAnsi="Calibri" w:cs="Calibri"/>
          <w:color w:val="000000"/>
          <w:sz w:val="24"/>
          <w:szCs w:val="24"/>
          <w:lang w:eastAsia="es-GT"/>
        </w:rPr>
        <w:t xml:space="preserve"> sus retos de mayor significancia para el futuro son:</w:t>
      </w:r>
      <w:r w:rsidRPr="007717B2">
        <w:rPr>
          <w:rFonts w:ascii="Calibri" w:eastAsia="Times New Roman" w:hAnsi="Calibri" w:cs="Calibri"/>
          <w:color w:val="000000"/>
          <w:sz w:val="24"/>
          <w:szCs w:val="24"/>
          <w:lang w:val="es-ES" w:eastAsia="es-GT"/>
        </w:rPr>
        <w:t> </w:t>
      </w:r>
    </w:p>
    <w:p w14:paraId="13603405" w14:textId="04C1FD57" w:rsidR="007717B2" w:rsidRPr="007717B2" w:rsidRDefault="007717B2" w:rsidP="003C1D42">
      <w:pPr>
        <w:numPr>
          <w:ilvl w:val="0"/>
          <w:numId w:val="77"/>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Promover una campaña promocional a nivel nacional para posicionar la Institución del Procurador de los Derechos Humanos en la población guatemalteca y estos conozcan sobre los servicios que esta brinda.  De esta manera se generará más empoderamiento en la población para que esta se eduque en las diferentes temáticas de Derechos Humanos y así mismo denuncie cualquier arbitrariedad que vulnere sus derechos. Con este proceso se espera se genere más demanda en denuncias, atenciones, orientaciones, acompañamientos y procesos de capacitación.</w:t>
      </w:r>
    </w:p>
    <w:p w14:paraId="6CB85318" w14:textId="7BDF7E43" w:rsidR="007717B2" w:rsidRPr="007717B2" w:rsidRDefault="007717B2" w:rsidP="003C1D42">
      <w:pPr>
        <w:numPr>
          <w:ilvl w:val="0"/>
          <w:numId w:val="77"/>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Actualización de los diferentes Planes de Supervisión y Capacitación por parte de las Direcciones encargadas, esto permitirá una mejor coordinación y ejecución de metas por parte de los Centros de Costo de la Institución.</w:t>
      </w:r>
      <w:r w:rsidRPr="007717B2">
        <w:rPr>
          <w:rFonts w:ascii="Calibri" w:eastAsia="Times New Roman" w:hAnsi="Calibri" w:cs="Calibri"/>
          <w:color w:val="000000"/>
          <w:sz w:val="24"/>
          <w:szCs w:val="24"/>
          <w:lang w:val="es-ES" w:eastAsia="es-GT"/>
        </w:rPr>
        <w:t> </w:t>
      </w:r>
    </w:p>
    <w:p w14:paraId="7658B128"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lado, la </w:t>
      </w:r>
      <w:r w:rsidRPr="007717B2">
        <w:rPr>
          <w:rFonts w:ascii="Calibri" w:eastAsia="Times New Roman" w:hAnsi="Calibri" w:cs="Calibri"/>
          <w:b/>
          <w:bCs/>
          <w:i/>
          <w:iCs/>
          <w:color w:val="000000"/>
          <w:sz w:val="24"/>
          <w:szCs w:val="24"/>
          <w:lang w:eastAsia="es-GT"/>
        </w:rPr>
        <w:t>Oficina Nacional de Servicio Civil (ONSEC),</w:t>
      </w:r>
      <w:r w:rsidRPr="007717B2">
        <w:rPr>
          <w:rFonts w:ascii="Calibri" w:eastAsia="Times New Roman" w:hAnsi="Calibri" w:cs="Calibri"/>
          <w:color w:val="000000"/>
          <w:sz w:val="24"/>
          <w:szCs w:val="24"/>
          <w:lang w:eastAsia="es-GT"/>
        </w:rPr>
        <w:t xml:space="preserve"> tiene como desafíos:</w:t>
      </w:r>
      <w:r w:rsidRPr="007717B2">
        <w:rPr>
          <w:rFonts w:ascii="Calibri" w:eastAsia="Times New Roman" w:hAnsi="Calibri" w:cs="Calibri"/>
          <w:color w:val="000000"/>
          <w:sz w:val="24"/>
          <w:szCs w:val="24"/>
          <w:lang w:val="es-ES" w:eastAsia="es-GT"/>
        </w:rPr>
        <w:t> </w:t>
      </w:r>
    </w:p>
    <w:p w14:paraId="43914C09" w14:textId="77777777" w:rsidR="007717B2" w:rsidRPr="007717B2" w:rsidRDefault="007717B2" w:rsidP="003C1D42">
      <w:pPr>
        <w:numPr>
          <w:ilvl w:val="0"/>
          <w:numId w:val="78"/>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Continuar con las acciones para fortalecer la gestión de puestos y de personal de las instituciones que se rigen por la Ley de Servicio Civil y su Reglamento, por medio de la elaboración del Manual de Especialidades</w:t>
      </w:r>
      <w:r w:rsidRPr="007717B2">
        <w:rPr>
          <w:rFonts w:ascii="Calibri" w:eastAsia="Times New Roman" w:hAnsi="Calibri" w:cs="Calibri"/>
          <w:color w:val="000000"/>
          <w:sz w:val="24"/>
          <w:szCs w:val="24"/>
          <w:lang w:val="es-ES" w:eastAsia="es-GT"/>
        </w:rPr>
        <w:t> </w:t>
      </w:r>
    </w:p>
    <w:p w14:paraId="381EBC87" w14:textId="77777777" w:rsidR="007717B2" w:rsidRPr="007717B2" w:rsidRDefault="007717B2" w:rsidP="003C1D42">
      <w:pPr>
        <w:numPr>
          <w:ilvl w:val="0"/>
          <w:numId w:val="78"/>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Continuar con el desarrollo del Sistema Informático de Administración de Recursos Humanos, de los módulos establecidos en el Acuerdo Gubernativo No. 297-2015, con el fin de ampliar la oferta de herramientas informáticas necesarias para la administración de recursos humanos del Organismo Ejecutivo, como: la gestión del desempeño, entre otras.</w:t>
      </w:r>
      <w:r w:rsidRPr="007717B2">
        <w:rPr>
          <w:rFonts w:ascii="Calibri" w:eastAsia="Times New Roman" w:hAnsi="Calibri" w:cs="Calibri"/>
          <w:color w:val="000000"/>
          <w:sz w:val="24"/>
          <w:szCs w:val="24"/>
          <w:lang w:val="es-ES" w:eastAsia="es-GT"/>
        </w:rPr>
        <w:t> </w:t>
      </w:r>
    </w:p>
    <w:p w14:paraId="0E3356E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w:t>
      </w:r>
      <w:r w:rsidRPr="007717B2">
        <w:rPr>
          <w:rFonts w:ascii="Calibri" w:eastAsia="Times New Roman" w:hAnsi="Calibri" w:cs="Calibri"/>
          <w:b/>
          <w:bCs/>
          <w:i/>
          <w:iCs/>
          <w:color w:val="000000"/>
          <w:sz w:val="24"/>
          <w:szCs w:val="24"/>
          <w:lang w:eastAsia="es-GT"/>
        </w:rPr>
        <w:t>Comisión Presidencial por la Paz y los Derechos Humanos (COPADEH),</w:t>
      </w:r>
      <w:r w:rsidRPr="007717B2">
        <w:rPr>
          <w:rFonts w:ascii="Calibri" w:eastAsia="Times New Roman" w:hAnsi="Calibri" w:cs="Calibri"/>
          <w:color w:val="000000"/>
          <w:sz w:val="24"/>
          <w:szCs w:val="24"/>
          <w:lang w:eastAsia="es-GT"/>
        </w:rPr>
        <w:t xml:space="preserve"> tiene ante sí los retos siguientes:</w:t>
      </w:r>
      <w:r w:rsidRPr="007717B2">
        <w:rPr>
          <w:rFonts w:ascii="Calibri" w:eastAsia="Times New Roman" w:hAnsi="Calibri" w:cs="Calibri"/>
          <w:color w:val="000000"/>
          <w:sz w:val="24"/>
          <w:szCs w:val="24"/>
          <w:lang w:val="es-ES" w:eastAsia="es-GT"/>
        </w:rPr>
        <w:t> </w:t>
      </w:r>
    </w:p>
    <w:p w14:paraId="629A40F9" w14:textId="77777777" w:rsidR="007717B2" w:rsidRPr="007717B2" w:rsidRDefault="007717B2" w:rsidP="003C1D42">
      <w:pPr>
        <w:numPr>
          <w:ilvl w:val="0"/>
          <w:numId w:val="7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Fortalecimiento con equipo y recursos a las sedes regionales de la COPADEH para la atención oportuna en materia de derechos humanos, cultura de paz y la conflictividad social a nivel regional.</w:t>
      </w:r>
      <w:r w:rsidRPr="007717B2">
        <w:rPr>
          <w:rFonts w:ascii="Calibri" w:eastAsia="Times New Roman" w:hAnsi="Calibri" w:cs="Calibri"/>
          <w:color w:val="000000"/>
          <w:sz w:val="24"/>
          <w:szCs w:val="24"/>
          <w:lang w:val="es-ES" w:eastAsia="es-GT"/>
        </w:rPr>
        <w:t> </w:t>
      </w:r>
    </w:p>
    <w:p w14:paraId="52BB74DC" w14:textId="77777777" w:rsidR="007717B2" w:rsidRPr="007717B2" w:rsidRDefault="007717B2" w:rsidP="003C1D42">
      <w:pPr>
        <w:numPr>
          <w:ilvl w:val="0"/>
          <w:numId w:val="7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Unificación de criterios en protocolos que permitan el abordaje a las situaciones de crisis que se presentan en la atención de desalojos, casos de conflictividad y medidas cautelares a nivel regional.</w:t>
      </w:r>
      <w:r w:rsidRPr="007717B2">
        <w:rPr>
          <w:rFonts w:ascii="Calibri" w:eastAsia="Times New Roman" w:hAnsi="Calibri" w:cs="Calibri"/>
          <w:color w:val="000000"/>
          <w:sz w:val="24"/>
          <w:szCs w:val="24"/>
          <w:lang w:val="es-ES" w:eastAsia="es-GT"/>
        </w:rPr>
        <w:t> </w:t>
      </w:r>
    </w:p>
    <w:p w14:paraId="7C7F050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lo concerniente al </w:t>
      </w:r>
      <w:r w:rsidRPr="007717B2">
        <w:rPr>
          <w:rFonts w:ascii="Calibri" w:eastAsia="Times New Roman" w:hAnsi="Calibri" w:cs="Calibri"/>
          <w:b/>
          <w:bCs/>
          <w:i/>
          <w:iCs/>
          <w:color w:val="000000"/>
          <w:sz w:val="24"/>
          <w:szCs w:val="24"/>
          <w:lang w:eastAsia="es-GT"/>
        </w:rPr>
        <w:t>Registro Nacional de las Personas (RENAP),</w:t>
      </w:r>
      <w:r w:rsidRPr="007717B2">
        <w:rPr>
          <w:rFonts w:ascii="Calibri" w:eastAsia="Times New Roman" w:hAnsi="Calibri" w:cs="Calibri"/>
          <w:color w:val="000000"/>
          <w:sz w:val="24"/>
          <w:szCs w:val="24"/>
          <w:lang w:eastAsia="es-GT"/>
        </w:rPr>
        <w:t xml:space="preserve"> esta entidad se enfrenta a los siguientes desafíos:</w:t>
      </w:r>
      <w:r w:rsidRPr="007717B2">
        <w:rPr>
          <w:rFonts w:ascii="Calibri" w:eastAsia="Times New Roman" w:hAnsi="Calibri" w:cs="Calibri"/>
          <w:color w:val="000000"/>
          <w:sz w:val="24"/>
          <w:szCs w:val="24"/>
          <w:lang w:val="es-ES" w:eastAsia="es-GT"/>
        </w:rPr>
        <w:t> </w:t>
      </w:r>
    </w:p>
    <w:p w14:paraId="2FF17121" w14:textId="77777777" w:rsidR="007717B2" w:rsidRPr="007717B2" w:rsidRDefault="007717B2" w:rsidP="003C1D42">
      <w:pPr>
        <w:numPr>
          <w:ilvl w:val="0"/>
          <w:numId w:val="80"/>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Ampliación de los servicios que brinda el RENAP en el extranjero, en cuanto a la emisión de certificaciones de hechos y actos registrales.</w:t>
      </w:r>
      <w:r w:rsidRPr="007717B2">
        <w:rPr>
          <w:rFonts w:ascii="Calibri" w:eastAsia="Times New Roman" w:hAnsi="Calibri" w:cs="Calibri"/>
          <w:color w:val="000000"/>
          <w:sz w:val="24"/>
          <w:szCs w:val="24"/>
          <w:lang w:val="es-ES" w:eastAsia="es-GT"/>
        </w:rPr>
        <w:t> </w:t>
      </w:r>
    </w:p>
    <w:p w14:paraId="7DBC0C40" w14:textId="2D05F5AB" w:rsidR="00263794" w:rsidRPr="00F9437F" w:rsidRDefault="007717B2" w:rsidP="00263794">
      <w:pPr>
        <w:numPr>
          <w:ilvl w:val="0"/>
          <w:numId w:val="80"/>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Ampliación de los servicios por medios electrónicos.</w:t>
      </w:r>
      <w:r w:rsidRPr="007717B2">
        <w:rPr>
          <w:rFonts w:ascii="Calibri" w:eastAsia="Times New Roman" w:hAnsi="Calibri" w:cs="Calibri"/>
          <w:color w:val="000000"/>
          <w:sz w:val="24"/>
          <w:szCs w:val="24"/>
          <w:lang w:val="es-ES" w:eastAsia="es-GT"/>
        </w:rPr>
        <w:t> </w:t>
      </w:r>
    </w:p>
    <w:p w14:paraId="4937098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Pr="007717B2">
        <w:rPr>
          <w:rFonts w:ascii="Calibri" w:eastAsia="Times New Roman" w:hAnsi="Calibri" w:cs="Calibri"/>
          <w:b/>
          <w:bCs/>
          <w:i/>
          <w:iCs/>
          <w:color w:val="000000"/>
          <w:sz w:val="24"/>
          <w:szCs w:val="24"/>
          <w:lang w:eastAsia="es-GT"/>
        </w:rPr>
        <w:t xml:space="preserve">Registro General de la Propiedad (RGP), </w:t>
      </w:r>
      <w:r w:rsidRPr="007717B2">
        <w:rPr>
          <w:rFonts w:ascii="Calibri" w:eastAsia="Times New Roman" w:hAnsi="Calibri" w:cs="Calibri"/>
          <w:color w:val="000000"/>
          <w:sz w:val="24"/>
          <w:szCs w:val="24"/>
          <w:lang w:eastAsia="es-GT"/>
        </w:rPr>
        <w:t>tiene ante sí los desafíos siguientes:</w:t>
      </w:r>
      <w:r w:rsidRPr="007717B2">
        <w:rPr>
          <w:rFonts w:ascii="Calibri" w:eastAsia="Times New Roman" w:hAnsi="Calibri" w:cs="Calibri"/>
          <w:color w:val="000000"/>
          <w:sz w:val="24"/>
          <w:szCs w:val="24"/>
          <w:lang w:val="es-ES" w:eastAsia="es-GT"/>
        </w:rPr>
        <w:t> </w:t>
      </w:r>
    </w:p>
    <w:p w14:paraId="5F74DAF4" w14:textId="77777777" w:rsidR="007717B2" w:rsidRPr="007717B2" w:rsidRDefault="007717B2" w:rsidP="003C1D42">
      <w:pPr>
        <w:numPr>
          <w:ilvl w:val="0"/>
          <w:numId w:val="8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Continuar con las acciones de modernización de los servicios institucionales a través de la implementación de nuevos servicios en línea y actualizaciones en procesos administrativos tendientes a dar cumplimiento a la Ley de Simplificación de Trámites, con el objetivo de hacer más accesible y ágil la prestación de servicios hacia los usuarios.</w:t>
      </w:r>
      <w:r w:rsidRPr="007717B2">
        <w:rPr>
          <w:rFonts w:ascii="Calibri" w:eastAsia="Times New Roman" w:hAnsi="Calibri" w:cs="Calibri"/>
          <w:color w:val="000000"/>
          <w:sz w:val="24"/>
          <w:szCs w:val="24"/>
          <w:lang w:val="es-ES" w:eastAsia="es-GT"/>
        </w:rPr>
        <w:t> </w:t>
      </w:r>
    </w:p>
    <w:p w14:paraId="21009FDB" w14:textId="00962284" w:rsidR="007717B2" w:rsidRPr="007717B2" w:rsidRDefault="007717B2" w:rsidP="003C1D42">
      <w:pPr>
        <w:numPr>
          <w:ilvl w:val="0"/>
          <w:numId w:val="8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Contribuir a la Política de Descentralización de los Servicios Públicos a través de la ampliación de la presencia territorial mediante la habilitación de nuevas </w:t>
      </w:r>
      <w:r w:rsidR="00F01754">
        <w:rPr>
          <w:rFonts w:ascii="Calibri" w:eastAsia="Times New Roman" w:hAnsi="Calibri" w:cs="Calibri"/>
          <w:color w:val="000000"/>
          <w:sz w:val="24"/>
          <w:szCs w:val="24"/>
          <w:lang w:eastAsia="es-GT"/>
        </w:rPr>
        <w:t>o</w:t>
      </w:r>
      <w:r w:rsidRPr="007717B2">
        <w:rPr>
          <w:rFonts w:ascii="Calibri" w:eastAsia="Times New Roman" w:hAnsi="Calibri" w:cs="Calibri"/>
          <w:color w:val="000000"/>
          <w:sz w:val="24"/>
          <w:szCs w:val="24"/>
          <w:lang w:eastAsia="es-GT"/>
        </w:rPr>
        <w:t xml:space="preserve">ficinas de </w:t>
      </w:r>
      <w:r w:rsidR="00F01754">
        <w:rPr>
          <w:rFonts w:ascii="Calibri" w:eastAsia="Times New Roman" w:hAnsi="Calibri" w:cs="Calibri"/>
          <w:color w:val="000000"/>
          <w:sz w:val="24"/>
          <w:szCs w:val="24"/>
          <w:lang w:eastAsia="es-GT"/>
        </w:rPr>
        <w:t>s</w:t>
      </w:r>
      <w:r w:rsidRPr="007717B2">
        <w:rPr>
          <w:rFonts w:ascii="Calibri" w:eastAsia="Times New Roman" w:hAnsi="Calibri" w:cs="Calibri"/>
          <w:color w:val="000000"/>
          <w:sz w:val="24"/>
          <w:szCs w:val="24"/>
          <w:lang w:eastAsia="es-GT"/>
        </w:rPr>
        <w:t xml:space="preserve">ervicios </w:t>
      </w:r>
      <w:r w:rsidR="00F01754">
        <w:rPr>
          <w:rFonts w:ascii="Calibri" w:eastAsia="Times New Roman" w:hAnsi="Calibri" w:cs="Calibri"/>
          <w:color w:val="000000"/>
          <w:sz w:val="24"/>
          <w:szCs w:val="24"/>
          <w:lang w:eastAsia="es-GT"/>
        </w:rPr>
        <w:t>r</w:t>
      </w:r>
      <w:r w:rsidRPr="007717B2">
        <w:rPr>
          <w:rFonts w:ascii="Calibri" w:eastAsia="Times New Roman" w:hAnsi="Calibri" w:cs="Calibri"/>
          <w:color w:val="000000"/>
          <w:sz w:val="24"/>
          <w:szCs w:val="24"/>
          <w:lang w:eastAsia="es-GT"/>
        </w:rPr>
        <w:t>egistrales en áreas estratégicas del país.</w:t>
      </w:r>
      <w:r w:rsidRPr="007717B2">
        <w:rPr>
          <w:rFonts w:ascii="Calibri" w:eastAsia="Times New Roman" w:hAnsi="Calibri" w:cs="Calibri"/>
          <w:color w:val="000000"/>
          <w:sz w:val="24"/>
          <w:szCs w:val="24"/>
          <w:lang w:val="es-ES" w:eastAsia="es-GT"/>
        </w:rPr>
        <w:t> </w:t>
      </w:r>
    </w:p>
    <w:p w14:paraId="3001468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lo relativo al </w:t>
      </w:r>
      <w:r w:rsidRPr="007717B2">
        <w:rPr>
          <w:rFonts w:ascii="Calibri" w:eastAsia="Times New Roman" w:hAnsi="Calibri" w:cs="Calibri"/>
          <w:b/>
          <w:bCs/>
          <w:i/>
          <w:iCs/>
          <w:color w:val="000000"/>
          <w:sz w:val="24"/>
          <w:szCs w:val="24"/>
          <w:lang w:eastAsia="es-GT"/>
        </w:rPr>
        <w:t>Segundo Registro de la Propiedad,</w:t>
      </w:r>
      <w:r w:rsidRPr="007717B2">
        <w:rPr>
          <w:rFonts w:ascii="Calibri" w:eastAsia="Times New Roman" w:hAnsi="Calibri" w:cs="Calibri"/>
          <w:color w:val="000000"/>
          <w:sz w:val="24"/>
          <w:szCs w:val="24"/>
          <w:lang w:eastAsia="es-GT"/>
        </w:rPr>
        <w:t xml:space="preserve"> sus mayores retos son:</w:t>
      </w:r>
      <w:r w:rsidRPr="007717B2">
        <w:rPr>
          <w:rFonts w:ascii="Calibri" w:eastAsia="Times New Roman" w:hAnsi="Calibri" w:cs="Calibri"/>
          <w:color w:val="000000"/>
          <w:sz w:val="24"/>
          <w:szCs w:val="24"/>
          <w:lang w:val="es-ES" w:eastAsia="es-GT"/>
        </w:rPr>
        <w:t> </w:t>
      </w:r>
    </w:p>
    <w:p w14:paraId="3BFBD587" w14:textId="77777777" w:rsidR="007717B2" w:rsidRPr="007717B2" w:rsidRDefault="007717B2" w:rsidP="003C1D42">
      <w:pPr>
        <w:numPr>
          <w:ilvl w:val="0"/>
          <w:numId w:val="82"/>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Obtener la información estadística de 5 años históricos para realizar las proyecciones para los años futuros.</w:t>
      </w:r>
      <w:r w:rsidRPr="007717B2">
        <w:rPr>
          <w:rFonts w:ascii="Calibri" w:eastAsia="Times New Roman" w:hAnsi="Calibri" w:cs="Calibri"/>
          <w:color w:val="000000"/>
          <w:sz w:val="24"/>
          <w:szCs w:val="24"/>
          <w:lang w:val="es-ES" w:eastAsia="es-GT"/>
        </w:rPr>
        <w:t> </w:t>
      </w:r>
    </w:p>
    <w:p w14:paraId="473B7B20" w14:textId="3437825D" w:rsidR="007717B2" w:rsidRPr="007717B2" w:rsidRDefault="007717B2" w:rsidP="003C1D42">
      <w:pPr>
        <w:numPr>
          <w:ilvl w:val="0"/>
          <w:numId w:val="82"/>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w:t>
      </w:r>
      <w:r w:rsidR="00F01754">
        <w:rPr>
          <w:rFonts w:ascii="Calibri" w:eastAsia="Times New Roman" w:hAnsi="Calibri" w:cs="Calibri"/>
          <w:color w:val="000000"/>
          <w:sz w:val="24"/>
          <w:szCs w:val="24"/>
          <w:lang w:eastAsia="es-GT"/>
        </w:rPr>
        <w:t>d</w:t>
      </w:r>
      <w:r w:rsidRPr="007717B2">
        <w:rPr>
          <w:rFonts w:ascii="Calibri" w:eastAsia="Times New Roman" w:hAnsi="Calibri" w:cs="Calibri"/>
          <w:color w:val="000000"/>
          <w:sz w:val="24"/>
          <w:szCs w:val="24"/>
          <w:lang w:eastAsia="es-GT"/>
        </w:rPr>
        <w:t>escentralización y creación de nuevas sedes en don</w:t>
      </w:r>
      <w:r w:rsidR="00F01754">
        <w:rPr>
          <w:rFonts w:ascii="Calibri" w:eastAsia="Times New Roman" w:hAnsi="Calibri" w:cs="Calibri"/>
          <w:color w:val="000000"/>
          <w:sz w:val="24"/>
          <w:szCs w:val="24"/>
          <w:lang w:eastAsia="es-GT"/>
        </w:rPr>
        <w:t>d</w:t>
      </w:r>
      <w:r w:rsidRPr="007717B2">
        <w:rPr>
          <w:rFonts w:ascii="Calibri" w:eastAsia="Times New Roman" w:hAnsi="Calibri" w:cs="Calibri"/>
          <w:color w:val="000000"/>
          <w:sz w:val="24"/>
          <w:szCs w:val="24"/>
          <w:lang w:eastAsia="es-GT"/>
        </w:rPr>
        <w:t>e tiene competencia el Segundo Registro de la Propiedad.</w:t>
      </w:r>
      <w:r w:rsidRPr="007717B2">
        <w:rPr>
          <w:rFonts w:ascii="Calibri" w:eastAsia="Times New Roman" w:hAnsi="Calibri" w:cs="Calibri"/>
          <w:color w:val="000000"/>
          <w:sz w:val="24"/>
          <w:szCs w:val="24"/>
          <w:lang w:val="es-ES" w:eastAsia="es-GT"/>
        </w:rPr>
        <w:t> </w:t>
      </w:r>
    </w:p>
    <w:p w14:paraId="4FEF67B8" w14:textId="1C77C79B"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En cuanto al </w:t>
      </w:r>
      <w:r w:rsidRPr="007717B2">
        <w:rPr>
          <w:rFonts w:ascii="Calibri" w:eastAsia="Times New Roman" w:hAnsi="Calibri" w:cs="Calibri"/>
          <w:b/>
          <w:bCs/>
          <w:i/>
          <w:iCs/>
          <w:sz w:val="24"/>
          <w:szCs w:val="24"/>
          <w:lang w:eastAsia="es-GT"/>
        </w:rPr>
        <w:t>Registro de Información Catastral de Guatemala (RIC),</w:t>
      </w:r>
      <w:r w:rsidRPr="007717B2">
        <w:rPr>
          <w:rFonts w:ascii="Calibri" w:eastAsia="Times New Roman" w:hAnsi="Calibri" w:cs="Calibri"/>
          <w:sz w:val="24"/>
          <w:szCs w:val="24"/>
          <w:lang w:eastAsia="es-GT"/>
        </w:rPr>
        <w:t xml:space="preserve"> sus principales desafíos a futuro son:</w:t>
      </w:r>
      <w:r w:rsidRPr="007717B2">
        <w:rPr>
          <w:rFonts w:ascii="Calibri" w:eastAsia="Times New Roman" w:hAnsi="Calibri" w:cs="Calibri"/>
          <w:sz w:val="24"/>
          <w:szCs w:val="24"/>
          <w:lang w:val="es-ES" w:eastAsia="es-GT"/>
        </w:rPr>
        <w:t> </w:t>
      </w:r>
    </w:p>
    <w:p w14:paraId="2E6AE9AB" w14:textId="77777777" w:rsidR="007717B2" w:rsidRPr="007717B2" w:rsidRDefault="007717B2" w:rsidP="003C1D42">
      <w:pPr>
        <w:numPr>
          <w:ilvl w:val="0"/>
          <w:numId w:val="83"/>
        </w:numPr>
        <w:spacing w:before="120" w:after="120" w:line="240" w:lineRule="auto"/>
        <w:ind w:left="714" w:hanging="357"/>
        <w:contextualSpacing/>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Incrementar la meta física de regularización de la tenencia de la tierra de posesionarios es un desafío porque es un proceso que debe contar con el interés de las autoridades locales (municipalidades y COCODES) y personas a beneficiar e instituciones participantes (RGP) para coadyuvar al logro de la certeza y seguridad jurídica de la tenencia de la tierra.</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val="es-ES" w:eastAsia="es-GT"/>
        </w:rPr>
        <w:br/>
      </w:r>
    </w:p>
    <w:p w14:paraId="56930735" w14:textId="5090F430" w:rsidR="007717B2" w:rsidRPr="00F01754" w:rsidRDefault="007717B2" w:rsidP="003C1D42">
      <w:pPr>
        <w:numPr>
          <w:ilvl w:val="0"/>
          <w:numId w:val="83"/>
        </w:numPr>
        <w:spacing w:before="120" w:after="120" w:line="240" w:lineRule="auto"/>
        <w:ind w:left="714" w:hanging="357"/>
        <w:contextualSpacing/>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Incrementar el % de municipios catastrados cada vez es más complejo debido a la conflictividad agraria y poco presupuesto que recibe la institución y el proceso catastral es bastante costoso debido a que es un catastro jurídico. </w:t>
      </w:r>
      <w:r w:rsidRPr="007717B2">
        <w:rPr>
          <w:rFonts w:ascii="Calibri" w:eastAsia="Times New Roman" w:hAnsi="Calibri" w:cs="Calibri"/>
          <w:color w:val="000000"/>
          <w:sz w:val="24"/>
          <w:szCs w:val="24"/>
          <w:lang w:val="es-ES" w:eastAsia="es-GT"/>
        </w:rPr>
        <w:t> </w:t>
      </w:r>
    </w:p>
    <w:p w14:paraId="63F4BD70" w14:textId="3F145006" w:rsidR="00F01754" w:rsidRDefault="00F01754" w:rsidP="00F01754">
      <w:pPr>
        <w:spacing w:before="120" w:after="120" w:line="240" w:lineRule="auto"/>
        <w:contextualSpacing/>
        <w:jc w:val="both"/>
        <w:textAlignment w:val="baseline"/>
        <w:rPr>
          <w:rFonts w:ascii="Calibri" w:eastAsia="Times New Roman" w:hAnsi="Calibri" w:cs="Calibri"/>
          <w:sz w:val="24"/>
          <w:szCs w:val="24"/>
          <w:lang w:val="es-ES" w:eastAsia="es-GT"/>
        </w:rPr>
      </w:pPr>
    </w:p>
    <w:p w14:paraId="094EC3F5" w14:textId="77777777" w:rsidR="00F01754" w:rsidRPr="007717B2" w:rsidRDefault="00F01754" w:rsidP="00F01754">
      <w:pPr>
        <w:spacing w:before="120" w:after="120" w:line="240" w:lineRule="auto"/>
        <w:contextualSpacing/>
        <w:jc w:val="both"/>
        <w:textAlignment w:val="baseline"/>
        <w:rPr>
          <w:rFonts w:ascii="Calibri" w:eastAsia="Times New Roman" w:hAnsi="Calibri" w:cs="Calibri"/>
          <w:sz w:val="24"/>
          <w:szCs w:val="24"/>
          <w:lang w:val="es-ES" w:eastAsia="es-GT"/>
        </w:rPr>
      </w:pPr>
    </w:p>
    <w:p w14:paraId="61885E0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Pr="007717B2">
        <w:rPr>
          <w:rFonts w:ascii="Calibri" w:eastAsia="Times New Roman" w:hAnsi="Calibri" w:cs="Calibri"/>
          <w:b/>
          <w:bCs/>
          <w:i/>
          <w:iCs/>
          <w:color w:val="000000"/>
          <w:sz w:val="24"/>
          <w:szCs w:val="24"/>
          <w:lang w:eastAsia="es-GT"/>
        </w:rPr>
        <w:t>Instituto Nacional de Bosques (INAB),</w:t>
      </w:r>
      <w:r w:rsidRPr="007717B2">
        <w:rPr>
          <w:rFonts w:ascii="Calibri" w:eastAsia="Times New Roman" w:hAnsi="Calibri" w:cs="Calibri"/>
          <w:color w:val="000000"/>
          <w:sz w:val="24"/>
          <w:szCs w:val="24"/>
          <w:lang w:eastAsia="es-GT"/>
        </w:rPr>
        <w:t xml:space="preserve"> los desafíos que encara son los siguientes:</w:t>
      </w:r>
      <w:r w:rsidRPr="007717B2">
        <w:rPr>
          <w:rFonts w:ascii="Calibri" w:eastAsia="Times New Roman" w:hAnsi="Calibri" w:cs="Calibri"/>
          <w:color w:val="000000"/>
          <w:sz w:val="24"/>
          <w:szCs w:val="24"/>
          <w:lang w:val="es-ES" w:eastAsia="es-GT"/>
        </w:rPr>
        <w:t> </w:t>
      </w:r>
    </w:p>
    <w:p w14:paraId="478C5AAF" w14:textId="77777777" w:rsidR="007717B2" w:rsidRPr="007717B2" w:rsidRDefault="007717B2" w:rsidP="003C1D42">
      <w:pPr>
        <w:numPr>
          <w:ilvl w:val="0"/>
          <w:numId w:val="8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Mayor fomento al manejo forestal productivo y a la restauración de los bosques como mecanismo para reducir la ilegalidad.</w:t>
      </w:r>
      <w:r w:rsidRPr="007717B2">
        <w:rPr>
          <w:rFonts w:ascii="Calibri" w:eastAsia="Times New Roman" w:hAnsi="Calibri" w:cs="Calibri"/>
          <w:color w:val="000000"/>
          <w:sz w:val="24"/>
          <w:szCs w:val="24"/>
          <w:lang w:val="es-ES" w:eastAsia="es-GT"/>
        </w:rPr>
        <w:t> </w:t>
      </w:r>
    </w:p>
    <w:p w14:paraId="6E7FB620" w14:textId="70F88C97" w:rsidR="007717B2" w:rsidRPr="007717B2" w:rsidRDefault="007717B2" w:rsidP="003C1D42">
      <w:pPr>
        <w:numPr>
          <w:ilvl w:val="0"/>
          <w:numId w:val="8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Mayor fomento a plantaciones y </w:t>
      </w:r>
      <w:r w:rsidR="00C577E5">
        <w:rPr>
          <w:rFonts w:ascii="Calibri" w:eastAsia="Times New Roman" w:hAnsi="Calibri" w:cs="Calibri"/>
          <w:color w:val="000000"/>
          <w:sz w:val="24"/>
          <w:szCs w:val="24"/>
          <w:lang w:eastAsia="es-GT"/>
        </w:rPr>
        <w:t>sistemas agroforestales</w:t>
      </w:r>
      <w:r w:rsidRPr="007717B2">
        <w:rPr>
          <w:rFonts w:ascii="Calibri" w:eastAsia="Times New Roman" w:hAnsi="Calibri" w:cs="Calibri"/>
          <w:color w:val="000000"/>
          <w:sz w:val="24"/>
          <w:szCs w:val="24"/>
          <w:lang w:eastAsia="es-GT"/>
        </w:rPr>
        <w:t>, para incrementar la recuperación de tierras forestales y atender la demanda de materia prima para la industria y fuente de energía.</w:t>
      </w:r>
      <w:r w:rsidRPr="007717B2">
        <w:rPr>
          <w:rFonts w:ascii="Calibri" w:eastAsia="Times New Roman" w:hAnsi="Calibri" w:cs="Calibri"/>
          <w:color w:val="000000"/>
          <w:sz w:val="24"/>
          <w:szCs w:val="24"/>
          <w:lang w:val="es-ES" w:eastAsia="es-GT"/>
        </w:rPr>
        <w:t> </w:t>
      </w:r>
    </w:p>
    <w:p w14:paraId="347ADF9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parte, el </w:t>
      </w:r>
      <w:r w:rsidRPr="007717B2">
        <w:rPr>
          <w:rFonts w:ascii="Calibri" w:eastAsia="Times New Roman" w:hAnsi="Calibri" w:cs="Calibri"/>
          <w:b/>
          <w:bCs/>
          <w:i/>
          <w:iCs/>
          <w:color w:val="000000"/>
          <w:sz w:val="24"/>
          <w:szCs w:val="24"/>
          <w:lang w:eastAsia="es-GT"/>
        </w:rPr>
        <w:t>Fondo de Desarrollo Indígena Guatemalteco (FODIGUA),</w:t>
      </w:r>
      <w:r w:rsidRPr="007717B2">
        <w:rPr>
          <w:rFonts w:ascii="Calibri" w:eastAsia="Times New Roman" w:hAnsi="Calibri" w:cs="Calibri"/>
          <w:color w:val="000000"/>
          <w:sz w:val="24"/>
          <w:szCs w:val="24"/>
          <w:lang w:eastAsia="es-GT"/>
        </w:rPr>
        <w:t xml:space="preserve"> encara los siguientes retos:</w:t>
      </w:r>
      <w:r w:rsidRPr="007717B2">
        <w:rPr>
          <w:rFonts w:ascii="Calibri" w:eastAsia="Times New Roman" w:hAnsi="Calibri" w:cs="Calibri"/>
          <w:color w:val="000000"/>
          <w:sz w:val="24"/>
          <w:szCs w:val="24"/>
          <w:lang w:val="es-ES" w:eastAsia="es-GT"/>
        </w:rPr>
        <w:t> </w:t>
      </w:r>
    </w:p>
    <w:p w14:paraId="68DF6D8E" w14:textId="77777777" w:rsidR="007717B2" w:rsidRPr="007717B2" w:rsidRDefault="007717B2" w:rsidP="003C1D42">
      <w:pPr>
        <w:numPr>
          <w:ilvl w:val="0"/>
          <w:numId w:val="84"/>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Determinar la estructura de los estudios necesarios sobre la cultura y cosmovisión de los pueblos indígenas </w:t>
      </w:r>
    </w:p>
    <w:p w14:paraId="5E7ABD0C" w14:textId="77777777" w:rsidR="007717B2" w:rsidRPr="007717B2" w:rsidRDefault="007717B2" w:rsidP="003C1D42">
      <w:pPr>
        <w:numPr>
          <w:ilvl w:val="0"/>
          <w:numId w:val="8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Mejorar la dinámica en el cumplimiento de metas físicas según tiempos de adquisición de los recursos.</w:t>
      </w:r>
      <w:r w:rsidRPr="007717B2">
        <w:rPr>
          <w:rFonts w:ascii="Calibri" w:eastAsia="Times New Roman" w:hAnsi="Calibri" w:cs="Calibri"/>
          <w:color w:val="000000"/>
          <w:sz w:val="24"/>
          <w:szCs w:val="24"/>
          <w:lang w:val="es-ES" w:eastAsia="es-GT"/>
        </w:rPr>
        <w:t> </w:t>
      </w:r>
    </w:p>
    <w:p w14:paraId="25B354B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La</w:t>
      </w:r>
      <w:r w:rsidRPr="007717B2">
        <w:rPr>
          <w:rFonts w:ascii="Calibri" w:eastAsia="Times New Roman" w:hAnsi="Calibri" w:cs="Calibri"/>
          <w:b/>
          <w:bCs/>
          <w:sz w:val="24"/>
          <w:szCs w:val="24"/>
          <w:lang w:eastAsia="es-GT"/>
        </w:rPr>
        <w:t xml:space="preserve"> </w:t>
      </w:r>
      <w:r w:rsidRPr="007717B2">
        <w:rPr>
          <w:rFonts w:ascii="Calibri" w:eastAsia="Times New Roman" w:hAnsi="Calibri" w:cs="Calibri"/>
          <w:b/>
          <w:bCs/>
          <w:i/>
          <w:iCs/>
          <w:sz w:val="24"/>
          <w:szCs w:val="24"/>
          <w:lang w:eastAsia="es-GT"/>
        </w:rPr>
        <w:t xml:space="preserve">Academia de Lenguas Mayas de Guatemala (ALMG), </w:t>
      </w:r>
      <w:r w:rsidRPr="007717B2">
        <w:rPr>
          <w:rFonts w:ascii="Calibri" w:eastAsia="Times New Roman" w:hAnsi="Calibri" w:cs="Calibri"/>
          <w:sz w:val="24"/>
          <w:szCs w:val="24"/>
          <w:lang w:eastAsia="es-GT"/>
        </w:rPr>
        <w:t>tiene ante sí dos desafíos especialmente relevantes:</w:t>
      </w:r>
      <w:r w:rsidRPr="007717B2">
        <w:rPr>
          <w:rFonts w:ascii="Calibri" w:eastAsia="Times New Roman" w:hAnsi="Calibri" w:cs="Calibri"/>
          <w:sz w:val="24"/>
          <w:szCs w:val="24"/>
          <w:lang w:val="es-ES" w:eastAsia="es-GT"/>
        </w:rPr>
        <w:t> </w:t>
      </w:r>
    </w:p>
    <w:p w14:paraId="6BC6DFA0" w14:textId="77777777" w:rsidR="007717B2" w:rsidRPr="007717B2" w:rsidRDefault="007717B2" w:rsidP="003C1D42">
      <w:pPr>
        <w:numPr>
          <w:ilvl w:val="0"/>
          <w:numId w:val="84"/>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Implementar instrumentos de control y seguimiento para lograr las metas programadas en el año. </w:t>
      </w:r>
    </w:p>
    <w:p w14:paraId="477DFED3" w14:textId="77777777" w:rsidR="007717B2" w:rsidRPr="007717B2" w:rsidRDefault="007717B2" w:rsidP="003C1D42">
      <w:pPr>
        <w:numPr>
          <w:ilvl w:val="0"/>
          <w:numId w:val="8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Analizar el avance de los productos elementales en temas de formación, promoción y difusión de los idiomas mayas en los 5 productos de la estructura programática.</w:t>
      </w:r>
      <w:r w:rsidRPr="007717B2">
        <w:rPr>
          <w:rFonts w:ascii="Calibri" w:eastAsia="Times New Roman" w:hAnsi="Calibri" w:cs="Calibri"/>
          <w:color w:val="000000"/>
          <w:sz w:val="24"/>
          <w:szCs w:val="24"/>
          <w:lang w:val="es-ES" w:eastAsia="es-GT"/>
        </w:rPr>
        <w:t> </w:t>
      </w:r>
    </w:p>
    <w:p w14:paraId="47A5CEA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al </w:t>
      </w:r>
      <w:r w:rsidRPr="007717B2">
        <w:rPr>
          <w:rFonts w:ascii="Calibri" w:eastAsia="Times New Roman" w:hAnsi="Calibri" w:cs="Calibri"/>
          <w:b/>
          <w:bCs/>
          <w:i/>
          <w:iCs/>
          <w:color w:val="000000"/>
          <w:sz w:val="24"/>
          <w:szCs w:val="24"/>
          <w:lang w:eastAsia="es-GT"/>
        </w:rPr>
        <w:t>Consejo Nacional para la Atención a Personas con Discapacidad (CONADI),</w:t>
      </w:r>
      <w:r w:rsidRPr="007717B2">
        <w:rPr>
          <w:rFonts w:ascii="Calibri" w:eastAsia="Times New Roman" w:hAnsi="Calibri" w:cs="Calibri"/>
          <w:color w:val="000000"/>
          <w:sz w:val="24"/>
          <w:szCs w:val="24"/>
          <w:lang w:eastAsia="es-GT"/>
        </w:rPr>
        <w:t xml:space="preserve"> su mayor reto es mejorar la planificación operativa de la institución, mediante la mejora en la definición de productos, subproductos y metas físicas, permitiendo mejorar la ejecución física y financiera de los programas</w:t>
      </w:r>
      <w:r w:rsidRPr="007717B2">
        <w:rPr>
          <w:rFonts w:ascii="Calibri" w:eastAsia="Times New Roman" w:hAnsi="Calibri" w:cs="Calibri"/>
          <w:color w:val="000000"/>
          <w:sz w:val="24"/>
          <w:szCs w:val="24"/>
          <w:lang w:val="es-ES" w:eastAsia="es-GT"/>
        </w:rPr>
        <w:t> </w:t>
      </w:r>
    </w:p>
    <w:p w14:paraId="3EF69D8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Por su parte, el </w:t>
      </w:r>
      <w:r w:rsidRPr="007717B2">
        <w:rPr>
          <w:rFonts w:ascii="Calibri" w:eastAsia="Times New Roman" w:hAnsi="Calibri" w:cs="Calibri"/>
          <w:b/>
          <w:bCs/>
          <w:i/>
          <w:iCs/>
          <w:sz w:val="24"/>
          <w:szCs w:val="24"/>
          <w:lang w:eastAsia="es-GT"/>
        </w:rPr>
        <w:t>Consejo Nacional de Áreas Protegidas (CONAP),</w:t>
      </w:r>
      <w:r w:rsidRPr="007717B2">
        <w:rPr>
          <w:rFonts w:ascii="Calibri" w:eastAsia="Times New Roman" w:hAnsi="Calibri" w:cs="Calibri"/>
          <w:b/>
          <w:bCs/>
          <w:sz w:val="24"/>
          <w:szCs w:val="24"/>
          <w:lang w:eastAsia="es-GT"/>
        </w:rPr>
        <w:t xml:space="preserve"> </w:t>
      </w:r>
      <w:r w:rsidRPr="007717B2">
        <w:rPr>
          <w:rFonts w:ascii="Calibri" w:eastAsia="Times New Roman" w:hAnsi="Calibri" w:cs="Calibri"/>
          <w:sz w:val="24"/>
          <w:szCs w:val="24"/>
          <w:lang w:eastAsia="es-GT"/>
        </w:rPr>
        <w:t>deberá enfrentarse al desafío siguiente:</w:t>
      </w:r>
      <w:r w:rsidRPr="007717B2">
        <w:rPr>
          <w:rFonts w:ascii="Calibri" w:eastAsia="Times New Roman" w:hAnsi="Calibri" w:cs="Calibri"/>
          <w:sz w:val="24"/>
          <w:szCs w:val="24"/>
          <w:lang w:val="es-ES" w:eastAsia="es-GT"/>
        </w:rPr>
        <w:t> </w:t>
      </w:r>
    </w:p>
    <w:p w14:paraId="372FBBE8" w14:textId="77777777" w:rsidR="00263794" w:rsidRDefault="007717B2" w:rsidP="009A4DB3">
      <w:pPr>
        <w:numPr>
          <w:ilvl w:val="0"/>
          <w:numId w:val="85"/>
        </w:numPr>
        <w:tabs>
          <w:tab w:val="clear" w:pos="1068"/>
          <w:tab w:val="left" w:pos="426"/>
        </w:tabs>
        <w:spacing w:before="120" w:after="120" w:line="240" w:lineRule="auto"/>
        <w:ind w:left="709"/>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Se han realizado gestiones pertinentes para el correcto abastecimiento del recurso financiero, que en materia corresponda, con la finalidad de dar viabilidad a todas las acciones, actividades, planes, u otras que promuevan, inciden y prioricen la función, para beneficio de la sociedad guatemalteca. </w:t>
      </w:r>
    </w:p>
    <w:p w14:paraId="6B7A0FDB" w14:textId="6E3660E2" w:rsidR="007717B2" w:rsidRPr="00263794" w:rsidRDefault="007717B2" w:rsidP="00263794">
      <w:pPr>
        <w:spacing w:before="120" w:after="120" w:line="240" w:lineRule="auto"/>
        <w:jc w:val="both"/>
        <w:textAlignment w:val="baseline"/>
        <w:rPr>
          <w:rFonts w:ascii="Calibri" w:eastAsia="Times New Roman" w:hAnsi="Calibri" w:cs="Calibri"/>
          <w:sz w:val="24"/>
          <w:szCs w:val="24"/>
          <w:lang w:val="es-ES" w:eastAsia="es-GT"/>
        </w:rPr>
      </w:pPr>
      <w:r w:rsidRPr="00263794">
        <w:rPr>
          <w:rFonts w:ascii="Calibri" w:eastAsia="Times New Roman" w:hAnsi="Calibri" w:cs="Calibri"/>
          <w:sz w:val="24"/>
          <w:szCs w:val="24"/>
          <w:lang w:eastAsia="es-GT"/>
        </w:rPr>
        <w:t xml:space="preserve">El </w:t>
      </w:r>
      <w:r w:rsidRPr="00263794">
        <w:rPr>
          <w:rFonts w:ascii="Calibri" w:eastAsia="Times New Roman" w:hAnsi="Calibri" w:cs="Calibri"/>
          <w:b/>
          <w:bCs/>
          <w:i/>
          <w:iCs/>
          <w:sz w:val="24"/>
          <w:szCs w:val="24"/>
          <w:lang w:eastAsia="es-GT"/>
        </w:rPr>
        <w:t xml:space="preserve">Fondo de Tierras </w:t>
      </w:r>
      <w:r w:rsidRPr="00263794">
        <w:rPr>
          <w:rFonts w:ascii="Calibri" w:eastAsia="Times New Roman" w:hAnsi="Calibri" w:cs="Calibri"/>
          <w:sz w:val="24"/>
          <w:szCs w:val="24"/>
          <w:lang w:eastAsia="es-GT"/>
        </w:rPr>
        <w:t>encara los retos siguientes:</w:t>
      </w:r>
      <w:r w:rsidRPr="00263794">
        <w:rPr>
          <w:rFonts w:ascii="Calibri" w:eastAsia="Times New Roman" w:hAnsi="Calibri" w:cs="Calibri"/>
          <w:sz w:val="24"/>
          <w:szCs w:val="24"/>
          <w:lang w:val="es-ES" w:eastAsia="es-GT"/>
        </w:rPr>
        <w:t> </w:t>
      </w:r>
    </w:p>
    <w:p w14:paraId="44BF3D45" w14:textId="77777777" w:rsidR="007717B2" w:rsidRPr="007717B2" w:rsidRDefault="007717B2" w:rsidP="003C1D42">
      <w:pPr>
        <w:numPr>
          <w:ilvl w:val="0"/>
          <w:numId w:val="85"/>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Fortalecimiento organizacional a los grupos desde el momento que se inicia el trámite y en el proceso de conformación de las figuras jurídicas en el Fondo de Tierras.  </w:t>
      </w:r>
    </w:p>
    <w:p w14:paraId="779E4B84" w14:textId="26F2F028" w:rsidR="007717B2" w:rsidRPr="007717B2" w:rsidRDefault="007717B2" w:rsidP="003C1D42">
      <w:pPr>
        <w:numPr>
          <w:ilvl w:val="0"/>
          <w:numId w:val="85"/>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Nivelación educativa de los solicitantes para que se constituyan </w:t>
      </w:r>
      <w:r w:rsidR="00DD2516">
        <w:rPr>
          <w:rFonts w:ascii="Calibri" w:eastAsia="Times New Roman" w:hAnsi="Calibri" w:cs="Calibri"/>
          <w:color w:val="000000"/>
          <w:sz w:val="24"/>
          <w:szCs w:val="24"/>
          <w:lang w:eastAsia="es-GT"/>
        </w:rPr>
        <w:t>e</w:t>
      </w:r>
      <w:r w:rsidRPr="007717B2">
        <w:rPr>
          <w:rFonts w:ascii="Calibri" w:eastAsia="Times New Roman" w:hAnsi="Calibri" w:cs="Calibri"/>
          <w:color w:val="000000"/>
          <w:sz w:val="24"/>
          <w:szCs w:val="24"/>
          <w:lang w:eastAsia="es-GT"/>
        </w:rPr>
        <w:t xml:space="preserve">mpresas líderes en la Producción Agropecuaria, Forestal e Hidrobiológica y constituirse en Agroindustriales e integradas a las Cadenas de Producción Nacional. </w:t>
      </w:r>
      <w:r w:rsidRPr="007717B2">
        <w:rPr>
          <w:rFonts w:ascii="Calibri" w:eastAsia="Times New Roman" w:hAnsi="Calibri" w:cs="Calibri"/>
          <w:color w:val="000000"/>
          <w:sz w:val="24"/>
          <w:szCs w:val="24"/>
          <w:lang w:val="es-ES" w:eastAsia="es-GT"/>
        </w:rPr>
        <w:t> </w:t>
      </w:r>
    </w:p>
    <w:p w14:paraId="0EC403C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Por su parte, el </w:t>
      </w:r>
      <w:r w:rsidRPr="007717B2">
        <w:rPr>
          <w:rFonts w:ascii="Calibri" w:eastAsia="Times New Roman" w:hAnsi="Calibri" w:cs="Calibri"/>
          <w:b/>
          <w:bCs/>
          <w:i/>
          <w:iCs/>
          <w:sz w:val="24"/>
          <w:szCs w:val="24"/>
          <w:lang w:eastAsia="es-GT"/>
        </w:rPr>
        <w:t>Consejo Nacional de Adopciones (CNA),</w:t>
      </w:r>
      <w:r w:rsidRPr="007717B2">
        <w:rPr>
          <w:rFonts w:ascii="Calibri" w:eastAsia="Times New Roman" w:hAnsi="Calibri" w:cs="Calibri"/>
          <w:sz w:val="24"/>
          <w:szCs w:val="24"/>
          <w:lang w:eastAsia="es-GT"/>
        </w:rPr>
        <w:t xml:space="preserve"> se presentan como retos los siguientes:</w:t>
      </w:r>
      <w:r w:rsidRPr="007717B2">
        <w:rPr>
          <w:rFonts w:ascii="Calibri" w:eastAsia="Times New Roman" w:hAnsi="Calibri" w:cs="Calibri"/>
          <w:sz w:val="24"/>
          <w:szCs w:val="24"/>
          <w:lang w:val="es-ES" w:eastAsia="es-GT"/>
        </w:rPr>
        <w:t> </w:t>
      </w:r>
    </w:p>
    <w:p w14:paraId="10D2012D" w14:textId="77777777" w:rsidR="007717B2" w:rsidRPr="007717B2" w:rsidRDefault="007717B2" w:rsidP="003C1D42">
      <w:pPr>
        <w:numPr>
          <w:ilvl w:val="0"/>
          <w:numId w:val="85"/>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Para el caso de los productos/subproductos que no alcanzaron el total de la meta programada, implementar las acciones que permitan cumplir con el avance programado, principalmente con el producto NNA integrados en familias adoptivas, para promover que más familias se interesen en perfiles de NNA prioritarios. </w:t>
      </w:r>
    </w:p>
    <w:p w14:paraId="6383D5F1" w14:textId="77777777" w:rsidR="007717B2" w:rsidRPr="007717B2" w:rsidRDefault="007717B2" w:rsidP="003C1D42">
      <w:pPr>
        <w:numPr>
          <w:ilvl w:val="0"/>
          <w:numId w:val="85"/>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Fortalecer el seguimiento y monitoreo del cumplimiento de los requisitos que deben presentar los hogares de abrigo y protección, para garantizar la autorización o revalidación oportuna de las entidades que se dedican al cuidado de niños, niñas y adolescentes.</w:t>
      </w:r>
      <w:r w:rsidRPr="007717B2">
        <w:rPr>
          <w:rFonts w:ascii="Calibri" w:eastAsia="Times New Roman" w:hAnsi="Calibri" w:cs="Calibri"/>
          <w:color w:val="000000"/>
          <w:sz w:val="24"/>
          <w:szCs w:val="24"/>
          <w:lang w:val="es-ES" w:eastAsia="es-GT"/>
        </w:rPr>
        <w:t> </w:t>
      </w:r>
    </w:p>
    <w:p w14:paraId="53B35A0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En cuanto al </w:t>
      </w:r>
      <w:r w:rsidRPr="007717B2">
        <w:rPr>
          <w:rFonts w:ascii="Calibri" w:eastAsia="Times New Roman" w:hAnsi="Calibri" w:cs="Calibri"/>
          <w:b/>
          <w:bCs/>
          <w:i/>
          <w:iCs/>
          <w:sz w:val="24"/>
          <w:szCs w:val="24"/>
          <w:lang w:eastAsia="es-GT"/>
        </w:rPr>
        <w:t>Comité Nacional de Alfabetización (CONALFA),</w:t>
      </w:r>
      <w:r w:rsidRPr="007717B2">
        <w:rPr>
          <w:rFonts w:ascii="Calibri" w:eastAsia="Times New Roman" w:hAnsi="Calibri" w:cs="Calibri"/>
          <w:sz w:val="24"/>
          <w:szCs w:val="24"/>
          <w:lang w:eastAsia="es-GT"/>
        </w:rPr>
        <w:t xml:space="preserve"> sus desafíos son los siguientes:</w:t>
      </w:r>
      <w:r w:rsidRPr="007717B2">
        <w:rPr>
          <w:rFonts w:ascii="Calibri" w:eastAsia="Times New Roman" w:hAnsi="Calibri" w:cs="Calibri"/>
          <w:sz w:val="24"/>
          <w:szCs w:val="24"/>
          <w:lang w:val="es-ES" w:eastAsia="es-GT"/>
        </w:rPr>
        <w:t> </w:t>
      </w:r>
    </w:p>
    <w:p w14:paraId="22920328" w14:textId="60EF402D" w:rsidR="007717B2" w:rsidRPr="007717B2" w:rsidRDefault="007717B2" w:rsidP="003C1D42">
      <w:pPr>
        <w:numPr>
          <w:ilvl w:val="0"/>
          <w:numId w:val="85"/>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Dar seguimiento a los instrumentos de planificación (Plan Estratégico 2022-2032, Plan Operativo Multianual 2023-2027 y Plan Operativo Anual 2023, de forma financiera, técnica y administrativa, para mejorar el desempeño institucional en la ejecución de las metas físicas y financieras proyectadas. </w:t>
      </w:r>
    </w:p>
    <w:p w14:paraId="568FE0FC" w14:textId="6A80F06E" w:rsidR="007717B2" w:rsidRPr="009F2209" w:rsidRDefault="007717B2" w:rsidP="003C1D42">
      <w:pPr>
        <w:numPr>
          <w:ilvl w:val="0"/>
          <w:numId w:val="85"/>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Alcanzar y retener las metas establecidas en los programas español y bilingüe, en sus diferentes fases y etapas, durante el proceso de alfabetización.</w:t>
      </w:r>
      <w:r w:rsidRPr="007717B2">
        <w:rPr>
          <w:rFonts w:ascii="Calibri" w:eastAsia="Times New Roman" w:hAnsi="Calibri" w:cs="Calibri"/>
          <w:color w:val="000000"/>
          <w:sz w:val="24"/>
          <w:szCs w:val="24"/>
          <w:lang w:val="es-ES" w:eastAsia="es-GT"/>
        </w:rPr>
        <w:t> </w:t>
      </w:r>
    </w:p>
    <w:p w14:paraId="68B6FA0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 la </w:t>
      </w:r>
      <w:r w:rsidRPr="007717B2">
        <w:rPr>
          <w:rFonts w:ascii="Calibri" w:eastAsia="Times New Roman" w:hAnsi="Calibri" w:cs="Calibri"/>
          <w:b/>
          <w:bCs/>
          <w:i/>
          <w:iCs/>
          <w:color w:val="000000"/>
          <w:sz w:val="24"/>
          <w:szCs w:val="24"/>
          <w:lang w:eastAsia="es-GT"/>
        </w:rPr>
        <w:t>Secretaría Ejecutiva de la Instancia Coordinadora de la Modernización del Sector Justicia,</w:t>
      </w:r>
      <w:r w:rsidRPr="007717B2">
        <w:rPr>
          <w:rFonts w:ascii="Calibri" w:eastAsia="Times New Roman" w:hAnsi="Calibri" w:cs="Calibri"/>
          <w:color w:val="000000"/>
          <w:sz w:val="24"/>
          <w:szCs w:val="24"/>
          <w:lang w:eastAsia="es-GT"/>
        </w:rPr>
        <w:t xml:space="preserve"> sus desafíos son: </w:t>
      </w:r>
      <w:r w:rsidRPr="007717B2">
        <w:rPr>
          <w:rFonts w:ascii="Calibri" w:eastAsia="Times New Roman" w:hAnsi="Calibri" w:cs="Calibri"/>
          <w:color w:val="000000"/>
          <w:sz w:val="24"/>
          <w:szCs w:val="24"/>
          <w:lang w:val="es-ES" w:eastAsia="es-GT"/>
        </w:rPr>
        <w:t> </w:t>
      </w:r>
    </w:p>
    <w:p w14:paraId="4EA23675" w14:textId="77777777" w:rsidR="007717B2" w:rsidRPr="007717B2" w:rsidRDefault="007717B2" w:rsidP="003C1D42">
      <w:pPr>
        <w:numPr>
          <w:ilvl w:val="0"/>
          <w:numId w:val="85"/>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Generación y actualización de metas y requerimientos de las distintas instituciones que conforman la ICMSJ, teniendo poco tiempo para poder ejecutarse, previo a que se termine el plazo de ejecución del Programa PREVI. </w:t>
      </w:r>
    </w:p>
    <w:p w14:paraId="400FF986" w14:textId="77777777" w:rsidR="007717B2" w:rsidRPr="007717B2" w:rsidRDefault="007717B2" w:rsidP="003C1D42">
      <w:pPr>
        <w:numPr>
          <w:ilvl w:val="0"/>
          <w:numId w:val="85"/>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Agilización en el traslado de las necesidades de las instituciones que conforman la ICMSJ, para poder darle trámite a las mismas y así poder ejecutar.</w:t>
      </w:r>
      <w:r w:rsidRPr="007717B2">
        <w:rPr>
          <w:rFonts w:ascii="Calibri" w:eastAsia="Times New Roman" w:hAnsi="Calibri" w:cs="Calibri"/>
          <w:color w:val="000000"/>
          <w:sz w:val="24"/>
          <w:szCs w:val="24"/>
          <w:lang w:val="es-ES" w:eastAsia="es-GT"/>
        </w:rPr>
        <w:t> </w:t>
      </w:r>
    </w:p>
    <w:p w14:paraId="3FE46D69" w14:textId="77777777"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Entidades descentralizadas y autónomas </w:t>
      </w:r>
    </w:p>
    <w:p w14:paraId="394625E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parte, el </w:t>
      </w:r>
      <w:r w:rsidRPr="007717B2">
        <w:rPr>
          <w:rFonts w:ascii="Calibri" w:eastAsia="Times New Roman" w:hAnsi="Calibri" w:cs="Calibri"/>
          <w:b/>
          <w:bCs/>
          <w:i/>
          <w:iCs/>
          <w:color w:val="000000"/>
          <w:sz w:val="24"/>
          <w:szCs w:val="24"/>
          <w:lang w:eastAsia="es-GT"/>
        </w:rPr>
        <w:t>Instituto Nacional de Electrificación (INDE),</w:t>
      </w:r>
      <w:r w:rsidRPr="007717B2">
        <w:rPr>
          <w:rFonts w:ascii="Calibri" w:eastAsia="Times New Roman" w:hAnsi="Calibri" w:cs="Calibri"/>
          <w:color w:val="000000"/>
          <w:sz w:val="24"/>
          <w:szCs w:val="24"/>
          <w:lang w:eastAsia="es-GT"/>
        </w:rPr>
        <w:t xml:space="preserve"> se enfrenta a los desafíos siguientes:</w:t>
      </w:r>
      <w:r w:rsidRPr="007717B2">
        <w:rPr>
          <w:rFonts w:ascii="Calibri" w:eastAsia="Times New Roman" w:hAnsi="Calibri" w:cs="Calibri"/>
          <w:color w:val="000000"/>
          <w:sz w:val="24"/>
          <w:szCs w:val="24"/>
          <w:lang w:val="es-ES" w:eastAsia="es-GT"/>
        </w:rPr>
        <w:t> </w:t>
      </w:r>
    </w:p>
    <w:p w14:paraId="53297ADE"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Mantener el cumplimiento de los proyectos de electrificación rural, específicamente en las áreas más lluviosas, y dispersas del país por fenómenos naturales, así como en áreas de gestión diferenciada.</w:t>
      </w:r>
      <w:r w:rsidRPr="007717B2">
        <w:rPr>
          <w:rFonts w:ascii="Calibri" w:eastAsia="Times New Roman" w:hAnsi="Calibri" w:cs="Calibri"/>
          <w:color w:val="000000"/>
          <w:sz w:val="24"/>
          <w:szCs w:val="24"/>
          <w:lang w:val="es-ES" w:eastAsia="es-GT"/>
        </w:rPr>
        <w:t> </w:t>
      </w:r>
    </w:p>
    <w:p w14:paraId="795B6FF6"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Cumplir con los Productos:  1. Operación y Mantenimiento de Plantas de Generación de Energía Eléctrica y 2. Coordinación de los Mantenimientos de la Red, para lograr una fiabilidad en la entrega de Energía y Potencia suministrados por INDE a la Red del Sistema Nacional Interconectado SNI-</w:t>
      </w:r>
      <w:r w:rsidRPr="007717B2">
        <w:rPr>
          <w:rFonts w:ascii="Calibri" w:eastAsia="Times New Roman" w:hAnsi="Calibri" w:cs="Calibri"/>
          <w:color w:val="000000"/>
          <w:sz w:val="24"/>
          <w:szCs w:val="24"/>
          <w:lang w:val="es-ES" w:eastAsia="es-GT"/>
        </w:rPr>
        <w:t> </w:t>
      </w:r>
    </w:p>
    <w:p w14:paraId="43E31DFD" w14:textId="77777777" w:rsidR="007717B2" w:rsidRPr="007717B2" w:rsidRDefault="007717B2" w:rsidP="007C060A">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 la </w:t>
      </w:r>
      <w:r w:rsidRPr="007717B2">
        <w:rPr>
          <w:rFonts w:ascii="Calibri" w:eastAsia="Times New Roman" w:hAnsi="Calibri" w:cs="Calibri"/>
          <w:b/>
          <w:bCs/>
          <w:i/>
          <w:iCs/>
          <w:color w:val="000000"/>
          <w:sz w:val="24"/>
          <w:szCs w:val="24"/>
          <w:lang w:eastAsia="es-GT"/>
        </w:rPr>
        <w:t>Comisión Nacional de Energía Eléctrica (CNEE),</w:t>
      </w:r>
      <w:r w:rsidRPr="007717B2">
        <w:rPr>
          <w:rFonts w:ascii="Calibri" w:eastAsia="Times New Roman" w:hAnsi="Calibri" w:cs="Calibri"/>
          <w:color w:val="000000"/>
          <w:sz w:val="24"/>
          <w:szCs w:val="24"/>
          <w:lang w:eastAsia="es-GT"/>
        </w:rPr>
        <w:t xml:space="preserve"> sus principales desafíos son:</w:t>
      </w:r>
      <w:r w:rsidRPr="007717B2">
        <w:rPr>
          <w:rFonts w:ascii="Calibri" w:eastAsia="Times New Roman" w:hAnsi="Calibri" w:cs="Calibri"/>
          <w:color w:val="000000"/>
          <w:sz w:val="24"/>
          <w:szCs w:val="24"/>
          <w:lang w:val="es-ES" w:eastAsia="es-GT"/>
        </w:rPr>
        <w:t> </w:t>
      </w:r>
    </w:p>
    <w:p w14:paraId="20CBC47F" w14:textId="13D885D3" w:rsidR="007717B2" w:rsidRPr="007C060A" w:rsidRDefault="007717B2" w:rsidP="007C060A">
      <w:pPr>
        <w:numPr>
          <w:ilvl w:val="0"/>
          <w:numId w:val="95"/>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Revisar e implementar medidas que sigan fortaleciendo el cumplimiento de la Ley General de Electricidad y sus reglamentos.</w:t>
      </w:r>
      <w:r w:rsidRPr="007717B2">
        <w:rPr>
          <w:rFonts w:ascii="Calibri" w:eastAsia="Times New Roman" w:hAnsi="Calibri" w:cs="Calibri"/>
          <w:color w:val="000000"/>
          <w:sz w:val="24"/>
          <w:szCs w:val="24"/>
          <w:lang w:val="es-ES" w:eastAsia="es-GT"/>
        </w:rPr>
        <w:t> </w:t>
      </w:r>
    </w:p>
    <w:p w14:paraId="443DF635" w14:textId="77777777" w:rsidR="007717B2" w:rsidRPr="007717B2" w:rsidRDefault="007717B2" w:rsidP="007C060A">
      <w:pPr>
        <w:numPr>
          <w:ilvl w:val="0"/>
          <w:numId w:val="95"/>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Implementar acciones para mantener el desempeño eficiente de los recursos de la Comisión Nacional de Energía Eléctrica.</w:t>
      </w:r>
      <w:r w:rsidRPr="007717B2">
        <w:rPr>
          <w:rFonts w:ascii="Calibri" w:eastAsia="Times New Roman" w:hAnsi="Calibri" w:cs="Calibri"/>
          <w:color w:val="000000"/>
          <w:sz w:val="24"/>
          <w:szCs w:val="24"/>
          <w:lang w:val="es-ES" w:eastAsia="es-GT"/>
        </w:rPr>
        <w:t> </w:t>
      </w:r>
    </w:p>
    <w:p w14:paraId="2F230CBC" w14:textId="77777777" w:rsidR="007C060A" w:rsidRDefault="007C060A" w:rsidP="007717B2">
      <w:pPr>
        <w:spacing w:before="120" w:after="120" w:line="240" w:lineRule="auto"/>
        <w:jc w:val="both"/>
        <w:textAlignment w:val="baseline"/>
        <w:rPr>
          <w:rFonts w:ascii="Calibri" w:eastAsia="Times New Roman" w:hAnsi="Calibri" w:cs="Calibri"/>
          <w:color w:val="000000"/>
          <w:sz w:val="24"/>
          <w:szCs w:val="24"/>
          <w:lang w:eastAsia="es-GT"/>
        </w:rPr>
      </w:pPr>
    </w:p>
    <w:p w14:paraId="6191E02F" w14:textId="77777777" w:rsidR="007C060A" w:rsidRDefault="007C060A" w:rsidP="007717B2">
      <w:pPr>
        <w:spacing w:before="120" w:after="120" w:line="240" w:lineRule="auto"/>
        <w:jc w:val="both"/>
        <w:textAlignment w:val="baseline"/>
        <w:rPr>
          <w:rFonts w:ascii="Calibri" w:eastAsia="Times New Roman" w:hAnsi="Calibri" w:cs="Calibri"/>
          <w:color w:val="000000"/>
          <w:sz w:val="24"/>
          <w:szCs w:val="24"/>
          <w:lang w:eastAsia="es-GT"/>
        </w:rPr>
      </w:pPr>
    </w:p>
    <w:p w14:paraId="181B2054" w14:textId="6EAC42F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A su vez, la </w:t>
      </w:r>
      <w:r w:rsidRPr="007717B2">
        <w:rPr>
          <w:rFonts w:ascii="Calibri" w:eastAsia="Times New Roman" w:hAnsi="Calibri" w:cs="Calibri"/>
          <w:b/>
          <w:bCs/>
          <w:i/>
          <w:iCs/>
          <w:color w:val="000000"/>
          <w:sz w:val="24"/>
          <w:szCs w:val="24"/>
          <w:lang w:eastAsia="es-GT"/>
        </w:rPr>
        <w:t xml:space="preserve">Superintendencia de Administración Tributaria (SAT), </w:t>
      </w:r>
      <w:r w:rsidRPr="007717B2">
        <w:rPr>
          <w:rFonts w:ascii="Calibri" w:eastAsia="Times New Roman" w:hAnsi="Calibri" w:cs="Calibri"/>
          <w:color w:val="000000"/>
          <w:sz w:val="24"/>
          <w:szCs w:val="24"/>
          <w:lang w:eastAsia="es-GT"/>
        </w:rPr>
        <w:t>los siguientes son sus retos de mayor trascendencia:</w:t>
      </w:r>
      <w:r w:rsidRPr="007717B2">
        <w:rPr>
          <w:rFonts w:ascii="Calibri" w:eastAsia="Times New Roman" w:hAnsi="Calibri" w:cs="Calibri"/>
          <w:color w:val="000000"/>
          <w:sz w:val="24"/>
          <w:szCs w:val="24"/>
          <w:lang w:val="es-ES" w:eastAsia="es-GT"/>
        </w:rPr>
        <w:t> </w:t>
      </w:r>
    </w:p>
    <w:p w14:paraId="63B3FE85"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Verificar el cumplimiento de avance de las actividades planificadas para completar los entregables. </w:t>
      </w:r>
    </w:p>
    <w:p w14:paraId="0B382383"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Revisión continua de los indicadores de gestión que son clave para el logro de metas institucionales, documentando los incidentes para realizar los cambios necesarios como parte de la mejora continua.</w:t>
      </w:r>
      <w:r w:rsidRPr="007717B2">
        <w:rPr>
          <w:rFonts w:ascii="Calibri" w:eastAsia="Times New Roman" w:hAnsi="Calibri" w:cs="Calibri"/>
          <w:color w:val="000000"/>
          <w:sz w:val="24"/>
          <w:szCs w:val="24"/>
          <w:lang w:val="es-ES" w:eastAsia="es-GT"/>
        </w:rPr>
        <w:t> </w:t>
      </w:r>
    </w:p>
    <w:p w14:paraId="03B7215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cuanto al </w:t>
      </w:r>
      <w:r w:rsidRPr="007717B2">
        <w:rPr>
          <w:rFonts w:ascii="Calibri" w:eastAsia="Times New Roman" w:hAnsi="Calibri" w:cs="Calibri"/>
          <w:b/>
          <w:bCs/>
          <w:i/>
          <w:iCs/>
          <w:color w:val="000000"/>
          <w:sz w:val="24"/>
          <w:szCs w:val="24"/>
          <w:lang w:eastAsia="es-GT"/>
        </w:rPr>
        <w:t>Consejo Nacional para la Protección de la Antigua Guatemala,</w:t>
      </w:r>
      <w:r w:rsidRPr="007717B2">
        <w:rPr>
          <w:rFonts w:ascii="Calibri" w:eastAsia="Times New Roman" w:hAnsi="Calibri" w:cs="Calibri"/>
          <w:color w:val="000000"/>
          <w:sz w:val="24"/>
          <w:szCs w:val="24"/>
          <w:lang w:eastAsia="es-GT"/>
        </w:rPr>
        <w:t xml:space="preserve"> sus mayores retos son:</w:t>
      </w:r>
      <w:r w:rsidRPr="007717B2">
        <w:rPr>
          <w:rFonts w:ascii="Calibri" w:eastAsia="Times New Roman" w:hAnsi="Calibri" w:cs="Calibri"/>
          <w:color w:val="000000"/>
          <w:sz w:val="24"/>
          <w:szCs w:val="24"/>
          <w:lang w:val="es-ES" w:eastAsia="es-GT"/>
        </w:rPr>
        <w:t> </w:t>
      </w:r>
    </w:p>
    <w:p w14:paraId="2387151F"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Implementar medidas correctivas sobre las metas con baja ejecución según lo programado. </w:t>
      </w:r>
    </w:p>
    <w:p w14:paraId="3EB15F6B" w14:textId="4CBB9C87" w:rsidR="009F2209" w:rsidRPr="000B1B24" w:rsidRDefault="007717B2" w:rsidP="009F2209">
      <w:pPr>
        <w:numPr>
          <w:ilvl w:val="0"/>
          <w:numId w:val="8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Revisión del avance de los objetivos planteados en el POA y tomar las medidas correspondientes.</w:t>
      </w:r>
      <w:r w:rsidRPr="007717B2">
        <w:rPr>
          <w:rFonts w:ascii="Calibri" w:eastAsia="Times New Roman" w:hAnsi="Calibri" w:cs="Calibri"/>
          <w:color w:val="000000"/>
          <w:sz w:val="24"/>
          <w:szCs w:val="24"/>
          <w:lang w:val="es-ES" w:eastAsia="es-GT"/>
        </w:rPr>
        <w:t> </w:t>
      </w:r>
    </w:p>
    <w:p w14:paraId="50D9B984" w14:textId="35A65C58"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w:t>
      </w:r>
      <w:r w:rsidRPr="007717B2">
        <w:rPr>
          <w:rFonts w:ascii="Calibri" w:eastAsia="Times New Roman" w:hAnsi="Calibri" w:cs="Calibri"/>
          <w:b/>
          <w:bCs/>
          <w:i/>
          <w:iCs/>
          <w:color w:val="000000"/>
          <w:sz w:val="24"/>
          <w:szCs w:val="24"/>
          <w:lang w:eastAsia="es-GT"/>
        </w:rPr>
        <w:t>Autoridad para el Manejo Sustentable de la Cuenca y el Lago de Amatitlán (AMSA),</w:t>
      </w:r>
      <w:r w:rsidRPr="007717B2">
        <w:rPr>
          <w:rFonts w:ascii="Calibri" w:eastAsia="Times New Roman" w:hAnsi="Calibri" w:cs="Calibri"/>
          <w:color w:val="000000"/>
          <w:sz w:val="24"/>
          <w:szCs w:val="24"/>
          <w:lang w:eastAsia="es-GT"/>
        </w:rPr>
        <w:t xml:space="preserve"> tiene ante sí los retos siguientes:</w:t>
      </w:r>
      <w:r w:rsidRPr="007717B2">
        <w:rPr>
          <w:rFonts w:ascii="Calibri" w:eastAsia="Times New Roman" w:hAnsi="Calibri" w:cs="Calibri"/>
          <w:color w:val="000000"/>
          <w:sz w:val="24"/>
          <w:szCs w:val="24"/>
          <w:lang w:val="es-ES" w:eastAsia="es-GT"/>
        </w:rPr>
        <w:t> </w:t>
      </w:r>
    </w:p>
    <w:p w14:paraId="4BAEEC5F" w14:textId="5648873D"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Promover para que la etapa de ejecución de las metas físicas y financieras esté directamente relacionada con lo plasmado en la planificación institucional, evitando acciones imprevistas</w:t>
      </w:r>
      <w:r w:rsidR="00D831A0">
        <w:rPr>
          <w:rFonts w:ascii="Calibri" w:eastAsia="Times New Roman" w:hAnsi="Calibri" w:cs="Calibri"/>
          <w:color w:val="000000"/>
          <w:sz w:val="24"/>
          <w:szCs w:val="24"/>
          <w:lang w:eastAsia="es-GT"/>
        </w:rPr>
        <w:t xml:space="preserve"> y </w:t>
      </w:r>
      <w:r w:rsidRPr="007717B2">
        <w:rPr>
          <w:rFonts w:ascii="Calibri" w:eastAsia="Times New Roman" w:hAnsi="Calibri" w:cs="Calibri"/>
          <w:color w:val="000000"/>
          <w:sz w:val="24"/>
          <w:szCs w:val="24"/>
          <w:lang w:eastAsia="es-GT"/>
        </w:rPr>
        <w:t>baja ejecución.  </w:t>
      </w:r>
    </w:p>
    <w:p w14:paraId="10AED62D"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Revisión del avance de las metas físicas y financieras con sus medidas correctivas.</w:t>
      </w:r>
      <w:r w:rsidRPr="007717B2">
        <w:rPr>
          <w:rFonts w:ascii="Calibri" w:eastAsia="Times New Roman" w:hAnsi="Calibri" w:cs="Calibri"/>
          <w:color w:val="000000"/>
          <w:sz w:val="24"/>
          <w:szCs w:val="24"/>
          <w:lang w:val="es-ES" w:eastAsia="es-GT"/>
        </w:rPr>
        <w:t> </w:t>
      </w:r>
    </w:p>
    <w:p w14:paraId="1E5B31C6" w14:textId="58E63DC3"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w:t>
      </w:r>
      <w:r w:rsidRPr="007717B2">
        <w:rPr>
          <w:rFonts w:ascii="Calibri" w:eastAsia="Times New Roman" w:hAnsi="Calibri" w:cs="Calibri"/>
          <w:b/>
          <w:bCs/>
          <w:i/>
          <w:iCs/>
          <w:color w:val="000000"/>
          <w:sz w:val="24"/>
          <w:szCs w:val="24"/>
          <w:lang w:eastAsia="es-GT"/>
        </w:rPr>
        <w:t>Autoridad para el Manejo Sustentable del Lago de Atitlán y su Entorno (AMSCLAE),</w:t>
      </w:r>
      <w:r w:rsidRPr="007717B2">
        <w:rPr>
          <w:rFonts w:ascii="Calibri" w:eastAsia="Times New Roman" w:hAnsi="Calibri" w:cs="Calibri"/>
          <w:color w:val="000000"/>
          <w:sz w:val="24"/>
          <w:szCs w:val="24"/>
          <w:lang w:eastAsia="es-GT"/>
        </w:rPr>
        <w:t xml:space="preserve"> tiene a futuro, como desafío permanente, mantener un monitoreo constante del avance de la ejecución de las metas físicas y financieras por parte de la Subdirección Técnica, Unidad de Seguimiento y Evaluación y de la Unidad de Planificación a través de la medición en base a los informes de ejecución presentados mensualmente por los diferentes Departamentos y Unidades de la AMSCLAE</w:t>
      </w:r>
      <w:r w:rsidR="00D831A0">
        <w:rPr>
          <w:rFonts w:ascii="Calibri" w:eastAsia="Times New Roman" w:hAnsi="Calibri" w:cs="Calibri"/>
          <w:color w:val="000000"/>
          <w:sz w:val="24"/>
          <w:szCs w:val="24"/>
          <w:lang w:eastAsia="es-GT"/>
        </w:rPr>
        <w:t>.</w:t>
      </w:r>
    </w:p>
    <w:p w14:paraId="2B913FF7" w14:textId="585EE147"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Respecto a la </w:t>
      </w:r>
      <w:r w:rsidRPr="007717B2">
        <w:rPr>
          <w:rFonts w:ascii="Calibri" w:eastAsia="Times New Roman" w:hAnsi="Calibri" w:cs="Calibri"/>
          <w:b/>
          <w:bCs/>
          <w:i/>
          <w:iCs/>
          <w:color w:val="000000"/>
          <w:sz w:val="24"/>
          <w:szCs w:val="24"/>
          <w:lang w:eastAsia="es-GT"/>
        </w:rPr>
        <w:t>Empresa Portuaria Nacional Santo Tomás de Castilla (EMPORNAC),</w:t>
      </w:r>
      <w:r w:rsidRPr="007717B2">
        <w:rPr>
          <w:rFonts w:ascii="Calibri" w:eastAsia="Times New Roman" w:hAnsi="Calibri" w:cs="Calibri"/>
          <w:color w:val="000000"/>
          <w:sz w:val="24"/>
          <w:szCs w:val="24"/>
          <w:lang w:eastAsia="es-GT"/>
        </w:rPr>
        <w:t xml:space="preserve"> sus retos son los siguientes: </w:t>
      </w:r>
    </w:p>
    <w:p w14:paraId="7E4FA1B2" w14:textId="77777777" w:rsidR="007717B2" w:rsidRPr="007717B2" w:rsidRDefault="007717B2" w:rsidP="00B93FEF">
      <w:pPr>
        <w:numPr>
          <w:ilvl w:val="0"/>
          <w:numId w:val="96"/>
        </w:numPr>
        <w:spacing w:before="120" w:after="120" w:line="240" w:lineRule="auto"/>
        <w:ind w:left="714" w:hanging="357"/>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Implementar las disposiciones estipuladas en el Código de Ética en cumplimiento al Sistema Nacional de Control Interno Gubernamental -SINACIG-.</w:t>
      </w:r>
      <w:r w:rsidRPr="007717B2">
        <w:rPr>
          <w:rFonts w:ascii="Calibri" w:eastAsia="Times New Roman" w:hAnsi="Calibri" w:cs="Calibri"/>
          <w:color w:val="000000"/>
          <w:sz w:val="24"/>
          <w:szCs w:val="24"/>
          <w:lang w:val="es-ES" w:eastAsia="es-GT"/>
        </w:rPr>
        <w:t> </w:t>
      </w:r>
    </w:p>
    <w:p w14:paraId="4FFB27FE" w14:textId="77777777" w:rsidR="007717B2" w:rsidRPr="007717B2" w:rsidRDefault="007717B2" w:rsidP="00B93FEF">
      <w:pPr>
        <w:numPr>
          <w:ilvl w:val="0"/>
          <w:numId w:val="96"/>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Evaluaciones constantes de los indicadores de desempeño en cumplimiento a los Sistemas de Gestión de Empresa Portuaria Santo Tomás de Castilla –EMPORNAC.  </w:t>
      </w:r>
      <w:r w:rsidRPr="007717B2">
        <w:rPr>
          <w:rFonts w:ascii="Calibri" w:eastAsia="Times New Roman" w:hAnsi="Calibri" w:cs="Calibri"/>
          <w:color w:val="000000"/>
          <w:sz w:val="24"/>
          <w:szCs w:val="24"/>
          <w:lang w:val="es-ES" w:eastAsia="es-GT"/>
        </w:rPr>
        <w:t> </w:t>
      </w:r>
    </w:p>
    <w:p w14:paraId="713A1EB3" w14:textId="7E69FD99"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La </w:t>
      </w:r>
      <w:r w:rsidRPr="007717B2">
        <w:rPr>
          <w:rFonts w:ascii="Calibri" w:eastAsia="Times New Roman" w:hAnsi="Calibri" w:cs="Calibri"/>
          <w:b/>
          <w:bCs/>
          <w:i/>
          <w:iCs/>
          <w:color w:val="000000"/>
          <w:sz w:val="24"/>
          <w:szCs w:val="24"/>
          <w:lang w:eastAsia="es-GT"/>
        </w:rPr>
        <w:t>Zona Libre de Industria y Comercio Santo Tomás de Castilla (ZOLIC),</w:t>
      </w:r>
      <w:r w:rsidRPr="007717B2">
        <w:rPr>
          <w:rFonts w:ascii="Calibri" w:eastAsia="Times New Roman" w:hAnsi="Calibri" w:cs="Calibri"/>
          <w:color w:val="000000"/>
          <w:sz w:val="24"/>
          <w:szCs w:val="24"/>
          <w:lang w:eastAsia="es-GT"/>
        </w:rPr>
        <w:t xml:space="preserve"> tiene los siguientes retos</w:t>
      </w:r>
      <w:r w:rsidR="00AC0838">
        <w:rPr>
          <w:rFonts w:ascii="Calibri" w:eastAsia="Times New Roman" w:hAnsi="Calibri" w:cs="Calibri"/>
          <w:color w:val="000000"/>
          <w:sz w:val="24"/>
          <w:szCs w:val="24"/>
          <w:lang w:eastAsia="es-GT"/>
        </w:rPr>
        <w:t>:</w:t>
      </w:r>
    </w:p>
    <w:p w14:paraId="5DB8BAA7"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Ejecutar estrategias de negocio que permitan la habilitación de nuevas Zonas de Desarrollo Económico Especial Públicas y autorización de nuevos usuarios tanto para ZDEEP como para el Predio Fiscal.  </w:t>
      </w:r>
    </w:p>
    <w:p w14:paraId="12DD7BCD"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Atraer a nuevos inversionistas que deseen invertir en Guatemala y contribuir por medio de las acciones de ZOLIC con la reactivación económica. </w:t>
      </w:r>
      <w:r w:rsidRPr="007717B2">
        <w:rPr>
          <w:rFonts w:ascii="Calibri" w:eastAsia="Times New Roman" w:hAnsi="Calibri" w:cs="Calibri"/>
          <w:color w:val="000000"/>
          <w:sz w:val="24"/>
          <w:szCs w:val="24"/>
          <w:lang w:val="es-ES" w:eastAsia="es-GT"/>
        </w:rPr>
        <w:t> </w:t>
      </w:r>
    </w:p>
    <w:p w14:paraId="55E326DC" w14:textId="66FA1270"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 El </w:t>
      </w:r>
      <w:r w:rsidRPr="007717B2">
        <w:rPr>
          <w:rFonts w:ascii="Calibri" w:eastAsia="Times New Roman" w:hAnsi="Calibri" w:cs="Calibri"/>
          <w:b/>
          <w:bCs/>
          <w:i/>
          <w:iCs/>
          <w:color w:val="000000"/>
          <w:sz w:val="24"/>
          <w:szCs w:val="24"/>
          <w:lang w:eastAsia="es-GT"/>
        </w:rPr>
        <w:t>Instituto Guatemalteco de Migración (IGM)</w:t>
      </w:r>
      <w:r w:rsidRPr="007717B2">
        <w:rPr>
          <w:rFonts w:ascii="Calibri" w:eastAsia="Times New Roman" w:hAnsi="Calibri" w:cs="Calibri"/>
          <w:color w:val="000000"/>
          <w:sz w:val="24"/>
          <w:szCs w:val="24"/>
          <w:lang w:eastAsia="es-GT"/>
        </w:rPr>
        <w:t>, cuenta con los siguientes retos:</w:t>
      </w:r>
      <w:r w:rsidRPr="007717B2">
        <w:rPr>
          <w:rFonts w:ascii="Calibri" w:eastAsia="Times New Roman" w:hAnsi="Calibri" w:cs="Calibri"/>
          <w:color w:val="000000"/>
          <w:sz w:val="24"/>
          <w:szCs w:val="24"/>
          <w:lang w:val="es-ES" w:eastAsia="es-GT"/>
        </w:rPr>
        <w:t> </w:t>
      </w:r>
    </w:p>
    <w:p w14:paraId="0656B964"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Monitorear y dar seguimiento a las metas de producción institucional, así como el que hacer institucional, por medio del seguimiento al Plan Operativo Anual, elaborando informes que detallen los resultados alcanzados por cada área organizativa del Instituto Guatemalteco de Migración, a corto y mediano plazo.  </w:t>
      </w:r>
    </w:p>
    <w:p w14:paraId="4812E148" w14:textId="77777777"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Desarrollar medidas en un tiempo oportuno a partir del informe de seguimiento del Plan Operativo Anual, para el fortalecimiento institucional y el alcance de los objetivos y metas trazadas. </w:t>
      </w:r>
      <w:r w:rsidRPr="007717B2">
        <w:rPr>
          <w:rFonts w:ascii="Calibri" w:eastAsia="Times New Roman" w:hAnsi="Calibri" w:cs="Calibri"/>
          <w:color w:val="000000"/>
          <w:sz w:val="24"/>
          <w:szCs w:val="24"/>
          <w:lang w:val="es-ES" w:eastAsia="es-GT"/>
        </w:rPr>
        <w:t> </w:t>
      </w:r>
    </w:p>
    <w:p w14:paraId="17596A97" w14:textId="7FF979C4"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002E7114">
        <w:rPr>
          <w:rFonts w:ascii="Calibri" w:eastAsia="Times New Roman" w:hAnsi="Calibri" w:cs="Calibri"/>
          <w:b/>
          <w:bCs/>
          <w:i/>
          <w:iCs/>
          <w:color w:val="000000"/>
          <w:sz w:val="24"/>
          <w:szCs w:val="24"/>
          <w:lang w:eastAsia="es-GT"/>
        </w:rPr>
        <w:t xml:space="preserve">Consejo Nacional </w:t>
      </w:r>
      <w:r w:rsidRPr="007717B2">
        <w:rPr>
          <w:rFonts w:ascii="Calibri" w:eastAsia="Times New Roman" w:hAnsi="Calibri" w:cs="Calibri"/>
          <w:b/>
          <w:bCs/>
          <w:i/>
          <w:iCs/>
          <w:color w:val="000000"/>
          <w:sz w:val="24"/>
          <w:szCs w:val="24"/>
          <w:lang w:eastAsia="es-GT"/>
        </w:rPr>
        <w:t xml:space="preserve">del Deporte, </w:t>
      </w:r>
      <w:r w:rsidR="002E7114">
        <w:rPr>
          <w:rFonts w:ascii="Calibri" w:eastAsia="Times New Roman" w:hAnsi="Calibri" w:cs="Calibri"/>
          <w:b/>
          <w:bCs/>
          <w:i/>
          <w:iCs/>
          <w:color w:val="000000"/>
          <w:sz w:val="24"/>
          <w:szCs w:val="24"/>
          <w:lang w:eastAsia="es-GT"/>
        </w:rPr>
        <w:t xml:space="preserve">la </w:t>
      </w:r>
      <w:r w:rsidRPr="007717B2">
        <w:rPr>
          <w:rFonts w:ascii="Calibri" w:eastAsia="Times New Roman" w:hAnsi="Calibri" w:cs="Calibri"/>
          <w:b/>
          <w:bCs/>
          <w:i/>
          <w:iCs/>
          <w:color w:val="000000"/>
          <w:sz w:val="24"/>
          <w:szCs w:val="24"/>
          <w:lang w:eastAsia="es-GT"/>
        </w:rPr>
        <w:t>Educación Física y</w:t>
      </w:r>
      <w:r w:rsidR="002E7114">
        <w:rPr>
          <w:rFonts w:ascii="Calibri" w:eastAsia="Times New Roman" w:hAnsi="Calibri" w:cs="Calibri"/>
          <w:b/>
          <w:bCs/>
          <w:i/>
          <w:iCs/>
          <w:color w:val="000000"/>
          <w:sz w:val="24"/>
          <w:szCs w:val="24"/>
          <w:lang w:eastAsia="es-GT"/>
        </w:rPr>
        <w:t xml:space="preserve"> la</w:t>
      </w:r>
      <w:r w:rsidRPr="007717B2">
        <w:rPr>
          <w:rFonts w:ascii="Calibri" w:eastAsia="Times New Roman" w:hAnsi="Calibri" w:cs="Calibri"/>
          <w:b/>
          <w:bCs/>
          <w:i/>
          <w:iCs/>
          <w:color w:val="000000"/>
          <w:sz w:val="24"/>
          <w:szCs w:val="24"/>
          <w:lang w:eastAsia="es-GT"/>
        </w:rPr>
        <w:t xml:space="preserve"> Recreación,</w:t>
      </w:r>
      <w:r w:rsidRPr="007717B2">
        <w:rPr>
          <w:rFonts w:ascii="Calibri" w:eastAsia="Times New Roman" w:hAnsi="Calibri" w:cs="Calibri"/>
          <w:color w:val="000000"/>
          <w:sz w:val="24"/>
          <w:szCs w:val="24"/>
          <w:lang w:eastAsia="es-GT"/>
        </w:rPr>
        <w:t xml:space="preserve"> tiene ante sí dos desafíos:</w:t>
      </w:r>
      <w:r w:rsidRPr="007717B2">
        <w:rPr>
          <w:rFonts w:ascii="Calibri" w:eastAsia="Times New Roman" w:hAnsi="Calibri" w:cs="Calibri"/>
          <w:color w:val="000000"/>
          <w:sz w:val="24"/>
          <w:szCs w:val="24"/>
          <w:lang w:val="es-ES" w:eastAsia="es-GT"/>
        </w:rPr>
        <w:t> </w:t>
      </w:r>
    </w:p>
    <w:p w14:paraId="5C5AD7C1" w14:textId="20C15741"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Implementar y actualizar el Plan Estratégico Institucional del CONADER</w:t>
      </w:r>
      <w:r w:rsidR="002E7114">
        <w:rPr>
          <w:rFonts w:ascii="Calibri" w:eastAsia="Times New Roman" w:hAnsi="Calibri" w:cs="Calibri"/>
          <w:color w:val="000000"/>
          <w:sz w:val="24"/>
          <w:szCs w:val="24"/>
          <w:lang w:eastAsia="es-GT"/>
        </w:rPr>
        <w:t>.</w:t>
      </w:r>
    </w:p>
    <w:p w14:paraId="2413EA18" w14:textId="28FF323F" w:rsidR="007717B2" w:rsidRPr="007717B2" w:rsidRDefault="007717B2" w:rsidP="003C1D42">
      <w:pPr>
        <w:numPr>
          <w:ilvl w:val="0"/>
          <w:numId w:val="86"/>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Implementar la Política Nacional de la Educación Física, la Recreación Física y el Deporte 2021-2032</w:t>
      </w:r>
      <w:r w:rsidR="002E7114">
        <w:rPr>
          <w:rFonts w:ascii="Calibri" w:eastAsia="Times New Roman" w:hAnsi="Calibri" w:cs="Calibri"/>
          <w:color w:val="000000"/>
          <w:sz w:val="24"/>
          <w:szCs w:val="24"/>
          <w:lang w:val="es-ES" w:eastAsia="es-GT"/>
        </w:rPr>
        <w:t>.</w:t>
      </w:r>
    </w:p>
    <w:p w14:paraId="2B08728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el caso del </w:t>
      </w:r>
      <w:r w:rsidRPr="007717B2">
        <w:rPr>
          <w:rFonts w:ascii="Calibri" w:eastAsia="Times New Roman" w:hAnsi="Calibri" w:cs="Calibri"/>
          <w:b/>
          <w:bCs/>
          <w:i/>
          <w:iCs/>
          <w:color w:val="000000"/>
          <w:sz w:val="24"/>
          <w:szCs w:val="24"/>
          <w:lang w:eastAsia="es-GT"/>
        </w:rPr>
        <w:t>Instituto Nacional de Estadística (INE),</w:t>
      </w:r>
      <w:r w:rsidRPr="007717B2">
        <w:rPr>
          <w:rFonts w:ascii="Calibri" w:eastAsia="Times New Roman" w:hAnsi="Calibri" w:cs="Calibri"/>
          <w:color w:val="000000"/>
          <w:sz w:val="24"/>
          <w:szCs w:val="24"/>
          <w:lang w:eastAsia="es-GT"/>
        </w:rPr>
        <w:t xml:space="preserve"> sus principales retos futuros son:</w:t>
      </w:r>
      <w:r w:rsidRPr="007717B2">
        <w:rPr>
          <w:rFonts w:ascii="Calibri" w:eastAsia="Times New Roman" w:hAnsi="Calibri" w:cs="Calibri"/>
          <w:color w:val="000000"/>
          <w:sz w:val="24"/>
          <w:szCs w:val="24"/>
          <w:lang w:val="es-ES" w:eastAsia="es-GT"/>
        </w:rPr>
        <w:t> </w:t>
      </w:r>
    </w:p>
    <w:p w14:paraId="7E1EC71C" w14:textId="77777777" w:rsidR="007717B2" w:rsidRPr="007717B2" w:rsidRDefault="007717B2" w:rsidP="005F090B">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Administrar los recursos financieros y proveer de insumos de acuerdo a lo programado para la producción estadística.</w:t>
      </w:r>
      <w:r w:rsidRPr="007717B2">
        <w:rPr>
          <w:rFonts w:ascii="Calibri" w:eastAsia="Times New Roman" w:hAnsi="Calibri" w:cs="Calibri"/>
          <w:color w:val="000000"/>
          <w:sz w:val="24"/>
          <w:szCs w:val="24"/>
          <w:lang w:val="es-ES" w:eastAsia="es-GT"/>
        </w:rPr>
        <w:t> </w:t>
      </w:r>
    </w:p>
    <w:p w14:paraId="7DC9791A" w14:textId="019F5E3A" w:rsidR="007717B2" w:rsidRPr="007717B2" w:rsidRDefault="007717B2" w:rsidP="005F090B">
      <w:pPr>
        <w:numPr>
          <w:ilvl w:val="0"/>
          <w:numId w:val="33"/>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Revisión de los avances en los programas y reorientar la planificación si es necesario. </w:t>
      </w:r>
      <w:r w:rsidRPr="007717B2">
        <w:rPr>
          <w:rFonts w:ascii="Calibri" w:eastAsia="Times New Roman" w:hAnsi="Calibri" w:cs="Calibri"/>
          <w:color w:val="000000"/>
          <w:sz w:val="24"/>
          <w:szCs w:val="24"/>
          <w:lang w:val="es-ES" w:eastAsia="es-GT"/>
        </w:rPr>
        <w:t> </w:t>
      </w:r>
    </w:p>
    <w:p w14:paraId="3537C51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lo que atañe al </w:t>
      </w:r>
      <w:r w:rsidRPr="007717B2">
        <w:rPr>
          <w:rFonts w:ascii="Calibri" w:eastAsia="Times New Roman" w:hAnsi="Calibri" w:cs="Calibri"/>
          <w:b/>
          <w:bCs/>
          <w:i/>
          <w:iCs/>
          <w:color w:val="000000"/>
          <w:sz w:val="24"/>
          <w:szCs w:val="24"/>
          <w:lang w:eastAsia="es-GT"/>
        </w:rPr>
        <w:t xml:space="preserve">Instituto para la Asistencia y Atención a la Víctima del Delito, </w:t>
      </w:r>
      <w:r w:rsidRPr="007717B2">
        <w:rPr>
          <w:rFonts w:ascii="Calibri" w:eastAsia="Times New Roman" w:hAnsi="Calibri" w:cs="Calibri"/>
          <w:color w:val="000000"/>
          <w:sz w:val="24"/>
          <w:szCs w:val="24"/>
          <w:lang w:eastAsia="es-GT"/>
        </w:rPr>
        <w:t>sus mayores retos en el futuro son:</w:t>
      </w:r>
      <w:r w:rsidRPr="007717B2">
        <w:rPr>
          <w:rFonts w:ascii="Calibri" w:eastAsia="Times New Roman" w:hAnsi="Calibri" w:cs="Calibri"/>
          <w:color w:val="000000"/>
          <w:sz w:val="24"/>
          <w:szCs w:val="24"/>
          <w:lang w:val="es-ES" w:eastAsia="es-GT"/>
        </w:rPr>
        <w:t> </w:t>
      </w:r>
    </w:p>
    <w:p w14:paraId="3790094C" w14:textId="59EE830E"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Continuar con el proceso de desconcentración de servicios y ampliación de cobertura a través de la sostenibilidad de las sedes y subsedes, de acuerdo a la disponibilidad presupuestaria. </w:t>
      </w:r>
    </w:p>
    <w:p w14:paraId="2BC18692"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Incrementar la ejecución de metas físicas y financieras, que corresponden a los servicios de asistencia legal y servicios victimológicos a las víctimas del delito, manteniendo la gratuidad, calidad y calidez.</w:t>
      </w:r>
      <w:r w:rsidRPr="007717B2">
        <w:rPr>
          <w:rFonts w:ascii="Calibri" w:eastAsia="Times New Roman" w:hAnsi="Calibri" w:cs="Calibri"/>
          <w:color w:val="000000"/>
          <w:sz w:val="24"/>
          <w:szCs w:val="24"/>
          <w:lang w:val="es-ES" w:eastAsia="es-GT"/>
        </w:rPr>
        <w:t> </w:t>
      </w:r>
    </w:p>
    <w:p w14:paraId="3A54605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relación al </w:t>
      </w:r>
      <w:r w:rsidRPr="007717B2">
        <w:rPr>
          <w:rFonts w:ascii="Calibri" w:eastAsia="Times New Roman" w:hAnsi="Calibri" w:cs="Calibri"/>
          <w:b/>
          <w:bCs/>
          <w:i/>
          <w:iCs/>
          <w:color w:val="000000"/>
          <w:sz w:val="24"/>
          <w:szCs w:val="24"/>
          <w:lang w:eastAsia="es-GT"/>
        </w:rPr>
        <w:t xml:space="preserve">Instituto Guatemalteco de Turismo (INGUAT), </w:t>
      </w:r>
      <w:r w:rsidRPr="007717B2">
        <w:rPr>
          <w:rFonts w:ascii="Calibri" w:eastAsia="Times New Roman" w:hAnsi="Calibri" w:cs="Calibri"/>
          <w:color w:val="000000"/>
          <w:sz w:val="24"/>
          <w:szCs w:val="24"/>
          <w:lang w:eastAsia="es-GT"/>
        </w:rPr>
        <w:t>éste enfrenta los retos siguientes:</w:t>
      </w:r>
      <w:r w:rsidRPr="007717B2">
        <w:rPr>
          <w:rFonts w:ascii="Calibri" w:eastAsia="Times New Roman" w:hAnsi="Calibri" w:cs="Calibri"/>
          <w:color w:val="000000"/>
          <w:sz w:val="24"/>
          <w:szCs w:val="24"/>
          <w:lang w:val="es-ES" w:eastAsia="es-GT"/>
        </w:rPr>
        <w:t> </w:t>
      </w:r>
    </w:p>
    <w:p w14:paraId="5200A027" w14:textId="360A8A35"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Continuar con el proyecto “Apoyo para el Desarrollo del Turismo Sostenible a través de la Normalización y </w:t>
      </w:r>
      <w:r w:rsidR="005F090B">
        <w:rPr>
          <w:rFonts w:ascii="Calibri" w:eastAsia="Times New Roman" w:hAnsi="Calibri" w:cs="Calibri"/>
          <w:color w:val="000000"/>
          <w:sz w:val="24"/>
          <w:szCs w:val="24"/>
          <w:lang w:eastAsia="es-GT"/>
        </w:rPr>
        <w:t>l</w:t>
      </w:r>
      <w:r w:rsidRPr="007717B2">
        <w:rPr>
          <w:rFonts w:ascii="Calibri" w:eastAsia="Times New Roman" w:hAnsi="Calibri" w:cs="Calibri"/>
          <w:color w:val="000000"/>
          <w:sz w:val="24"/>
          <w:szCs w:val="24"/>
          <w:lang w:eastAsia="es-GT"/>
        </w:rPr>
        <w:t>a Reactivación de la Actividad Turística durante y post la Pandemia del COVID-19” en conjunto con el MINECO, a través del sistema nacional de calidad con el apoyo de reformas estructurales de la Agencia Alemana para la Cooperación Internacional -GIZ-, que tiene como objetivo desarrollar actividades de apoyo y fortalecimiento en el sector turismo de Guatemala, con estándares de calidad y sostenibilidad reconocidos a nivel nacional e internacional.  </w:t>
      </w:r>
    </w:p>
    <w:p w14:paraId="7D0CDAFF" w14:textId="2E269276" w:rsidR="007717B2" w:rsidRPr="005F090B"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Implementar los observatorios turísticos de La Antigua Guatemala y Petén, inscritos en la red de Observatorios Turísticos de la Organización Mundial del Turismo -INSTO-, para la generación de información e indicadores del impacto del turismo, para su divulgación y que apoye en la toma de decisiones.</w:t>
      </w:r>
      <w:r w:rsidRPr="007717B2">
        <w:rPr>
          <w:rFonts w:ascii="Calibri" w:eastAsia="Times New Roman" w:hAnsi="Calibri" w:cs="Calibri"/>
          <w:color w:val="000000"/>
          <w:sz w:val="24"/>
          <w:szCs w:val="24"/>
          <w:lang w:val="es-ES" w:eastAsia="es-GT"/>
        </w:rPr>
        <w:t> </w:t>
      </w:r>
    </w:p>
    <w:p w14:paraId="18CD928F" w14:textId="77777777" w:rsidR="005F090B" w:rsidRPr="007717B2" w:rsidRDefault="005F090B" w:rsidP="005F090B">
      <w:pPr>
        <w:spacing w:before="120" w:after="120" w:line="240" w:lineRule="auto"/>
        <w:jc w:val="both"/>
        <w:textAlignment w:val="baseline"/>
        <w:rPr>
          <w:rFonts w:ascii="Calibri" w:eastAsia="Times New Roman" w:hAnsi="Calibri" w:cs="Calibri"/>
          <w:sz w:val="24"/>
          <w:szCs w:val="24"/>
          <w:lang w:val="es-ES" w:eastAsia="es-GT"/>
        </w:rPr>
      </w:pPr>
    </w:p>
    <w:p w14:paraId="713A58E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al </w:t>
      </w:r>
      <w:r w:rsidRPr="007717B2">
        <w:rPr>
          <w:rFonts w:ascii="Calibri" w:eastAsia="Times New Roman" w:hAnsi="Calibri" w:cs="Calibri"/>
          <w:b/>
          <w:bCs/>
          <w:i/>
          <w:iCs/>
          <w:color w:val="000000"/>
          <w:sz w:val="24"/>
          <w:szCs w:val="24"/>
          <w:lang w:eastAsia="es-GT"/>
        </w:rPr>
        <w:t>Instituto de Fomento Municipal (INFOM),</w:t>
      </w:r>
      <w:r w:rsidRPr="007717B2">
        <w:rPr>
          <w:rFonts w:ascii="Calibri" w:eastAsia="Times New Roman" w:hAnsi="Calibri" w:cs="Calibri"/>
          <w:color w:val="000000"/>
          <w:sz w:val="24"/>
          <w:szCs w:val="24"/>
          <w:lang w:eastAsia="es-GT"/>
        </w:rPr>
        <w:t xml:space="preserve"> sus mayores retos son:</w:t>
      </w:r>
      <w:r w:rsidRPr="007717B2">
        <w:rPr>
          <w:rFonts w:ascii="Calibri" w:eastAsia="Times New Roman" w:hAnsi="Calibri" w:cs="Calibri"/>
          <w:color w:val="000000"/>
          <w:sz w:val="24"/>
          <w:szCs w:val="24"/>
          <w:lang w:val="es-ES" w:eastAsia="es-GT"/>
        </w:rPr>
        <w:t> </w:t>
      </w:r>
    </w:p>
    <w:p w14:paraId="66708D79"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Elevar la demanda de asistencia crediticia. </w:t>
      </w:r>
    </w:p>
    <w:p w14:paraId="06F03DCB"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Incrementar la ejecución planificada de las obras de construcción de acueductos del Programa Fondo Nacional UNEPAR.  </w:t>
      </w:r>
      <w:r w:rsidRPr="007717B2">
        <w:rPr>
          <w:rFonts w:ascii="Calibri" w:eastAsia="Times New Roman" w:hAnsi="Calibri" w:cs="Calibri"/>
          <w:color w:val="000000"/>
          <w:sz w:val="24"/>
          <w:szCs w:val="24"/>
          <w:lang w:val="es-ES" w:eastAsia="es-GT"/>
        </w:rPr>
        <w:t> </w:t>
      </w:r>
    </w:p>
    <w:p w14:paraId="497F3843" w14:textId="320E38BB"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cuanto al </w:t>
      </w:r>
      <w:r w:rsidRPr="007717B2">
        <w:rPr>
          <w:rFonts w:ascii="Calibri" w:eastAsia="Times New Roman" w:hAnsi="Calibri" w:cs="Calibri"/>
          <w:b/>
          <w:bCs/>
          <w:i/>
          <w:iCs/>
          <w:color w:val="000000"/>
          <w:sz w:val="24"/>
          <w:szCs w:val="24"/>
          <w:lang w:eastAsia="es-GT"/>
        </w:rPr>
        <w:t xml:space="preserve">Instituto Nacional de Ciencias Forenses (INACIF), </w:t>
      </w:r>
      <w:r w:rsidRPr="007717B2">
        <w:rPr>
          <w:rFonts w:ascii="Calibri" w:eastAsia="Times New Roman" w:hAnsi="Calibri" w:cs="Calibri"/>
          <w:color w:val="000000"/>
          <w:sz w:val="24"/>
          <w:szCs w:val="24"/>
          <w:lang w:eastAsia="es-GT"/>
        </w:rPr>
        <w:t>dos de los desafíos que ha</w:t>
      </w:r>
      <w:r w:rsidR="005F090B">
        <w:rPr>
          <w:rFonts w:ascii="Calibri" w:eastAsia="Times New Roman" w:hAnsi="Calibri" w:cs="Calibri"/>
          <w:color w:val="000000"/>
          <w:sz w:val="24"/>
          <w:szCs w:val="24"/>
          <w:lang w:eastAsia="es-GT"/>
        </w:rPr>
        <w:t>n</w:t>
      </w:r>
      <w:r w:rsidRPr="007717B2">
        <w:rPr>
          <w:rFonts w:ascii="Calibri" w:eastAsia="Times New Roman" w:hAnsi="Calibri" w:cs="Calibri"/>
          <w:color w:val="000000"/>
          <w:sz w:val="24"/>
          <w:szCs w:val="24"/>
          <w:lang w:eastAsia="es-GT"/>
        </w:rPr>
        <w:t xml:space="preserve"> ayudado a mejorar el desempeño institucional en la ejecución de metas físicas y financieras son: </w:t>
      </w:r>
      <w:r w:rsidRPr="007717B2">
        <w:rPr>
          <w:rFonts w:ascii="Calibri" w:eastAsia="Times New Roman" w:hAnsi="Calibri" w:cs="Calibri"/>
          <w:color w:val="000000"/>
          <w:sz w:val="24"/>
          <w:szCs w:val="24"/>
          <w:lang w:val="es-ES" w:eastAsia="es-GT"/>
        </w:rPr>
        <w:t> </w:t>
      </w:r>
    </w:p>
    <w:p w14:paraId="309E3FED"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Ampliar la cobertura, ya que se solamente se cuenta con el 16% de a nivel nacional. </w:t>
      </w:r>
    </w:p>
    <w:p w14:paraId="42073BEB" w14:textId="640803E0" w:rsidR="007717B2" w:rsidRPr="007717B2" w:rsidRDefault="005F090B"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Pr>
          <w:rFonts w:ascii="Calibri" w:eastAsia="Times New Roman" w:hAnsi="Calibri" w:cs="Calibri"/>
          <w:color w:val="000000"/>
          <w:sz w:val="24"/>
          <w:szCs w:val="24"/>
          <w:lang w:eastAsia="es-GT"/>
        </w:rPr>
        <w:t>A</w:t>
      </w:r>
      <w:r w:rsidR="007717B2" w:rsidRPr="007717B2">
        <w:rPr>
          <w:rFonts w:ascii="Calibri" w:eastAsia="Times New Roman" w:hAnsi="Calibri" w:cs="Calibri"/>
          <w:color w:val="000000"/>
          <w:sz w:val="24"/>
          <w:szCs w:val="24"/>
          <w:lang w:eastAsia="es-GT"/>
        </w:rPr>
        <w:t>ctualiza</w:t>
      </w:r>
      <w:r>
        <w:rPr>
          <w:rFonts w:ascii="Calibri" w:eastAsia="Times New Roman" w:hAnsi="Calibri" w:cs="Calibri"/>
          <w:color w:val="000000"/>
          <w:sz w:val="24"/>
          <w:szCs w:val="24"/>
          <w:lang w:eastAsia="es-GT"/>
        </w:rPr>
        <w:t>r</w:t>
      </w:r>
      <w:r w:rsidR="007717B2" w:rsidRPr="007717B2">
        <w:rPr>
          <w:rFonts w:ascii="Calibri" w:eastAsia="Times New Roman" w:hAnsi="Calibri" w:cs="Calibri"/>
          <w:color w:val="000000"/>
          <w:sz w:val="24"/>
          <w:szCs w:val="24"/>
          <w:lang w:eastAsia="es-GT"/>
        </w:rPr>
        <w:t xml:space="preserve"> los equipos de los Laboratorios de Criminalística.</w:t>
      </w:r>
      <w:r w:rsidR="007717B2" w:rsidRPr="007717B2">
        <w:rPr>
          <w:rFonts w:ascii="Calibri" w:eastAsia="Times New Roman" w:hAnsi="Calibri" w:cs="Calibri"/>
          <w:color w:val="000000"/>
          <w:sz w:val="24"/>
          <w:szCs w:val="24"/>
          <w:lang w:val="es-ES" w:eastAsia="es-GT"/>
        </w:rPr>
        <w:t> </w:t>
      </w:r>
    </w:p>
    <w:p w14:paraId="2A92718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Desafíos que al realizarlos mejorarán los servicios que el Instituto presta al sistema de justicia guatemalteco y a la población en general.</w:t>
      </w:r>
      <w:r w:rsidRPr="007717B2">
        <w:rPr>
          <w:rFonts w:ascii="Calibri" w:eastAsia="Times New Roman" w:hAnsi="Calibri" w:cs="Calibri"/>
          <w:color w:val="000000"/>
          <w:sz w:val="24"/>
          <w:szCs w:val="24"/>
          <w:lang w:val="es-ES" w:eastAsia="es-GT"/>
        </w:rPr>
        <w:t> </w:t>
      </w:r>
    </w:p>
    <w:p w14:paraId="4F1A02A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w:t>
      </w:r>
      <w:r w:rsidRPr="007717B2">
        <w:rPr>
          <w:rFonts w:ascii="Calibri" w:eastAsia="Times New Roman" w:hAnsi="Calibri" w:cs="Calibri"/>
          <w:b/>
          <w:bCs/>
          <w:i/>
          <w:iCs/>
          <w:color w:val="000000"/>
          <w:sz w:val="24"/>
          <w:szCs w:val="24"/>
          <w:lang w:eastAsia="es-GT"/>
        </w:rPr>
        <w:t>Crédito Hipotecario Nacional</w:t>
      </w:r>
      <w:r w:rsidRPr="007717B2">
        <w:rPr>
          <w:rFonts w:ascii="Calibri" w:eastAsia="Times New Roman" w:hAnsi="Calibri" w:cs="Calibri"/>
          <w:i/>
          <w:iCs/>
          <w:color w:val="000000"/>
          <w:sz w:val="24"/>
          <w:szCs w:val="24"/>
          <w:lang w:eastAsia="es-GT"/>
        </w:rPr>
        <w:t xml:space="preserve"> </w:t>
      </w:r>
      <w:r w:rsidRPr="007717B2">
        <w:rPr>
          <w:rFonts w:ascii="Calibri" w:eastAsia="Times New Roman" w:hAnsi="Calibri" w:cs="Calibri"/>
          <w:b/>
          <w:bCs/>
          <w:i/>
          <w:iCs/>
          <w:color w:val="000000"/>
          <w:sz w:val="24"/>
          <w:szCs w:val="24"/>
          <w:lang w:eastAsia="es-GT"/>
        </w:rPr>
        <w:t xml:space="preserve">(CHN), </w:t>
      </w:r>
      <w:r w:rsidRPr="007717B2">
        <w:rPr>
          <w:rFonts w:ascii="Calibri" w:eastAsia="Times New Roman" w:hAnsi="Calibri" w:cs="Calibri"/>
          <w:color w:val="000000"/>
          <w:sz w:val="24"/>
          <w:szCs w:val="24"/>
          <w:lang w:eastAsia="es-GT"/>
        </w:rPr>
        <w:t>tiene para el futuro los retos siguientes:</w:t>
      </w:r>
      <w:r w:rsidRPr="007717B2">
        <w:rPr>
          <w:rFonts w:ascii="Calibri" w:eastAsia="Times New Roman" w:hAnsi="Calibri" w:cs="Calibri"/>
          <w:color w:val="000000"/>
          <w:sz w:val="24"/>
          <w:szCs w:val="24"/>
          <w:lang w:val="es-ES" w:eastAsia="es-GT"/>
        </w:rPr>
        <w:t> </w:t>
      </w:r>
    </w:p>
    <w:p w14:paraId="33E402B4"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Una mayor contribución en proporcionar financiamiento para vivienda a mayor número de beneficiarios, el cual está establecido dentro de los planes operativos del CHN para 2023.</w:t>
      </w:r>
    </w:p>
    <w:p w14:paraId="4D4884EA"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Una mayor contribución en proporcionar financiamiento para microcréditos a mayor número de beneficiarios, el cual está establecido dentro de los planes operativos del CHN para 2023</w:t>
      </w:r>
      <w:r w:rsidRPr="007717B2">
        <w:rPr>
          <w:rFonts w:ascii="Calibri" w:eastAsia="Times New Roman" w:hAnsi="Calibri" w:cs="Calibri"/>
          <w:color w:val="000000"/>
          <w:sz w:val="24"/>
          <w:szCs w:val="24"/>
          <w:lang w:val="es-ES" w:eastAsia="es-GT"/>
        </w:rPr>
        <w:t> </w:t>
      </w:r>
    </w:p>
    <w:p w14:paraId="721FD07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parte, el </w:t>
      </w:r>
      <w:r w:rsidRPr="007717B2">
        <w:rPr>
          <w:rFonts w:ascii="Calibri" w:eastAsia="Times New Roman" w:hAnsi="Calibri" w:cs="Calibri"/>
          <w:b/>
          <w:bCs/>
          <w:i/>
          <w:iCs/>
          <w:color w:val="000000"/>
          <w:sz w:val="24"/>
          <w:szCs w:val="24"/>
          <w:lang w:eastAsia="es-GT"/>
        </w:rPr>
        <w:t>Instituto Nacional de Comercialización Agrícola (INDECA),</w:t>
      </w:r>
      <w:r w:rsidRPr="007717B2">
        <w:rPr>
          <w:rFonts w:ascii="Calibri" w:eastAsia="Times New Roman" w:hAnsi="Calibri" w:cs="Calibri"/>
          <w:color w:val="000000"/>
          <w:sz w:val="24"/>
          <w:szCs w:val="24"/>
          <w:lang w:eastAsia="es-GT"/>
        </w:rPr>
        <w:t xml:space="preserve"> deberá abordar a futuro los retos siguientes:</w:t>
      </w:r>
      <w:r w:rsidRPr="007717B2">
        <w:rPr>
          <w:rFonts w:ascii="Calibri" w:eastAsia="Times New Roman" w:hAnsi="Calibri" w:cs="Calibri"/>
          <w:color w:val="000000"/>
          <w:sz w:val="24"/>
          <w:szCs w:val="24"/>
          <w:lang w:val="es-ES" w:eastAsia="es-GT"/>
        </w:rPr>
        <w:t> </w:t>
      </w:r>
    </w:p>
    <w:p w14:paraId="498D1556"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Mantener la infraestructura de almacenamiento en buenas condiciones para el almacenamiento de los alimentos que utilizan el MAGA y el MIDES en apoyo a la seguridad alimentaria del país.  </w:t>
      </w:r>
    </w:p>
    <w:p w14:paraId="44784F65" w14:textId="4E1E1D65"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Ampliar la capacidad de almacenamiento, ya que la demanda se puede ver afectada si los volúmenes de compra de las instituciones que utilizan los servicios de almacenamiento del INDECA, son muy grandes en breves periodos de tiempo.</w:t>
      </w:r>
      <w:r w:rsidRPr="007717B2">
        <w:rPr>
          <w:rFonts w:ascii="Calibri" w:eastAsia="Times New Roman" w:hAnsi="Calibri" w:cs="Calibri"/>
          <w:color w:val="000000"/>
          <w:sz w:val="24"/>
          <w:szCs w:val="24"/>
          <w:lang w:val="es-ES" w:eastAsia="es-GT"/>
        </w:rPr>
        <w:t> </w:t>
      </w:r>
    </w:p>
    <w:p w14:paraId="568AB6A6" w14:textId="6D3F4484"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En cuanto al </w:t>
      </w:r>
      <w:r w:rsidRPr="007717B2">
        <w:rPr>
          <w:rFonts w:ascii="Calibri" w:eastAsia="Times New Roman" w:hAnsi="Calibri" w:cs="Calibri"/>
          <w:b/>
          <w:bCs/>
          <w:i/>
          <w:iCs/>
          <w:color w:val="000000"/>
          <w:sz w:val="24"/>
          <w:szCs w:val="24"/>
          <w:lang w:eastAsia="es-GT"/>
        </w:rPr>
        <w:t>Instituto Guatemalteco de Seguridad Social (IGSS)</w:t>
      </w:r>
      <w:r w:rsidRPr="007717B2">
        <w:rPr>
          <w:rFonts w:ascii="Calibri" w:eastAsia="Times New Roman" w:hAnsi="Calibri" w:cs="Calibri"/>
          <w:color w:val="000000"/>
          <w:sz w:val="24"/>
          <w:szCs w:val="24"/>
          <w:lang w:eastAsia="es-GT"/>
        </w:rPr>
        <w:t xml:space="preserve">, cuenta con el reto de </w:t>
      </w:r>
      <w:r w:rsidR="00F54114" w:rsidRPr="007717B2">
        <w:rPr>
          <w:rFonts w:ascii="Calibri" w:eastAsia="Times New Roman" w:hAnsi="Calibri" w:cs="Calibri"/>
          <w:color w:val="000000"/>
          <w:sz w:val="24"/>
          <w:szCs w:val="24"/>
          <w:lang w:eastAsia="es-GT"/>
        </w:rPr>
        <w:t>continuar</w:t>
      </w:r>
      <w:r w:rsidR="00F54114">
        <w:rPr>
          <w:rFonts w:ascii="Calibri" w:eastAsia="Times New Roman" w:hAnsi="Calibri" w:cs="Calibri"/>
          <w:color w:val="000000"/>
          <w:sz w:val="24"/>
          <w:szCs w:val="24"/>
          <w:lang w:eastAsia="es-GT"/>
        </w:rPr>
        <w:t xml:space="preserve"> </w:t>
      </w:r>
      <w:r w:rsidRPr="007717B2">
        <w:rPr>
          <w:rFonts w:ascii="Calibri" w:eastAsia="Times New Roman" w:hAnsi="Calibri" w:cs="Calibri"/>
          <w:color w:val="000000"/>
          <w:sz w:val="24"/>
          <w:szCs w:val="24"/>
          <w:lang w:eastAsia="es-GT"/>
        </w:rPr>
        <w:t>con el monitoreo mensual y seguimiento cuatrimestral de manera permanente y del envío de los informes cuatrimestrales a las Direcciones Departamentales, como resultado del monitoreo y seguimiento con las observaciones correspondientes.</w:t>
      </w:r>
      <w:r w:rsidRPr="007717B2">
        <w:rPr>
          <w:rFonts w:ascii="Calibri" w:eastAsia="Times New Roman" w:hAnsi="Calibri" w:cs="Calibri"/>
          <w:color w:val="000000"/>
          <w:sz w:val="24"/>
          <w:szCs w:val="24"/>
          <w:lang w:val="es-ES" w:eastAsia="es-GT"/>
        </w:rPr>
        <w:t> </w:t>
      </w:r>
    </w:p>
    <w:p w14:paraId="228DD9CB" w14:textId="77777777"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Asociaciones y federaciones deportivas </w:t>
      </w:r>
    </w:p>
    <w:p w14:paraId="36E91245"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La </w:t>
      </w:r>
      <w:r w:rsidRPr="007717B2">
        <w:rPr>
          <w:rFonts w:ascii="Calibri" w:eastAsia="Times New Roman" w:hAnsi="Calibri" w:cs="Calibri"/>
          <w:b/>
          <w:bCs/>
          <w:i/>
          <w:iCs/>
          <w:sz w:val="24"/>
          <w:szCs w:val="24"/>
          <w:lang w:eastAsia="es-GT"/>
        </w:rPr>
        <w:t>Federación Deportiva Nacional de Ajedrez,</w:t>
      </w:r>
      <w:r w:rsidRPr="007717B2">
        <w:rPr>
          <w:rFonts w:ascii="Calibri" w:eastAsia="Times New Roman" w:hAnsi="Calibri" w:cs="Calibri"/>
          <w:sz w:val="24"/>
          <w:szCs w:val="24"/>
          <w:lang w:eastAsia="es-GT"/>
        </w:rPr>
        <w:t xml:space="preserve"> encara los siguientes retos:</w:t>
      </w:r>
      <w:r w:rsidRPr="007717B2">
        <w:rPr>
          <w:rFonts w:ascii="Calibri" w:eastAsia="Times New Roman" w:hAnsi="Calibri" w:cs="Calibri"/>
          <w:sz w:val="24"/>
          <w:szCs w:val="24"/>
          <w:lang w:val="es-ES" w:eastAsia="es-GT"/>
        </w:rPr>
        <w:t> </w:t>
      </w:r>
    </w:p>
    <w:p w14:paraId="266EAC85" w14:textId="319F4AAD"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 respecto a las metas físicas</w:t>
      </w:r>
      <w:r w:rsidR="008271F6">
        <w:rPr>
          <w:rFonts w:ascii="Calibri" w:eastAsia="Times New Roman" w:hAnsi="Calibri" w:cs="Calibri"/>
          <w:color w:val="000000"/>
          <w:sz w:val="24"/>
          <w:szCs w:val="24"/>
          <w:lang w:eastAsia="es-GT"/>
        </w:rPr>
        <w:t xml:space="preserve">, </w:t>
      </w:r>
      <w:r w:rsidRPr="007717B2">
        <w:rPr>
          <w:rFonts w:ascii="Calibri" w:eastAsia="Times New Roman" w:hAnsi="Calibri" w:cs="Calibri"/>
          <w:color w:val="000000"/>
          <w:sz w:val="24"/>
          <w:szCs w:val="24"/>
          <w:lang w:eastAsia="es-GT"/>
        </w:rPr>
        <w:t xml:space="preserve">lograr una mayor participación internacional de los atletas destacados, </w:t>
      </w:r>
      <w:r w:rsidR="00955806">
        <w:rPr>
          <w:rFonts w:ascii="Calibri" w:eastAsia="Times New Roman" w:hAnsi="Calibri" w:cs="Calibri"/>
          <w:color w:val="000000"/>
          <w:sz w:val="24"/>
          <w:szCs w:val="24"/>
          <w:lang w:eastAsia="es-GT"/>
        </w:rPr>
        <w:t>con un panorama d</w:t>
      </w:r>
      <w:r w:rsidRPr="007717B2">
        <w:rPr>
          <w:rFonts w:ascii="Calibri" w:eastAsia="Times New Roman" w:hAnsi="Calibri" w:cs="Calibri"/>
          <w:color w:val="000000"/>
          <w:sz w:val="24"/>
          <w:szCs w:val="24"/>
          <w:lang w:eastAsia="es-GT"/>
        </w:rPr>
        <w:t>ifícil por los problemas que tiene el Comité Olímpico. </w:t>
      </w:r>
    </w:p>
    <w:p w14:paraId="7C631B7D" w14:textId="77777777" w:rsidR="00955806" w:rsidRPr="00955806"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Revisar que la ejecución de las metas financieras se esté cumpliendo o reprogramarlas.</w:t>
      </w:r>
    </w:p>
    <w:p w14:paraId="7EDD40C8" w14:textId="4700950E" w:rsidR="007717B2" w:rsidRPr="007717B2" w:rsidRDefault="007717B2" w:rsidP="00955806">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val="es-ES" w:eastAsia="es-GT"/>
        </w:rPr>
        <w:t> </w:t>
      </w:r>
    </w:p>
    <w:p w14:paraId="090B2A0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su parte, la </w:t>
      </w:r>
      <w:r w:rsidRPr="007717B2">
        <w:rPr>
          <w:rFonts w:ascii="Calibri" w:eastAsia="Times New Roman" w:hAnsi="Calibri" w:cs="Calibri"/>
          <w:b/>
          <w:bCs/>
          <w:i/>
          <w:iCs/>
          <w:color w:val="000000"/>
          <w:sz w:val="24"/>
          <w:szCs w:val="24"/>
          <w:lang w:eastAsia="es-GT"/>
        </w:rPr>
        <w:t>Federación Deportiva Nacional de Triatlón,</w:t>
      </w:r>
      <w:r w:rsidRPr="007717B2">
        <w:rPr>
          <w:rFonts w:ascii="Calibri" w:eastAsia="Times New Roman" w:hAnsi="Calibri" w:cs="Calibri"/>
          <w:color w:val="000000"/>
          <w:sz w:val="24"/>
          <w:szCs w:val="24"/>
          <w:lang w:eastAsia="es-GT"/>
        </w:rPr>
        <w:t xml:space="preserve"> enfrenta los siguientes desafíos:</w:t>
      </w:r>
      <w:r w:rsidRPr="007717B2">
        <w:rPr>
          <w:rFonts w:ascii="Calibri" w:eastAsia="Times New Roman" w:hAnsi="Calibri" w:cs="Calibri"/>
          <w:color w:val="000000"/>
          <w:sz w:val="24"/>
          <w:szCs w:val="24"/>
          <w:lang w:val="es-ES" w:eastAsia="es-GT"/>
        </w:rPr>
        <w:t> </w:t>
      </w:r>
    </w:p>
    <w:p w14:paraId="0C57FB47"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Habilitar el modelo de piscina de entrenamiento para natación en la federación y todas sus asociaciones departamentales. </w:t>
      </w:r>
    </w:p>
    <w:p w14:paraId="264F9721"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Descubrir más atletas en la edad objetivo con las condiciones favorables para alcanzar las marcas y programas de desarrollo deportivo.</w:t>
      </w:r>
      <w:r w:rsidRPr="007717B2">
        <w:rPr>
          <w:rFonts w:ascii="Calibri" w:eastAsia="Times New Roman" w:hAnsi="Calibri" w:cs="Calibri"/>
          <w:color w:val="000000"/>
          <w:sz w:val="24"/>
          <w:szCs w:val="24"/>
          <w:lang w:val="es-ES" w:eastAsia="es-GT"/>
        </w:rPr>
        <w:t> </w:t>
      </w:r>
    </w:p>
    <w:p w14:paraId="566599A4" w14:textId="60FCB6F6"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En lo concerniente a la </w:t>
      </w:r>
      <w:r w:rsidRPr="007717B2">
        <w:rPr>
          <w:rFonts w:ascii="Calibri" w:eastAsia="Times New Roman" w:hAnsi="Calibri" w:cs="Calibri"/>
          <w:b/>
          <w:bCs/>
          <w:i/>
          <w:iCs/>
          <w:sz w:val="24"/>
          <w:szCs w:val="24"/>
          <w:lang w:eastAsia="es-GT"/>
        </w:rPr>
        <w:t xml:space="preserve">Asociación Deportiva Nacional de Hockey, </w:t>
      </w:r>
      <w:r w:rsidRPr="007717B2">
        <w:rPr>
          <w:rFonts w:ascii="Calibri" w:eastAsia="Times New Roman" w:hAnsi="Calibri" w:cs="Calibri"/>
          <w:sz w:val="24"/>
          <w:szCs w:val="24"/>
          <w:lang w:eastAsia="es-GT"/>
        </w:rPr>
        <w:t>que no ha reportado logros, su desafío principal es i</w:t>
      </w:r>
      <w:r w:rsidRPr="007717B2">
        <w:rPr>
          <w:rFonts w:ascii="Calibri" w:eastAsia="Times New Roman" w:hAnsi="Calibri" w:cs="Calibri"/>
          <w:color w:val="000000"/>
          <w:sz w:val="24"/>
          <w:szCs w:val="24"/>
          <w:lang w:eastAsia="es-GT"/>
        </w:rPr>
        <w:t>mplementar medidas correctivas sobre las metas con baja ejecución según lo programado</w:t>
      </w:r>
      <w:r w:rsidR="006345AD">
        <w:rPr>
          <w:rFonts w:ascii="Calibri" w:eastAsia="Times New Roman" w:hAnsi="Calibri" w:cs="Calibri"/>
          <w:color w:val="000000"/>
          <w:sz w:val="24"/>
          <w:szCs w:val="24"/>
          <w:lang w:eastAsia="es-GT"/>
        </w:rPr>
        <w:t>.</w:t>
      </w:r>
    </w:p>
    <w:p w14:paraId="12C3FB7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Respecto a la </w:t>
      </w:r>
      <w:r w:rsidRPr="007717B2">
        <w:rPr>
          <w:rFonts w:ascii="Calibri" w:eastAsia="Times New Roman" w:hAnsi="Calibri" w:cs="Calibri"/>
          <w:b/>
          <w:bCs/>
          <w:i/>
          <w:iCs/>
          <w:color w:val="000000"/>
          <w:sz w:val="24"/>
          <w:szCs w:val="24"/>
          <w:lang w:eastAsia="es-GT"/>
        </w:rPr>
        <w:t>Asociación Deportiva Nacional de Tiro con Arco,</w:t>
      </w:r>
      <w:r w:rsidRPr="007717B2">
        <w:rPr>
          <w:rFonts w:ascii="Calibri" w:eastAsia="Times New Roman" w:hAnsi="Calibri" w:cs="Calibri"/>
          <w:color w:val="000000"/>
          <w:sz w:val="24"/>
          <w:szCs w:val="24"/>
          <w:lang w:eastAsia="es-GT"/>
        </w:rPr>
        <w:t xml:space="preserve"> esta entidad se enfrenta a los siguientes desafíos:</w:t>
      </w:r>
      <w:r w:rsidRPr="007717B2">
        <w:rPr>
          <w:rFonts w:ascii="Calibri" w:eastAsia="Times New Roman" w:hAnsi="Calibri" w:cs="Calibri"/>
          <w:color w:val="000000"/>
          <w:sz w:val="24"/>
          <w:szCs w:val="24"/>
          <w:lang w:val="es-ES" w:eastAsia="es-GT"/>
        </w:rPr>
        <w:t> </w:t>
      </w:r>
    </w:p>
    <w:p w14:paraId="03924093"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Invertir en compra de equipo deportivo. </w:t>
      </w:r>
    </w:p>
    <w:p w14:paraId="1CC3FA0E"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Invertir en capacitaciones para entrenadores</w:t>
      </w:r>
      <w:r w:rsidRPr="007717B2">
        <w:rPr>
          <w:rFonts w:ascii="Calibri" w:eastAsia="Times New Roman" w:hAnsi="Calibri" w:cs="Calibri"/>
          <w:color w:val="000000"/>
          <w:sz w:val="24"/>
          <w:szCs w:val="24"/>
          <w:lang w:val="es-ES" w:eastAsia="es-GT"/>
        </w:rPr>
        <w:t> </w:t>
      </w:r>
    </w:p>
    <w:p w14:paraId="255CBCD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último, la </w:t>
      </w:r>
      <w:r w:rsidRPr="007717B2">
        <w:rPr>
          <w:rFonts w:ascii="Calibri" w:eastAsia="Times New Roman" w:hAnsi="Calibri" w:cs="Calibri"/>
          <w:b/>
          <w:bCs/>
          <w:i/>
          <w:iCs/>
          <w:color w:val="000000"/>
          <w:sz w:val="24"/>
          <w:szCs w:val="24"/>
          <w:lang w:eastAsia="es-GT"/>
        </w:rPr>
        <w:t>Asociación Deportiva Nacional de Rugby</w:t>
      </w:r>
      <w:r w:rsidRPr="007717B2">
        <w:rPr>
          <w:rFonts w:ascii="Calibri" w:eastAsia="Times New Roman" w:hAnsi="Calibri" w:cs="Calibri"/>
          <w:color w:val="000000"/>
          <w:sz w:val="24"/>
          <w:szCs w:val="24"/>
          <w:lang w:eastAsia="es-GT"/>
        </w:rPr>
        <w:t xml:space="preserve"> tiene ante sí los siguientes retos:</w:t>
      </w:r>
      <w:r w:rsidRPr="007717B2">
        <w:rPr>
          <w:rFonts w:ascii="Calibri" w:eastAsia="Times New Roman" w:hAnsi="Calibri" w:cs="Calibri"/>
          <w:color w:val="000000"/>
          <w:sz w:val="24"/>
          <w:szCs w:val="24"/>
          <w:lang w:val="es-ES" w:eastAsia="es-GT"/>
        </w:rPr>
        <w:t> </w:t>
      </w:r>
    </w:p>
    <w:p w14:paraId="71C517BC"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Implementar estrategias para incrementar la meta matricular según lo programado. </w:t>
      </w:r>
    </w:p>
    <w:p w14:paraId="312C77C4" w14:textId="77777777" w:rsidR="007717B2" w:rsidRPr="007717B2" w:rsidRDefault="007717B2" w:rsidP="003C1D42">
      <w:pPr>
        <w:numPr>
          <w:ilvl w:val="0"/>
          <w:numId w:val="33"/>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Creación de nuevos y mejores programas para beneficio de los atletas.</w:t>
      </w:r>
    </w:p>
    <w:p w14:paraId="49249313" w14:textId="77777777" w:rsidR="00F24DCE" w:rsidRDefault="00401C40" w:rsidP="007717B2">
      <w:pPr>
        <w:spacing w:before="120" w:after="120" w:line="240" w:lineRule="auto"/>
        <w:jc w:val="both"/>
        <w:textAlignment w:val="baseline"/>
        <w:rPr>
          <w:rFonts w:ascii="Calibri" w:eastAsia="Times New Roman" w:hAnsi="Calibri" w:cs="Calibri"/>
          <w:b/>
          <w:color w:val="002060"/>
          <w:sz w:val="28"/>
          <w:szCs w:val="28"/>
        </w:rPr>
      </w:pPr>
      <w:r>
        <w:rPr>
          <w:rFonts w:ascii="Calibri" w:eastAsia="Times New Roman" w:hAnsi="Calibri" w:cs="Calibri"/>
          <w:b/>
          <w:color w:val="002060"/>
          <w:sz w:val="28"/>
          <w:szCs w:val="28"/>
        </w:rPr>
        <w:t xml:space="preserve">Resultados </w:t>
      </w:r>
      <w:r w:rsidR="00FE0F67">
        <w:rPr>
          <w:rFonts w:ascii="Calibri" w:eastAsia="Times New Roman" w:hAnsi="Calibri" w:cs="Calibri"/>
          <w:b/>
          <w:color w:val="002060"/>
          <w:sz w:val="28"/>
          <w:szCs w:val="28"/>
        </w:rPr>
        <w:t xml:space="preserve">de </w:t>
      </w:r>
      <w:r w:rsidR="007717B2" w:rsidRPr="007717B2">
        <w:rPr>
          <w:rFonts w:ascii="Calibri" w:eastAsia="Times New Roman" w:hAnsi="Calibri" w:cs="Calibri"/>
          <w:b/>
          <w:color w:val="002060"/>
          <w:sz w:val="28"/>
          <w:szCs w:val="28"/>
        </w:rPr>
        <w:t>las Metas PGG</w:t>
      </w:r>
    </w:p>
    <w:p w14:paraId="11FB6669" w14:textId="4C3BC3CA" w:rsidR="007717B2" w:rsidRDefault="003B748E" w:rsidP="007717B2">
      <w:pPr>
        <w:spacing w:before="120" w:after="120" w:line="240" w:lineRule="auto"/>
        <w:jc w:val="both"/>
        <w:textAlignment w:val="baseline"/>
        <w:rPr>
          <w:rFonts w:ascii="Calibri" w:eastAsia="Times New Roman" w:hAnsi="Calibri" w:cs="Calibri"/>
          <w:color w:val="000000"/>
          <w:sz w:val="24"/>
          <w:szCs w:val="24"/>
          <w:lang w:eastAsia="es-GT"/>
        </w:rPr>
      </w:pPr>
      <w:r>
        <w:rPr>
          <w:rFonts w:ascii="Calibri" w:eastAsia="Times New Roman" w:hAnsi="Calibri" w:cs="Calibri"/>
          <w:color w:val="000000"/>
          <w:sz w:val="24"/>
          <w:szCs w:val="24"/>
          <w:lang w:eastAsia="es-GT"/>
        </w:rPr>
        <w:t>Luego de transcurridos tres años desde la implementación de la Política General de Gobierno (PGG) 2020-2024</w:t>
      </w:r>
      <w:r w:rsidR="005814D5">
        <w:rPr>
          <w:rFonts w:ascii="Calibri" w:eastAsia="Times New Roman" w:hAnsi="Calibri" w:cs="Calibri"/>
          <w:color w:val="000000"/>
          <w:sz w:val="24"/>
          <w:szCs w:val="24"/>
          <w:lang w:eastAsia="es-GT"/>
        </w:rPr>
        <w:t>, se present</w:t>
      </w:r>
      <w:r w:rsidR="004333CB">
        <w:rPr>
          <w:rFonts w:ascii="Calibri" w:eastAsia="Times New Roman" w:hAnsi="Calibri" w:cs="Calibri"/>
          <w:color w:val="000000"/>
          <w:sz w:val="24"/>
          <w:szCs w:val="24"/>
          <w:lang w:eastAsia="es-GT"/>
        </w:rPr>
        <w:t xml:space="preserve">a por cada Pilar, </w:t>
      </w:r>
      <w:r w:rsidR="005814D5">
        <w:rPr>
          <w:rFonts w:ascii="Calibri" w:eastAsia="Times New Roman" w:hAnsi="Calibri" w:cs="Calibri"/>
          <w:color w:val="000000"/>
          <w:sz w:val="24"/>
          <w:szCs w:val="24"/>
          <w:lang w:eastAsia="es-GT"/>
        </w:rPr>
        <w:t>los principales resultados</w:t>
      </w:r>
      <w:r w:rsidR="00570576">
        <w:rPr>
          <w:rFonts w:ascii="Calibri" w:eastAsia="Times New Roman" w:hAnsi="Calibri" w:cs="Calibri"/>
          <w:color w:val="000000"/>
          <w:sz w:val="24"/>
          <w:szCs w:val="24"/>
          <w:lang w:eastAsia="es-GT"/>
        </w:rPr>
        <w:t xml:space="preserve"> de las instituciones que se encuentran vinculadas y contribuyen de manera directa a la consecución de las metas </w:t>
      </w:r>
      <w:r w:rsidR="005814D5">
        <w:rPr>
          <w:rFonts w:ascii="Calibri" w:eastAsia="Times New Roman" w:hAnsi="Calibri" w:cs="Calibri"/>
          <w:color w:val="000000"/>
          <w:sz w:val="24"/>
          <w:szCs w:val="24"/>
          <w:lang w:eastAsia="es-GT"/>
        </w:rPr>
        <w:t>estratégicas de la Política</w:t>
      </w:r>
      <w:r w:rsidR="004333CB">
        <w:rPr>
          <w:rFonts w:ascii="Calibri" w:eastAsia="Times New Roman" w:hAnsi="Calibri" w:cs="Calibri"/>
          <w:color w:val="000000"/>
          <w:sz w:val="24"/>
          <w:szCs w:val="24"/>
          <w:lang w:eastAsia="es-GT"/>
        </w:rPr>
        <w:t>.</w:t>
      </w:r>
      <w:r w:rsidR="00AA1B44" w:rsidRPr="00E663B8">
        <w:rPr>
          <w:rStyle w:val="Refdenotaalpie"/>
          <w:rFonts w:ascii="Calibri" w:eastAsia="Times New Roman" w:hAnsi="Calibri" w:cs="Calibri"/>
          <w:color w:val="000000"/>
          <w:szCs w:val="24"/>
          <w:lang w:eastAsia="es-GT"/>
        </w:rPr>
        <w:footnoteReference w:id="16"/>
      </w:r>
    </w:p>
    <w:p w14:paraId="74947334" w14:textId="29AB217E" w:rsidR="007717B2" w:rsidRPr="00401C40" w:rsidRDefault="007717B2" w:rsidP="007717B2">
      <w:pPr>
        <w:spacing w:before="120" w:after="120" w:line="240" w:lineRule="auto"/>
        <w:jc w:val="both"/>
        <w:textAlignment w:val="baseline"/>
        <w:rPr>
          <w:rFonts w:ascii="Calibri" w:eastAsia="Times New Roman" w:hAnsi="Calibri" w:cs="Calibri"/>
          <w:b/>
          <w:color w:val="002060"/>
          <w:sz w:val="24"/>
          <w:szCs w:val="28"/>
        </w:rPr>
      </w:pPr>
      <w:r w:rsidRPr="00401C40">
        <w:rPr>
          <w:rFonts w:ascii="Calibri" w:eastAsia="Times New Roman" w:hAnsi="Calibri" w:cs="Calibri"/>
          <w:b/>
          <w:color w:val="002060"/>
          <w:sz w:val="24"/>
          <w:szCs w:val="28"/>
        </w:rPr>
        <w:t xml:space="preserve">Pilar 1: </w:t>
      </w:r>
      <w:r w:rsidR="00EA3448">
        <w:rPr>
          <w:rFonts w:ascii="Calibri" w:eastAsia="Times New Roman" w:hAnsi="Calibri" w:cs="Calibri"/>
          <w:b/>
          <w:color w:val="002060"/>
          <w:sz w:val="24"/>
          <w:szCs w:val="28"/>
        </w:rPr>
        <w:t>E</w:t>
      </w:r>
      <w:r w:rsidRPr="00401C40">
        <w:rPr>
          <w:rFonts w:ascii="Calibri" w:eastAsia="Times New Roman" w:hAnsi="Calibri" w:cs="Calibri"/>
          <w:b/>
          <w:color w:val="002060"/>
          <w:sz w:val="24"/>
          <w:szCs w:val="28"/>
        </w:rPr>
        <w:t>conomía, competitividad y prosperidad </w:t>
      </w:r>
    </w:p>
    <w:p w14:paraId="738F12F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Economía (MINECO)</w:t>
      </w:r>
      <w:r w:rsidRPr="007717B2">
        <w:rPr>
          <w:rFonts w:ascii="Calibri" w:eastAsia="Times New Roman" w:hAnsi="Calibri" w:cs="Calibri"/>
          <w:sz w:val="24"/>
          <w:szCs w:val="24"/>
          <w:lang w:val="es-ES" w:eastAsia="es-GT"/>
        </w:rPr>
        <w:t> </w:t>
      </w:r>
    </w:p>
    <w:p w14:paraId="52D83B7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en 2.60 puntos porcentuales la tasa de crecimiento del PIB real” </w:t>
      </w:r>
      <w:r w:rsidRPr="007717B2">
        <w:rPr>
          <w:rFonts w:ascii="Calibri" w:eastAsia="Times New Roman" w:hAnsi="Calibri" w:cs="Calibri"/>
          <w:sz w:val="24"/>
          <w:szCs w:val="24"/>
          <w:lang w:val="es-ES" w:eastAsia="es-GT"/>
        </w:rPr>
        <w:t> </w:t>
      </w:r>
    </w:p>
    <w:p w14:paraId="4C6E300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proceso de recuperación de la actividad económica continuó consolidándose en 2022 pese a la incertidumbre en la economía mundial (incluyendo las economías de los principales socios comerciales de Guatemala), dada la intensificación y prolongación del conflicto Rusia-Ucrania, la persistencia de las presiones inflacionarias, el endurecimiento acelerado de las condiciones financieras internacionales y los nuevos brotes del COVID-19. No obstante, la economía interna mantuvo el dinamismo, lo cual se debe a su resiliencia ante choques externos y al apoyo de las políticas económicas en la consolidación del proceso de recuperación mediante una rápida actuación en la política monetaria, cambiaria y crediticia. </w:t>
      </w:r>
      <w:r w:rsidRPr="007717B2">
        <w:rPr>
          <w:rFonts w:ascii="Calibri" w:eastAsia="Times New Roman" w:hAnsi="Calibri" w:cs="Calibri"/>
          <w:color w:val="000000"/>
          <w:sz w:val="24"/>
          <w:szCs w:val="24"/>
          <w:lang w:val="es-ES" w:eastAsia="es-GT"/>
        </w:rPr>
        <w:t> </w:t>
      </w:r>
    </w:p>
    <w:p w14:paraId="3A364B2C" w14:textId="02099CCF"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Esta resiliencia fue observada en el desempeño de la economía nacional en 2020, en la cual se presentó una de las menores contracciones del Producto Interno Bruto (PIB) en América Latina con -1.8%. Y con la mayor tasa de crecimiento económico observada en las últimas cuatro décadas de 8% en 2021 solo comparable con el 7.8% de 1977. En este contexto, en 2022 el crecimiento del PIB en términos reales se estima entre 3.0% y 5.0%, crecimiento dentro del rango del promedio de los años 2016 al 2019,</w:t>
      </w:r>
      <w:r w:rsidR="007C6C84">
        <w:rPr>
          <w:rFonts w:ascii="Calibri" w:eastAsia="Times New Roman" w:hAnsi="Calibri" w:cs="Calibri"/>
          <w:color w:val="000000"/>
          <w:sz w:val="24"/>
          <w:szCs w:val="24"/>
          <w:lang w:eastAsia="es-GT"/>
        </w:rPr>
        <w:t xml:space="preserve"> </w:t>
      </w:r>
      <w:r w:rsidRPr="007717B2">
        <w:rPr>
          <w:rFonts w:ascii="Calibri" w:eastAsia="Times New Roman" w:hAnsi="Calibri" w:cs="Calibri"/>
          <w:color w:val="000000"/>
          <w:sz w:val="24"/>
          <w:szCs w:val="24"/>
          <w:lang w:eastAsia="es-GT"/>
        </w:rPr>
        <w:t>según el Banco de Guatemala (BANGUAT), dicha estimación que está sujeta a diversos riesgos, mencionados en el párrafo anterior.</w:t>
      </w:r>
    </w:p>
    <w:p w14:paraId="4FEEB8C4" w14:textId="167783D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el país ocupa la posición 85 en el ranking del índice de competitividad global”? </w:t>
      </w:r>
      <w:r w:rsidRPr="007717B2">
        <w:rPr>
          <w:rFonts w:ascii="Calibri" w:eastAsia="Times New Roman" w:hAnsi="Calibri" w:cs="Calibri"/>
          <w:sz w:val="24"/>
          <w:szCs w:val="24"/>
          <w:lang w:val="es-ES" w:eastAsia="es-GT"/>
        </w:rPr>
        <w:t> </w:t>
      </w:r>
    </w:p>
    <w:p w14:paraId="1433129E" w14:textId="45D17289"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Como parte de los esfuerzos enmarcados en el eje de Economía, Prosperidad y Competitividad de la PGG, el país elaboró una estrategia de atracción de inversión extranjera directa y se construyó una cartera de oportunidades de inversión en sectores más sofisticados en los que se desempeña competitivamente, mediante la iniciativa Guatemala no se Detiene. Gracias a la cual durante la actual administración se logró triplicar la inversión extranjera directa (IED) en 2021, la cual se ubicó en US$3,471.7 millones y contribuyó con más de 18,000 empleos nuevos. En esta misma línea, durante 2022 se lograron inversiones y reinversiones en 70 proyectos, con un potencial de atracción de US$1</w:t>
      </w:r>
      <w:r w:rsidR="000F5427">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816 millones, lo que proyecta la generación de más de 50,000 nuevos empleos.</w:t>
      </w:r>
    </w:p>
    <w:p w14:paraId="065E01F5" w14:textId="4780ACC2"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Por otro lado, </w:t>
      </w:r>
      <w:r w:rsidR="000F5427">
        <w:rPr>
          <w:rFonts w:ascii="Calibri" w:eastAsia="Times New Roman" w:hAnsi="Calibri" w:cs="Calibri"/>
          <w:color w:val="000000"/>
          <w:sz w:val="24"/>
          <w:szCs w:val="24"/>
          <w:lang w:eastAsia="es-GT"/>
        </w:rPr>
        <w:t>se puede ver</w:t>
      </w:r>
      <w:r w:rsidRPr="007717B2">
        <w:rPr>
          <w:rFonts w:ascii="Calibri" w:eastAsia="Times New Roman" w:hAnsi="Calibri" w:cs="Calibri"/>
          <w:color w:val="000000"/>
          <w:sz w:val="24"/>
          <w:szCs w:val="24"/>
          <w:lang w:eastAsia="es-GT"/>
        </w:rPr>
        <w:t xml:space="preserve"> la inversión confirmada por mes, y en esta </w:t>
      </w:r>
      <w:r w:rsidR="006A5365">
        <w:rPr>
          <w:rFonts w:ascii="Calibri" w:eastAsia="Times New Roman" w:hAnsi="Calibri" w:cs="Calibri"/>
          <w:color w:val="000000"/>
          <w:sz w:val="24"/>
          <w:szCs w:val="24"/>
          <w:lang w:eastAsia="es-GT"/>
        </w:rPr>
        <w:t xml:space="preserve">se observa </w:t>
      </w:r>
      <w:r w:rsidRPr="007717B2">
        <w:rPr>
          <w:rFonts w:ascii="Calibri" w:eastAsia="Times New Roman" w:hAnsi="Calibri" w:cs="Calibri"/>
          <w:color w:val="000000"/>
          <w:sz w:val="24"/>
          <w:szCs w:val="24"/>
          <w:lang w:eastAsia="es-GT"/>
        </w:rPr>
        <w:t>el impacto que han tenido los eventos que han sido organizados a nivel nacional y a nivel internacional. Mediante la realización de estos eventos, Guatemala se ha posicionado en un lugar relevante a nivel global y además es el destino ideal para estrategias de nearshoring.</w:t>
      </w:r>
      <w:r w:rsidRPr="007717B2">
        <w:rPr>
          <w:rFonts w:ascii="Calibri" w:eastAsia="Times New Roman" w:hAnsi="Calibri" w:cs="Calibri"/>
          <w:color w:val="000000"/>
          <w:sz w:val="24"/>
          <w:szCs w:val="24"/>
          <w:lang w:val="es-ES" w:eastAsia="es-GT"/>
        </w:rPr>
        <w:t> </w:t>
      </w:r>
    </w:p>
    <w:p w14:paraId="5F7DBD3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¿Cuál es el resultado del avance al año 2022, de la meta “para el año 2023 el país ocupa la posición 88 en el ranking del Doing Business”?</w:t>
      </w:r>
      <w:r w:rsidRPr="007717B2">
        <w:rPr>
          <w:rFonts w:ascii="Calibri" w:eastAsia="Times New Roman" w:hAnsi="Calibri" w:cs="Calibri"/>
          <w:color w:val="000000"/>
          <w:sz w:val="24"/>
          <w:szCs w:val="24"/>
          <w:lang w:val="es-ES" w:eastAsia="es-GT"/>
        </w:rPr>
        <w:t> </w:t>
      </w:r>
    </w:p>
    <w:p w14:paraId="75D0BD1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Para el reporte Doing Business del año 2020 Guatemala ocupó la posición 96 del ranking, mejorando su posición en indicadores específicos como la obtención de crédito, protección a inversionistas minoritarios y comercio transfronterizo. Sin embargo, en el año 2021, la Administración del Banco Mundial suspendió la elaboración de la edición 2021 debido a la presentación de denuncias internas sobre irregularidades en los datos del informe Doing Business 2018 y 2020. Posterior a examinar la información correspondiente, el Banco Mundial emitió un comunicado dando a conocer la siguiente declaración: “… el informe que el Banco dio a conocer hoy en nombre del Directorio Ejecutivo, la Administración del Grupo Banco Mundial ha tomado la decisión de dejar de elaborar el informe Doing Business.” </w:t>
      </w:r>
      <w:r w:rsidRPr="007717B2">
        <w:rPr>
          <w:rFonts w:ascii="Calibri" w:eastAsia="Times New Roman" w:hAnsi="Calibri" w:cs="Calibri"/>
          <w:color w:val="000000"/>
          <w:sz w:val="24"/>
          <w:szCs w:val="24"/>
          <w:lang w:val="es-ES" w:eastAsia="es-GT"/>
        </w:rPr>
        <w:t> </w:t>
      </w:r>
    </w:p>
    <w:p w14:paraId="63F2506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No obstante, lo anterior, el PRONACOM continúa realizando acciones específicas para apoyar al</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val="es-ES" w:eastAsia="es-GT"/>
        </w:rPr>
        <w:br/>
      </w:r>
      <w:r w:rsidRPr="007717B2">
        <w:rPr>
          <w:rFonts w:ascii="Calibri" w:eastAsia="Times New Roman" w:hAnsi="Calibri" w:cs="Calibri"/>
          <w:color w:val="000000"/>
          <w:sz w:val="24"/>
          <w:szCs w:val="24"/>
          <w:lang w:eastAsia="es-GT"/>
        </w:rPr>
        <w:t>fortalecimiento del clima de negocios en Guatemala, dentro de la cual se proyectó que hubiesen generado un impacto importante los indicadores aludidos</w:t>
      </w:r>
      <w:r w:rsidRPr="007717B2">
        <w:rPr>
          <w:rFonts w:ascii="Calibri" w:eastAsia="Times New Roman" w:hAnsi="Calibri" w:cs="Calibri"/>
          <w:color w:val="000000"/>
          <w:sz w:val="24"/>
          <w:szCs w:val="24"/>
          <w:lang w:val="es-ES" w:eastAsia="es-GT"/>
        </w:rPr>
        <w:t> </w:t>
      </w:r>
    </w:p>
    <w:p w14:paraId="62044D39" w14:textId="3479E63A"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redujo la tasa de informalidad del empleo en 6 puntos porcentuales”? </w:t>
      </w:r>
      <w:r w:rsidRPr="007717B2">
        <w:rPr>
          <w:rFonts w:ascii="Calibri" w:eastAsia="Times New Roman" w:hAnsi="Calibri" w:cs="Calibri"/>
          <w:color w:val="000000"/>
          <w:sz w:val="24"/>
          <w:szCs w:val="24"/>
          <w:lang w:val="es-ES" w:eastAsia="es-GT"/>
        </w:rPr>
        <w:t> </w:t>
      </w:r>
    </w:p>
    <w:p w14:paraId="5A136590" w14:textId="14890075"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Departamento de Articulación Productiva y de Inserción de Cooperativas atendió a 1,779 Mujeres empresarias capacitadas y con asistencia técnica en servicios de desarrollo empresarial y 2,000 Artesanos capacitados en producción y comercialización artesanal. Esto se logró por medio del programa Innovación Artesanal, el cual ha desarrollado diferentes capacitaciones y asistencias técnicas a los diferentes grupos artesanales en varios departamentos del país, fortaleciendo a los artesanos en todos los rubros productivos en que elaboran sus artesanías. Es de resaltar que se han realizado diferentes vinculaciones comerciales con empresas tales como: La casa, Chulada Market, NAN, La Panería S.A., Tuly, Global Trunk, entre otras, con ventas calculadas en Q 444,25</w:t>
      </w:r>
      <w:r w:rsidR="00704DA7">
        <w:rPr>
          <w:rFonts w:ascii="Calibri" w:eastAsia="Times New Roman" w:hAnsi="Calibri" w:cs="Calibri"/>
          <w:color w:val="000000"/>
          <w:sz w:val="24"/>
          <w:szCs w:val="24"/>
          <w:lang w:eastAsia="es-GT"/>
        </w:rPr>
        <w:t>4</w:t>
      </w:r>
    </w:p>
    <w:p w14:paraId="352C27B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el monto de los créditos para emprendimientos de familias pobres a Q 200,000,000? </w:t>
      </w:r>
      <w:r w:rsidRPr="007717B2">
        <w:rPr>
          <w:rFonts w:ascii="Calibri" w:eastAsia="Times New Roman" w:hAnsi="Calibri" w:cs="Calibri"/>
          <w:color w:val="000000"/>
          <w:sz w:val="24"/>
          <w:szCs w:val="24"/>
          <w:lang w:val="es-ES" w:eastAsia="es-GT"/>
        </w:rPr>
        <w:t> </w:t>
      </w:r>
    </w:p>
    <w:p w14:paraId="79FB9E18" w14:textId="64C823AF"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Por medio de la red de Entidades de Servicios </w:t>
      </w:r>
      <w:r w:rsidR="00B57028">
        <w:rPr>
          <w:rFonts w:ascii="Calibri" w:eastAsia="Times New Roman" w:hAnsi="Calibri" w:cs="Calibri"/>
          <w:color w:val="000000"/>
          <w:sz w:val="24"/>
          <w:szCs w:val="24"/>
          <w:lang w:eastAsia="es-GT"/>
        </w:rPr>
        <w:t>F</w:t>
      </w:r>
      <w:r w:rsidRPr="007717B2">
        <w:rPr>
          <w:rFonts w:ascii="Calibri" w:eastAsia="Times New Roman" w:hAnsi="Calibri" w:cs="Calibri"/>
          <w:color w:val="000000"/>
          <w:sz w:val="24"/>
          <w:szCs w:val="24"/>
          <w:lang w:eastAsia="es-GT"/>
        </w:rPr>
        <w:t xml:space="preserve">inancieros se otorgaron 1,823 préstamos a empresarios propietarios de microempresas, pequeñas y medianas empresas, </w:t>
      </w:r>
      <w:r w:rsidR="00B57028">
        <w:rPr>
          <w:rFonts w:ascii="Calibri" w:eastAsia="Times New Roman" w:hAnsi="Calibri" w:cs="Calibri"/>
          <w:color w:val="000000"/>
          <w:sz w:val="24"/>
          <w:szCs w:val="24"/>
          <w:lang w:eastAsia="es-GT"/>
        </w:rPr>
        <w:t xml:space="preserve">por un monto total de </w:t>
      </w:r>
      <w:r w:rsidR="00B57028" w:rsidRPr="007717B2">
        <w:rPr>
          <w:rFonts w:ascii="Calibri" w:eastAsia="Times New Roman" w:hAnsi="Calibri" w:cs="Calibri"/>
          <w:color w:val="000000"/>
          <w:sz w:val="24"/>
          <w:szCs w:val="24"/>
          <w:lang w:eastAsia="es-GT"/>
        </w:rPr>
        <w:t>Q.142,867,193.38</w:t>
      </w:r>
      <w:r w:rsidR="00B57028">
        <w:rPr>
          <w:rFonts w:ascii="Calibri" w:eastAsia="Times New Roman" w:hAnsi="Calibri" w:cs="Calibri"/>
          <w:color w:val="000000"/>
          <w:sz w:val="24"/>
          <w:szCs w:val="24"/>
          <w:lang w:eastAsia="es-GT"/>
        </w:rPr>
        <w:t xml:space="preserve"> </w:t>
      </w:r>
      <w:r w:rsidRPr="007717B2">
        <w:rPr>
          <w:rFonts w:ascii="Calibri" w:eastAsia="Times New Roman" w:hAnsi="Calibri" w:cs="Calibri"/>
          <w:color w:val="000000"/>
          <w:sz w:val="24"/>
          <w:szCs w:val="24"/>
          <w:lang w:eastAsia="es-GT"/>
        </w:rPr>
        <w:t>al 31 de diciembre</w:t>
      </w:r>
      <w:r w:rsidR="00B57028">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 xml:space="preserve"> lo cual genera impacto en el mantenimiento del empleo.</w:t>
      </w:r>
      <w:r w:rsidRPr="007717B2">
        <w:rPr>
          <w:rFonts w:ascii="Calibri" w:eastAsia="Times New Roman" w:hAnsi="Calibri" w:cs="Calibri"/>
          <w:color w:val="000000"/>
          <w:sz w:val="24"/>
          <w:szCs w:val="24"/>
          <w:lang w:val="es-ES" w:eastAsia="es-GT"/>
        </w:rPr>
        <w:t> </w:t>
      </w:r>
    </w:p>
    <w:p w14:paraId="44ECF508" w14:textId="3D37DAE1"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De los 1,823 préstamos otorgados, 1,721 corresponden a préstamos a Microempresas por un monto de Q.106,694,905.38 contribuyendo a la meta de la </w:t>
      </w:r>
      <w:r w:rsidR="00850A68">
        <w:rPr>
          <w:rFonts w:ascii="Calibri" w:eastAsia="Times New Roman" w:hAnsi="Calibri" w:cs="Calibri"/>
          <w:color w:val="000000"/>
          <w:sz w:val="24"/>
          <w:szCs w:val="24"/>
          <w:lang w:eastAsia="es-GT"/>
        </w:rPr>
        <w:t>PGG.</w:t>
      </w:r>
    </w:p>
    <w:p w14:paraId="5DE5367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Energía y Minas (MEM)</w:t>
      </w:r>
      <w:r w:rsidRPr="007717B2">
        <w:rPr>
          <w:rFonts w:ascii="Calibri" w:eastAsia="Times New Roman" w:hAnsi="Calibri" w:cs="Calibri"/>
          <w:sz w:val="24"/>
          <w:szCs w:val="24"/>
          <w:lang w:val="es-ES" w:eastAsia="es-GT"/>
        </w:rPr>
        <w:t> </w:t>
      </w:r>
    </w:p>
    <w:p w14:paraId="3D67A55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el porcentaje de hogares con acceso a energía eléctrica en 1.86 puntos porcentuales” </w:t>
      </w:r>
      <w:r w:rsidRPr="007717B2">
        <w:rPr>
          <w:rFonts w:ascii="Calibri" w:eastAsia="Times New Roman" w:hAnsi="Calibri" w:cs="Calibri"/>
          <w:color w:val="000000"/>
          <w:sz w:val="24"/>
          <w:szCs w:val="24"/>
          <w:lang w:val="es-ES" w:eastAsia="es-GT"/>
        </w:rPr>
        <w:t> </w:t>
      </w:r>
    </w:p>
    <w:p w14:paraId="4C3EA4DD" w14:textId="1BE58206"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Como gestión relevante con la que el MEM responde a la PGG 2020-2024, </w:t>
      </w:r>
      <w:r w:rsidR="003955B8">
        <w:rPr>
          <w:rFonts w:ascii="Calibri" w:eastAsia="Times New Roman" w:hAnsi="Calibri" w:cs="Calibri"/>
          <w:color w:val="000000"/>
          <w:sz w:val="24"/>
          <w:szCs w:val="24"/>
          <w:lang w:eastAsia="es-GT"/>
        </w:rPr>
        <w:t>e</w:t>
      </w:r>
      <w:r w:rsidRPr="007717B2">
        <w:rPr>
          <w:rFonts w:ascii="Calibri" w:eastAsia="Times New Roman" w:hAnsi="Calibri" w:cs="Calibri"/>
          <w:color w:val="000000"/>
          <w:sz w:val="24"/>
          <w:szCs w:val="24"/>
          <w:lang w:eastAsia="es-GT"/>
        </w:rPr>
        <w:t>n el año 2022, se alcanzó un índice de cobertura de 89.76% de hogares con acceso a energía eléctrica, lo que equivale a un 0.5% de incremento logrado en la administración actual, conectando a la red de energía eléctrica a 18,301 nuevos hogares ubicados principalmente en Petén, Alta Verapaz, Baja Verapaz, Huehuetenango e Izabal.</w:t>
      </w:r>
      <w:r w:rsidRPr="007717B2">
        <w:rPr>
          <w:rFonts w:ascii="Calibri" w:eastAsia="Times New Roman" w:hAnsi="Calibri" w:cs="Calibri"/>
          <w:color w:val="000000"/>
          <w:sz w:val="24"/>
          <w:szCs w:val="24"/>
          <w:lang w:val="es-ES" w:eastAsia="es-GT"/>
        </w:rPr>
        <w:t> </w:t>
      </w:r>
    </w:p>
    <w:p w14:paraId="2D0B8112" w14:textId="40919A98"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Ley de Incentivos a Movilidad Eléctrica</w:t>
      </w:r>
      <w:r w:rsidR="007C6C84">
        <w:rPr>
          <w:rFonts w:ascii="Calibri" w:eastAsia="Times New Roman" w:hAnsi="Calibri" w:cs="Calibri"/>
          <w:color w:val="000000"/>
          <w:sz w:val="24"/>
          <w:szCs w:val="24"/>
          <w:lang w:eastAsia="es-GT"/>
        </w:rPr>
        <w:t xml:space="preserve">: </w:t>
      </w:r>
      <w:r w:rsidRPr="007717B2">
        <w:rPr>
          <w:rFonts w:ascii="Calibri" w:eastAsia="Times New Roman" w:hAnsi="Calibri" w:cs="Calibri"/>
          <w:color w:val="000000"/>
          <w:sz w:val="24"/>
          <w:szCs w:val="24"/>
          <w:lang w:eastAsia="es-GT"/>
        </w:rPr>
        <w:t>El Ministerio de Energía y Minas trabajó la propuesta del “Reglamento de la Ley de Incentivos para Movilidad Eléctrica”, en cumplimiento a la “Ley de Incentivos para Movilidad Eléctrica” Decreto número 40-2022. Derivado de lo anterior el Organismo Ejecutivo emitió el Acuerdo Gubernativo Número 295-2022 de fecha 25 de noviembre de 2022; el cual aprueba el Reglamento anteriormente referido, que tiene como objeto normar los  procedimientos necesarios para la aplicación de dicha Ley, relativos a la solicitud, análisis, validación, calificación y aprobación de los incentivos fiscales para motocicletas eléctricas, vehículos eléctricos, sistemas de transporte eléctricos y los repuestos para vehículo eléctrico: motor y batería. Beneficiarios: Toda la población guatemalteca.</w:t>
      </w:r>
      <w:r w:rsidRPr="007717B2">
        <w:rPr>
          <w:rFonts w:ascii="Calibri" w:eastAsia="Times New Roman" w:hAnsi="Calibri" w:cs="Calibri"/>
          <w:color w:val="000000"/>
          <w:sz w:val="24"/>
          <w:szCs w:val="24"/>
          <w:lang w:val="es-ES" w:eastAsia="es-GT"/>
        </w:rPr>
        <w:t> </w:t>
      </w:r>
    </w:p>
    <w:p w14:paraId="4B699526" w14:textId="4964C865" w:rsidR="003955B8" w:rsidRPr="00FD7672" w:rsidRDefault="007717B2" w:rsidP="007717B2">
      <w:p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Hidrógeno Verde</w:t>
      </w:r>
      <w:r w:rsidR="007C6C84">
        <w:rPr>
          <w:rFonts w:ascii="Calibri" w:eastAsia="Times New Roman" w:hAnsi="Calibri" w:cs="Calibri"/>
          <w:color w:val="000000"/>
          <w:sz w:val="24"/>
          <w:szCs w:val="24"/>
          <w:lang w:eastAsia="es-GT"/>
        </w:rPr>
        <w:t xml:space="preserve">: </w:t>
      </w:r>
      <w:r w:rsidRPr="007717B2">
        <w:rPr>
          <w:rFonts w:ascii="Calibri" w:eastAsia="Times New Roman" w:hAnsi="Calibri" w:cs="Calibri"/>
          <w:color w:val="000000"/>
          <w:sz w:val="24"/>
          <w:szCs w:val="24"/>
          <w:lang w:eastAsia="es-GT"/>
        </w:rPr>
        <w:t>Se publicó el Acuerdo Ministerial Número 180-2022 que incluye como un recurso energético renovable el “Hidrógeno Verde”, adicionándolo dentro de las definiciones establecidas en el artículo 4 de la Ley de Incentivos para el Desarrollo de Proyectos de Energía Reno</w:t>
      </w:r>
      <w:r w:rsidR="003A1C47">
        <w:rPr>
          <w:rFonts w:ascii="Calibri" w:eastAsia="Times New Roman" w:hAnsi="Calibri" w:cs="Calibri"/>
          <w:color w:val="000000"/>
          <w:sz w:val="24"/>
          <w:szCs w:val="24"/>
          <w:lang w:eastAsia="es-GT"/>
        </w:rPr>
        <w:t>vable</w:t>
      </w:r>
      <w:r w:rsidRPr="007717B2">
        <w:rPr>
          <w:rFonts w:ascii="Calibri" w:eastAsia="Times New Roman" w:hAnsi="Calibri" w:cs="Calibri"/>
          <w:color w:val="000000"/>
          <w:sz w:val="24"/>
          <w:szCs w:val="24"/>
          <w:lang w:eastAsia="es-GT"/>
        </w:rPr>
        <w:t>. Como consecuencia, los proyectos de generación que utilicen hidrógeno verde podrán aplicar a los incentivos fiscales de la referida Ley, que aumenta la diversificación de la matriz energética de Guatemala con la finalidad de producir energía con menos emisiones contaminantes.</w:t>
      </w:r>
      <w:r w:rsidRPr="007717B2">
        <w:rPr>
          <w:rFonts w:ascii="Calibri" w:eastAsia="Times New Roman" w:hAnsi="Calibri" w:cs="Calibri"/>
          <w:color w:val="000000"/>
          <w:sz w:val="24"/>
          <w:szCs w:val="24"/>
          <w:lang w:val="es-ES" w:eastAsia="es-GT"/>
        </w:rPr>
        <w:t> </w:t>
      </w:r>
      <w:r w:rsidRPr="007717B2">
        <w:rPr>
          <w:rFonts w:ascii="Calibri" w:eastAsia="Times New Roman" w:hAnsi="Calibri" w:cs="Calibri"/>
          <w:color w:val="000000"/>
          <w:sz w:val="24"/>
          <w:szCs w:val="24"/>
          <w:lang w:eastAsia="es-GT"/>
        </w:rPr>
        <w:t>Beneficiarios: Toda la población guatemalteca.</w:t>
      </w:r>
      <w:r w:rsidRPr="007717B2">
        <w:rPr>
          <w:rFonts w:ascii="Calibri" w:eastAsia="Times New Roman" w:hAnsi="Calibri" w:cs="Calibri"/>
          <w:color w:val="000000"/>
          <w:sz w:val="24"/>
          <w:szCs w:val="24"/>
          <w:lang w:val="es-ES" w:eastAsia="es-GT"/>
        </w:rPr>
        <w:t> </w:t>
      </w:r>
    </w:p>
    <w:p w14:paraId="49C4DA9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Agricultura, Ganadería y Alimentación (MAGA)</w:t>
      </w:r>
      <w:r w:rsidRPr="007717B2">
        <w:rPr>
          <w:rFonts w:ascii="Calibri" w:eastAsia="Times New Roman" w:hAnsi="Calibri" w:cs="Calibri"/>
          <w:sz w:val="24"/>
          <w:szCs w:val="24"/>
          <w:lang w:val="es-ES" w:eastAsia="es-GT"/>
        </w:rPr>
        <w:t> </w:t>
      </w:r>
    </w:p>
    <w:p w14:paraId="20028E8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la cantidad de recursos destinados a seguro agrícola para pequeños parcelarios a Q 35,000,000? </w:t>
      </w:r>
      <w:r w:rsidRPr="007717B2">
        <w:rPr>
          <w:rFonts w:ascii="Calibri" w:eastAsia="Times New Roman" w:hAnsi="Calibri" w:cs="Calibri"/>
          <w:sz w:val="24"/>
          <w:szCs w:val="24"/>
          <w:lang w:val="es-ES" w:eastAsia="es-GT"/>
        </w:rPr>
        <w:t> </w:t>
      </w:r>
    </w:p>
    <w:p w14:paraId="1D218E75" w14:textId="06910394"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Con relación a la asignación de recursos financieros para el seguro agrícola el Ministerio de Agricultura, Ganadería y Alimentación durante los años 2021 y 2022 ha ejecutado un monto total de Q.21,623,809.58, se ejecutaron Q.3,305,885.18 durante el año 2021 y Q.18,317,924.40 durante el año 2022, benefici</w:t>
      </w:r>
      <w:r w:rsidR="00431A33">
        <w:rPr>
          <w:rFonts w:ascii="Calibri" w:eastAsia="Times New Roman" w:hAnsi="Calibri" w:cs="Calibri"/>
          <w:color w:val="000000"/>
          <w:sz w:val="24"/>
          <w:szCs w:val="24"/>
          <w:lang w:eastAsia="es-GT"/>
        </w:rPr>
        <w:t>ando</w:t>
      </w:r>
      <w:r w:rsidRPr="007717B2">
        <w:rPr>
          <w:rFonts w:ascii="Calibri" w:eastAsia="Times New Roman" w:hAnsi="Calibri" w:cs="Calibri"/>
          <w:color w:val="000000"/>
          <w:sz w:val="24"/>
          <w:szCs w:val="24"/>
          <w:lang w:eastAsia="es-GT"/>
        </w:rPr>
        <w:t xml:space="preserve"> a 6,096 y 33,904 agricultores respectivamente, para un total de 40,000 agricultores, Para el año 2023, se proyecta dar cumplimiento a la ejecución financiera restante en seguros agrícolas.</w:t>
      </w:r>
    </w:p>
    <w:p w14:paraId="2B62DCB2" w14:textId="05DEBD64"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b/>
          <w:bCs/>
          <w:color w:val="000000"/>
          <w:sz w:val="24"/>
          <w:szCs w:val="24"/>
          <w:lang w:eastAsia="es-GT"/>
        </w:rPr>
        <w:t>Metas complementarias, Pilar 1</w:t>
      </w:r>
      <w:r w:rsidRPr="007717B2">
        <w:rPr>
          <w:rFonts w:ascii="Calibri" w:eastAsia="Times New Roman" w:hAnsi="Calibri" w:cs="Calibri"/>
          <w:color w:val="000000"/>
          <w:sz w:val="24"/>
          <w:szCs w:val="24"/>
          <w:lang w:val="es-ES" w:eastAsia="es-GT"/>
        </w:rPr>
        <w:t> </w:t>
      </w:r>
    </w:p>
    <w:p w14:paraId="0AB9695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la Defensa Nacional (MINDEF)</w:t>
      </w:r>
      <w:r w:rsidRPr="007717B2">
        <w:rPr>
          <w:rFonts w:ascii="Calibri" w:eastAsia="Times New Roman" w:hAnsi="Calibri" w:cs="Calibri"/>
          <w:color w:val="000000"/>
          <w:sz w:val="24"/>
          <w:szCs w:val="24"/>
          <w:lang w:val="es-ES" w:eastAsia="es-GT"/>
        </w:rPr>
        <w:t> </w:t>
      </w:r>
    </w:p>
    <w:p w14:paraId="060BE05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han capacitado 1,000 personas como gente de mar? Línea de base: 324 gente de mar”? </w:t>
      </w:r>
      <w:r w:rsidRPr="007717B2">
        <w:rPr>
          <w:rFonts w:ascii="Calibri" w:eastAsia="Times New Roman" w:hAnsi="Calibri" w:cs="Calibri"/>
          <w:sz w:val="24"/>
          <w:szCs w:val="24"/>
          <w:lang w:val="es-ES" w:eastAsia="es-GT"/>
        </w:rPr>
        <w:t> </w:t>
      </w:r>
    </w:p>
    <w:p w14:paraId="10A93A8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resultado del avance al 2022 es de 778 personas capacitadas que representa el 77.80% del cumplimiento de la meta; durante el 2022 se graduaron 283 personas como gente de mar.  Con el avance de esta meta, se coadyuva a fortalecer las capacidades del recurso humano nacional, para adquirir las competencias necesarias y desarrollarse en el mercado laboral de la marina mercante, entregando mano de obra calificada y con ello mejorar las condiciones de vida de los guatemaltecos. Este logro se ha alcanzado a través de las diferentes coordinaciones que ha realizado el Ministerio de la Defensa Nacional con distintas instituciones del Estado que tienen competencia en el cumplimiento de esta meta.</w:t>
      </w:r>
      <w:r w:rsidRPr="007717B2">
        <w:rPr>
          <w:rFonts w:ascii="Calibri" w:eastAsia="Times New Roman" w:hAnsi="Calibri" w:cs="Calibri"/>
          <w:color w:val="000000"/>
          <w:sz w:val="24"/>
          <w:szCs w:val="24"/>
          <w:lang w:val="es-ES" w:eastAsia="es-GT"/>
        </w:rPr>
        <w:t> </w:t>
      </w:r>
    </w:p>
    <w:p w14:paraId="4736076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han habilitado 3,000 Km. de carretera terciaria”? </w:t>
      </w:r>
      <w:r w:rsidRPr="007717B2">
        <w:rPr>
          <w:rFonts w:ascii="Calibri" w:eastAsia="Times New Roman" w:hAnsi="Calibri" w:cs="Calibri"/>
          <w:sz w:val="24"/>
          <w:szCs w:val="24"/>
          <w:lang w:val="es-ES" w:eastAsia="es-GT"/>
        </w:rPr>
        <w:t> </w:t>
      </w:r>
    </w:p>
    <w:p w14:paraId="7EC60DF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resultado del avance al 2022 es de 2,833 kilómetros rehabilitados de la red vial terciaria en diferentes municipios de la república, que representa el 94.43% del cumplimiento de la meta; durante el 2022 se rehabilitaron 1,116 kilómetros.  Con el avance de esta meta, se coadyuva al desarrollo integral de las comunidades más necesitadas y que han sido afectadas por desastres naturales; así mismo ha generado fuentes de empleo en las comunidades locales por medio de contratación de personal. Para alcanzar este logro el Ministerio de la Defensa Nacional ha realizado distintos convenios con municipalidades, así como la adquisición de maquinaria y equipo especial.</w:t>
      </w:r>
      <w:r w:rsidRPr="007717B2">
        <w:rPr>
          <w:rFonts w:ascii="Calibri" w:eastAsia="Times New Roman" w:hAnsi="Calibri" w:cs="Calibri"/>
          <w:color w:val="000000"/>
          <w:sz w:val="24"/>
          <w:szCs w:val="24"/>
          <w:lang w:val="es-ES" w:eastAsia="es-GT"/>
        </w:rPr>
        <w:t> </w:t>
      </w:r>
    </w:p>
    <w:p w14:paraId="0F13CFD9" w14:textId="59524EC4"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lang w:eastAsia="es-GT"/>
        </w:rPr>
      </w:pPr>
      <w:r w:rsidRPr="007717B2">
        <w:rPr>
          <w:rFonts w:ascii="Calibri" w:eastAsia="Times New Roman" w:hAnsi="Calibri" w:cs="Calibri"/>
          <w:b/>
          <w:color w:val="002060"/>
          <w:sz w:val="28"/>
          <w:szCs w:val="28"/>
          <w:lang w:eastAsia="es-GT"/>
        </w:rPr>
        <w:t xml:space="preserve">Pilar 2: </w:t>
      </w:r>
      <w:r w:rsidR="00EA3448">
        <w:rPr>
          <w:rFonts w:ascii="Calibri" w:eastAsia="Times New Roman" w:hAnsi="Calibri" w:cs="Calibri"/>
          <w:b/>
          <w:color w:val="002060"/>
          <w:sz w:val="28"/>
          <w:szCs w:val="28"/>
          <w:lang w:eastAsia="es-GT"/>
        </w:rPr>
        <w:t>D</w:t>
      </w:r>
      <w:r w:rsidRPr="007717B2">
        <w:rPr>
          <w:rFonts w:ascii="Calibri" w:eastAsia="Times New Roman" w:hAnsi="Calibri" w:cs="Calibri"/>
          <w:b/>
          <w:color w:val="002060"/>
          <w:sz w:val="28"/>
          <w:szCs w:val="28"/>
          <w:lang w:eastAsia="es-GT"/>
        </w:rPr>
        <w:t>esarrollo social </w:t>
      </w:r>
    </w:p>
    <w:p w14:paraId="1983F85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Trabajo y Previsión Social (MINTRAB)</w:t>
      </w:r>
      <w:r w:rsidRPr="007717B2">
        <w:rPr>
          <w:rFonts w:ascii="Calibri" w:eastAsia="Times New Roman" w:hAnsi="Calibri" w:cs="Calibri"/>
          <w:sz w:val="24"/>
          <w:szCs w:val="24"/>
          <w:lang w:val="es-ES" w:eastAsia="es-GT"/>
        </w:rPr>
        <w:t> </w:t>
      </w:r>
    </w:p>
    <w:p w14:paraId="76DC1C3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en 6,000 el número de adultos mayores atendidos por el programa de pensiones”? </w:t>
      </w:r>
      <w:r w:rsidRPr="007717B2">
        <w:rPr>
          <w:rFonts w:ascii="Calibri" w:eastAsia="Times New Roman" w:hAnsi="Calibri" w:cs="Calibri"/>
          <w:sz w:val="24"/>
          <w:szCs w:val="24"/>
          <w:lang w:val="es-ES" w:eastAsia="es-GT"/>
        </w:rPr>
        <w:t> </w:t>
      </w:r>
    </w:p>
    <w:p w14:paraId="753363A9" w14:textId="002741B1"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Se beneficiaron a 1,474,390 personas mayores del Aporte Económico </w:t>
      </w:r>
      <w:r w:rsidR="00D330D1">
        <w:rPr>
          <w:rFonts w:ascii="Calibri" w:eastAsia="Times New Roman" w:hAnsi="Calibri" w:cs="Calibri"/>
          <w:color w:val="000000"/>
          <w:sz w:val="24"/>
          <w:szCs w:val="24"/>
          <w:lang w:eastAsia="es-GT"/>
        </w:rPr>
        <w:t>a</w:t>
      </w:r>
      <w:r w:rsidRPr="007717B2">
        <w:rPr>
          <w:rFonts w:ascii="Calibri" w:eastAsia="Times New Roman" w:hAnsi="Calibri" w:cs="Calibri"/>
          <w:color w:val="000000"/>
          <w:sz w:val="24"/>
          <w:szCs w:val="24"/>
          <w:lang w:eastAsia="es-GT"/>
        </w:rPr>
        <w:t>l Adulto Mayor. A través del apoyo directo del Presidente de la República, las autoridades del MINTRAB realizaron las gestiones correspondientes, logrando así, la aprobación del Decreto 4-2022 del Congreso de la República de Guatemala, que reformó el Decreto Número 85-2005, Ley del Programa de Aporte Económico del Adulto Mayor, con vigencia partir del 15 de febrero de 2022, con lo que se logró simplificar los requisitos para incorporación al programa, así como modificar el monto asignado al Programa Adulto Mayor a Q820,000,000.00, incrementando el aporte mensual individual de Q400.00 a Q500.00. Cabe resaltar que, durante esta administración, se ha logrado la incorporación de 62,832 nuevos beneficiarios al Programa.</w:t>
      </w:r>
      <w:r w:rsidRPr="007717B2">
        <w:rPr>
          <w:rFonts w:ascii="Calibri" w:eastAsia="Times New Roman" w:hAnsi="Calibri" w:cs="Calibri"/>
          <w:color w:val="000000"/>
          <w:sz w:val="24"/>
          <w:szCs w:val="24"/>
          <w:lang w:val="es-ES" w:eastAsia="es-GT"/>
        </w:rPr>
        <w:t> </w:t>
      </w:r>
    </w:p>
    <w:p w14:paraId="4F8349F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Educación (MINEDUC)</w:t>
      </w:r>
      <w:r w:rsidRPr="007717B2">
        <w:rPr>
          <w:rFonts w:ascii="Calibri" w:eastAsia="Times New Roman" w:hAnsi="Calibri" w:cs="Calibri"/>
          <w:sz w:val="24"/>
          <w:szCs w:val="24"/>
          <w:lang w:val="es-ES" w:eastAsia="es-GT"/>
        </w:rPr>
        <w:t> </w:t>
      </w:r>
    </w:p>
    <w:p w14:paraId="7ABAA25C" w14:textId="376913E0"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la tasa neta de cobertura en el nivel preprimario en 12 puntos porcentuales”? </w:t>
      </w:r>
      <w:r w:rsidRPr="007717B2">
        <w:rPr>
          <w:rFonts w:ascii="Calibri" w:eastAsia="Times New Roman" w:hAnsi="Calibri" w:cs="Calibri"/>
          <w:sz w:val="24"/>
          <w:szCs w:val="24"/>
          <w:lang w:val="es-ES" w:eastAsia="es-GT"/>
        </w:rPr>
        <w:t> </w:t>
      </w:r>
    </w:p>
    <w:p w14:paraId="64F3A4B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avance de esta meta para el año 2022 fue de 64.37%; misma que ya se logró y se superó la meta a 2023 en 1.21%. El esfuerzo institucional realizado fue la contratación de docentes. </w:t>
      </w:r>
      <w:r w:rsidRPr="007717B2">
        <w:rPr>
          <w:rFonts w:ascii="Calibri" w:eastAsia="Times New Roman" w:hAnsi="Calibri" w:cs="Calibri"/>
          <w:color w:val="000000"/>
          <w:sz w:val="24"/>
          <w:szCs w:val="24"/>
          <w:lang w:val="es-ES" w:eastAsia="es-GT"/>
        </w:rPr>
        <w:t> </w:t>
      </w:r>
    </w:p>
    <w:p w14:paraId="7204210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la tasa neta de cobertura en el nivel primario en 17 puntos porcentuales”? </w:t>
      </w:r>
      <w:r w:rsidRPr="007717B2">
        <w:rPr>
          <w:rFonts w:ascii="Calibri" w:eastAsia="Times New Roman" w:hAnsi="Calibri" w:cs="Calibri"/>
          <w:color w:val="000000"/>
          <w:sz w:val="24"/>
          <w:szCs w:val="24"/>
          <w:lang w:val="es-ES" w:eastAsia="es-GT"/>
        </w:rPr>
        <w:t> </w:t>
      </w:r>
    </w:p>
    <w:p w14:paraId="2373199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avance de esta meta para el año 2022 fue de 95.41%; misma que ya se logró y se superó en 0.64%. El esfuerzo institucional realizado fue la contratación de docentes. </w:t>
      </w:r>
      <w:r w:rsidRPr="007717B2">
        <w:rPr>
          <w:rFonts w:ascii="Calibri" w:eastAsia="Times New Roman" w:hAnsi="Calibri" w:cs="Calibri"/>
          <w:color w:val="000000"/>
          <w:sz w:val="24"/>
          <w:szCs w:val="24"/>
          <w:lang w:val="es-ES" w:eastAsia="es-GT"/>
        </w:rPr>
        <w:t> </w:t>
      </w:r>
    </w:p>
    <w:p w14:paraId="11A9F4B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la tasa neta de cobertura en el nivel básico en 17 puntos porcentuales”? </w:t>
      </w:r>
      <w:r w:rsidRPr="007717B2">
        <w:rPr>
          <w:rFonts w:ascii="Calibri" w:eastAsia="Times New Roman" w:hAnsi="Calibri" w:cs="Calibri"/>
          <w:color w:val="000000"/>
          <w:sz w:val="24"/>
          <w:szCs w:val="24"/>
          <w:lang w:val="es-ES" w:eastAsia="es-GT"/>
        </w:rPr>
        <w:t> </w:t>
      </w:r>
    </w:p>
    <w:p w14:paraId="401D430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avance de esta meta para el año 2022 fue de 47.90%; misma que aún no se ha logrado a pesar del esfuerzo institucional de la contratación de docentes; es importante indicar que la meta de 17 puntos porcentuales es muy ambiciosa. </w:t>
      </w:r>
      <w:r w:rsidRPr="007717B2">
        <w:rPr>
          <w:rFonts w:ascii="Calibri" w:eastAsia="Times New Roman" w:hAnsi="Calibri" w:cs="Calibri"/>
          <w:color w:val="000000"/>
          <w:sz w:val="24"/>
          <w:szCs w:val="24"/>
          <w:lang w:val="es-ES" w:eastAsia="es-GT"/>
        </w:rPr>
        <w:t> </w:t>
      </w:r>
    </w:p>
    <w:p w14:paraId="3DA05E3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la tasa neta de cobertura en el nivel diversificado en 11 puntos porcentuales”? </w:t>
      </w:r>
      <w:r w:rsidRPr="007717B2">
        <w:rPr>
          <w:rFonts w:ascii="Calibri" w:eastAsia="Times New Roman" w:hAnsi="Calibri" w:cs="Calibri"/>
          <w:color w:val="000000"/>
          <w:sz w:val="24"/>
          <w:szCs w:val="24"/>
          <w:lang w:val="es-ES" w:eastAsia="es-GT"/>
        </w:rPr>
        <w:t> </w:t>
      </w:r>
    </w:p>
    <w:p w14:paraId="4C4C6B68"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avance de esta meta para el año 2022 fue de 24.06%; misma que aún no se ha logrado a pesar del esfuerzo institucional de la contratación de decentes; es importante indicar que la meta de 11 puntos porcentuales es muy ambiciosa.</w:t>
      </w:r>
      <w:r w:rsidRPr="007717B2">
        <w:rPr>
          <w:rFonts w:ascii="Calibri" w:eastAsia="Times New Roman" w:hAnsi="Calibri" w:cs="Calibri"/>
          <w:color w:val="000000"/>
          <w:sz w:val="24"/>
          <w:szCs w:val="24"/>
          <w:lang w:val="es-ES" w:eastAsia="es-GT"/>
        </w:rPr>
        <w:t> </w:t>
      </w:r>
    </w:p>
    <w:p w14:paraId="2AC14A6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la cobertura de seguro médico escolar a 3 millones de niños”? </w:t>
      </w:r>
      <w:r w:rsidRPr="007717B2">
        <w:rPr>
          <w:rFonts w:ascii="Calibri" w:eastAsia="Times New Roman" w:hAnsi="Calibri" w:cs="Calibri"/>
          <w:color w:val="000000"/>
          <w:sz w:val="24"/>
          <w:szCs w:val="24"/>
          <w:lang w:val="es-ES" w:eastAsia="es-GT"/>
        </w:rPr>
        <w:t> </w:t>
      </w:r>
    </w:p>
    <w:p w14:paraId="545102A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avance de esta meta para el año 2022 fue de 2,560,790 de niños; se espera que el próximo año se pueda lograr dicha meta.</w:t>
      </w:r>
      <w:r w:rsidRPr="007717B2">
        <w:rPr>
          <w:rFonts w:ascii="Calibri" w:eastAsia="Times New Roman" w:hAnsi="Calibri" w:cs="Calibri"/>
          <w:color w:val="000000"/>
          <w:sz w:val="24"/>
          <w:szCs w:val="24"/>
          <w:lang w:val="es-ES" w:eastAsia="es-GT"/>
        </w:rPr>
        <w:t> </w:t>
      </w:r>
    </w:p>
    <w:p w14:paraId="42E080D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¿Cuál es el resultado del avance al año 2022, de la meta “para el año 2023 se ha incrementado la inversión en servicios de alimentación escolar en  830.4 millones”?</w:t>
      </w:r>
      <w:r w:rsidRPr="007717B2">
        <w:rPr>
          <w:rFonts w:ascii="Calibri" w:eastAsia="Times New Roman" w:hAnsi="Calibri" w:cs="Calibri"/>
          <w:color w:val="000000"/>
          <w:sz w:val="24"/>
          <w:szCs w:val="24"/>
          <w:lang w:val="es-ES" w:eastAsia="es-GT"/>
        </w:rPr>
        <w:t> </w:t>
      </w:r>
    </w:p>
    <w:p w14:paraId="66F85AD7" w14:textId="5F43C76B"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avance de esta meta para el año 2022 fue de Q.2,865,918,650.76 millones; misma que ya se logró y superó; el esfuerzo institucional consistió en el aumento del costo </w:t>
      </w:r>
      <w:r w:rsidR="00386E32">
        <w:rPr>
          <w:rFonts w:ascii="Calibri" w:eastAsia="Times New Roman" w:hAnsi="Calibri" w:cs="Calibri"/>
          <w:color w:val="000000"/>
          <w:sz w:val="24"/>
          <w:szCs w:val="24"/>
          <w:lang w:eastAsia="es-GT"/>
        </w:rPr>
        <w:t xml:space="preserve">de </w:t>
      </w:r>
      <w:r w:rsidRPr="007717B2">
        <w:rPr>
          <w:rFonts w:ascii="Calibri" w:eastAsia="Times New Roman" w:hAnsi="Calibri" w:cs="Calibri"/>
          <w:color w:val="000000"/>
          <w:sz w:val="24"/>
          <w:szCs w:val="24"/>
          <w:lang w:eastAsia="es-GT"/>
        </w:rPr>
        <w:t>la ración por día.</w:t>
      </w:r>
      <w:r w:rsidRPr="007717B2">
        <w:rPr>
          <w:rFonts w:ascii="Calibri" w:eastAsia="Times New Roman" w:hAnsi="Calibri" w:cs="Calibri"/>
          <w:color w:val="000000"/>
          <w:sz w:val="24"/>
          <w:szCs w:val="24"/>
          <w:lang w:val="es-ES" w:eastAsia="es-GT"/>
        </w:rPr>
        <w:t> </w:t>
      </w:r>
    </w:p>
    <w:p w14:paraId="60C1DF7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la cantidad de becas escolares para estudiantes del nivel básico y diversificado en 19,579”? </w:t>
      </w:r>
      <w:r w:rsidRPr="007717B2">
        <w:rPr>
          <w:rFonts w:ascii="Calibri" w:eastAsia="Times New Roman" w:hAnsi="Calibri" w:cs="Calibri"/>
          <w:color w:val="000000"/>
          <w:sz w:val="24"/>
          <w:szCs w:val="24"/>
          <w:lang w:val="es-ES" w:eastAsia="es-GT"/>
        </w:rPr>
        <w:t> </w:t>
      </w:r>
    </w:p>
    <w:p w14:paraId="08A5DD2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avance de esta meta para el año 2022 fue de 53,512; misma que ya se logró y se superó; el esfuerzo institucional consistió en disponer más recursos para las mismas.</w:t>
      </w:r>
      <w:r w:rsidRPr="007717B2">
        <w:rPr>
          <w:rFonts w:ascii="Calibri" w:eastAsia="Times New Roman" w:hAnsi="Calibri" w:cs="Calibri"/>
          <w:color w:val="000000"/>
          <w:sz w:val="24"/>
          <w:szCs w:val="24"/>
          <w:lang w:val="es-ES" w:eastAsia="es-GT"/>
        </w:rPr>
        <w:t> </w:t>
      </w:r>
    </w:p>
    <w:p w14:paraId="5E20DDC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el número de maestros graduados de licenciatura en 8,610”? </w:t>
      </w:r>
      <w:r w:rsidRPr="007717B2">
        <w:rPr>
          <w:rFonts w:ascii="Calibri" w:eastAsia="Times New Roman" w:hAnsi="Calibri" w:cs="Calibri"/>
          <w:sz w:val="24"/>
          <w:szCs w:val="24"/>
          <w:lang w:val="es-ES" w:eastAsia="es-GT"/>
        </w:rPr>
        <w:t> </w:t>
      </w:r>
    </w:p>
    <w:p w14:paraId="2DE819B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Esta meta no reporta avance en el año 2022, en virtud que dicho año no hubo graduaciones, derivado que esta segunda cohorte finaliza en el primer semestre del año 2023.</w:t>
      </w:r>
      <w:r w:rsidRPr="007717B2">
        <w:rPr>
          <w:rFonts w:ascii="Calibri" w:eastAsia="Times New Roman" w:hAnsi="Calibri" w:cs="Calibri"/>
          <w:color w:val="000000"/>
          <w:sz w:val="24"/>
          <w:szCs w:val="24"/>
          <w:lang w:val="es-ES" w:eastAsia="es-GT"/>
        </w:rPr>
        <w:t> </w:t>
      </w:r>
    </w:p>
    <w:p w14:paraId="3C3065B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en 8,000 el número de maestros”? </w:t>
      </w:r>
      <w:r w:rsidRPr="007717B2">
        <w:rPr>
          <w:rFonts w:ascii="Calibri" w:eastAsia="Times New Roman" w:hAnsi="Calibri" w:cs="Calibri"/>
          <w:sz w:val="24"/>
          <w:szCs w:val="24"/>
          <w:lang w:val="es-ES" w:eastAsia="es-GT"/>
        </w:rPr>
        <w:t> </w:t>
      </w:r>
    </w:p>
    <w:p w14:paraId="27B9FEB6" w14:textId="18F66A1A"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avance de esta meta para el año 2022 fue de 6,854; misma que tiene un alto porcentaje de avance y que se espera </w:t>
      </w:r>
      <w:r w:rsidR="009118A3">
        <w:rPr>
          <w:rFonts w:ascii="Calibri" w:eastAsia="Times New Roman" w:hAnsi="Calibri" w:cs="Calibri"/>
          <w:color w:val="000000"/>
          <w:sz w:val="24"/>
          <w:szCs w:val="24"/>
          <w:lang w:eastAsia="es-GT"/>
        </w:rPr>
        <w:t>alcanzarla</w:t>
      </w:r>
      <w:r w:rsidRPr="007717B2">
        <w:rPr>
          <w:rFonts w:ascii="Calibri" w:eastAsia="Times New Roman" w:hAnsi="Calibri" w:cs="Calibri"/>
          <w:color w:val="000000"/>
          <w:sz w:val="24"/>
          <w:szCs w:val="24"/>
          <w:lang w:eastAsia="es-GT"/>
        </w:rPr>
        <w:t xml:space="preserve"> en el año 2023. El esfuerzo institucional consistió en disponer más recursos financieros para dicha contratación de docentes.</w:t>
      </w:r>
      <w:r w:rsidRPr="007717B2">
        <w:rPr>
          <w:rFonts w:ascii="Calibri" w:eastAsia="Times New Roman" w:hAnsi="Calibri" w:cs="Calibri"/>
          <w:color w:val="000000"/>
          <w:sz w:val="24"/>
          <w:szCs w:val="24"/>
          <w:lang w:val="es-ES" w:eastAsia="es-GT"/>
        </w:rPr>
        <w:t> </w:t>
      </w:r>
    </w:p>
    <w:p w14:paraId="256D439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Comité Nacional de Alfabetización (CONALFA)</w:t>
      </w:r>
      <w:r w:rsidRPr="007717B2">
        <w:rPr>
          <w:rFonts w:ascii="Calibri" w:eastAsia="Times New Roman" w:hAnsi="Calibri" w:cs="Calibri"/>
          <w:sz w:val="24"/>
          <w:szCs w:val="24"/>
          <w:lang w:val="es-ES" w:eastAsia="es-GT"/>
        </w:rPr>
        <w:t> </w:t>
      </w:r>
    </w:p>
    <w:p w14:paraId="6BC5D50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redujo el porcentaje de la población analfabeta en 5.09 puntos porcentuales” </w:t>
      </w:r>
      <w:r w:rsidRPr="007717B2">
        <w:rPr>
          <w:rFonts w:ascii="Calibri" w:eastAsia="Times New Roman" w:hAnsi="Calibri" w:cs="Calibri"/>
          <w:sz w:val="24"/>
          <w:szCs w:val="24"/>
          <w:lang w:val="es-ES" w:eastAsia="es-GT"/>
        </w:rPr>
        <w:t> </w:t>
      </w:r>
    </w:p>
    <w:p w14:paraId="1F8A9F6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Durante el año 2022 se logró reducir en 0.62 puntos porcentuales la población analfabeta, logrando un índice de analfabetismo a finales del año 2022 de 16.62 puntos porcentuales, sobre una línea base de 19.19. puntos porcentuales, en el año 2018.  El resultado general con base en la meta 14, ha sido la reducción de 2.57% en la población analfabeta.</w:t>
      </w:r>
      <w:r w:rsidRPr="007717B2">
        <w:rPr>
          <w:rFonts w:ascii="Calibri" w:eastAsia="Times New Roman" w:hAnsi="Calibri" w:cs="Calibri"/>
          <w:color w:val="000000"/>
          <w:sz w:val="24"/>
          <w:szCs w:val="24"/>
          <w:lang w:val="es-ES" w:eastAsia="es-GT"/>
        </w:rPr>
        <w:t> </w:t>
      </w:r>
    </w:p>
    <w:p w14:paraId="2412D478"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Los esfuerzos institucionales realizados por el Conalfa durante el proceso de alfabetización 2022, son significativos, el principal objetivo fue fortalecer el programa de alfabetización a nivel nacional para su transversalización en los programas, subprogramas, proyectos, actividades y obras del sector público, así como del sector privado, con el fin de reducir el índice de analfabetismo en 13.59% en la población de 15 años y más, partiendo de una línea base de 17.24% en el año 2021, para establecer un indicador de 3.65% en el año 2032. </w:t>
      </w:r>
      <w:r w:rsidRPr="007717B2">
        <w:rPr>
          <w:rFonts w:ascii="Calibri" w:eastAsia="Times New Roman" w:hAnsi="Calibri" w:cs="Calibri"/>
          <w:color w:val="000000"/>
          <w:sz w:val="24"/>
          <w:szCs w:val="24"/>
          <w:lang w:val="es-ES" w:eastAsia="es-GT"/>
        </w:rPr>
        <w:t> </w:t>
      </w:r>
    </w:p>
    <w:p w14:paraId="016DB818" w14:textId="705925C1" w:rsidR="007717B2" w:rsidRDefault="007717B2" w:rsidP="007717B2">
      <w:p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Se atendió en los 22 departamentos del país y en los 340 municipios, en los programas español y bilingüe en sus diferentes fases y etapas, en idioma español y 17 idiomas mayas. Asimismo, se realizaron estudios de la comunidad, acciones de pre</w:t>
      </w:r>
      <w:r w:rsidR="00977BD5">
        <w:rPr>
          <w:rFonts w:ascii="Calibri" w:eastAsia="Times New Roman" w:hAnsi="Calibri" w:cs="Calibri"/>
          <w:color w:val="000000"/>
          <w:sz w:val="24"/>
          <w:szCs w:val="24"/>
          <w:lang w:eastAsia="es-GT"/>
        </w:rPr>
        <w:t xml:space="preserve"> </w:t>
      </w:r>
      <w:r w:rsidRPr="007717B2">
        <w:rPr>
          <w:rFonts w:ascii="Calibri" w:eastAsia="Times New Roman" w:hAnsi="Calibri" w:cs="Calibri"/>
          <w:color w:val="000000"/>
          <w:sz w:val="24"/>
          <w:szCs w:val="24"/>
          <w:lang w:eastAsia="es-GT"/>
        </w:rPr>
        <w:t>alfabetización y se realizaron publicaciones en el periódico Nuestro Diario, para dar a conocer el qu</w:t>
      </w:r>
      <w:r w:rsidR="00977BD5">
        <w:rPr>
          <w:rFonts w:ascii="Calibri" w:eastAsia="Times New Roman" w:hAnsi="Calibri" w:cs="Calibri"/>
          <w:color w:val="000000"/>
          <w:sz w:val="24"/>
          <w:szCs w:val="24"/>
          <w:lang w:eastAsia="es-GT"/>
        </w:rPr>
        <w:t>é</w:t>
      </w:r>
      <w:r w:rsidRPr="007717B2">
        <w:rPr>
          <w:rFonts w:ascii="Calibri" w:eastAsia="Times New Roman" w:hAnsi="Calibri" w:cs="Calibri"/>
          <w:color w:val="000000"/>
          <w:sz w:val="24"/>
          <w:szCs w:val="24"/>
          <w:lang w:eastAsia="es-GT"/>
        </w:rPr>
        <w:t xml:space="preserve"> hacer institucional y las experiencias de éxito de los participantes egresados del programa, esto con el fin de motivar a los participantes a continuar sus estudios y que la población en general conozca del Conalfa.</w:t>
      </w:r>
      <w:r w:rsidRPr="007717B2">
        <w:rPr>
          <w:rFonts w:ascii="Calibri" w:eastAsia="Times New Roman" w:hAnsi="Calibri" w:cs="Calibri"/>
          <w:color w:val="000000"/>
          <w:sz w:val="24"/>
          <w:szCs w:val="24"/>
          <w:lang w:val="es-ES" w:eastAsia="es-GT"/>
        </w:rPr>
        <w:t> </w:t>
      </w:r>
    </w:p>
    <w:p w14:paraId="693C228B" w14:textId="48345F26"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Salud Pública y Asistencia Social (MSPAS)</w:t>
      </w:r>
      <w:r w:rsidRPr="007717B2">
        <w:rPr>
          <w:rFonts w:ascii="Calibri" w:eastAsia="Times New Roman" w:hAnsi="Calibri" w:cs="Calibri"/>
          <w:color w:val="000000"/>
          <w:sz w:val="24"/>
          <w:szCs w:val="24"/>
          <w:lang w:val="es-ES" w:eastAsia="es-GT"/>
        </w:rPr>
        <w:t> </w:t>
      </w:r>
    </w:p>
    <w:p w14:paraId="430626A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Cuál es el resultado del avance al año 2022, de la meta “para el año 2023 se redujo la razón de mortalidad materna en 14.4 puntos porcentuales”</w:t>
      </w:r>
      <w:r w:rsidRPr="007717B2">
        <w:rPr>
          <w:rFonts w:ascii="Calibri" w:eastAsia="Times New Roman" w:hAnsi="Calibri" w:cs="Calibri"/>
          <w:sz w:val="24"/>
          <w:szCs w:val="24"/>
          <w:lang w:val="es-ES" w:eastAsia="es-GT"/>
        </w:rPr>
        <w:t> </w:t>
      </w:r>
    </w:p>
    <w:p w14:paraId="5E06D40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Programa Nacional de Salud Reproductiva del MSPAS señala: Para el 2019 la Razón de Mortalidad Materna es 105 (definitivo), para el 2020 es de 107 (preliminar). </w:t>
      </w:r>
    </w:p>
    <w:p w14:paraId="46FFE85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redujo la tasa de mortalidad infantil en 10 puntos porcentuales”? </w:t>
      </w:r>
      <w:r w:rsidRPr="007717B2">
        <w:rPr>
          <w:rFonts w:ascii="Calibri" w:eastAsia="Times New Roman" w:hAnsi="Calibri" w:cs="Calibri"/>
          <w:color w:val="000000"/>
          <w:sz w:val="24"/>
          <w:szCs w:val="24"/>
          <w:lang w:val="es-ES" w:eastAsia="es-GT"/>
        </w:rPr>
        <w:t> </w:t>
      </w:r>
    </w:p>
    <w:p w14:paraId="6280C0AB"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Departamento de Epidemiología del MSPAS señala: que la Tasa de Mortalidad Infantil para el año 2021 es de 17.3 por cada 1,000 Nacidos Vivos. </w:t>
      </w:r>
    </w:p>
    <w:p w14:paraId="006C5E6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redujo el número de casos de morbilidad infantil en 5% anual”? </w:t>
      </w:r>
      <w:r w:rsidRPr="007717B2">
        <w:rPr>
          <w:rFonts w:ascii="Calibri" w:eastAsia="Times New Roman" w:hAnsi="Calibri" w:cs="Calibri"/>
          <w:color w:val="000000"/>
          <w:sz w:val="24"/>
          <w:szCs w:val="24"/>
          <w:lang w:val="es-ES" w:eastAsia="es-GT"/>
        </w:rPr>
        <w:t> </w:t>
      </w:r>
    </w:p>
    <w:p w14:paraId="586D652F" w14:textId="11897B02"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Con datos de SICOIN (actividades 9 y 10 del programa 14: Niños menores de 5 años atendidos por infección respiratoria aguda y </w:t>
      </w:r>
      <w:r w:rsidR="00D60FF6">
        <w:rPr>
          <w:rFonts w:ascii="Calibri" w:eastAsia="Times New Roman" w:hAnsi="Calibri" w:cs="Calibri"/>
          <w:color w:val="000000"/>
          <w:sz w:val="24"/>
          <w:szCs w:val="24"/>
          <w:lang w:eastAsia="es-GT"/>
        </w:rPr>
        <w:t>e</w:t>
      </w:r>
      <w:r w:rsidRPr="007717B2">
        <w:rPr>
          <w:rFonts w:ascii="Calibri" w:eastAsia="Times New Roman" w:hAnsi="Calibri" w:cs="Calibri"/>
          <w:color w:val="000000"/>
          <w:sz w:val="24"/>
          <w:szCs w:val="24"/>
          <w:lang w:eastAsia="es-GT"/>
        </w:rPr>
        <w:t>nfermedad respiratoria aguda respectivamente), se puede señalar que la morbilidad infantil para el 2022 fue de 1,044,196 casos, se estima que debido a que se levantaron las restricciones COVID</w:t>
      </w:r>
      <w:r w:rsidR="00B3258C">
        <w:rPr>
          <w:rFonts w:ascii="Calibri" w:eastAsia="Times New Roman" w:hAnsi="Calibri" w:cs="Calibri"/>
          <w:color w:val="000000"/>
          <w:sz w:val="24"/>
          <w:szCs w:val="24"/>
          <w:lang w:eastAsia="es-GT"/>
        </w:rPr>
        <w:t>-19</w:t>
      </w:r>
      <w:r w:rsidRPr="007717B2">
        <w:rPr>
          <w:rFonts w:ascii="Calibri" w:eastAsia="Times New Roman" w:hAnsi="Calibri" w:cs="Calibri"/>
          <w:color w:val="000000"/>
          <w:sz w:val="24"/>
          <w:szCs w:val="24"/>
          <w:lang w:eastAsia="es-GT"/>
        </w:rPr>
        <w:t xml:space="preserve"> en la red de servicios del MSPAS se incrementó la detección de casos de morbilidad. </w:t>
      </w:r>
    </w:p>
    <w:p w14:paraId="77CFB3E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el porcentaje de niñas y niños con esquema de vacunación completo en 9.6 puntos porcentuales” </w:t>
      </w:r>
      <w:r w:rsidRPr="007717B2">
        <w:rPr>
          <w:rFonts w:ascii="Calibri" w:eastAsia="Times New Roman" w:hAnsi="Calibri" w:cs="Calibri"/>
          <w:color w:val="000000"/>
          <w:sz w:val="24"/>
          <w:szCs w:val="24"/>
          <w:lang w:val="es-ES" w:eastAsia="es-GT"/>
        </w:rPr>
        <w:t> </w:t>
      </w:r>
    </w:p>
    <w:p w14:paraId="7634DB69" w14:textId="2A8AFB6C" w:rsidR="007717B2" w:rsidRPr="007717B2" w:rsidRDefault="007717B2" w:rsidP="007717B2">
      <w:p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Con datos de Programa Nacional de Inmunizaciones del MSPAS, se puede señalar que el porcentaje de niños y niñas con esquema de vacunación completo; el promedio de cobertura de vacunación es de 64.29% para el 2022, lo cual significa que se cubrió un 98% de la meta para ese mismo año.</w:t>
      </w:r>
      <w:r w:rsidRPr="007717B2">
        <w:rPr>
          <w:rFonts w:ascii="Calibri" w:eastAsia="Times New Roman" w:hAnsi="Calibri" w:cs="Calibri"/>
          <w:color w:val="000000"/>
          <w:sz w:val="24"/>
          <w:szCs w:val="24"/>
          <w:lang w:val="es-ES" w:eastAsia="es-GT"/>
        </w:rPr>
        <w:t> </w:t>
      </w:r>
    </w:p>
    <w:p w14:paraId="64D2442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en 4 unidades la red hospitalaria”? </w:t>
      </w:r>
      <w:r w:rsidRPr="007717B2">
        <w:rPr>
          <w:rFonts w:ascii="Calibri" w:eastAsia="Times New Roman" w:hAnsi="Calibri" w:cs="Calibri"/>
          <w:color w:val="000000"/>
          <w:sz w:val="24"/>
          <w:szCs w:val="24"/>
          <w:lang w:val="es-ES" w:eastAsia="es-GT"/>
        </w:rPr>
        <w:t> </w:t>
      </w:r>
    </w:p>
    <w:p w14:paraId="718D737E" w14:textId="212FCFC1"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w:t>
      </w:r>
      <w:r w:rsidR="00F913F4">
        <w:rPr>
          <w:rFonts w:ascii="Calibri" w:eastAsia="Times New Roman" w:hAnsi="Calibri" w:cs="Calibri"/>
          <w:color w:val="000000"/>
          <w:sz w:val="24"/>
          <w:szCs w:val="24"/>
          <w:lang w:eastAsia="es-GT"/>
        </w:rPr>
        <w:t>Informe General de la República (</w:t>
      </w:r>
      <w:r w:rsidRPr="007717B2">
        <w:rPr>
          <w:rFonts w:ascii="Calibri" w:eastAsia="Times New Roman" w:hAnsi="Calibri" w:cs="Calibri"/>
          <w:color w:val="000000"/>
          <w:sz w:val="24"/>
          <w:szCs w:val="24"/>
          <w:lang w:eastAsia="es-GT"/>
        </w:rPr>
        <w:t>IGR</w:t>
      </w:r>
      <w:r w:rsidR="00F913F4">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 xml:space="preserve"> MSPAS</w:t>
      </w:r>
      <w:r w:rsidR="00F913F4">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UPE</w:t>
      </w:r>
      <w:r w:rsidR="00F913F4">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 xml:space="preserve"> Proyectos Infraestructura Actualizado v2.0" señala 3 hospitales: Rabinal en Baja Verapaz, San Pedro Necta, Huehuetenango y Regional de Chimaltenango; en el IGR 2022 enviado a SEGEPLAN se señala también el Hospital Santa Bárbara, en Morales Izabal; situación indicada por la Unidad de Coordinación de Hospitales del MSPAS.  </w:t>
      </w:r>
      <w:r w:rsidRPr="007717B2">
        <w:rPr>
          <w:rFonts w:ascii="Calibri" w:eastAsia="Times New Roman" w:hAnsi="Calibri" w:cs="Calibri"/>
          <w:color w:val="000000"/>
          <w:sz w:val="24"/>
          <w:szCs w:val="24"/>
          <w:lang w:val="es-ES" w:eastAsia="es-GT"/>
        </w:rPr>
        <w:t> </w:t>
      </w:r>
    </w:p>
    <w:p w14:paraId="5A94951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incrementado en 50 el número de centros de salud tipo A y B”? </w:t>
      </w:r>
      <w:r w:rsidRPr="007717B2">
        <w:rPr>
          <w:rFonts w:ascii="Calibri" w:eastAsia="Times New Roman" w:hAnsi="Calibri" w:cs="Calibri"/>
          <w:color w:val="000000"/>
          <w:sz w:val="24"/>
          <w:szCs w:val="24"/>
          <w:lang w:val="es-ES" w:eastAsia="es-GT"/>
        </w:rPr>
        <w:t> </w:t>
      </w:r>
    </w:p>
    <w:p w14:paraId="112992EB" w14:textId="5427A01C" w:rsidR="007717B2" w:rsidRPr="007717B2" w:rsidRDefault="007717B2" w:rsidP="00EA18D7">
      <w:pPr>
        <w:pStyle w:val="Default"/>
        <w:jc w:val="both"/>
        <w:rPr>
          <w:rFonts w:ascii="Calibri" w:eastAsia="Times New Roman" w:hAnsi="Calibri" w:cs="Calibri"/>
          <w:lang w:val="es-ES"/>
        </w:rPr>
      </w:pPr>
      <w:r w:rsidRPr="007717B2">
        <w:rPr>
          <w:rFonts w:ascii="Calibri" w:eastAsia="Times New Roman" w:hAnsi="Calibri" w:cs="Calibri"/>
        </w:rPr>
        <w:t>El departamento de proyectos de la UPE, señala la situación de los Centros de Salud, para el año 2022</w:t>
      </w:r>
      <w:r w:rsidR="00EA18D7">
        <w:rPr>
          <w:rFonts w:ascii="Calibri" w:eastAsia="Times New Roman" w:hAnsi="Calibri" w:cs="Calibri"/>
        </w:rPr>
        <w:t>,</w:t>
      </w:r>
      <w:r w:rsidRPr="007717B2">
        <w:rPr>
          <w:rFonts w:ascii="Calibri" w:eastAsia="Times New Roman" w:hAnsi="Calibri" w:cs="Calibri"/>
        </w:rPr>
        <w:t xml:space="preserve"> en el IGR</w:t>
      </w:r>
      <w:r w:rsidR="00EA18D7">
        <w:rPr>
          <w:rFonts w:ascii="Calibri" w:eastAsia="Times New Roman" w:hAnsi="Calibri" w:cs="Calibri"/>
        </w:rPr>
        <w:t>,</w:t>
      </w:r>
      <w:r w:rsidRPr="007717B2">
        <w:rPr>
          <w:rFonts w:ascii="Calibri" w:eastAsia="Times New Roman" w:hAnsi="Calibri" w:cs="Calibri"/>
        </w:rPr>
        <w:t xml:space="preserve"> MSPAS</w:t>
      </w:r>
      <w:r w:rsidR="00EA18D7">
        <w:rPr>
          <w:rFonts w:ascii="Calibri" w:eastAsia="Times New Roman" w:hAnsi="Calibri" w:cs="Calibri"/>
        </w:rPr>
        <w:t>-</w:t>
      </w:r>
      <w:r w:rsidRPr="007717B2">
        <w:rPr>
          <w:rFonts w:ascii="Calibri" w:eastAsia="Times New Roman" w:hAnsi="Calibri" w:cs="Calibri"/>
        </w:rPr>
        <w:t>UPE Proyectos Infraestructura Actualizado v2.0</w:t>
      </w:r>
      <w:r w:rsidR="00EA18D7">
        <w:rPr>
          <w:rFonts w:ascii="Calibri" w:eastAsia="Times New Roman" w:hAnsi="Calibri" w:cs="Calibri"/>
        </w:rPr>
        <w:t xml:space="preserve">, con los siguientes resultados: </w:t>
      </w:r>
      <w:r w:rsidR="00EA18D7" w:rsidRPr="00EA18D7">
        <w:rPr>
          <w:rFonts w:ascii="Calibri" w:eastAsia="Times New Roman" w:hAnsi="Calibri" w:cs="Calibri"/>
        </w:rPr>
        <w:t>Inici</w:t>
      </w:r>
      <w:r w:rsidR="00EA18D7">
        <w:rPr>
          <w:rFonts w:ascii="Calibri" w:eastAsia="Times New Roman" w:hAnsi="Calibri" w:cs="Calibri"/>
        </w:rPr>
        <w:t>ó</w:t>
      </w:r>
      <w:r w:rsidR="00EA18D7" w:rsidRPr="00EA18D7">
        <w:rPr>
          <w:rFonts w:ascii="Calibri" w:eastAsia="Times New Roman" w:hAnsi="Calibri" w:cs="Calibri"/>
        </w:rPr>
        <w:t xml:space="preserve"> la construcción del Centro de Salud El Cerinal, Santa Rosa, por medio del MSPAS</w:t>
      </w:r>
      <w:r w:rsidR="00EA18D7">
        <w:rPr>
          <w:rFonts w:ascii="Calibri" w:eastAsia="Times New Roman" w:hAnsi="Calibri" w:cs="Calibri"/>
        </w:rPr>
        <w:t>, f</w:t>
      </w:r>
      <w:r w:rsidR="00EA18D7" w:rsidRPr="00EA18D7">
        <w:rPr>
          <w:rFonts w:ascii="Calibri" w:eastAsia="Times New Roman" w:hAnsi="Calibri" w:cs="Calibri"/>
        </w:rPr>
        <w:t>inalización de 9 mejoramientos de centros de salud y centros de atención permanente (CIV)</w:t>
      </w:r>
      <w:r w:rsidR="00EA18D7">
        <w:rPr>
          <w:rFonts w:ascii="Calibri" w:eastAsia="Times New Roman" w:hAnsi="Calibri" w:cs="Calibri"/>
        </w:rPr>
        <w:t>,</w:t>
      </w:r>
      <w:r w:rsidR="00EA18D7" w:rsidRPr="00EA18D7">
        <w:rPr>
          <w:rFonts w:ascii="Calibri" w:eastAsia="Times New Roman" w:hAnsi="Calibri" w:cs="Calibri"/>
        </w:rPr>
        <w:t xml:space="preserve"> Planificación de 15 remozamientos de centros de atención permanentes, puestos de salud, centros comunitarios y direcciones de Área de Salud, actualmente adjudicados (CIV)</w:t>
      </w:r>
      <w:r w:rsidR="00EA18D7">
        <w:rPr>
          <w:rFonts w:ascii="Calibri" w:eastAsia="Times New Roman" w:hAnsi="Calibri" w:cs="Calibri"/>
        </w:rPr>
        <w:t xml:space="preserve">. </w:t>
      </w:r>
      <w:r w:rsidR="00EA18D7" w:rsidRPr="00EA18D7">
        <w:rPr>
          <w:rFonts w:ascii="Calibri" w:eastAsia="Times New Roman" w:hAnsi="Calibri" w:cs="Calibri"/>
        </w:rPr>
        <w:t>El MINDEF apoyó técnicamente en la construcción el Centro de Atención Permanente (CAP) en la aldea Ilom, de Chajul, Quiché.</w:t>
      </w:r>
      <w:r w:rsidRPr="007717B2">
        <w:rPr>
          <w:rFonts w:ascii="Calibri" w:eastAsia="Times New Roman" w:hAnsi="Calibri" w:cs="Calibri"/>
          <w:lang w:val="es-ES"/>
        </w:rPr>
        <w:t> </w:t>
      </w:r>
    </w:p>
    <w:p w14:paraId="02F5EDE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redujo la tasa desnutrición crónica en 7 puntos porcentuales”? </w:t>
      </w:r>
      <w:r w:rsidRPr="007717B2">
        <w:rPr>
          <w:rFonts w:ascii="Calibri" w:eastAsia="Times New Roman" w:hAnsi="Calibri" w:cs="Calibri"/>
          <w:sz w:val="24"/>
          <w:szCs w:val="24"/>
          <w:lang w:val="es-ES" w:eastAsia="es-GT"/>
        </w:rPr>
        <w:t> </w:t>
      </w:r>
    </w:p>
    <w:p w14:paraId="2FB3A688"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Departamento de Regulación de los Programas de Atención a las Personas (DRPAP) señala que no se puede dar otro dato del indicador de Desnutrición Crónica, hasta que se presente oficialmente otra ENSMI, por lo que se sigue manejando el 46.5% señalado en la ENSMI 2014-2015.</w:t>
      </w:r>
      <w:r w:rsidRPr="007717B2">
        <w:rPr>
          <w:rFonts w:ascii="Calibri" w:eastAsia="Times New Roman" w:hAnsi="Calibri" w:cs="Calibri"/>
          <w:color w:val="000000"/>
          <w:sz w:val="24"/>
          <w:szCs w:val="24"/>
          <w:lang w:val="es-ES" w:eastAsia="es-GT"/>
        </w:rPr>
        <w:t> </w:t>
      </w:r>
    </w:p>
    <w:p w14:paraId="1A08886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Desarrollo Social (MIDES)</w:t>
      </w:r>
      <w:r w:rsidRPr="007717B2">
        <w:rPr>
          <w:rFonts w:ascii="Calibri" w:eastAsia="Times New Roman" w:hAnsi="Calibri" w:cs="Calibri"/>
          <w:sz w:val="24"/>
          <w:szCs w:val="24"/>
          <w:lang w:val="es-ES" w:eastAsia="es-GT"/>
        </w:rPr>
        <w:t> </w:t>
      </w:r>
    </w:p>
    <w:p w14:paraId="54667FF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a 150,000 el número de familias atendidas por el programa de transferencias monetarias”? </w:t>
      </w:r>
      <w:r w:rsidRPr="007717B2">
        <w:rPr>
          <w:rFonts w:ascii="Calibri" w:eastAsia="Times New Roman" w:hAnsi="Calibri" w:cs="Calibri"/>
          <w:sz w:val="24"/>
          <w:szCs w:val="24"/>
          <w:lang w:val="es-ES" w:eastAsia="es-GT"/>
        </w:rPr>
        <w:t> </w:t>
      </w:r>
    </w:p>
    <w:p w14:paraId="7B48BDD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Transferencias monetarias condicionadas para alimentos entregadas a familias que viven en pobreza y pobreza extrema 189,199 aportes.</w:t>
      </w:r>
      <w:r w:rsidRPr="007717B2">
        <w:rPr>
          <w:rFonts w:ascii="Calibri" w:eastAsia="Times New Roman" w:hAnsi="Calibri" w:cs="Calibri"/>
          <w:color w:val="000000"/>
          <w:sz w:val="24"/>
          <w:szCs w:val="24"/>
          <w:lang w:val="es-ES" w:eastAsia="es-GT"/>
        </w:rPr>
        <w:t> </w:t>
      </w:r>
    </w:p>
    <w:p w14:paraId="30A7AC0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a 4 millones el número de raciones (desayunos y almuerzos) servidos en comedores sociales”? </w:t>
      </w:r>
      <w:r w:rsidRPr="007717B2">
        <w:rPr>
          <w:rFonts w:ascii="Calibri" w:eastAsia="Times New Roman" w:hAnsi="Calibri" w:cs="Calibri"/>
          <w:sz w:val="24"/>
          <w:szCs w:val="24"/>
          <w:lang w:val="es-ES" w:eastAsia="es-GT"/>
        </w:rPr>
        <w:t> </w:t>
      </w:r>
    </w:p>
    <w:p w14:paraId="30A499FA" w14:textId="066FB452" w:rsidR="007717B2" w:rsidRPr="00502197" w:rsidRDefault="00D14CE0" w:rsidP="00502197">
      <w:pPr>
        <w:spacing w:before="120" w:after="120" w:line="240" w:lineRule="auto"/>
        <w:jc w:val="both"/>
        <w:textAlignment w:val="baseline"/>
        <w:rPr>
          <w:rFonts w:ascii="Calibri" w:eastAsia="Times New Roman" w:hAnsi="Calibri" w:cs="Calibri"/>
          <w:sz w:val="24"/>
          <w:szCs w:val="24"/>
          <w:lang w:val="es-ES" w:eastAsia="es-GT"/>
        </w:rPr>
      </w:pPr>
      <w:r>
        <w:rPr>
          <w:rFonts w:ascii="Calibri" w:eastAsia="Times New Roman" w:hAnsi="Calibri" w:cs="Calibri"/>
          <w:color w:val="000000"/>
          <w:sz w:val="24"/>
          <w:szCs w:val="24"/>
          <w:lang w:eastAsia="es-GT"/>
        </w:rPr>
        <w:t xml:space="preserve">Se entregaron 3,661,027 raciones de desayunos y 5,433,865 raciones de almuerzos preparados </w:t>
      </w:r>
      <w:r w:rsidR="007717B2" w:rsidRPr="00502197">
        <w:rPr>
          <w:rFonts w:ascii="Calibri" w:eastAsia="Times New Roman" w:hAnsi="Calibri" w:cs="Calibri"/>
          <w:color w:val="000000"/>
          <w:sz w:val="24"/>
          <w:szCs w:val="24"/>
          <w:lang w:eastAsia="es-GT"/>
        </w:rPr>
        <w:t>a personas que viven en condiciones de vulnerabilidad o crisis</w:t>
      </w:r>
      <w:r>
        <w:rPr>
          <w:rFonts w:ascii="Calibri" w:eastAsia="Times New Roman" w:hAnsi="Calibri" w:cs="Calibri"/>
          <w:color w:val="000000"/>
          <w:sz w:val="24"/>
          <w:szCs w:val="24"/>
          <w:lang w:eastAsia="es-GT"/>
        </w:rPr>
        <w:t xml:space="preserve">, con un total de </w:t>
      </w:r>
      <w:r w:rsidR="007717B2" w:rsidRPr="00502197">
        <w:rPr>
          <w:rFonts w:ascii="Calibri" w:eastAsia="Times New Roman" w:hAnsi="Calibri" w:cs="Calibri"/>
          <w:color w:val="000000"/>
          <w:sz w:val="24"/>
          <w:szCs w:val="24"/>
          <w:lang w:eastAsia="es-GT"/>
        </w:rPr>
        <w:t>9,094,892</w:t>
      </w:r>
      <w:r w:rsidR="007717B2" w:rsidRPr="00502197">
        <w:rPr>
          <w:rFonts w:ascii="Calibri" w:eastAsia="Times New Roman" w:hAnsi="Calibri" w:cs="Calibri"/>
          <w:color w:val="000000"/>
          <w:sz w:val="24"/>
          <w:szCs w:val="24"/>
          <w:lang w:val="es-ES" w:eastAsia="es-GT"/>
        </w:rPr>
        <w:t> </w:t>
      </w:r>
      <w:r>
        <w:rPr>
          <w:rFonts w:ascii="Calibri" w:eastAsia="Times New Roman" w:hAnsi="Calibri" w:cs="Calibri"/>
          <w:color w:val="000000"/>
          <w:sz w:val="24"/>
          <w:szCs w:val="24"/>
          <w:lang w:val="es-ES" w:eastAsia="es-GT"/>
        </w:rPr>
        <w:t>de raciones entregadas en el año.</w:t>
      </w:r>
    </w:p>
    <w:p w14:paraId="35B3E1D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Metas complementarias, Pilar 2</w:t>
      </w:r>
      <w:r w:rsidRPr="007717B2">
        <w:rPr>
          <w:rFonts w:ascii="Calibri" w:eastAsia="Times New Roman" w:hAnsi="Calibri" w:cs="Calibri"/>
          <w:sz w:val="24"/>
          <w:szCs w:val="24"/>
          <w:lang w:val="es-ES" w:eastAsia="es-GT"/>
        </w:rPr>
        <w:t> </w:t>
      </w:r>
    </w:p>
    <w:p w14:paraId="50EBBCA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la Defensa Nacional (MINDEF)</w:t>
      </w:r>
      <w:r w:rsidRPr="007717B2">
        <w:rPr>
          <w:rFonts w:ascii="Calibri" w:eastAsia="Times New Roman" w:hAnsi="Calibri" w:cs="Calibri"/>
          <w:sz w:val="24"/>
          <w:szCs w:val="24"/>
          <w:lang w:val="es-ES" w:eastAsia="es-GT"/>
        </w:rPr>
        <w:t> </w:t>
      </w:r>
    </w:p>
    <w:p w14:paraId="7EB18B2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en 637 elementos la Unidad Humanitaria de Respuesta para la atención a desastres”? </w:t>
      </w:r>
      <w:r w:rsidRPr="007717B2">
        <w:rPr>
          <w:rFonts w:ascii="Calibri" w:eastAsia="Times New Roman" w:hAnsi="Calibri" w:cs="Calibri"/>
          <w:sz w:val="24"/>
          <w:szCs w:val="24"/>
          <w:lang w:val="es-ES" w:eastAsia="es-GT"/>
        </w:rPr>
        <w:t> </w:t>
      </w:r>
    </w:p>
    <w:p w14:paraId="7C33C58E" w14:textId="21D83580" w:rsidR="007717B2" w:rsidRPr="007717B2" w:rsidRDefault="00E32B7C" w:rsidP="007717B2">
      <w:pPr>
        <w:spacing w:before="120" w:after="120" w:line="240" w:lineRule="auto"/>
        <w:jc w:val="both"/>
        <w:textAlignment w:val="baseline"/>
        <w:rPr>
          <w:rFonts w:ascii="Calibri" w:eastAsia="Times New Roman" w:hAnsi="Calibri" w:cs="Calibri"/>
          <w:sz w:val="24"/>
          <w:szCs w:val="24"/>
          <w:lang w:val="es-ES" w:eastAsia="es-GT"/>
        </w:rPr>
      </w:pPr>
      <w:r>
        <w:rPr>
          <w:rFonts w:ascii="Calibri" w:eastAsia="Times New Roman" w:hAnsi="Calibri" w:cs="Calibri"/>
          <w:color w:val="000000"/>
          <w:sz w:val="24"/>
          <w:szCs w:val="24"/>
          <w:lang w:eastAsia="es-GT"/>
        </w:rPr>
        <w:t>Durante el año</w:t>
      </w:r>
      <w:r w:rsidRPr="007717B2">
        <w:rPr>
          <w:rFonts w:ascii="Calibri" w:eastAsia="Times New Roman" w:hAnsi="Calibri" w:cs="Calibri"/>
          <w:color w:val="000000"/>
          <w:sz w:val="24"/>
          <w:szCs w:val="24"/>
          <w:lang w:eastAsia="es-GT"/>
        </w:rPr>
        <w:t xml:space="preserve"> se incrementaron 140 elementos de la Unidad Humanitaria y de Rescate para la Atención de Desastres</w:t>
      </w:r>
      <w:r>
        <w:rPr>
          <w:rFonts w:ascii="Calibri" w:eastAsia="Times New Roman" w:hAnsi="Calibri" w:cs="Calibri"/>
          <w:color w:val="000000"/>
          <w:sz w:val="24"/>
          <w:szCs w:val="24"/>
          <w:lang w:eastAsia="es-GT"/>
        </w:rPr>
        <w:t xml:space="preserve">, con un avance de 350 elementos. </w:t>
      </w:r>
      <w:r w:rsidR="007717B2" w:rsidRPr="007717B2">
        <w:rPr>
          <w:rFonts w:ascii="Calibri" w:eastAsia="Times New Roman" w:hAnsi="Calibri" w:cs="Calibri"/>
          <w:color w:val="000000"/>
          <w:sz w:val="24"/>
          <w:szCs w:val="24"/>
          <w:lang w:eastAsia="es-GT"/>
        </w:rPr>
        <w:t xml:space="preserve">Con el avance de esta meta, se coadyuva en apoyo a la población para brindar atención a las personas afectadas por desastres naturales con la finalidad de preservar la vida; </w:t>
      </w:r>
      <w:r>
        <w:rPr>
          <w:rFonts w:ascii="Calibri" w:eastAsia="Times New Roman" w:hAnsi="Calibri" w:cs="Calibri"/>
          <w:color w:val="000000"/>
          <w:sz w:val="24"/>
          <w:szCs w:val="24"/>
          <w:lang w:eastAsia="es-GT"/>
        </w:rPr>
        <w:t xml:space="preserve">y </w:t>
      </w:r>
      <w:r w:rsidR="007717B2" w:rsidRPr="007717B2">
        <w:rPr>
          <w:rFonts w:ascii="Calibri" w:eastAsia="Times New Roman" w:hAnsi="Calibri" w:cs="Calibri"/>
          <w:color w:val="000000"/>
          <w:sz w:val="24"/>
          <w:szCs w:val="24"/>
          <w:lang w:eastAsia="es-GT"/>
        </w:rPr>
        <w:t>para alcanzar este logro</w:t>
      </w:r>
      <w:r>
        <w:rPr>
          <w:rFonts w:ascii="Calibri" w:eastAsia="Times New Roman" w:hAnsi="Calibri" w:cs="Calibri"/>
          <w:color w:val="000000"/>
          <w:sz w:val="24"/>
          <w:szCs w:val="24"/>
          <w:lang w:eastAsia="es-GT"/>
        </w:rPr>
        <w:t>,</w:t>
      </w:r>
      <w:r w:rsidR="007717B2" w:rsidRPr="007717B2">
        <w:rPr>
          <w:rFonts w:ascii="Calibri" w:eastAsia="Times New Roman" w:hAnsi="Calibri" w:cs="Calibri"/>
          <w:color w:val="000000"/>
          <w:sz w:val="24"/>
          <w:szCs w:val="24"/>
          <w:lang w:eastAsia="es-GT"/>
        </w:rPr>
        <w:t xml:space="preserve"> el Ministerio de la Defensa Nacional realiza coordinaciones con Coordinadora Nacional para la Reducción de Desastres -CONRED- y con el Centro de Coordinación para la Prevención de los Desastres en América Central  y República Dominicana -CEPREDENAC-; realizando entrenamientos especializados de respuesta a emergencias, entrenamiento interinstitucional sobre operaciones de rescate en helicóptero y programando otras capacitaciones nacionales e internacionales.</w:t>
      </w:r>
      <w:r w:rsidR="007717B2" w:rsidRPr="007717B2">
        <w:rPr>
          <w:rFonts w:ascii="Calibri" w:eastAsia="Times New Roman" w:hAnsi="Calibri" w:cs="Calibri"/>
          <w:color w:val="000000"/>
          <w:sz w:val="24"/>
          <w:szCs w:val="24"/>
          <w:lang w:val="es-ES" w:eastAsia="es-GT"/>
        </w:rPr>
        <w:t> </w:t>
      </w:r>
    </w:p>
    <w:p w14:paraId="692EE4ED" w14:textId="573B31B5"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 xml:space="preserve">Pilar 3: </w:t>
      </w:r>
      <w:r w:rsidR="00EA3448">
        <w:rPr>
          <w:rFonts w:ascii="Calibri" w:eastAsia="Times New Roman" w:hAnsi="Calibri" w:cs="Calibri"/>
          <w:b/>
          <w:color w:val="002060"/>
          <w:sz w:val="28"/>
          <w:szCs w:val="28"/>
        </w:rPr>
        <w:t>G</w:t>
      </w:r>
      <w:r w:rsidRPr="007717B2">
        <w:rPr>
          <w:rFonts w:ascii="Calibri" w:eastAsia="Times New Roman" w:hAnsi="Calibri" w:cs="Calibri"/>
          <w:b/>
          <w:color w:val="002060"/>
          <w:sz w:val="28"/>
          <w:szCs w:val="28"/>
        </w:rPr>
        <w:t>obernabilidad y seguridad en desarrollo </w:t>
      </w:r>
    </w:p>
    <w:p w14:paraId="7AF1C7A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Gobernación (MINGOB)</w:t>
      </w:r>
      <w:r w:rsidRPr="007717B2">
        <w:rPr>
          <w:rFonts w:ascii="Calibri" w:eastAsia="Times New Roman" w:hAnsi="Calibri" w:cs="Calibri"/>
          <w:sz w:val="24"/>
          <w:szCs w:val="24"/>
          <w:lang w:val="es-ES" w:eastAsia="es-GT"/>
        </w:rPr>
        <w:t> </w:t>
      </w:r>
    </w:p>
    <w:p w14:paraId="2884724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disminuido la incidencia criminal en 20 puntos de tasa”? </w:t>
      </w:r>
      <w:r w:rsidRPr="007717B2">
        <w:rPr>
          <w:rFonts w:ascii="Calibri" w:eastAsia="Times New Roman" w:hAnsi="Calibri" w:cs="Calibri"/>
          <w:sz w:val="24"/>
          <w:szCs w:val="24"/>
          <w:lang w:val="es-ES" w:eastAsia="es-GT"/>
        </w:rPr>
        <w:t> </w:t>
      </w:r>
    </w:p>
    <w:p w14:paraId="7C212BA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Respecto a la meta “para el año 2023 se ha reducido la incidencia criminal en 20 puntos de tasa,” partiendo de una línea de base de 100.63 en el año 2019, a ser reducida a razón de 5 puntos por año hasta alcanzar la reducción de 20 puntos en el año 2023, en el año 2020 se tuvo una reducción sustancial de la tasa a 82.77, es decir una baja de 17.86 puntos porcentuales que rebasaba cualquier expectativa y triplicaba la meta para dicho año. Se previó que, conforme la vida se fuese normalizando y la población saliera del encierro, la tasa podría crecer, lo que obligaba a tomar las medidas preventivas necesarias para que el incremento de la misma fuese el menor posible. Por lo anterior, la tasa creció en los años 2021 y 2022 a 89.19 y 93.35, respectivamente. Pese a tal tendencia al alza, a finales del año 2022 se tiene una reducción en la tasa de 7.28 puntos respecto a la línea base. </w:t>
      </w:r>
      <w:r w:rsidRPr="007717B2">
        <w:rPr>
          <w:rFonts w:ascii="Calibri" w:eastAsia="Times New Roman" w:hAnsi="Calibri" w:cs="Calibri"/>
          <w:sz w:val="24"/>
          <w:szCs w:val="24"/>
          <w:lang w:val="es-ES" w:eastAsia="es-GT"/>
        </w:rPr>
        <w:t> </w:t>
      </w:r>
    </w:p>
    <w:p w14:paraId="1F950E1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reducido la tasa de homicidios en 8.8 de tasa.” </w:t>
      </w:r>
      <w:r w:rsidRPr="007717B2">
        <w:rPr>
          <w:rFonts w:ascii="Calibri" w:eastAsia="Times New Roman" w:hAnsi="Calibri" w:cs="Calibri"/>
          <w:sz w:val="24"/>
          <w:szCs w:val="24"/>
          <w:lang w:val="es-ES" w:eastAsia="es-GT"/>
        </w:rPr>
        <w:t> </w:t>
      </w:r>
    </w:p>
    <w:p w14:paraId="344A99F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En lo concerniente a la meta “para el año 2023 se ha reducido la tasa de homicidios en 8.8 puntos,” el MINGOB, partiendo de la línea de base de 21.5 homicidios por cada 100,000 habitantes, también logró una reducción sustancial de dicha tasa en el año 2020, a 15.3, en parte debido al aislamiento provocado por la pandemia. En contraste con este primer año, conforme la vida se normalizaba y la población salía del aislamiento, se fue dando una progresiva alza en la tasa, llegando a 16.6 y 17.4 en los años 2021 y 2022, respectivamente, aunque aun manteniéndose 4.1 puntos de tasa por debajo de la línea base. </w:t>
      </w:r>
      <w:r w:rsidRPr="007717B2">
        <w:rPr>
          <w:rFonts w:ascii="Calibri" w:eastAsia="Times New Roman" w:hAnsi="Calibri" w:cs="Calibri"/>
          <w:sz w:val="24"/>
          <w:szCs w:val="24"/>
          <w:lang w:val="es-ES" w:eastAsia="es-GT"/>
        </w:rPr>
        <w:t> </w:t>
      </w:r>
    </w:p>
    <w:p w14:paraId="2D00899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en 4 el número de centros penitenciarios”? </w:t>
      </w:r>
      <w:r w:rsidRPr="007717B2">
        <w:rPr>
          <w:rFonts w:ascii="Calibri" w:eastAsia="Times New Roman" w:hAnsi="Calibri" w:cs="Calibri"/>
          <w:sz w:val="24"/>
          <w:szCs w:val="24"/>
          <w:lang w:val="es-ES" w:eastAsia="es-GT"/>
        </w:rPr>
        <w:t> </w:t>
      </w:r>
    </w:p>
    <w:p w14:paraId="08AC4EC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En cuanto a la meta “para el año 2023 se ha incrementado en 4 el número de centros penitenciarios,” en esta meta se ha tenido un avance menor al previsto, al construirse solamente un presidio en los tres años transcurridos. Sin embargo, ya se ha iniciado la construcción del Centro de Cumplimiento de Condena de Masagua, Escuintla. Se trata de un complejo carcelario que incluirá 4 cárceles, de las cuales 2 serán de máxima seguridad, 1 de mediana seguridad y 1 de mínima seguridad. Se deberán realizar todos los esfuerzos necesarios para dejar habilitado el complejo antes de finalizar el próximo año, con lo cual se estaría alcanzando y superando la meta. </w:t>
      </w:r>
      <w:r w:rsidRPr="007717B2">
        <w:rPr>
          <w:rFonts w:ascii="Calibri" w:eastAsia="Times New Roman" w:hAnsi="Calibri" w:cs="Calibri"/>
          <w:sz w:val="24"/>
          <w:szCs w:val="24"/>
          <w:lang w:val="es-ES" w:eastAsia="es-GT"/>
        </w:rPr>
        <w:t> </w:t>
      </w:r>
    </w:p>
    <w:p w14:paraId="55574D6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¿Cuál es el resultado del avance al año 2022, de la meta “para el año 2023 se han conformado 340 organizaciones comunitarias, municipales y departamentales de prevención de la violencia y el delito”?</w:t>
      </w:r>
      <w:r w:rsidRPr="007717B2">
        <w:rPr>
          <w:rFonts w:ascii="Calibri" w:eastAsia="Times New Roman" w:hAnsi="Calibri" w:cs="Calibri"/>
          <w:sz w:val="24"/>
          <w:szCs w:val="24"/>
          <w:lang w:val="es-ES" w:eastAsia="es-GT"/>
        </w:rPr>
        <w:t> </w:t>
      </w:r>
    </w:p>
    <w:p w14:paraId="1142820E"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En la meta “para el año 2023 se han conformado 340 organizaciones comunitarias, municipales y departamentales de prevención de la violencia y el delito,” la meta se ha alcanzado y superado, ascendiendo de 384 en el año 2020 a 1,193 en 2021, hasta alcanzar el total actual de 1,787 organizaciones en 2022, lo que equivale a 5.26 veces la suma esperada en la meta original para 2023. </w:t>
      </w:r>
      <w:r w:rsidRPr="007717B2">
        <w:rPr>
          <w:rFonts w:ascii="Calibri" w:eastAsia="Times New Roman" w:hAnsi="Calibri" w:cs="Calibri"/>
          <w:sz w:val="24"/>
          <w:szCs w:val="24"/>
          <w:lang w:val="es-ES" w:eastAsia="es-GT"/>
        </w:rPr>
        <w:t> </w:t>
      </w:r>
    </w:p>
    <w:p w14:paraId="3F8407B0"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en 5,000 el número de agentes de la Policía Nacional Civil”? </w:t>
      </w:r>
      <w:r w:rsidRPr="007717B2">
        <w:rPr>
          <w:rFonts w:ascii="Calibri" w:eastAsia="Times New Roman" w:hAnsi="Calibri" w:cs="Calibri"/>
          <w:sz w:val="24"/>
          <w:szCs w:val="24"/>
          <w:lang w:val="es-ES" w:eastAsia="es-GT"/>
        </w:rPr>
        <w:t> </w:t>
      </w:r>
    </w:p>
    <w:p w14:paraId="4727B20B" w14:textId="028952D1"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En la meta “para el año 2023 se ha incrementado en 5,000 el número de agentes de la Policía Nacional Civil,” durante el año 2022 se incorporaron 1,066 agentes a las fuerzas policiales, para un total de 3,119 nuevos integrantes de la PNC durante el trienio 2020-2022, que implica un nivel de cumplimiento de la meta del 96%. Para el próximo año se tiene prevista la integración a la entidad policial de 2,542 nuevos elementos, con lo que se superaría la brecha actual de 1,881 y, más importante aún, se sobrepasaría la meta, llegando a los 5,660 agentes incorporados. </w:t>
      </w:r>
      <w:r w:rsidRPr="007717B2">
        <w:rPr>
          <w:rFonts w:ascii="Calibri" w:eastAsia="Times New Roman" w:hAnsi="Calibri" w:cs="Calibri"/>
          <w:sz w:val="24"/>
          <w:szCs w:val="24"/>
          <w:lang w:val="es-ES" w:eastAsia="es-GT"/>
        </w:rPr>
        <w:t> </w:t>
      </w:r>
    </w:p>
    <w:p w14:paraId="79F53743" w14:textId="77777777" w:rsidR="002905E4" w:rsidRPr="007717B2" w:rsidRDefault="002905E4" w:rsidP="002905E4">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Secretaría de Inteligencia Estratégica (SIE)</w:t>
      </w:r>
      <w:r w:rsidRPr="007717B2">
        <w:rPr>
          <w:rFonts w:ascii="Calibri" w:eastAsia="Times New Roman" w:hAnsi="Calibri" w:cs="Calibri"/>
          <w:sz w:val="24"/>
          <w:szCs w:val="24"/>
          <w:lang w:val="es-ES" w:eastAsia="es-GT"/>
        </w:rPr>
        <w:t> </w:t>
      </w:r>
    </w:p>
    <w:p w14:paraId="58E6384C" w14:textId="7690AD5F"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cuenta con un sistema de inteligencia reformado”? </w:t>
      </w:r>
      <w:r w:rsidRPr="007717B2">
        <w:rPr>
          <w:rFonts w:ascii="Calibri" w:eastAsia="Times New Roman" w:hAnsi="Calibri" w:cs="Calibri"/>
          <w:sz w:val="24"/>
          <w:szCs w:val="24"/>
          <w:lang w:val="es-ES" w:eastAsia="es-GT"/>
        </w:rPr>
        <w:t> </w:t>
      </w:r>
    </w:p>
    <w:p w14:paraId="0413EEA1" w14:textId="21D6AB76" w:rsidR="007717B2" w:rsidRDefault="007717B2" w:rsidP="007717B2">
      <w:p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El Gobierno de Guatemala estableció en la PPG como meta para 2023, contar con un sistema de inteligencia reformado, para ello, la Secretaría de Inteligencia del Estado (SIE), ha alcanzado un 92.75% de avance en el cumplimiento de lo propuesto, a través de la producción de inteligencia, acciones de coordinación del Sistema Nacional de Seguridad y fortalecimiento de capacidades; paralelo a ello, la SIE ha liderado el Comité Nacional de Seguridad Cibernética e implementó el centro estratégico de monitoreo de ciber-amenazas con el objetivo de prevenir y responder a amenazas en el ciberespacio; que también desarrolla un programa nacional de madurez en ciberseguridad, cuyo objetivo es evaluar las capacidades de las instituciones frente a las amenazas cibernéticas.</w:t>
      </w:r>
      <w:r w:rsidRPr="007717B2">
        <w:rPr>
          <w:rFonts w:ascii="Calibri" w:eastAsia="Times New Roman" w:hAnsi="Calibri" w:cs="Calibri"/>
          <w:color w:val="000000"/>
          <w:sz w:val="24"/>
          <w:szCs w:val="24"/>
          <w:lang w:val="es-ES" w:eastAsia="es-GT"/>
        </w:rPr>
        <w:t> </w:t>
      </w:r>
    </w:p>
    <w:p w14:paraId="437C9905" w14:textId="1E0735C7" w:rsidR="00196C6F" w:rsidRDefault="00196C6F" w:rsidP="007717B2">
      <w:pPr>
        <w:spacing w:before="120" w:after="120" w:line="240" w:lineRule="auto"/>
        <w:jc w:val="both"/>
        <w:textAlignment w:val="baseline"/>
        <w:rPr>
          <w:rFonts w:ascii="Calibri" w:eastAsia="Times New Roman" w:hAnsi="Calibri" w:cs="Calibri"/>
          <w:sz w:val="24"/>
          <w:szCs w:val="24"/>
          <w:lang w:val="es-ES" w:eastAsia="es-GT"/>
        </w:rPr>
      </w:pPr>
    </w:p>
    <w:p w14:paraId="15A6C86C" w14:textId="77777777" w:rsidR="00196C6F" w:rsidRPr="007717B2" w:rsidRDefault="00196C6F" w:rsidP="007717B2">
      <w:pPr>
        <w:spacing w:before="120" w:after="120" w:line="240" w:lineRule="auto"/>
        <w:jc w:val="both"/>
        <w:textAlignment w:val="baseline"/>
        <w:rPr>
          <w:rFonts w:ascii="Calibri" w:eastAsia="Times New Roman" w:hAnsi="Calibri" w:cs="Calibri"/>
          <w:sz w:val="24"/>
          <w:szCs w:val="24"/>
          <w:lang w:val="es-ES" w:eastAsia="es-GT"/>
        </w:rPr>
      </w:pPr>
    </w:p>
    <w:p w14:paraId="0BB6491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Metas complementarias, Pilar 3 </w:t>
      </w:r>
      <w:r w:rsidRPr="007717B2">
        <w:rPr>
          <w:rFonts w:ascii="Calibri" w:eastAsia="Times New Roman" w:hAnsi="Calibri" w:cs="Calibri"/>
          <w:sz w:val="24"/>
          <w:szCs w:val="24"/>
          <w:lang w:val="es-ES" w:eastAsia="es-GT"/>
        </w:rPr>
        <w:t> </w:t>
      </w:r>
    </w:p>
    <w:p w14:paraId="6B1DDBF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val="es-ES" w:eastAsia="es-GT"/>
        </w:rPr>
        <w:t>Ministerio</w:t>
      </w:r>
      <w:r w:rsidRPr="007717B2">
        <w:rPr>
          <w:rFonts w:ascii="Calibri" w:eastAsia="Times New Roman" w:hAnsi="Calibri" w:cs="Calibri"/>
          <w:b/>
          <w:bCs/>
          <w:i/>
          <w:iCs/>
          <w:sz w:val="24"/>
          <w:szCs w:val="24"/>
          <w:lang w:eastAsia="es-GT"/>
        </w:rPr>
        <w:t xml:space="preserve"> de la Defensa Nacional (MINDEF)</w:t>
      </w:r>
      <w:r w:rsidRPr="007717B2">
        <w:rPr>
          <w:rFonts w:ascii="Calibri" w:eastAsia="Times New Roman" w:hAnsi="Calibri" w:cs="Calibri"/>
          <w:sz w:val="24"/>
          <w:szCs w:val="24"/>
          <w:lang w:val="es-ES" w:eastAsia="es-GT"/>
        </w:rPr>
        <w:t> </w:t>
      </w:r>
    </w:p>
    <w:p w14:paraId="738C041E" w14:textId="7437273F"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incrementado en 6,000 elementos el personal del Ejército de Guatemala”? </w:t>
      </w:r>
      <w:r w:rsidRPr="007717B2">
        <w:rPr>
          <w:rFonts w:ascii="Calibri" w:eastAsia="Times New Roman" w:hAnsi="Calibri" w:cs="Calibri"/>
          <w:sz w:val="24"/>
          <w:szCs w:val="24"/>
          <w:lang w:val="es-ES" w:eastAsia="es-GT"/>
        </w:rPr>
        <w:t> </w:t>
      </w:r>
    </w:p>
    <w:p w14:paraId="5D86E311" w14:textId="61034CC5" w:rsidR="007717B2" w:rsidRPr="007717B2" w:rsidRDefault="008B053A" w:rsidP="007717B2">
      <w:pPr>
        <w:spacing w:before="120" w:after="120" w:line="240" w:lineRule="auto"/>
        <w:jc w:val="both"/>
        <w:textAlignment w:val="baseline"/>
        <w:rPr>
          <w:rFonts w:ascii="Calibri" w:eastAsia="Times New Roman" w:hAnsi="Calibri" w:cs="Calibri"/>
          <w:sz w:val="24"/>
          <w:szCs w:val="24"/>
          <w:lang w:val="es-ES" w:eastAsia="es-GT"/>
        </w:rPr>
      </w:pPr>
      <w:r>
        <w:rPr>
          <w:rFonts w:ascii="Calibri" w:eastAsia="Times New Roman" w:hAnsi="Calibri" w:cs="Calibri"/>
          <w:color w:val="000000"/>
          <w:sz w:val="24"/>
          <w:szCs w:val="24"/>
          <w:lang w:eastAsia="es-GT"/>
        </w:rPr>
        <w:t xml:space="preserve">Se aumentaron 1,190 elementos en el Ejército de Guatemala, con un avance al 2022 de 2,872 elementos. </w:t>
      </w:r>
      <w:r w:rsidR="007717B2" w:rsidRPr="007717B2">
        <w:rPr>
          <w:rFonts w:ascii="Calibri" w:eastAsia="Times New Roman" w:hAnsi="Calibri" w:cs="Calibri"/>
          <w:color w:val="000000"/>
          <w:sz w:val="24"/>
          <w:szCs w:val="24"/>
          <w:lang w:eastAsia="es-GT"/>
        </w:rPr>
        <w:t>Con el avance de esta meta, se fortalece el cumplimiento de la misión constitucional del Ejército de Guatemala; para el cumplimiento de este logro</w:t>
      </w:r>
      <w:r>
        <w:rPr>
          <w:rFonts w:ascii="Calibri" w:eastAsia="Times New Roman" w:hAnsi="Calibri" w:cs="Calibri"/>
          <w:color w:val="000000"/>
          <w:sz w:val="24"/>
          <w:szCs w:val="24"/>
          <w:lang w:eastAsia="es-GT"/>
        </w:rPr>
        <w:t>,</w:t>
      </w:r>
      <w:r w:rsidR="007717B2" w:rsidRPr="007717B2">
        <w:rPr>
          <w:rFonts w:ascii="Calibri" w:eastAsia="Times New Roman" w:hAnsi="Calibri" w:cs="Calibri"/>
          <w:color w:val="000000"/>
          <w:sz w:val="24"/>
          <w:szCs w:val="24"/>
          <w:lang w:eastAsia="es-GT"/>
        </w:rPr>
        <w:t xml:space="preserve"> el Ministerio de la Defensa Nacional, realiza acciones para la creación de distintas unidades militares, para mejorar las capacidades de respuesta del Ejército de Guatemala a la población.</w:t>
      </w:r>
      <w:r w:rsidR="007717B2" w:rsidRPr="007717B2">
        <w:rPr>
          <w:rFonts w:ascii="Calibri" w:eastAsia="Times New Roman" w:hAnsi="Calibri" w:cs="Calibri"/>
          <w:color w:val="000000"/>
          <w:sz w:val="24"/>
          <w:szCs w:val="24"/>
          <w:lang w:val="es-ES" w:eastAsia="es-GT"/>
        </w:rPr>
        <w:t> </w:t>
      </w:r>
    </w:p>
    <w:p w14:paraId="1AC1D9D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2024, mejorar en un 1% la protección de los ecosistemas acuáticos en situación de riesgo”? </w:t>
      </w:r>
      <w:r w:rsidRPr="007717B2">
        <w:rPr>
          <w:rFonts w:ascii="Calibri" w:eastAsia="Times New Roman" w:hAnsi="Calibri" w:cs="Calibri"/>
          <w:sz w:val="24"/>
          <w:szCs w:val="24"/>
          <w:lang w:val="es-ES" w:eastAsia="es-GT"/>
        </w:rPr>
        <w:t> </w:t>
      </w:r>
    </w:p>
    <w:p w14:paraId="19CFF98F" w14:textId="6CD5CC16"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resultado del avance al 2022 es de 18,177 operaciones, que representa el 91% del cumplimiento de la meta; durante el </w:t>
      </w:r>
      <w:r w:rsidR="008B053A">
        <w:rPr>
          <w:rFonts w:ascii="Calibri" w:eastAsia="Times New Roman" w:hAnsi="Calibri" w:cs="Calibri"/>
          <w:color w:val="000000"/>
          <w:sz w:val="24"/>
          <w:szCs w:val="24"/>
          <w:lang w:eastAsia="es-GT"/>
        </w:rPr>
        <w:t>año,</w:t>
      </w:r>
      <w:r w:rsidRPr="007717B2">
        <w:rPr>
          <w:rFonts w:ascii="Calibri" w:eastAsia="Times New Roman" w:hAnsi="Calibri" w:cs="Calibri"/>
          <w:color w:val="000000"/>
          <w:sz w:val="24"/>
          <w:szCs w:val="24"/>
          <w:lang w:eastAsia="es-GT"/>
        </w:rPr>
        <w:t xml:space="preserve"> se realiz</w:t>
      </w:r>
      <w:r w:rsidR="008B053A">
        <w:rPr>
          <w:rFonts w:ascii="Calibri" w:eastAsia="Times New Roman" w:hAnsi="Calibri" w:cs="Calibri"/>
          <w:color w:val="000000"/>
          <w:sz w:val="24"/>
          <w:szCs w:val="24"/>
          <w:lang w:eastAsia="es-GT"/>
        </w:rPr>
        <w:t>aron</w:t>
      </w:r>
      <w:r w:rsidRPr="007717B2">
        <w:rPr>
          <w:rFonts w:ascii="Calibri" w:eastAsia="Times New Roman" w:hAnsi="Calibri" w:cs="Calibri"/>
          <w:color w:val="000000"/>
          <w:sz w:val="24"/>
          <w:szCs w:val="24"/>
          <w:lang w:eastAsia="es-GT"/>
        </w:rPr>
        <w:t xml:space="preserve"> 7,827 operaciones de protección ambiental.  Con el avance de esta meta, se contribuye a la protección ambiental con el objetivo de preservar y el medio ambiente y reducir los efectos del  cambio climático; para alcanzar este logro</w:t>
      </w:r>
      <w:r w:rsidR="008B053A">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 xml:space="preserve"> el Ministerio de la Defensa Nacional realizó operaciones de protección de sitios arqueológicos y culturales, de protección ambiental, colocación de biobardas, liberación de tortugas, sofocación de incendios forestales, limpieza de basureros clandestinos, playas y ríos, en coordinación con el Consejo Nacional de Áreas Protegidas -CONAP-, Instituto Nacional de Bosques -INAB-, entre otras instituciones.</w:t>
      </w:r>
      <w:r w:rsidRPr="007717B2">
        <w:rPr>
          <w:rFonts w:ascii="Calibri" w:eastAsia="Times New Roman" w:hAnsi="Calibri" w:cs="Calibri"/>
          <w:color w:val="000000"/>
          <w:sz w:val="24"/>
          <w:szCs w:val="24"/>
          <w:lang w:val="es-ES" w:eastAsia="es-GT"/>
        </w:rPr>
        <w:t> </w:t>
      </w:r>
    </w:p>
    <w:p w14:paraId="5AA5A99B" w14:textId="77777777"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Pilar 4: Estado responsable, transparente y efectivo </w:t>
      </w:r>
    </w:p>
    <w:p w14:paraId="64A3057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Instituto Nacional de Bosques (INAB)</w:t>
      </w:r>
      <w:r w:rsidRPr="007717B2">
        <w:rPr>
          <w:rFonts w:ascii="Calibri" w:eastAsia="Times New Roman" w:hAnsi="Calibri" w:cs="Calibri"/>
          <w:sz w:val="24"/>
          <w:szCs w:val="24"/>
          <w:lang w:val="es-ES" w:eastAsia="es-GT"/>
        </w:rPr>
        <w:t> </w:t>
      </w:r>
    </w:p>
    <w:p w14:paraId="5D1587A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año 2023 se ha aumentado a un 33.7% la superficie del territorio cubierta por bosques” </w:t>
      </w:r>
      <w:r w:rsidRPr="007717B2">
        <w:rPr>
          <w:rFonts w:ascii="Calibri" w:eastAsia="Times New Roman" w:hAnsi="Calibri" w:cs="Calibri"/>
          <w:sz w:val="24"/>
          <w:szCs w:val="24"/>
          <w:lang w:val="es-ES" w:eastAsia="es-GT"/>
        </w:rPr>
        <w:t> </w:t>
      </w:r>
    </w:p>
    <w:p w14:paraId="1E015727" w14:textId="17130993"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val="es-ES" w:eastAsia="es-GT"/>
        </w:rPr>
        <w:t xml:space="preserve">Según el </w:t>
      </w:r>
      <w:r w:rsidRPr="007717B2">
        <w:rPr>
          <w:rFonts w:ascii="Calibri" w:eastAsia="Times New Roman" w:hAnsi="Calibri" w:cs="Calibri"/>
          <w:color w:val="000000"/>
          <w:sz w:val="24"/>
          <w:szCs w:val="24"/>
          <w:lang w:eastAsia="es-GT"/>
        </w:rPr>
        <w:t>estudio mapa de cobertura forestal 2020 y dinámica de la cobertura forestal 2016-2020, se incrementó en 0.3% la cobertura forestal del país, siendo 33.3% al 20</w:t>
      </w:r>
      <w:r w:rsidR="008B053A">
        <w:rPr>
          <w:rFonts w:ascii="Calibri" w:eastAsia="Times New Roman" w:hAnsi="Calibri" w:cs="Calibri"/>
          <w:color w:val="000000"/>
          <w:sz w:val="24"/>
          <w:szCs w:val="24"/>
          <w:lang w:eastAsia="es-GT"/>
        </w:rPr>
        <w:t>22</w:t>
      </w:r>
      <w:r w:rsidRPr="007717B2">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val="es-ES" w:eastAsia="es-GT"/>
        </w:rPr>
        <w:t> </w:t>
      </w:r>
    </w:p>
    <w:p w14:paraId="34792BF7"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de Planificación y Programación de la Presidencia (SEGEPLAN)</w:t>
      </w:r>
      <w:r w:rsidRPr="007717B2">
        <w:rPr>
          <w:rFonts w:ascii="Calibri" w:eastAsia="Times New Roman" w:hAnsi="Calibri" w:cs="Calibri"/>
          <w:color w:val="000000"/>
          <w:sz w:val="24"/>
          <w:szCs w:val="24"/>
          <w:lang w:val="es-ES" w:eastAsia="es-GT"/>
        </w:rPr>
        <w:t> </w:t>
      </w:r>
    </w:p>
    <w:p w14:paraId="2798706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¿Cuál es el resultado del avance al año 2022, de la meta “para el año 2023 se ha implementado el Sistema Nacional de Planificación (SNP)”?</w:t>
      </w:r>
      <w:r w:rsidRPr="007717B2">
        <w:rPr>
          <w:rFonts w:ascii="Calibri" w:eastAsia="Times New Roman" w:hAnsi="Calibri" w:cs="Calibri"/>
          <w:color w:val="000000"/>
          <w:sz w:val="24"/>
          <w:szCs w:val="24"/>
          <w:lang w:val="es-ES" w:eastAsia="es-GT"/>
        </w:rPr>
        <w:t> </w:t>
      </w:r>
    </w:p>
    <w:p w14:paraId="1E1E13A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Durante el año 2022, se brindaron 12,626 asesorías técnicas, en procesos vinculados a la formulación o actualización de políticas públicas, planificación y programación territorial, sectorial e institucional, inversión y cooperación para el desarrollo, así como para el análisis, seguimiento y evaluación de los instrumentos de planificación. Con lo que se ha asesorado a 505 entidades según el Manual de Clasificaciones Presupuestarias (registradas 502 entidades en los sistemas) y a otras entidades que no forman parte de dicho manual.</w:t>
      </w:r>
      <w:r w:rsidRPr="007717B2">
        <w:rPr>
          <w:rFonts w:ascii="Calibri" w:eastAsia="Times New Roman" w:hAnsi="Calibri" w:cs="Calibri"/>
          <w:color w:val="000000"/>
          <w:sz w:val="24"/>
          <w:szCs w:val="24"/>
          <w:lang w:val="es-ES" w:eastAsia="es-GT"/>
        </w:rPr>
        <w:t> </w:t>
      </w:r>
    </w:p>
    <w:p w14:paraId="02E52339"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val="es-ES" w:eastAsia="es-GT"/>
        </w:rPr>
        <w:t>¿</w:t>
      </w:r>
      <w:r w:rsidRPr="007717B2">
        <w:rPr>
          <w:rFonts w:ascii="Calibri" w:eastAsia="Times New Roman" w:hAnsi="Calibri" w:cs="Calibri"/>
          <w:b/>
          <w:bCs/>
          <w:color w:val="000000"/>
          <w:sz w:val="24"/>
          <w:szCs w:val="24"/>
          <w:lang w:eastAsia="es-GT"/>
        </w:rPr>
        <w:t>Cuál es el resultado del avance al año 2022, de la meta “para el año 2023 la totalidad de municipios implementa su plan de ordenamiento territorial”? </w:t>
      </w:r>
      <w:r w:rsidRPr="007717B2">
        <w:rPr>
          <w:rFonts w:ascii="Calibri" w:eastAsia="Times New Roman" w:hAnsi="Calibri" w:cs="Calibri"/>
          <w:color w:val="000000"/>
          <w:sz w:val="24"/>
          <w:szCs w:val="24"/>
          <w:lang w:val="es-ES" w:eastAsia="es-GT"/>
        </w:rPr>
        <w:t> </w:t>
      </w:r>
    </w:p>
    <w:p w14:paraId="4A202F35" w14:textId="77777777" w:rsidR="00705CE9" w:rsidRDefault="00705CE9" w:rsidP="00705CE9">
      <w:pPr>
        <w:spacing w:before="120" w:after="120" w:line="240" w:lineRule="auto"/>
        <w:jc w:val="both"/>
        <w:rPr>
          <w:sz w:val="24"/>
          <w:szCs w:val="24"/>
        </w:rPr>
      </w:pPr>
      <w:r>
        <w:rPr>
          <w:sz w:val="24"/>
          <w:szCs w:val="24"/>
        </w:rPr>
        <w:t xml:space="preserve">Al año </w:t>
      </w:r>
      <w:r w:rsidRPr="00EB2ED8">
        <w:rPr>
          <w:sz w:val="24"/>
          <w:szCs w:val="24"/>
        </w:rPr>
        <w:t>2022</w:t>
      </w:r>
      <w:r w:rsidRPr="00311737">
        <w:rPr>
          <w:sz w:val="24"/>
          <w:szCs w:val="24"/>
        </w:rPr>
        <w:t xml:space="preserve">, </w:t>
      </w:r>
      <w:r w:rsidRPr="00286C3C">
        <w:rPr>
          <w:sz w:val="24"/>
          <w:szCs w:val="24"/>
        </w:rPr>
        <w:t>el 70 %</w:t>
      </w:r>
      <w:r w:rsidRPr="00EB2ED8">
        <w:rPr>
          <w:sz w:val="24"/>
          <w:szCs w:val="24"/>
        </w:rPr>
        <w:t xml:space="preserve"> de</w:t>
      </w:r>
      <w:r>
        <w:rPr>
          <w:sz w:val="24"/>
          <w:szCs w:val="24"/>
        </w:rPr>
        <w:t xml:space="preserve"> los 65 municipios priorizados y avalados por el Doctor Alejandro Giammattei para trabajar en el periodo 2021-2023 iniciaron la implementación de su PDM-OT con la asesoría y acompañamiento técnico de SEGEPLAN, de acuerdo con lo establecido en la ruta de la Estrategia de Implementación.</w:t>
      </w:r>
    </w:p>
    <w:p w14:paraId="2768761F"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Secretaría General de la Presidencia</w:t>
      </w:r>
      <w:r w:rsidRPr="007717B2">
        <w:rPr>
          <w:rFonts w:ascii="Calibri" w:eastAsia="Times New Roman" w:hAnsi="Calibri" w:cs="Calibri"/>
          <w:color w:val="000000"/>
          <w:sz w:val="24"/>
          <w:szCs w:val="24"/>
          <w:lang w:val="es-ES" w:eastAsia="es-GT"/>
        </w:rPr>
        <w:t> </w:t>
      </w:r>
    </w:p>
    <w:p w14:paraId="6D884053" w14:textId="0D86DF51"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Se tuvo un avance de 23 Iniciativas de </w:t>
      </w:r>
      <w:r w:rsidR="007F049C">
        <w:rPr>
          <w:rFonts w:ascii="Calibri" w:eastAsia="Times New Roman" w:hAnsi="Calibri" w:cs="Calibri"/>
          <w:color w:val="000000"/>
          <w:sz w:val="24"/>
          <w:szCs w:val="24"/>
          <w:lang w:eastAsia="es-GT"/>
        </w:rPr>
        <w:t>L</w:t>
      </w:r>
      <w:r w:rsidRPr="007717B2">
        <w:rPr>
          <w:rFonts w:ascii="Calibri" w:eastAsia="Times New Roman" w:hAnsi="Calibri" w:cs="Calibri"/>
          <w:color w:val="000000"/>
          <w:sz w:val="24"/>
          <w:szCs w:val="24"/>
          <w:lang w:eastAsia="es-GT"/>
        </w:rPr>
        <w:t>ey presentadas durante el año 2022, cabe indicar que no obstante la Secretaría General de la Presidencia de la República quien realiza la re</w:t>
      </w:r>
      <w:r w:rsidR="00EA60D0">
        <w:rPr>
          <w:rFonts w:ascii="Calibri" w:eastAsia="Times New Roman" w:hAnsi="Calibri" w:cs="Calibri"/>
          <w:color w:val="000000"/>
          <w:sz w:val="24"/>
          <w:szCs w:val="24"/>
          <w:lang w:eastAsia="es-GT"/>
        </w:rPr>
        <w:t>v</w:t>
      </w:r>
      <w:r w:rsidRPr="007717B2">
        <w:rPr>
          <w:rFonts w:ascii="Calibri" w:eastAsia="Times New Roman" w:hAnsi="Calibri" w:cs="Calibri"/>
          <w:color w:val="000000"/>
          <w:sz w:val="24"/>
          <w:szCs w:val="24"/>
          <w:lang w:eastAsia="es-GT"/>
        </w:rPr>
        <w:t>isión de las iniciativas de ley al Congreso de la República de Guatemala, el responsable de la meta en mención es el Gabinete de Gobierno.</w:t>
      </w:r>
      <w:r w:rsidRPr="007717B2">
        <w:rPr>
          <w:rFonts w:ascii="Calibri" w:eastAsia="Times New Roman" w:hAnsi="Calibri" w:cs="Calibri"/>
          <w:color w:val="000000"/>
          <w:sz w:val="24"/>
          <w:szCs w:val="24"/>
          <w:lang w:val="es-ES" w:eastAsia="es-GT"/>
        </w:rPr>
        <w:t> </w:t>
      </w:r>
    </w:p>
    <w:p w14:paraId="1F18B1C8"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Metas complementarias, Pilar 4</w:t>
      </w:r>
      <w:r w:rsidRPr="007717B2">
        <w:rPr>
          <w:rFonts w:ascii="Calibri" w:eastAsia="Times New Roman" w:hAnsi="Calibri" w:cs="Calibri"/>
          <w:color w:val="000000"/>
          <w:sz w:val="24"/>
          <w:szCs w:val="24"/>
          <w:lang w:val="es-ES" w:eastAsia="es-GT"/>
        </w:rPr>
        <w:t> </w:t>
      </w:r>
    </w:p>
    <w:p w14:paraId="1169026D" w14:textId="6445B4BC"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la Defensa Nacional (MINDEF)</w:t>
      </w:r>
    </w:p>
    <w:p w14:paraId="048ECEFE" w14:textId="3A8F952B"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Cuál es el resultado del avance al año 2022, de la meta “</w:t>
      </w:r>
      <w:r w:rsidR="00AE3762">
        <w:rPr>
          <w:rFonts w:ascii="Calibri" w:eastAsia="Times New Roman" w:hAnsi="Calibri" w:cs="Calibri"/>
          <w:b/>
          <w:bCs/>
          <w:color w:val="000000"/>
          <w:sz w:val="24"/>
          <w:szCs w:val="24"/>
          <w:lang w:eastAsia="es-GT"/>
        </w:rPr>
        <w:t>c</w:t>
      </w:r>
      <w:r w:rsidRPr="007717B2">
        <w:rPr>
          <w:rFonts w:ascii="Calibri" w:eastAsia="Times New Roman" w:hAnsi="Calibri" w:cs="Calibri"/>
          <w:b/>
          <w:bCs/>
          <w:color w:val="000000"/>
          <w:sz w:val="24"/>
          <w:szCs w:val="24"/>
          <w:lang w:eastAsia="es-GT"/>
        </w:rPr>
        <w:t xml:space="preserve">ontribuir con la meta Para el año 2023 se ha aumentado a 33.7% la superficie del territorio cubierta por bosques” </w:t>
      </w:r>
      <w:r w:rsidRPr="007717B2">
        <w:rPr>
          <w:rFonts w:ascii="Calibri" w:eastAsia="Times New Roman" w:hAnsi="Calibri" w:cs="Calibri"/>
          <w:color w:val="000000"/>
          <w:sz w:val="24"/>
          <w:szCs w:val="24"/>
          <w:lang w:val="es-ES" w:eastAsia="es-GT"/>
        </w:rPr>
        <w:t> </w:t>
      </w:r>
    </w:p>
    <w:p w14:paraId="75A78D0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resultado del avance al 2022 es de 1.7 millones de árboles sembrados, que representa el 100% del cumplimiento de la meta; durante el 2022 se han sembrado 572,844 árboles.  Con las acciones realizadas de esta meta, se contribuye en aumentar la superficie del territorio cubierta por bosques; para alcanzar este logro el Ministerio de la Defensa Nacional realiza jornadas de reforestación en coordinación con escuelas, municipalidades, Consejos Comunitarios de Desarrollo Urbano y Rural -COCODES- e iniciativa privada, a nivel nacional.</w:t>
      </w:r>
      <w:r w:rsidRPr="007717B2">
        <w:rPr>
          <w:rFonts w:ascii="Calibri" w:eastAsia="Times New Roman" w:hAnsi="Calibri" w:cs="Calibri"/>
          <w:color w:val="000000"/>
          <w:sz w:val="24"/>
          <w:szCs w:val="24"/>
          <w:lang w:val="es-ES" w:eastAsia="es-GT"/>
        </w:rPr>
        <w:t> </w:t>
      </w:r>
    </w:p>
    <w:p w14:paraId="37D98268" w14:textId="55D11709"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 xml:space="preserve">Pilar 5: </w:t>
      </w:r>
      <w:r w:rsidR="00861847">
        <w:rPr>
          <w:rFonts w:ascii="Calibri" w:eastAsia="Times New Roman" w:hAnsi="Calibri" w:cs="Calibri"/>
          <w:b/>
          <w:color w:val="002060"/>
          <w:sz w:val="28"/>
          <w:szCs w:val="28"/>
        </w:rPr>
        <w:t>R</w:t>
      </w:r>
      <w:r w:rsidRPr="007717B2">
        <w:rPr>
          <w:rFonts w:ascii="Calibri" w:eastAsia="Times New Roman" w:hAnsi="Calibri" w:cs="Calibri"/>
          <w:b/>
          <w:color w:val="002060"/>
          <w:sz w:val="28"/>
          <w:szCs w:val="28"/>
        </w:rPr>
        <w:t>elaciones con el mundo </w:t>
      </w:r>
    </w:p>
    <w:p w14:paraId="1B23F9E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sz w:val="24"/>
          <w:szCs w:val="24"/>
          <w:lang w:eastAsia="es-GT"/>
        </w:rPr>
        <w:t>Ministerio de Relaciones Exteriores (MINEX)</w:t>
      </w:r>
      <w:r w:rsidRPr="007717B2">
        <w:rPr>
          <w:rFonts w:ascii="Calibri" w:eastAsia="Times New Roman" w:hAnsi="Calibri" w:cs="Calibri"/>
          <w:sz w:val="24"/>
          <w:szCs w:val="24"/>
          <w:lang w:val="es-ES" w:eastAsia="es-GT"/>
        </w:rPr>
        <w:t> </w:t>
      </w:r>
    </w:p>
    <w:p w14:paraId="4E360FB8" w14:textId="35250406" w:rsid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 xml:space="preserve">¿Cuál es el resultado del avance al año 2022, de la meta “para el 2023 se ha incrementado en 8 el número de consulados guatemaltecos”? </w:t>
      </w:r>
      <w:r w:rsidRPr="007717B2">
        <w:rPr>
          <w:rFonts w:ascii="Calibri" w:eastAsia="Times New Roman" w:hAnsi="Calibri" w:cs="Calibri"/>
          <w:sz w:val="24"/>
          <w:szCs w:val="24"/>
          <w:lang w:val="es-ES" w:eastAsia="es-GT"/>
        </w:rPr>
        <w:t> </w:t>
      </w:r>
    </w:p>
    <w:p w14:paraId="0B05DDAA"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Como resultado de los esfuerzos realizados por el Ministerio de Relaciones Exteriores, durante el año 2022 se abrieron los consulados de Columbus, Ohio; Dallas, Texas y Riverhead, New York, sumando tres consulados de la meta trazada en la PGG (Apertura de consulados en los Estados Unidos de América). Adicionalmente se inauguró un Consulado General en Cancún, Quintana Roo, Estados Unidos Mexicanos; otro en la ciudad de Vancouver, Canadá y un Consulado General más en la ciudad de Dakhla, Reino de Marruecos.</w:t>
      </w:r>
      <w:r w:rsidRPr="007717B2">
        <w:rPr>
          <w:rFonts w:ascii="Calibri" w:eastAsia="Times New Roman" w:hAnsi="Calibri" w:cs="Calibri"/>
          <w:color w:val="000000"/>
          <w:sz w:val="24"/>
          <w:szCs w:val="24"/>
          <w:lang w:val="es-ES" w:eastAsia="es-GT"/>
        </w:rPr>
        <w:t> </w:t>
      </w:r>
    </w:p>
    <w:p w14:paraId="7B1571BC"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Dichas sedes permitirán atender alrededor de 161,500 guatemaltecos, así como a otros connacionales quienes visitan zonas de alta actividad turística y comercial. En dichas oficinas consulares se brindarán servicios de documentación, asistencia y protección consular. </w:t>
      </w:r>
      <w:r w:rsidRPr="007717B2">
        <w:rPr>
          <w:rFonts w:ascii="Calibri" w:eastAsia="Times New Roman" w:hAnsi="Calibri" w:cs="Calibri"/>
          <w:color w:val="000000"/>
          <w:sz w:val="24"/>
          <w:szCs w:val="24"/>
          <w:lang w:val="es-ES" w:eastAsia="es-GT"/>
        </w:rPr>
        <w:t> </w:t>
      </w:r>
    </w:p>
    <w:p w14:paraId="00B9353C" w14:textId="75E634D9"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Instituto Guatemalteco de Migraciones (IGM)</w:t>
      </w:r>
    </w:p>
    <w:p w14:paraId="5C3BDCB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implementado la política de atención a migrantes guatemaltecos”? </w:t>
      </w:r>
      <w:r w:rsidRPr="007717B2">
        <w:rPr>
          <w:rFonts w:ascii="Calibri" w:eastAsia="Times New Roman" w:hAnsi="Calibri" w:cs="Calibri"/>
          <w:color w:val="000000"/>
          <w:sz w:val="24"/>
          <w:szCs w:val="24"/>
          <w:lang w:val="es-ES" w:eastAsia="es-GT"/>
        </w:rPr>
        <w:t> </w:t>
      </w:r>
    </w:p>
    <w:p w14:paraId="121FDA06" w14:textId="77777777" w:rsidR="004A7060" w:rsidRDefault="007717B2" w:rsidP="004A7060">
      <w:p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Con respecto a la meta, es oportuno mencionar que la Política Migratoria reporta </w:t>
      </w:r>
      <w:r w:rsidR="004A7060">
        <w:rPr>
          <w:rFonts w:ascii="Calibri" w:eastAsia="Times New Roman" w:hAnsi="Calibri" w:cs="Calibri"/>
          <w:color w:val="000000"/>
          <w:sz w:val="24"/>
          <w:szCs w:val="24"/>
          <w:lang w:eastAsia="es-GT"/>
        </w:rPr>
        <w:t xml:space="preserve">un </w:t>
      </w:r>
      <w:r w:rsidRPr="007717B2">
        <w:rPr>
          <w:rFonts w:ascii="Calibri" w:eastAsia="Times New Roman" w:hAnsi="Calibri" w:cs="Calibri"/>
          <w:color w:val="000000"/>
          <w:sz w:val="24"/>
          <w:szCs w:val="24"/>
          <w:lang w:eastAsia="es-GT"/>
        </w:rPr>
        <w:t xml:space="preserve">avance de 75% en el año 2022 y cabe destacar </w:t>
      </w:r>
      <w:r w:rsidR="004A7060">
        <w:rPr>
          <w:rFonts w:ascii="Calibri" w:eastAsia="Times New Roman" w:hAnsi="Calibri" w:cs="Calibri"/>
          <w:color w:val="000000"/>
          <w:sz w:val="24"/>
          <w:szCs w:val="24"/>
          <w:lang w:eastAsia="es-GT"/>
        </w:rPr>
        <w:t xml:space="preserve">que, se </w:t>
      </w:r>
      <w:r w:rsidRPr="007717B2">
        <w:rPr>
          <w:rFonts w:ascii="Calibri" w:eastAsia="Times New Roman" w:hAnsi="Calibri" w:cs="Calibri"/>
          <w:color w:val="000000"/>
          <w:sz w:val="24"/>
          <w:szCs w:val="24"/>
          <w:lang w:eastAsia="es-GT"/>
        </w:rPr>
        <w:t xml:space="preserve">efectuaron acciones institucionales e interinstitucionales que coadyuvaron en los avances, entre </w:t>
      </w:r>
      <w:r w:rsidR="004A7060">
        <w:rPr>
          <w:rFonts w:ascii="Calibri" w:eastAsia="Times New Roman" w:hAnsi="Calibri" w:cs="Calibri"/>
          <w:color w:val="000000"/>
          <w:sz w:val="24"/>
          <w:szCs w:val="24"/>
          <w:lang w:eastAsia="es-GT"/>
        </w:rPr>
        <w:t>los cuales se mencionan:</w:t>
      </w:r>
    </w:p>
    <w:p w14:paraId="13C65ECA" w14:textId="15D11BB0" w:rsidR="007717B2" w:rsidRPr="004A7060" w:rsidRDefault="007717B2" w:rsidP="00704612">
      <w:pPr>
        <w:pStyle w:val="Prrafodelista"/>
        <w:numPr>
          <w:ilvl w:val="0"/>
          <w:numId w:val="98"/>
        </w:numPr>
        <w:spacing w:before="120" w:after="120" w:line="240" w:lineRule="auto"/>
        <w:ind w:left="714" w:hanging="357"/>
        <w:contextualSpacing w:val="0"/>
        <w:jc w:val="both"/>
        <w:textAlignment w:val="baseline"/>
        <w:rPr>
          <w:rFonts w:ascii="Calibri" w:eastAsia="Times New Roman" w:hAnsi="Calibri" w:cs="Calibri"/>
          <w:sz w:val="24"/>
          <w:szCs w:val="24"/>
          <w:lang w:val="es-ES" w:eastAsia="es-GT"/>
        </w:rPr>
      </w:pPr>
      <w:r w:rsidRPr="004A7060">
        <w:rPr>
          <w:rFonts w:ascii="Calibri" w:eastAsia="Times New Roman" w:hAnsi="Calibri" w:cs="Calibri"/>
          <w:color w:val="000000"/>
          <w:sz w:val="24"/>
          <w:szCs w:val="24"/>
          <w:lang w:eastAsia="es-GT"/>
        </w:rPr>
        <w:t>Elaboración y diligenciamiento de encuestas de percepción.</w:t>
      </w:r>
      <w:r w:rsidRPr="004A7060">
        <w:rPr>
          <w:rFonts w:ascii="Calibri" w:eastAsia="Times New Roman" w:hAnsi="Calibri" w:cs="Calibri"/>
          <w:color w:val="000000"/>
          <w:sz w:val="24"/>
          <w:szCs w:val="24"/>
          <w:lang w:val="es-ES" w:eastAsia="es-GT"/>
        </w:rPr>
        <w:t> </w:t>
      </w:r>
    </w:p>
    <w:p w14:paraId="3C2F38EF" w14:textId="77777777" w:rsidR="007717B2" w:rsidRPr="007717B2" w:rsidRDefault="007717B2" w:rsidP="00704612">
      <w:pPr>
        <w:numPr>
          <w:ilvl w:val="0"/>
          <w:numId w:val="7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Remisión de nota conceptual del proceso de construcción de la Política Migratoria y envío de oficios de solicitud de designación de puntos focales e invitación a participar en el proceso de construcción.</w:t>
      </w:r>
      <w:r w:rsidRPr="007717B2">
        <w:rPr>
          <w:rFonts w:ascii="Calibri" w:eastAsia="Times New Roman" w:hAnsi="Calibri" w:cs="Calibri"/>
          <w:color w:val="000000"/>
          <w:sz w:val="24"/>
          <w:szCs w:val="24"/>
          <w:lang w:val="es-ES" w:eastAsia="es-GT"/>
        </w:rPr>
        <w:t> </w:t>
      </w:r>
    </w:p>
    <w:p w14:paraId="7AA80296" w14:textId="77777777" w:rsidR="007717B2" w:rsidRPr="007717B2" w:rsidRDefault="007717B2" w:rsidP="00704612">
      <w:pPr>
        <w:numPr>
          <w:ilvl w:val="0"/>
          <w:numId w:val="7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Elaboración y socialización de Diagnóstico Socioeconómico, Jurídico y Migratorio.</w:t>
      </w:r>
      <w:r w:rsidRPr="007717B2">
        <w:rPr>
          <w:rFonts w:ascii="Calibri" w:eastAsia="Times New Roman" w:hAnsi="Calibri" w:cs="Calibri"/>
          <w:color w:val="000000"/>
          <w:sz w:val="24"/>
          <w:szCs w:val="24"/>
          <w:lang w:val="es-ES" w:eastAsia="es-GT"/>
        </w:rPr>
        <w:t> </w:t>
      </w:r>
    </w:p>
    <w:p w14:paraId="1A782590" w14:textId="77777777" w:rsidR="007717B2" w:rsidRPr="007717B2" w:rsidRDefault="007717B2" w:rsidP="00704612">
      <w:pPr>
        <w:numPr>
          <w:ilvl w:val="0"/>
          <w:numId w:val="7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Ejecución de talleres de construcción de árbol de problemas.</w:t>
      </w:r>
      <w:r w:rsidRPr="007717B2">
        <w:rPr>
          <w:rFonts w:ascii="Calibri" w:eastAsia="Times New Roman" w:hAnsi="Calibri" w:cs="Calibri"/>
          <w:color w:val="000000"/>
          <w:sz w:val="24"/>
          <w:szCs w:val="24"/>
          <w:lang w:val="es-ES" w:eastAsia="es-GT"/>
        </w:rPr>
        <w:t> </w:t>
      </w:r>
    </w:p>
    <w:p w14:paraId="0E45BC8A" w14:textId="77777777" w:rsidR="007717B2" w:rsidRPr="007717B2" w:rsidRDefault="007717B2" w:rsidP="00704612">
      <w:pPr>
        <w:numPr>
          <w:ilvl w:val="0"/>
          <w:numId w:val="7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Elaboración y envío de encuesta de percepción sobre ejes y principios de la Política Migratoria. </w:t>
      </w:r>
      <w:r w:rsidRPr="007717B2">
        <w:rPr>
          <w:rFonts w:ascii="Calibri" w:eastAsia="Times New Roman" w:hAnsi="Calibri" w:cs="Calibri"/>
          <w:color w:val="000000"/>
          <w:sz w:val="24"/>
          <w:szCs w:val="24"/>
          <w:lang w:val="es-ES" w:eastAsia="es-GT"/>
        </w:rPr>
        <w:t> </w:t>
      </w:r>
    </w:p>
    <w:p w14:paraId="245EA897" w14:textId="77777777" w:rsidR="007717B2" w:rsidRPr="007717B2" w:rsidRDefault="007717B2" w:rsidP="00704612">
      <w:pPr>
        <w:numPr>
          <w:ilvl w:val="0"/>
          <w:numId w:val="7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Ejecución de talleres de construcción de árbol de objetivos.</w:t>
      </w:r>
      <w:r w:rsidRPr="007717B2">
        <w:rPr>
          <w:rFonts w:ascii="Calibri" w:eastAsia="Times New Roman" w:hAnsi="Calibri" w:cs="Calibri"/>
          <w:color w:val="000000"/>
          <w:sz w:val="24"/>
          <w:szCs w:val="24"/>
          <w:lang w:val="es-ES" w:eastAsia="es-GT"/>
        </w:rPr>
        <w:t> </w:t>
      </w:r>
    </w:p>
    <w:p w14:paraId="5E767402" w14:textId="77777777" w:rsidR="007717B2" w:rsidRPr="007717B2" w:rsidRDefault="007717B2" w:rsidP="00704612">
      <w:pPr>
        <w:numPr>
          <w:ilvl w:val="0"/>
          <w:numId w:val="7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Proceso de construcción del Marco Estratégico de la Política Migratoria.</w:t>
      </w:r>
      <w:r w:rsidRPr="007717B2">
        <w:rPr>
          <w:rFonts w:ascii="Calibri" w:eastAsia="Times New Roman" w:hAnsi="Calibri" w:cs="Calibri"/>
          <w:color w:val="000000"/>
          <w:sz w:val="24"/>
          <w:szCs w:val="24"/>
          <w:lang w:val="es-ES" w:eastAsia="es-GT"/>
        </w:rPr>
        <w:t> </w:t>
      </w:r>
    </w:p>
    <w:p w14:paraId="014D51B0" w14:textId="77777777" w:rsidR="007717B2" w:rsidRPr="007717B2" w:rsidRDefault="007717B2" w:rsidP="00704612">
      <w:pPr>
        <w:numPr>
          <w:ilvl w:val="0"/>
          <w:numId w:val="74"/>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Proceso de construcción del Plan de Acción de la Política Migratoria.</w:t>
      </w:r>
      <w:r w:rsidRPr="007717B2">
        <w:rPr>
          <w:rFonts w:ascii="Calibri" w:eastAsia="Times New Roman" w:hAnsi="Calibri" w:cs="Calibri"/>
          <w:color w:val="000000"/>
          <w:sz w:val="24"/>
          <w:szCs w:val="24"/>
          <w:lang w:val="es-ES" w:eastAsia="es-GT"/>
        </w:rPr>
        <w:t> </w:t>
      </w:r>
    </w:p>
    <w:p w14:paraId="0E438211"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Instituto Guatemalteco de Turismo (INGUAT)</w:t>
      </w:r>
      <w:r w:rsidRPr="007717B2">
        <w:rPr>
          <w:rFonts w:ascii="Calibri" w:eastAsia="Times New Roman" w:hAnsi="Calibri" w:cs="Calibri"/>
          <w:color w:val="000000"/>
          <w:sz w:val="24"/>
          <w:szCs w:val="24"/>
          <w:lang w:val="es-ES" w:eastAsia="es-GT"/>
        </w:rPr>
        <w:t> </w:t>
      </w:r>
    </w:p>
    <w:p w14:paraId="4EE17156"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completado el impulso de la marca país”? </w:t>
      </w:r>
      <w:r w:rsidRPr="007717B2">
        <w:rPr>
          <w:rFonts w:ascii="Calibri" w:eastAsia="Times New Roman" w:hAnsi="Calibri" w:cs="Calibri"/>
          <w:color w:val="000000"/>
          <w:sz w:val="24"/>
          <w:szCs w:val="24"/>
          <w:lang w:val="es-ES" w:eastAsia="es-GT"/>
        </w:rPr>
        <w:t> </w:t>
      </w:r>
    </w:p>
    <w:p w14:paraId="39C5C732"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gobierno del presidente Alejandro Giammattei presentó la estrategia Marca País Guatemala “Asombrosa e Imparable”, derivado de una visión compartida entre los sectores público y privado, que define una identidad propia frente a los mercados internacionales a partir de tres dimensiones como son turismo, exportaciones e inversión extranjera directa. </w:t>
      </w:r>
      <w:r w:rsidRPr="007717B2">
        <w:rPr>
          <w:rFonts w:ascii="Calibri" w:eastAsia="Times New Roman" w:hAnsi="Calibri" w:cs="Calibri"/>
          <w:color w:val="000000"/>
          <w:sz w:val="24"/>
          <w:szCs w:val="24"/>
          <w:lang w:val="es-ES" w:eastAsia="es-GT"/>
        </w:rPr>
        <w:t> </w:t>
      </w:r>
    </w:p>
    <w:p w14:paraId="7377AE50" w14:textId="63428C4C"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lanzamiento de la marca tuvo lugar el 24 de agosto, en el Museo Nacional de Arte de Guatemala (MUNAG) en La Antigua Guatemala, Sacatepéquez. En el marco del lanzamiento de la Marca País Guatemala, se suscribió un convenio de cooperación interinstitucional con el Ministerio de Relaciones Exteriores (MINEX), Ministerio de Economía (MINECO), Ministerio de Cultura y Deportes (MCD), Ministerio de Finanzas Públicas (MINFIN), la Secretaría de Comunicación Social de la Presidencia (SCSPR) y el INGUAT, para el lanzamiento, promoción, posicionamiento y fortalecimiento de esta marca a nivel nacional e internacional de acuerdo a las competencias de cada instancia.</w:t>
      </w:r>
      <w:r w:rsidRPr="007717B2">
        <w:rPr>
          <w:rFonts w:ascii="Calibri" w:eastAsia="Times New Roman" w:hAnsi="Calibri" w:cs="Calibri"/>
          <w:color w:val="000000"/>
          <w:sz w:val="24"/>
          <w:szCs w:val="24"/>
          <w:lang w:val="es-ES" w:eastAsia="es-GT"/>
        </w:rPr>
        <w:t> </w:t>
      </w:r>
    </w:p>
    <w:p w14:paraId="51673B82" w14:textId="3095C995" w:rsidR="007717B2" w:rsidRPr="007717B2" w:rsidRDefault="008B17B9" w:rsidP="007717B2">
      <w:pPr>
        <w:spacing w:before="120" w:after="120" w:line="240" w:lineRule="auto"/>
        <w:jc w:val="both"/>
        <w:textAlignment w:val="baseline"/>
        <w:rPr>
          <w:rFonts w:ascii="Calibri" w:eastAsia="Times New Roman" w:hAnsi="Calibri" w:cs="Calibri"/>
          <w:sz w:val="24"/>
          <w:szCs w:val="24"/>
          <w:lang w:val="es-ES" w:eastAsia="es-GT"/>
        </w:rPr>
      </w:pPr>
      <w:r>
        <w:rPr>
          <w:rFonts w:ascii="Calibri" w:eastAsia="Times New Roman" w:hAnsi="Calibri" w:cs="Calibri"/>
          <w:color w:val="000000"/>
          <w:sz w:val="24"/>
          <w:szCs w:val="24"/>
          <w:lang w:eastAsia="es-GT"/>
        </w:rPr>
        <w:t>Esta</w:t>
      </w:r>
      <w:r w:rsidR="007717B2" w:rsidRPr="007717B2">
        <w:rPr>
          <w:rFonts w:ascii="Calibri" w:eastAsia="Times New Roman" w:hAnsi="Calibri" w:cs="Calibri"/>
          <w:color w:val="000000"/>
          <w:sz w:val="24"/>
          <w:szCs w:val="24"/>
          <w:lang w:eastAsia="es-GT"/>
        </w:rPr>
        <w:t xml:space="preserve"> marca se registró en el Registro de la Propiedad Intelectual del MINECO y se cuenta con el manual de uso </w:t>
      </w:r>
      <w:r w:rsidR="00F84B6C">
        <w:rPr>
          <w:rFonts w:ascii="Calibri" w:eastAsia="Times New Roman" w:hAnsi="Calibri" w:cs="Calibri"/>
          <w:color w:val="000000"/>
          <w:sz w:val="24"/>
          <w:szCs w:val="24"/>
          <w:lang w:eastAsia="es-GT"/>
        </w:rPr>
        <w:t>para la misma.</w:t>
      </w:r>
    </w:p>
    <w:p w14:paraId="0062BB3A" w14:textId="477E8AA6" w:rsidR="007717B2" w:rsidRPr="007717B2" w:rsidRDefault="007717B2" w:rsidP="007717B2">
      <w:pPr>
        <w:spacing w:before="120" w:after="120" w:line="240" w:lineRule="auto"/>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Actividades</w:t>
      </w:r>
      <w:r w:rsidR="002C5CC7">
        <w:rPr>
          <w:rFonts w:ascii="Calibri" w:eastAsia="Times New Roman" w:hAnsi="Calibri" w:cs="Calibri"/>
          <w:color w:val="000000"/>
          <w:sz w:val="24"/>
          <w:szCs w:val="24"/>
          <w:lang w:eastAsia="es-GT"/>
        </w:rPr>
        <w:t xml:space="preserve"> realizadas:</w:t>
      </w:r>
    </w:p>
    <w:p w14:paraId="66B5611B" w14:textId="77777777" w:rsidR="007717B2" w:rsidRPr="007717B2" w:rsidRDefault="007717B2" w:rsidP="003C1D42">
      <w:pPr>
        <w:numPr>
          <w:ilvl w:val="0"/>
          <w:numId w:val="92"/>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 xml:space="preserve">Ejecución de campaña de expectativa a nivel nacional del 25 de julio al 23 de agosto, que incentivó la curiosidad de la población a través de piezas con elementos innovadores y de Guatemala. Para esta campaña, se utilizaron medios digitales, medios escritos, radiales, exteriores y televisivos. </w:t>
      </w:r>
    </w:p>
    <w:p w14:paraId="575B3C20" w14:textId="77777777" w:rsidR="007717B2" w:rsidRPr="007717B2" w:rsidRDefault="007717B2" w:rsidP="003C1D42">
      <w:pPr>
        <w:numPr>
          <w:ilvl w:val="0"/>
          <w:numId w:val="92"/>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La Marca País, Guatemala. Asombrosa e Imparable, se expuso por primera vez a nivel internacional, en la Feria Internacional de Turismo, IBTM, ciudad de México, dónde se recibieron comentarios positivos por los colores y significado de los mismos.</w:t>
      </w:r>
    </w:p>
    <w:p w14:paraId="621E6E64" w14:textId="77777777" w:rsidR="007717B2" w:rsidRPr="007717B2" w:rsidRDefault="007717B2" w:rsidP="003C1D42">
      <w:pPr>
        <w:numPr>
          <w:ilvl w:val="0"/>
          <w:numId w:val="92"/>
        </w:num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 xml:space="preserve">A partir del 25 de agosto, se tuvo al aire la campaña de lanzamiento “Guatemala. Asombrosa e Imparable”, donde se mostró al guatemalteco, los beneficios, cualidades y significado del recién lanzamiento. La mezcla de medios utilizada para comunicar el mensaje fueron medios escritos, radiales, televisivos y digitales. </w:t>
      </w:r>
      <w:r w:rsidRPr="007717B2">
        <w:rPr>
          <w:rFonts w:ascii="Calibri" w:eastAsia="Times New Roman" w:hAnsi="Calibri" w:cs="Calibri"/>
          <w:color w:val="000000"/>
          <w:sz w:val="24"/>
          <w:szCs w:val="24"/>
          <w:lang w:val="es-ES" w:eastAsia="es-GT"/>
        </w:rPr>
        <w:t> </w:t>
      </w:r>
    </w:p>
    <w:p w14:paraId="447DD934" w14:textId="77777777" w:rsidR="007717B2" w:rsidRPr="007717B2" w:rsidRDefault="007717B2" w:rsidP="003C1D42">
      <w:pPr>
        <w:numPr>
          <w:ilvl w:val="0"/>
          <w:numId w:val="92"/>
        </w:num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 xml:space="preserve">Desarrollo de talleres de socialización para capacitar y explicar sobre el uso de la marca país Guatemala a las agencias de viaje, academias de idiomas, restaurantes, turoperadores, embajadores, agregados culturales y comerciales; se brindó acompañamiento al MINECO en la Cámara de la Industria, AGEXPORT, Cámara del Agro y Cámara de Construcción. </w:t>
      </w:r>
      <w:r w:rsidRPr="007717B2">
        <w:rPr>
          <w:rFonts w:ascii="Calibri" w:eastAsia="Times New Roman" w:hAnsi="Calibri" w:cs="Calibri"/>
          <w:color w:val="000000"/>
          <w:sz w:val="24"/>
          <w:szCs w:val="24"/>
          <w:lang w:val="es-ES" w:eastAsia="es-GT"/>
        </w:rPr>
        <w:t> </w:t>
      </w:r>
    </w:p>
    <w:p w14:paraId="2B0288CB" w14:textId="77777777" w:rsidR="007717B2" w:rsidRPr="007717B2" w:rsidRDefault="007717B2" w:rsidP="003C1D42">
      <w:pPr>
        <w:numPr>
          <w:ilvl w:val="0"/>
          <w:numId w:val="92"/>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A nivel departamental se han realizado talleres de socialización en Zacapa, Chiquimula, Petén, Alta Verapaz, Sololá, Retalhuleu, Sacatepéquez, Totonicapán, San Marcos, Quetzaltenango, Izabal, Huehuetenango, Escuintla, Monterrico y Chimaltenango. </w:t>
      </w:r>
    </w:p>
    <w:p w14:paraId="1B46929D" w14:textId="77777777" w:rsidR="007717B2" w:rsidRPr="007717B2" w:rsidRDefault="007717B2" w:rsidP="003C1D42">
      <w:pPr>
        <w:numPr>
          <w:ilvl w:val="0"/>
          <w:numId w:val="92"/>
        </w:numPr>
        <w:spacing w:before="120" w:after="120" w:line="240" w:lineRule="auto"/>
        <w:jc w:val="both"/>
        <w:textAlignment w:val="baseline"/>
        <w:rPr>
          <w:rFonts w:ascii="Calibri" w:eastAsia="Times New Roman" w:hAnsi="Calibri" w:cs="Calibri"/>
          <w:color w:val="000000"/>
          <w:sz w:val="24"/>
          <w:szCs w:val="24"/>
          <w:lang w:eastAsia="es-GT"/>
        </w:rPr>
      </w:pPr>
      <w:r w:rsidRPr="007717B2">
        <w:rPr>
          <w:rFonts w:ascii="Calibri" w:eastAsia="Times New Roman" w:hAnsi="Calibri" w:cs="Calibri"/>
          <w:color w:val="000000"/>
          <w:sz w:val="24"/>
          <w:szCs w:val="24"/>
          <w:lang w:eastAsia="es-GT"/>
        </w:rPr>
        <w:t>Se mantiene una comunicación digital en los canales de Facebook, Twitter, Youtube y Tik Tok con un alcance de más de 1.5 millones de personas.</w:t>
      </w:r>
    </w:p>
    <w:p w14:paraId="7D7353B8" w14:textId="77777777" w:rsidR="007717B2" w:rsidRPr="007717B2" w:rsidRDefault="007717B2" w:rsidP="003C1D42">
      <w:pPr>
        <w:numPr>
          <w:ilvl w:val="0"/>
          <w:numId w:val="92"/>
        </w:numPr>
        <w:spacing w:before="120" w:after="120" w:line="240" w:lineRule="auto"/>
        <w:jc w:val="both"/>
        <w:textAlignment w:val="baseline"/>
        <w:rPr>
          <w:rFonts w:ascii="Calibri" w:eastAsia="Times New Roman" w:hAnsi="Calibri" w:cs="Calibri"/>
          <w:color w:val="000000"/>
          <w:sz w:val="24"/>
          <w:szCs w:val="24"/>
          <w:lang w:val="es-ES" w:eastAsia="es-GT"/>
        </w:rPr>
      </w:pPr>
      <w:r w:rsidRPr="007717B2">
        <w:rPr>
          <w:rFonts w:ascii="Calibri" w:eastAsia="Times New Roman" w:hAnsi="Calibri" w:cs="Calibri"/>
          <w:color w:val="000000"/>
          <w:sz w:val="24"/>
          <w:szCs w:val="24"/>
          <w:lang w:eastAsia="es-GT"/>
        </w:rPr>
        <w:t>Cambio de imagen en aeropuertos internacional Mundo Maya, fronteras Tecún Umán y Valle Nuevo, terminales de cruceros Santo Tomás Castilla y Marina Pez Vela, oficinas regionales y oficinas de información turística.</w:t>
      </w:r>
      <w:r w:rsidRPr="007717B2">
        <w:rPr>
          <w:rFonts w:ascii="Calibri" w:eastAsia="Times New Roman" w:hAnsi="Calibri" w:cs="Calibri"/>
          <w:color w:val="000000"/>
          <w:sz w:val="24"/>
          <w:szCs w:val="24"/>
          <w:lang w:val="es-ES" w:eastAsia="es-GT"/>
        </w:rPr>
        <w:t> </w:t>
      </w:r>
    </w:p>
    <w:p w14:paraId="0D7D069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año 2023 se ha mejorado la calificación el índice de competitividad turística en 0.6 puntos porcentuales”? </w:t>
      </w:r>
      <w:r w:rsidRPr="007717B2">
        <w:rPr>
          <w:rFonts w:ascii="Calibri" w:eastAsia="Times New Roman" w:hAnsi="Calibri" w:cs="Calibri"/>
          <w:color w:val="000000"/>
          <w:sz w:val="24"/>
          <w:szCs w:val="24"/>
          <w:lang w:val="es-ES" w:eastAsia="es-GT"/>
        </w:rPr>
        <w:t> </w:t>
      </w:r>
    </w:p>
    <w:p w14:paraId="10736332" w14:textId="2CD64E59"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informe del Índice de Desarrollo en su edición 2021, evaluó a 117 países con 112 indicadores relacionados a 17 pilares, en donde, Guatemala obtuvo una puntuación de 3.3 sobre 7, posicionándose en la casilla 97. </w:t>
      </w:r>
      <w:r w:rsidR="00A144D4">
        <w:rPr>
          <w:rFonts w:ascii="Calibri" w:eastAsia="Times New Roman" w:hAnsi="Calibri" w:cs="Calibri"/>
          <w:color w:val="000000"/>
          <w:sz w:val="24"/>
          <w:szCs w:val="24"/>
          <w:lang w:eastAsia="es-GT"/>
        </w:rPr>
        <w:t>A</w:t>
      </w:r>
      <w:r w:rsidRPr="007717B2">
        <w:rPr>
          <w:rFonts w:ascii="Calibri" w:eastAsia="Times New Roman" w:hAnsi="Calibri" w:cs="Calibri"/>
          <w:color w:val="000000"/>
          <w:sz w:val="24"/>
          <w:szCs w:val="24"/>
          <w:lang w:eastAsia="es-GT"/>
        </w:rPr>
        <w:t>simismo</w:t>
      </w:r>
      <w:r w:rsidR="00A144D4">
        <w:rPr>
          <w:rFonts w:ascii="Calibri" w:eastAsia="Times New Roman" w:hAnsi="Calibri" w:cs="Calibri"/>
          <w:color w:val="000000"/>
          <w:sz w:val="24"/>
          <w:szCs w:val="24"/>
          <w:lang w:eastAsia="es-GT"/>
        </w:rPr>
        <w:t>,</w:t>
      </w:r>
      <w:r w:rsidRPr="007717B2">
        <w:rPr>
          <w:rFonts w:ascii="Calibri" w:eastAsia="Times New Roman" w:hAnsi="Calibri" w:cs="Calibri"/>
          <w:color w:val="000000"/>
          <w:sz w:val="24"/>
          <w:szCs w:val="24"/>
          <w:lang w:eastAsia="es-GT"/>
        </w:rPr>
        <w:t xml:space="preserve"> identifica las mejores puntuaciones en los pilares de competitividad de precios (5.3), seguridad y protección (4.4), priorización de viajes y turismo (4.2), preparación de las TIC (4.2) y presión e impacto en la demanda de viajes y turismo (4.2). Y las puntuaciones más bajas en los pilares de recursos no relacionados con el ocio (1.7), pilar de recursos culturales (1.82), e infraestructura aérea, terrestre y portuaria (2.4). </w:t>
      </w:r>
      <w:r w:rsidRPr="007717B2">
        <w:rPr>
          <w:rFonts w:ascii="Calibri" w:eastAsia="Times New Roman" w:hAnsi="Calibri" w:cs="Calibri"/>
          <w:color w:val="000000"/>
          <w:sz w:val="24"/>
          <w:szCs w:val="24"/>
          <w:lang w:val="es-ES" w:eastAsia="es-GT"/>
        </w:rPr>
        <w:t> </w:t>
      </w:r>
    </w:p>
    <w:p w14:paraId="35B12472" w14:textId="431674C8"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Según los resultados obtenidos en 202</w:t>
      </w:r>
      <w:r w:rsidR="000B26F0">
        <w:rPr>
          <w:rFonts w:ascii="Calibri" w:eastAsia="Times New Roman" w:hAnsi="Calibri" w:cs="Calibri"/>
          <w:color w:val="000000"/>
          <w:sz w:val="24"/>
          <w:szCs w:val="24"/>
          <w:lang w:eastAsia="es-GT"/>
        </w:rPr>
        <w:t>2</w:t>
      </w:r>
      <w:r w:rsidRPr="007717B2">
        <w:rPr>
          <w:rFonts w:ascii="Calibri" w:eastAsia="Times New Roman" w:hAnsi="Calibri" w:cs="Calibri"/>
          <w:color w:val="000000"/>
          <w:sz w:val="24"/>
          <w:szCs w:val="24"/>
          <w:lang w:eastAsia="es-GT"/>
        </w:rPr>
        <w:t>, en comparación con los resultados del 2019 de acuerdo a la nueva evaluación, se observa que Guatemala retrocedió 2 posiciones del ranking y bajó 0.1 puntos en el valor del índice. Con estos resultados la meta establecida en la PGG 20202024: Para el año 2023 se ha mejorado la calificación del Índice de Competitividad Turística en 0.6 puntos porcentuales, no se ha alcanzado, por lo cual el Gobierno de Guatemala continuará impulsando todas las condiciones necesarias desde la planificación y presupuestación de las entidades públicas que contribuyan a elevar la competitividad.</w:t>
      </w:r>
      <w:r w:rsidRPr="007717B2">
        <w:rPr>
          <w:rFonts w:ascii="Calibri" w:eastAsia="Times New Roman" w:hAnsi="Calibri" w:cs="Calibri"/>
          <w:color w:val="000000"/>
          <w:sz w:val="24"/>
          <w:szCs w:val="24"/>
          <w:lang w:val="es-ES" w:eastAsia="es-GT"/>
        </w:rPr>
        <w:t> </w:t>
      </w:r>
    </w:p>
    <w:p w14:paraId="67CFF47D"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Metas complementarias, Pilar 5</w:t>
      </w:r>
      <w:r w:rsidRPr="007717B2">
        <w:rPr>
          <w:rFonts w:ascii="Calibri" w:eastAsia="Times New Roman" w:hAnsi="Calibri" w:cs="Calibri"/>
          <w:color w:val="000000"/>
          <w:sz w:val="24"/>
          <w:szCs w:val="24"/>
          <w:lang w:val="es-ES" w:eastAsia="es-GT"/>
        </w:rPr>
        <w:t> </w:t>
      </w:r>
    </w:p>
    <w:p w14:paraId="2FE35FC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i/>
          <w:iCs/>
          <w:color w:val="000000"/>
          <w:sz w:val="24"/>
          <w:szCs w:val="24"/>
          <w:lang w:eastAsia="es-GT"/>
        </w:rPr>
        <w:t>Ministerio de la Defensa Nacional (MINDEF)</w:t>
      </w:r>
      <w:r w:rsidRPr="007717B2">
        <w:rPr>
          <w:rFonts w:ascii="Calibri" w:eastAsia="Times New Roman" w:hAnsi="Calibri" w:cs="Calibri"/>
          <w:color w:val="000000"/>
          <w:sz w:val="24"/>
          <w:szCs w:val="24"/>
          <w:lang w:val="es-ES" w:eastAsia="es-GT"/>
        </w:rPr>
        <w:t> </w:t>
      </w:r>
    </w:p>
    <w:p w14:paraId="40DD9B7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color w:val="000000"/>
          <w:sz w:val="24"/>
          <w:szCs w:val="24"/>
          <w:lang w:eastAsia="es-GT"/>
        </w:rPr>
        <w:t xml:space="preserve">¿Cuál es el resultado del avance al año 2022, de la meta “para el 2023 fortalecer en 2% la representación diplomática del país, de las sedes diplomáticas en el exterior”? </w:t>
      </w:r>
      <w:r w:rsidRPr="007717B2">
        <w:rPr>
          <w:rFonts w:ascii="Calibri" w:eastAsia="Times New Roman" w:hAnsi="Calibri" w:cs="Calibri"/>
          <w:color w:val="000000"/>
          <w:sz w:val="24"/>
          <w:szCs w:val="24"/>
          <w:lang w:val="es-ES" w:eastAsia="es-GT"/>
        </w:rPr>
        <w:t> </w:t>
      </w:r>
    </w:p>
    <w:p w14:paraId="10A15BEE" w14:textId="58495B96"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 xml:space="preserve">El resultado del avance al 2022 es la creación de la Agregaduría Militar en Israel, que representa el 100% del cumplimiento de la meta, </w:t>
      </w:r>
      <w:r w:rsidR="00E002AA">
        <w:rPr>
          <w:rFonts w:ascii="Calibri" w:eastAsia="Times New Roman" w:hAnsi="Calibri" w:cs="Calibri"/>
          <w:color w:val="000000"/>
          <w:sz w:val="24"/>
          <w:szCs w:val="24"/>
          <w:lang w:eastAsia="es-GT"/>
        </w:rPr>
        <w:t xml:space="preserve">con lo cual </w:t>
      </w:r>
      <w:r w:rsidRPr="007717B2">
        <w:rPr>
          <w:rFonts w:ascii="Calibri" w:eastAsia="Times New Roman" w:hAnsi="Calibri" w:cs="Calibri"/>
          <w:color w:val="000000"/>
          <w:sz w:val="24"/>
          <w:szCs w:val="24"/>
          <w:lang w:eastAsia="es-GT"/>
        </w:rPr>
        <w:t>se coadyuva a fomentar las relaciones diplomáticas entre las naciones, manteniendo presencia actualmente en catorce agregadurías militares; para alcanzar este logro el Ministerio de la Defensa Nacional ha realizado coordinaciones con el Ministerio de Relaciones Exteriores.</w:t>
      </w:r>
      <w:r w:rsidRPr="007717B2">
        <w:rPr>
          <w:rFonts w:ascii="Calibri" w:eastAsia="Times New Roman" w:hAnsi="Calibri" w:cs="Calibri"/>
          <w:color w:val="000000"/>
          <w:sz w:val="24"/>
          <w:szCs w:val="24"/>
          <w:lang w:val="es-ES" w:eastAsia="es-GT"/>
        </w:rPr>
        <w:t> </w:t>
      </w:r>
    </w:p>
    <w:p w14:paraId="19506213"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¿Cuál es el resultado del avance al año 2022, de la meta “para el 2023 mantener una adecuada presencia militar de Guatemala en el exterior, por medio de la participación de personal militar en misiones de paz”?</w:t>
      </w:r>
      <w:r w:rsidRPr="007717B2">
        <w:rPr>
          <w:rFonts w:ascii="Calibri" w:eastAsia="Times New Roman" w:hAnsi="Calibri" w:cs="Calibri"/>
          <w:sz w:val="24"/>
          <w:szCs w:val="24"/>
          <w:lang w:val="es-ES" w:eastAsia="es-GT"/>
        </w:rPr>
        <w:t> </w:t>
      </w:r>
    </w:p>
    <w:p w14:paraId="3BCF379D" w14:textId="6FEAF6AD"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color w:val="000000"/>
          <w:sz w:val="24"/>
          <w:szCs w:val="24"/>
          <w:lang w:eastAsia="es-GT"/>
        </w:rPr>
        <w:t>El resultado del avance al 2022 es de 183 elementos desplegados en diferentes misiones de paz, que representa el 100% del cumplimiento de la meta</w:t>
      </w:r>
      <w:r w:rsidR="007069DF">
        <w:rPr>
          <w:rFonts w:ascii="Calibri" w:eastAsia="Times New Roman" w:hAnsi="Calibri" w:cs="Calibri"/>
          <w:color w:val="000000"/>
          <w:sz w:val="24"/>
          <w:szCs w:val="24"/>
          <w:lang w:eastAsia="es-GT"/>
        </w:rPr>
        <w:t xml:space="preserve">, con lo cual, </w:t>
      </w:r>
      <w:r w:rsidRPr="007717B2">
        <w:rPr>
          <w:rFonts w:ascii="Calibri" w:eastAsia="Times New Roman" w:hAnsi="Calibri" w:cs="Calibri"/>
          <w:color w:val="000000"/>
          <w:sz w:val="24"/>
          <w:szCs w:val="24"/>
          <w:lang w:eastAsia="es-GT"/>
        </w:rPr>
        <w:t>se coadyuva mantener una adecuada presencia militar de Guatemala en el exterior, fomentando las relaciones diplomáticas entre las naciones, con la participación en las operaciones de Mantenimiento de Paz, a través del despliegue de Contingentes Militares; así, como, personal de Observadores Militares y Oficiales de Estado Mayor en diferentes partes del mundo.</w:t>
      </w:r>
    </w:p>
    <w:p w14:paraId="17954B2B" w14:textId="77777777"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Análisis de los desafíos respecto a las Metas PGG </w:t>
      </w:r>
    </w:p>
    <w:p w14:paraId="55716EE3" w14:textId="642AE5ED"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 xml:space="preserve">Pilar 1: </w:t>
      </w:r>
      <w:r w:rsidR="00B23FB8">
        <w:rPr>
          <w:rFonts w:ascii="Calibri" w:eastAsia="Times New Roman" w:hAnsi="Calibri" w:cs="Calibri"/>
          <w:b/>
          <w:color w:val="002060"/>
          <w:sz w:val="28"/>
          <w:szCs w:val="28"/>
        </w:rPr>
        <w:t>E</w:t>
      </w:r>
      <w:r w:rsidRPr="007717B2">
        <w:rPr>
          <w:rFonts w:ascii="Calibri" w:eastAsia="Times New Roman" w:hAnsi="Calibri" w:cs="Calibri"/>
          <w:b/>
          <w:color w:val="002060"/>
          <w:sz w:val="28"/>
          <w:szCs w:val="28"/>
        </w:rPr>
        <w:t>conomía, competitividad y prosperidad </w:t>
      </w:r>
    </w:p>
    <w:p w14:paraId="7BB7D221" w14:textId="0BD7C7A2"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En cuanto a los desafíos que presenta el Pilar 1, figuran los siguientes:</w:t>
      </w:r>
      <w:r w:rsidRPr="007717B2">
        <w:rPr>
          <w:rFonts w:ascii="Calibri" w:eastAsia="Times New Roman" w:hAnsi="Calibri" w:cs="Calibri"/>
          <w:sz w:val="24"/>
          <w:szCs w:val="24"/>
          <w:lang w:val="es-ES" w:eastAsia="es-GT"/>
        </w:rPr>
        <w:t> </w:t>
      </w:r>
    </w:p>
    <w:p w14:paraId="560529C2" w14:textId="77777777" w:rsidR="007717B2" w:rsidRPr="007717B2" w:rsidRDefault="007717B2" w:rsidP="003C1D42">
      <w:pPr>
        <w:numPr>
          <w:ilvl w:val="0"/>
          <w:numId w:val="3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Adoptar las medidas necesarias para mantener la estabilidad económica del país, especialmente en materia de macroeconomía y finanzas públicas sanas.</w:t>
      </w:r>
      <w:r w:rsidRPr="007717B2">
        <w:rPr>
          <w:rFonts w:ascii="Calibri" w:eastAsia="Times New Roman" w:hAnsi="Calibri" w:cs="Calibri"/>
          <w:sz w:val="24"/>
          <w:szCs w:val="24"/>
          <w:lang w:val="es-ES" w:eastAsia="es-GT"/>
        </w:rPr>
        <w:t> </w:t>
      </w:r>
    </w:p>
    <w:p w14:paraId="1F1FD55D" w14:textId="6E4E6DBF" w:rsidR="007717B2" w:rsidRPr="007717B2" w:rsidRDefault="007717B2" w:rsidP="003C1D42">
      <w:pPr>
        <w:numPr>
          <w:ilvl w:val="0"/>
          <w:numId w:val="35"/>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Realizar cambios, orientados a incrementar la capacidad productiva del país y que la economía se oriente más a la reducción de la pobreza y de la inequidad social. </w:t>
      </w:r>
    </w:p>
    <w:p w14:paraId="23491B1E" w14:textId="3DD5AD45" w:rsidR="007717B2" w:rsidRPr="007717B2" w:rsidRDefault="007717B2" w:rsidP="003C1D42">
      <w:pPr>
        <w:numPr>
          <w:ilvl w:val="0"/>
          <w:numId w:val="35"/>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Incrementar los ingresos fiscales, con la finalidad de que los mismos generen un incremento de la inversión pública y, por ende, una ampliación de cobertura de los servicios básicos que requiere la población (educación, salud, nutrición, agua potable y saneamiento, electricidad, etc.)</w:t>
      </w:r>
      <w:r w:rsidR="008D5DF9">
        <w:rPr>
          <w:rFonts w:ascii="Calibri" w:eastAsia="Times New Roman" w:hAnsi="Calibri" w:cs="Calibri"/>
          <w:sz w:val="24"/>
          <w:szCs w:val="24"/>
          <w:lang w:eastAsia="es-GT"/>
        </w:rPr>
        <w:t>.</w:t>
      </w:r>
    </w:p>
    <w:p w14:paraId="512F8521" w14:textId="0AD5E34B" w:rsidR="007717B2" w:rsidRPr="000152B5" w:rsidRDefault="007717B2" w:rsidP="00681322">
      <w:pPr>
        <w:numPr>
          <w:ilvl w:val="0"/>
          <w:numId w:val="37"/>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0152B5">
        <w:rPr>
          <w:rFonts w:ascii="Calibri" w:eastAsia="Times New Roman" w:hAnsi="Calibri" w:cs="Calibri"/>
          <w:sz w:val="24"/>
          <w:szCs w:val="24"/>
          <w:lang w:eastAsia="es-GT"/>
        </w:rPr>
        <w:t>Mejorar la infraestructura social y productiva del país</w:t>
      </w:r>
      <w:r w:rsidR="000152B5" w:rsidRPr="000152B5">
        <w:rPr>
          <w:rFonts w:ascii="Calibri" w:eastAsia="Times New Roman" w:hAnsi="Calibri" w:cs="Calibri"/>
          <w:sz w:val="24"/>
          <w:szCs w:val="24"/>
          <w:lang w:eastAsia="es-GT"/>
        </w:rPr>
        <w:t xml:space="preserve"> y</w:t>
      </w:r>
      <w:r w:rsidRPr="000152B5">
        <w:rPr>
          <w:rFonts w:ascii="Calibri" w:eastAsia="Times New Roman" w:hAnsi="Calibri" w:cs="Calibri"/>
          <w:sz w:val="24"/>
          <w:szCs w:val="24"/>
          <w:lang w:val="es-ES" w:eastAsia="es-GT"/>
        </w:rPr>
        <w:t> </w:t>
      </w:r>
      <w:r w:rsidR="000152B5" w:rsidRPr="000152B5">
        <w:rPr>
          <w:rFonts w:ascii="Calibri" w:eastAsia="Times New Roman" w:hAnsi="Calibri" w:cs="Calibri"/>
          <w:sz w:val="24"/>
          <w:szCs w:val="24"/>
          <w:lang w:eastAsia="es-GT"/>
        </w:rPr>
        <w:t xml:space="preserve">generar mejores condiciones </w:t>
      </w:r>
      <w:r w:rsidR="000152B5" w:rsidRPr="000152B5">
        <w:rPr>
          <w:rFonts w:ascii="Calibri" w:eastAsia="Times New Roman" w:hAnsi="Calibri" w:cs="Calibri"/>
          <w:sz w:val="24"/>
          <w:szCs w:val="24"/>
          <w:lang w:eastAsia="es-GT"/>
        </w:rPr>
        <w:tab/>
        <w:t>frente al cambio climático.</w:t>
      </w:r>
      <w:r w:rsidR="000152B5" w:rsidRPr="000152B5">
        <w:rPr>
          <w:rFonts w:ascii="Calibri" w:eastAsia="Times New Roman" w:hAnsi="Calibri" w:cs="Calibri"/>
          <w:sz w:val="24"/>
          <w:szCs w:val="24"/>
          <w:lang w:val="es-ES" w:eastAsia="es-GT"/>
        </w:rPr>
        <w:t> </w:t>
      </w:r>
    </w:p>
    <w:p w14:paraId="271336C1" w14:textId="77777777" w:rsidR="007717B2" w:rsidRPr="007717B2" w:rsidRDefault="007717B2" w:rsidP="003C1D42">
      <w:pPr>
        <w:numPr>
          <w:ilvl w:val="0"/>
          <w:numId w:val="37"/>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Incrementar por todos los medios, y al máximo posible, la inversión extranjera y el comercio exterior, con énfasis en las exportaciones.</w:t>
      </w:r>
      <w:r w:rsidRPr="007717B2">
        <w:rPr>
          <w:rFonts w:ascii="Calibri" w:eastAsia="Times New Roman" w:hAnsi="Calibri" w:cs="Calibri"/>
          <w:sz w:val="24"/>
          <w:szCs w:val="24"/>
          <w:lang w:val="es-ES" w:eastAsia="es-GT"/>
        </w:rPr>
        <w:t> </w:t>
      </w:r>
    </w:p>
    <w:p w14:paraId="272855F1" w14:textId="77777777" w:rsidR="007717B2" w:rsidRPr="007717B2" w:rsidRDefault="007717B2" w:rsidP="003C1D42">
      <w:pPr>
        <w:numPr>
          <w:ilvl w:val="0"/>
          <w:numId w:val="38"/>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Mantener un control riguroso en materia de política monetaria, con la finalidad de mantener un efectivo control de la inflación, evitando que la misma se eleve. </w:t>
      </w:r>
    </w:p>
    <w:p w14:paraId="5175D17F" w14:textId="594144B9" w:rsidR="007717B2" w:rsidRPr="007717B2" w:rsidRDefault="007717B2" w:rsidP="003C1D42">
      <w:pPr>
        <w:numPr>
          <w:ilvl w:val="0"/>
          <w:numId w:val="38"/>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Incrementar por todos los medios los niveles de competitividad del país, mediante reformas orientadas a mejorar el clima de negocios, los marcos regulatorios (agilización y eliminación de</w:t>
      </w:r>
      <w:r w:rsidR="00D93289">
        <w:rPr>
          <w:rFonts w:ascii="Calibri" w:eastAsia="Times New Roman" w:hAnsi="Calibri" w:cs="Calibri"/>
          <w:sz w:val="24"/>
          <w:szCs w:val="24"/>
          <w:lang w:eastAsia="es-GT"/>
        </w:rPr>
        <w:t xml:space="preserve"> impedimentos</w:t>
      </w:r>
      <w:r w:rsidRPr="007717B2">
        <w:rPr>
          <w:rFonts w:ascii="Calibri" w:eastAsia="Times New Roman" w:hAnsi="Calibri" w:cs="Calibri"/>
          <w:sz w:val="24"/>
          <w:szCs w:val="24"/>
          <w:lang w:eastAsia="es-GT"/>
        </w:rPr>
        <w:t>) y la capacitación del recurso humano. </w:t>
      </w:r>
    </w:p>
    <w:p w14:paraId="2FF2D1E6" w14:textId="77777777" w:rsidR="007717B2" w:rsidRPr="007717B2" w:rsidRDefault="007717B2" w:rsidP="003C1D42">
      <w:pPr>
        <w:numPr>
          <w:ilvl w:val="0"/>
          <w:numId w:val="38"/>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Actualizar las encuestas más importantes, como la ENSMI y la ENCOVI cuyas últimas versiones datan de 2014 (totalmente desactualizadas), con la finalidad de actualizar los indicadores sociales de máxima importancia, como la pobreza, entre otros</w:t>
      </w:r>
      <w:r w:rsidRPr="007717B2">
        <w:rPr>
          <w:rFonts w:ascii="Calibri" w:eastAsia="Times New Roman" w:hAnsi="Calibri" w:cs="Calibri"/>
          <w:sz w:val="24"/>
          <w:szCs w:val="24"/>
          <w:lang w:val="es-ES" w:eastAsia="es-GT"/>
        </w:rPr>
        <w:t> </w:t>
      </w:r>
    </w:p>
    <w:p w14:paraId="116B3974" w14:textId="77777777" w:rsidR="007717B2" w:rsidRPr="007717B2" w:rsidRDefault="007717B2" w:rsidP="003C1D42">
      <w:pPr>
        <w:numPr>
          <w:ilvl w:val="0"/>
          <w:numId w:val="38"/>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Promover el incremento al máximo posible del empleo formal y la formación de empresas generadoras de empleo, especialmente para la mujer y la juventud. </w:t>
      </w:r>
    </w:p>
    <w:p w14:paraId="5987C2E6" w14:textId="77777777" w:rsidR="007717B2" w:rsidRPr="007717B2" w:rsidRDefault="007717B2" w:rsidP="00D93F92">
      <w:pPr>
        <w:numPr>
          <w:ilvl w:val="0"/>
          <w:numId w:val="38"/>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Ampliar la cobertura de los programas sociales, en beneficio de la población más necesitada.</w:t>
      </w:r>
      <w:r w:rsidRPr="007717B2">
        <w:rPr>
          <w:rFonts w:ascii="Calibri" w:eastAsia="Times New Roman" w:hAnsi="Calibri" w:cs="Calibri"/>
          <w:sz w:val="24"/>
          <w:szCs w:val="24"/>
          <w:lang w:val="es-ES" w:eastAsia="es-GT"/>
        </w:rPr>
        <w:t> </w:t>
      </w:r>
    </w:p>
    <w:p w14:paraId="1CF936E4" w14:textId="41F760D3" w:rsidR="00B84C77" w:rsidRPr="00D93F92" w:rsidRDefault="007717B2" w:rsidP="00D93F92">
      <w:pPr>
        <w:numPr>
          <w:ilvl w:val="0"/>
          <w:numId w:val="38"/>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Aumentar las asignaciones presupuestarias para el seguro agrícola y para el otorgamiento de créditos para proyectos productivos, a favor de las familias más pobres.</w:t>
      </w:r>
      <w:r w:rsidRPr="007717B2">
        <w:rPr>
          <w:rFonts w:ascii="Calibri" w:eastAsia="Times New Roman" w:hAnsi="Calibri" w:cs="Calibri"/>
          <w:sz w:val="24"/>
          <w:szCs w:val="24"/>
          <w:lang w:val="es-ES" w:eastAsia="es-GT"/>
        </w:rPr>
        <w:t> </w:t>
      </w:r>
    </w:p>
    <w:p w14:paraId="4596AE31" w14:textId="3C54E43E" w:rsidR="007717B2" w:rsidRPr="007717B2" w:rsidRDefault="007717B2" w:rsidP="00D93F9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 xml:space="preserve">Pilar 2: </w:t>
      </w:r>
      <w:r w:rsidR="00B23FB8">
        <w:rPr>
          <w:rFonts w:ascii="Calibri" w:eastAsia="Times New Roman" w:hAnsi="Calibri" w:cs="Calibri"/>
          <w:b/>
          <w:color w:val="002060"/>
          <w:sz w:val="28"/>
          <w:szCs w:val="28"/>
        </w:rPr>
        <w:t>D</w:t>
      </w:r>
      <w:r w:rsidRPr="007717B2">
        <w:rPr>
          <w:rFonts w:ascii="Calibri" w:eastAsia="Times New Roman" w:hAnsi="Calibri" w:cs="Calibri"/>
          <w:b/>
          <w:color w:val="002060"/>
          <w:sz w:val="28"/>
          <w:szCs w:val="28"/>
        </w:rPr>
        <w:t>esarrollo social </w:t>
      </w:r>
    </w:p>
    <w:p w14:paraId="40A55BCD" w14:textId="7FC21E35" w:rsidR="007717B2" w:rsidRPr="007717B2" w:rsidRDefault="007717B2" w:rsidP="00D93F9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En lo que se refiere a los desafíos que presenta el Pilar 2, los principales son los siguientes:</w:t>
      </w:r>
      <w:r w:rsidRPr="007717B2">
        <w:rPr>
          <w:rFonts w:ascii="Calibri" w:eastAsia="Times New Roman" w:hAnsi="Calibri" w:cs="Calibri"/>
          <w:sz w:val="24"/>
          <w:szCs w:val="24"/>
          <w:lang w:val="es-ES" w:eastAsia="es-GT"/>
        </w:rPr>
        <w:t> </w:t>
      </w:r>
    </w:p>
    <w:p w14:paraId="22BFA4B0" w14:textId="2EF61AF7" w:rsidR="007717B2" w:rsidRPr="007717B2" w:rsidRDefault="007717B2" w:rsidP="00D93F9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b/>
          <w:bCs/>
          <w:sz w:val="24"/>
          <w:szCs w:val="24"/>
          <w:lang w:eastAsia="es-GT"/>
        </w:rPr>
        <w:t>Educación</w:t>
      </w:r>
    </w:p>
    <w:p w14:paraId="2D1DA5EB" w14:textId="77777777" w:rsidR="007717B2" w:rsidRPr="007717B2" w:rsidRDefault="007717B2" w:rsidP="00D93F92">
      <w:pPr>
        <w:numPr>
          <w:ilvl w:val="0"/>
          <w:numId w:val="3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Continuar ampliando la cobertura en los cuatro ciclos educativos (preprimario, primario, básico y diversificado).</w:t>
      </w:r>
      <w:r w:rsidRPr="007717B2">
        <w:rPr>
          <w:rFonts w:ascii="Calibri" w:eastAsia="Times New Roman" w:hAnsi="Calibri" w:cs="Calibri"/>
          <w:sz w:val="24"/>
          <w:szCs w:val="24"/>
          <w:lang w:val="es-ES" w:eastAsia="es-GT"/>
        </w:rPr>
        <w:t> </w:t>
      </w:r>
    </w:p>
    <w:p w14:paraId="6572E1C4" w14:textId="77777777" w:rsidR="007717B2" w:rsidRPr="007717B2" w:rsidRDefault="007717B2" w:rsidP="00D93F92">
      <w:pPr>
        <w:numPr>
          <w:ilvl w:val="0"/>
          <w:numId w:val="3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Promover la inserción y reducir la deserción de los estudiantes.</w:t>
      </w:r>
      <w:r w:rsidRPr="007717B2">
        <w:rPr>
          <w:rFonts w:ascii="Calibri" w:eastAsia="Times New Roman" w:hAnsi="Calibri" w:cs="Calibri"/>
          <w:sz w:val="24"/>
          <w:szCs w:val="24"/>
          <w:lang w:val="es-ES" w:eastAsia="es-GT"/>
        </w:rPr>
        <w:t> </w:t>
      </w:r>
    </w:p>
    <w:p w14:paraId="034BFB4B" w14:textId="77777777" w:rsidR="007717B2" w:rsidRPr="007717B2" w:rsidRDefault="007717B2" w:rsidP="00D93F92">
      <w:pPr>
        <w:numPr>
          <w:ilvl w:val="0"/>
          <w:numId w:val="34"/>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Ampliar el sistema de becas estudiantiles. </w:t>
      </w:r>
    </w:p>
    <w:p w14:paraId="14F40C9E" w14:textId="77777777" w:rsidR="007717B2" w:rsidRPr="007717B2" w:rsidRDefault="007717B2" w:rsidP="00D93F92">
      <w:pPr>
        <w:numPr>
          <w:ilvl w:val="0"/>
          <w:numId w:val="34"/>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Incrementar la inscripción de estudiantes de familias pobres.</w:t>
      </w:r>
      <w:r w:rsidRPr="007717B2">
        <w:rPr>
          <w:rFonts w:ascii="Calibri" w:eastAsia="Times New Roman" w:hAnsi="Calibri" w:cs="Calibri"/>
          <w:sz w:val="24"/>
          <w:szCs w:val="24"/>
          <w:lang w:val="es-ES" w:eastAsia="es-GT"/>
        </w:rPr>
        <w:t> </w:t>
      </w:r>
    </w:p>
    <w:p w14:paraId="7194CEDB" w14:textId="77777777" w:rsidR="007717B2" w:rsidRPr="007717B2" w:rsidRDefault="007717B2" w:rsidP="00D93F92">
      <w:pPr>
        <w:numPr>
          <w:ilvl w:val="0"/>
          <w:numId w:val="3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Ampliar y mejorar la infraestructura escolar, mediante la construcción de edificios escolares, brindándole el mejor mantenimiento posible.</w:t>
      </w:r>
      <w:r w:rsidRPr="007717B2">
        <w:rPr>
          <w:rFonts w:ascii="Calibri" w:eastAsia="Times New Roman" w:hAnsi="Calibri" w:cs="Calibri"/>
          <w:sz w:val="24"/>
          <w:szCs w:val="24"/>
          <w:lang w:val="es-ES" w:eastAsia="es-GT"/>
        </w:rPr>
        <w:t> </w:t>
      </w:r>
    </w:p>
    <w:p w14:paraId="74D0A702" w14:textId="77777777" w:rsidR="007717B2" w:rsidRPr="007717B2" w:rsidRDefault="007717B2" w:rsidP="00D93F92">
      <w:pPr>
        <w:numPr>
          <w:ilvl w:val="0"/>
          <w:numId w:val="40"/>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Incrementar y evidenciar la educación universitaria de los docentes.</w:t>
      </w:r>
      <w:r w:rsidRPr="007717B2">
        <w:rPr>
          <w:rFonts w:ascii="Calibri" w:eastAsia="Times New Roman" w:hAnsi="Calibri" w:cs="Calibri"/>
          <w:sz w:val="24"/>
          <w:szCs w:val="24"/>
          <w:lang w:val="es-ES" w:eastAsia="es-GT"/>
        </w:rPr>
        <w:t> </w:t>
      </w:r>
    </w:p>
    <w:p w14:paraId="03A3F6E2" w14:textId="77777777" w:rsidR="007717B2" w:rsidRPr="007717B2" w:rsidRDefault="007717B2" w:rsidP="00D93F92">
      <w:pPr>
        <w:numPr>
          <w:ilvl w:val="0"/>
          <w:numId w:val="40"/>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Reducir el analfabetismo, mediante la ampliación de cobertura, dando máxima prioridad a la atención de la población maya (pertinencia cultural). </w:t>
      </w:r>
    </w:p>
    <w:p w14:paraId="4442F905" w14:textId="77777777" w:rsidR="007717B2" w:rsidRPr="007717B2" w:rsidRDefault="007717B2" w:rsidP="00D93F92">
      <w:pPr>
        <w:numPr>
          <w:ilvl w:val="0"/>
          <w:numId w:val="40"/>
        </w:numPr>
        <w:spacing w:before="120" w:after="120" w:line="240" w:lineRule="auto"/>
        <w:ind w:left="360" w:firstLine="0"/>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Mantener y ampliar el presupuesto para 2023.</w:t>
      </w:r>
      <w:r w:rsidRPr="007717B2">
        <w:rPr>
          <w:rFonts w:ascii="Calibri" w:eastAsia="Times New Roman" w:hAnsi="Calibri" w:cs="Calibri"/>
          <w:sz w:val="24"/>
          <w:szCs w:val="24"/>
          <w:lang w:val="es-ES" w:eastAsia="es-GT"/>
        </w:rPr>
        <w:t> </w:t>
      </w:r>
    </w:p>
    <w:p w14:paraId="58580224" w14:textId="77777777"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w:t>
      </w:r>
      <w:r w:rsidRPr="007717B2">
        <w:rPr>
          <w:rFonts w:ascii="Calibri" w:eastAsia="Times New Roman" w:hAnsi="Calibri" w:cs="Calibri"/>
          <w:b/>
          <w:bCs/>
          <w:sz w:val="24"/>
          <w:szCs w:val="24"/>
          <w:lang w:eastAsia="es-GT"/>
        </w:rPr>
        <w:t>Salud</w:t>
      </w:r>
      <w:r w:rsidRPr="007717B2">
        <w:rPr>
          <w:rFonts w:ascii="Calibri" w:eastAsia="Times New Roman" w:hAnsi="Calibri" w:cs="Calibri"/>
          <w:sz w:val="24"/>
          <w:szCs w:val="24"/>
          <w:lang w:val="es-ES" w:eastAsia="es-GT"/>
        </w:rPr>
        <w:t> </w:t>
      </w:r>
    </w:p>
    <w:p w14:paraId="43570A4D" w14:textId="77777777" w:rsidR="007717B2" w:rsidRPr="007717B2" w:rsidRDefault="007717B2" w:rsidP="0035388E">
      <w:pPr>
        <w:numPr>
          <w:ilvl w:val="0"/>
          <w:numId w:val="87"/>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Actualizar datos de la Razón de Mortalidad Materna (RMM), que actualmente se encuentran hasta 2019, tarea a cargo del Programa Nacional de Salud Reproductiva del MSPAS.</w:t>
      </w:r>
      <w:r w:rsidRPr="007717B2">
        <w:rPr>
          <w:rFonts w:ascii="Calibri" w:eastAsia="Times New Roman" w:hAnsi="Calibri" w:cs="Calibri"/>
          <w:sz w:val="24"/>
          <w:szCs w:val="24"/>
          <w:lang w:val="es-ES" w:eastAsia="es-GT"/>
        </w:rPr>
        <w:t> </w:t>
      </w:r>
    </w:p>
    <w:p w14:paraId="7D330309" w14:textId="35CE449D" w:rsidR="007717B2" w:rsidRPr="007717B2" w:rsidRDefault="007717B2" w:rsidP="0035388E">
      <w:pPr>
        <w:numPr>
          <w:ilvl w:val="0"/>
          <w:numId w:val="87"/>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Realizar una nueva Encuesta Nacional de Salud Materno Infantil (ENSMI), con la finalidad de actualizar la data en materia de desnutrición, mortalidad infantil y vacunación, toda vez que la última ENSMI data de 2014, lo que implica que los </w:t>
      </w:r>
      <w:r w:rsidR="00984D55">
        <w:rPr>
          <w:rFonts w:ascii="Calibri" w:eastAsia="Times New Roman" w:hAnsi="Calibri" w:cs="Calibri"/>
          <w:sz w:val="24"/>
          <w:szCs w:val="24"/>
          <w:lang w:eastAsia="es-GT"/>
        </w:rPr>
        <w:t>d</w:t>
      </w:r>
      <w:r w:rsidRPr="007717B2">
        <w:rPr>
          <w:rFonts w:ascii="Calibri" w:eastAsia="Times New Roman" w:hAnsi="Calibri" w:cs="Calibri"/>
          <w:sz w:val="24"/>
          <w:szCs w:val="24"/>
          <w:lang w:eastAsia="es-GT"/>
        </w:rPr>
        <w:t>atos en esta materia est</w:t>
      </w:r>
      <w:r w:rsidR="00C85C46">
        <w:rPr>
          <w:rFonts w:ascii="Calibri" w:eastAsia="Times New Roman" w:hAnsi="Calibri" w:cs="Calibri"/>
          <w:sz w:val="24"/>
          <w:szCs w:val="24"/>
          <w:lang w:eastAsia="es-GT"/>
        </w:rPr>
        <w:t>é</w:t>
      </w:r>
      <w:r w:rsidRPr="007717B2">
        <w:rPr>
          <w:rFonts w:ascii="Calibri" w:eastAsia="Times New Roman" w:hAnsi="Calibri" w:cs="Calibri"/>
          <w:sz w:val="24"/>
          <w:szCs w:val="24"/>
          <w:lang w:eastAsia="es-GT"/>
        </w:rPr>
        <w:t>n desactualizados.</w:t>
      </w:r>
      <w:r w:rsidRPr="007717B2">
        <w:rPr>
          <w:rFonts w:ascii="Calibri" w:eastAsia="Times New Roman" w:hAnsi="Calibri" w:cs="Calibri"/>
          <w:sz w:val="24"/>
          <w:szCs w:val="24"/>
          <w:lang w:val="es-ES" w:eastAsia="es-GT"/>
        </w:rPr>
        <w:t> </w:t>
      </w:r>
    </w:p>
    <w:p w14:paraId="29087305" w14:textId="77777777" w:rsidR="007717B2" w:rsidRPr="007717B2" w:rsidRDefault="007717B2" w:rsidP="0035388E">
      <w:pPr>
        <w:numPr>
          <w:ilvl w:val="0"/>
          <w:numId w:val="87"/>
        </w:numPr>
        <w:spacing w:before="120" w:after="120" w:line="240" w:lineRule="auto"/>
        <w:ind w:left="714" w:hanging="357"/>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Mantener y ampliar el presupuesto para 2023.</w:t>
      </w:r>
      <w:r w:rsidRPr="007717B2">
        <w:rPr>
          <w:rFonts w:ascii="Calibri" w:eastAsia="Times New Roman" w:hAnsi="Calibri" w:cs="Calibri"/>
          <w:sz w:val="24"/>
          <w:szCs w:val="24"/>
          <w:lang w:val="es-ES" w:eastAsia="es-GT"/>
        </w:rPr>
        <w:t> </w:t>
      </w:r>
    </w:p>
    <w:p w14:paraId="44315F4F" w14:textId="1BD92A93"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w:t>
      </w:r>
      <w:r w:rsidRPr="007717B2">
        <w:rPr>
          <w:rFonts w:ascii="Calibri" w:eastAsia="Times New Roman" w:hAnsi="Calibri" w:cs="Calibri"/>
          <w:sz w:val="24"/>
          <w:szCs w:val="24"/>
          <w:lang w:val="es-ES" w:eastAsia="es-GT"/>
        </w:rPr>
        <w:t> </w:t>
      </w:r>
      <w:r w:rsidRPr="007717B2">
        <w:rPr>
          <w:rFonts w:ascii="Calibri" w:eastAsia="Times New Roman" w:hAnsi="Calibri" w:cs="Calibri"/>
          <w:b/>
          <w:bCs/>
          <w:sz w:val="24"/>
          <w:szCs w:val="24"/>
          <w:lang w:eastAsia="es-GT"/>
        </w:rPr>
        <w:t>Protección social y vivienda</w:t>
      </w:r>
    </w:p>
    <w:p w14:paraId="35222108" w14:textId="77777777" w:rsidR="007717B2" w:rsidRPr="007717B2" w:rsidRDefault="007717B2" w:rsidP="003C1D42">
      <w:pPr>
        <w:numPr>
          <w:ilvl w:val="0"/>
          <w:numId w:val="88"/>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Aumentar el fondo de subsidio para construcción de vivienda social y el incremento de las unidades construidas.</w:t>
      </w:r>
      <w:r w:rsidRPr="007717B2">
        <w:rPr>
          <w:rFonts w:ascii="Calibri" w:eastAsia="Times New Roman" w:hAnsi="Calibri" w:cs="Calibri"/>
          <w:sz w:val="24"/>
          <w:szCs w:val="24"/>
          <w:lang w:val="es-ES" w:eastAsia="es-GT"/>
        </w:rPr>
        <w:t> </w:t>
      </w:r>
    </w:p>
    <w:p w14:paraId="795A06BF" w14:textId="77777777" w:rsidR="007717B2" w:rsidRPr="007717B2" w:rsidRDefault="007717B2" w:rsidP="003C1D42">
      <w:pPr>
        <w:numPr>
          <w:ilvl w:val="0"/>
          <w:numId w:val="88"/>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Realizar una nueva Encuesta Nacional de Condiciones de Vida (ENCOVI), con la finalidad de actualizar la data en materia de pobreza general y pobreza extrema, toda vez que la última ENCOVI data de 2014, lo que implica que los fatos en esta materia están desactualizados.</w:t>
      </w:r>
      <w:r w:rsidRPr="007717B2">
        <w:rPr>
          <w:rFonts w:ascii="Calibri" w:eastAsia="Times New Roman" w:hAnsi="Calibri" w:cs="Calibri"/>
          <w:sz w:val="24"/>
          <w:szCs w:val="24"/>
          <w:lang w:val="es-ES" w:eastAsia="es-GT"/>
        </w:rPr>
        <w:t> </w:t>
      </w:r>
    </w:p>
    <w:p w14:paraId="0DC1BB3C" w14:textId="77777777" w:rsidR="007717B2" w:rsidRPr="007717B2" w:rsidRDefault="007717B2" w:rsidP="00B07192">
      <w:pPr>
        <w:numPr>
          <w:ilvl w:val="0"/>
          <w:numId w:val="88"/>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Incrementar, mediante la dotación presupuestaria correspondiente, el número de elementos que conforman la Unidad de Respuesta para la Atención de Desastres, a fin de alcanzar la meta prevista para 2023.</w:t>
      </w:r>
      <w:r w:rsidRPr="007717B2">
        <w:rPr>
          <w:rFonts w:ascii="Calibri" w:eastAsia="Times New Roman" w:hAnsi="Calibri" w:cs="Calibri"/>
          <w:sz w:val="24"/>
          <w:szCs w:val="24"/>
          <w:lang w:val="es-ES" w:eastAsia="es-GT"/>
        </w:rPr>
        <w:t> </w:t>
      </w:r>
    </w:p>
    <w:p w14:paraId="5C38AB5C" w14:textId="5BBF0AC2" w:rsidR="007717B2" w:rsidRPr="007717B2" w:rsidRDefault="007717B2" w:rsidP="00B0719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 xml:space="preserve">Pilar 3: </w:t>
      </w:r>
      <w:r w:rsidR="00B23FB8">
        <w:rPr>
          <w:rFonts w:ascii="Calibri" w:eastAsia="Times New Roman" w:hAnsi="Calibri" w:cs="Calibri"/>
          <w:b/>
          <w:color w:val="002060"/>
          <w:sz w:val="28"/>
          <w:szCs w:val="28"/>
        </w:rPr>
        <w:t>G</w:t>
      </w:r>
      <w:r w:rsidRPr="007717B2">
        <w:rPr>
          <w:rFonts w:ascii="Calibri" w:eastAsia="Times New Roman" w:hAnsi="Calibri" w:cs="Calibri"/>
          <w:b/>
          <w:color w:val="002060"/>
          <w:sz w:val="28"/>
          <w:szCs w:val="28"/>
        </w:rPr>
        <w:t>obernabilidad y seguridad en desarrollo  </w:t>
      </w:r>
    </w:p>
    <w:p w14:paraId="0512DBF7" w14:textId="3200726B" w:rsidR="007717B2" w:rsidRPr="007717B2" w:rsidRDefault="007717B2" w:rsidP="00B0719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Respecto a los desafíos que presenta el Pilar 3</w:t>
      </w:r>
      <w:r w:rsidR="004D69D0">
        <w:rPr>
          <w:rFonts w:ascii="Calibri" w:eastAsia="Times New Roman" w:hAnsi="Calibri" w:cs="Calibri"/>
          <w:sz w:val="24"/>
          <w:szCs w:val="24"/>
          <w:lang w:eastAsia="es-GT"/>
        </w:rPr>
        <w:t xml:space="preserve">, </w:t>
      </w:r>
      <w:r w:rsidRPr="007717B2">
        <w:rPr>
          <w:rFonts w:ascii="Calibri" w:eastAsia="Times New Roman" w:hAnsi="Calibri" w:cs="Calibri"/>
          <w:sz w:val="24"/>
          <w:szCs w:val="24"/>
          <w:lang w:eastAsia="es-GT"/>
        </w:rPr>
        <w:t>destacan los siguientes:</w:t>
      </w:r>
      <w:r w:rsidRPr="007717B2">
        <w:rPr>
          <w:rFonts w:ascii="Calibri" w:eastAsia="Times New Roman" w:hAnsi="Calibri" w:cs="Calibri"/>
          <w:sz w:val="24"/>
          <w:szCs w:val="24"/>
          <w:lang w:val="es-ES" w:eastAsia="es-GT"/>
        </w:rPr>
        <w:t> </w:t>
      </w:r>
    </w:p>
    <w:p w14:paraId="3F8D49A7" w14:textId="77777777" w:rsidR="007717B2" w:rsidRPr="007717B2" w:rsidRDefault="007717B2" w:rsidP="003C1D42">
      <w:pPr>
        <w:numPr>
          <w:ilvl w:val="0"/>
          <w:numId w:val="8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Promover el fortalecimiento y la ejecución constantes de los planes y programas que impulsan el combate al crimen organizado, el narcotráfico y las pandillas; la prevención de la violencia y el delito; la denuncia ciudadana y la investigación criminal, disponiendo para cada una de estas medidas los recursos humanos y materiales necesarios.</w:t>
      </w:r>
      <w:r w:rsidRPr="007717B2">
        <w:rPr>
          <w:rFonts w:ascii="Calibri" w:eastAsia="Times New Roman" w:hAnsi="Calibri" w:cs="Calibri"/>
          <w:sz w:val="24"/>
          <w:szCs w:val="24"/>
          <w:lang w:val="es-ES" w:eastAsia="es-GT"/>
        </w:rPr>
        <w:t> </w:t>
      </w:r>
    </w:p>
    <w:p w14:paraId="2A4F6AFA" w14:textId="77777777" w:rsidR="007717B2" w:rsidRPr="007717B2" w:rsidRDefault="007717B2" w:rsidP="003C1D42">
      <w:pPr>
        <w:numPr>
          <w:ilvl w:val="0"/>
          <w:numId w:val="8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Impulsar por todos los medios el incremento constante de las organizaciones locales de prevención de la violencia y el delito, en los ámbitos departamental, municipal y comunitario, cuya implementación ha sido exitosa, con la finalidad de que sigan incrementándose estas organizaciones que coadyuvan a disminuir la violencia doméstica o familiar, la reducción del uso de armas de fuego, la reducción de la conflictividad local y a la vez fomentan la participación social desde la base.</w:t>
      </w:r>
      <w:r w:rsidRPr="007717B2">
        <w:rPr>
          <w:rFonts w:ascii="Calibri" w:eastAsia="Times New Roman" w:hAnsi="Calibri" w:cs="Calibri"/>
          <w:sz w:val="24"/>
          <w:szCs w:val="24"/>
          <w:lang w:val="es-ES" w:eastAsia="es-GT"/>
        </w:rPr>
        <w:t> </w:t>
      </w:r>
    </w:p>
    <w:p w14:paraId="43C7D475" w14:textId="77777777" w:rsidR="007717B2" w:rsidRPr="007717B2" w:rsidRDefault="007717B2" w:rsidP="000A2330">
      <w:pPr>
        <w:numPr>
          <w:ilvl w:val="0"/>
          <w:numId w:val="89"/>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Coadyuvar a la efectiva asignación de los fondos necesarios para la ampliación de centros penitenciarios con toda la capacidad instalada (instalaciones adecuadas, con todos los recursos humanos, técnicos y financieros que se requieran) y para la ampliación constante del número de efectivos de las fuerzas de seguridad en todo el territorio nacional, debidamente capacitados.</w:t>
      </w:r>
      <w:r w:rsidRPr="007717B2">
        <w:rPr>
          <w:rFonts w:ascii="Calibri" w:eastAsia="Times New Roman" w:hAnsi="Calibri" w:cs="Calibri"/>
          <w:sz w:val="24"/>
          <w:szCs w:val="24"/>
          <w:lang w:val="es-ES" w:eastAsia="es-GT"/>
        </w:rPr>
        <w:t> </w:t>
      </w:r>
    </w:p>
    <w:p w14:paraId="642E6BF6" w14:textId="33376317" w:rsidR="007717B2" w:rsidRPr="007717B2" w:rsidRDefault="007717B2" w:rsidP="000A2330">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Pilar 4: Estado responsable, transparente y efectivo  </w:t>
      </w:r>
    </w:p>
    <w:p w14:paraId="63F0A5F0" w14:textId="536E403D" w:rsidR="007717B2" w:rsidRPr="007717B2" w:rsidRDefault="007717B2" w:rsidP="000A2330">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En cuanto a los desafíos que presenta el Pilar 4, son los siguientes los de mayor relevancia:</w:t>
      </w:r>
      <w:r w:rsidRPr="007717B2">
        <w:rPr>
          <w:rFonts w:ascii="Calibri" w:eastAsia="Times New Roman" w:hAnsi="Calibri" w:cs="Calibri"/>
          <w:sz w:val="24"/>
          <w:szCs w:val="24"/>
          <w:lang w:val="es-ES" w:eastAsia="es-GT"/>
        </w:rPr>
        <w:t> </w:t>
      </w:r>
    </w:p>
    <w:p w14:paraId="221AE5C5" w14:textId="77777777" w:rsidR="007717B2" w:rsidRPr="007717B2" w:rsidRDefault="007717B2" w:rsidP="003C1D42">
      <w:pPr>
        <w:numPr>
          <w:ilvl w:val="0"/>
          <w:numId w:val="90"/>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Implementar tecnologías digitales en toda la administración pública, en los ámbitos educativo, tecnológico y de competitividad, incrementando los programas de Gobierno Electrónico y los avances en materia de gobierno digital para la mejor atención al ciudadano.</w:t>
      </w:r>
      <w:r w:rsidRPr="007717B2">
        <w:rPr>
          <w:rFonts w:ascii="Calibri" w:eastAsia="Times New Roman" w:hAnsi="Calibri" w:cs="Calibri"/>
          <w:sz w:val="24"/>
          <w:szCs w:val="24"/>
          <w:lang w:val="es-ES" w:eastAsia="es-GT"/>
        </w:rPr>
        <w:t> </w:t>
      </w:r>
    </w:p>
    <w:p w14:paraId="7CED7A86" w14:textId="77777777" w:rsidR="007717B2" w:rsidRPr="007717B2" w:rsidRDefault="007717B2" w:rsidP="003C1D42">
      <w:pPr>
        <w:numPr>
          <w:ilvl w:val="0"/>
          <w:numId w:val="90"/>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A partir de los avances logrados, proseguir con los procesos de desconcentración y descentralización en el país, a efecto de trasladar recursos, competencias y decisiones del nivel central al departamento, el municipio y la comunidad.  </w:t>
      </w:r>
    </w:p>
    <w:p w14:paraId="3D825D37" w14:textId="77777777" w:rsidR="007717B2" w:rsidRPr="007717B2" w:rsidRDefault="007717B2" w:rsidP="003C1D42">
      <w:pPr>
        <w:numPr>
          <w:ilvl w:val="0"/>
          <w:numId w:val="90"/>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Optimizar todo lo concerniente a la planificación operativa, anual y multianual, así como a la planificación estratégica, en los ámbitos territorial y sectorial, a efecto de mejorar el desempeño del Estado. Es fundamental el buen manejo del presupuesto anual y multianual, así como el mejoramiento constante y la efectiva implementación del Sistema Nacional de Planificación (SNP). </w:t>
      </w:r>
    </w:p>
    <w:p w14:paraId="4D3EEE9B" w14:textId="77777777" w:rsidR="007717B2" w:rsidRPr="007717B2" w:rsidRDefault="007717B2" w:rsidP="003C1D42">
      <w:pPr>
        <w:numPr>
          <w:ilvl w:val="0"/>
          <w:numId w:val="90"/>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Mejorar en toda la administración pública los procesos de seguimiento y evaluación, así como la implementación de mecanismos de transparencia y rendición de cuentas. </w:t>
      </w:r>
    </w:p>
    <w:p w14:paraId="0254922B" w14:textId="333A1268" w:rsidR="007717B2" w:rsidRPr="007717B2" w:rsidRDefault="007717B2" w:rsidP="003C1D42">
      <w:pPr>
        <w:numPr>
          <w:ilvl w:val="0"/>
          <w:numId w:val="90"/>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 xml:space="preserve">Implementar el Plan de Desarrollo Municipal y Ordenamiento Territorial (PDM-OT) en la totalidad de municipios del país, debidamente </w:t>
      </w:r>
      <w:r w:rsidR="004574B9" w:rsidRPr="007717B2">
        <w:rPr>
          <w:rFonts w:ascii="Calibri" w:eastAsia="Times New Roman" w:hAnsi="Calibri" w:cs="Calibri"/>
          <w:sz w:val="24"/>
          <w:szCs w:val="24"/>
          <w:lang w:eastAsia="es-GT"/>
        </w:rPr>
        <w:t xml:space="preserve">alineados al respectivo </w:t>
      </w:r>
      <w:r w:rsidRPr="007717B2">
        <w:rPr>
          <w:rFonts w:ascii="Calibri" w:eastAsia="Times New Roman" w:hAnsi="Calibri" w:cs="Calibri"/>
          <w:sz w:val="24"/>
          <w:szCs w:val="24"/>
          <w:lang w:eastAsia="es-GT"/>
        </w:rPr>
        <w:t>Plan Estratégico Institucional (PEI) y consolidar el Sistema Nacional de los Consejos de Desarrollo Urbano y Rural. </w:t>
      </w:r>
    </w:p>
    <w:p w14:paraId="017837A5" w14:textId="23FB6CF9" w:rsidR="007717B2" w:rsidRPr="007717B2" w:rsidRDefault="007717B2" w:rsidP="003C1D42">
      <w:pPr>
        <w:numPr>
          <w:ilvl w:val="0"/>
          <w:numId w:val="90"/>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Mantener e incrementar la cobertura forestal del país, mediante la implementación de los programas PINPEP y PROBOSQUE, con la colaboración del sector privado, incluyendo el manejo de cuencas y el ordenamiento territorial, en especial en las áreas protegidas.</w:t>
      </w:r>
      <w:r w:rsidRPr="007717B2">
        <w:rPr>
          <w:rFonts w:ascii="Calibri" w:eastAsia="Times New Roman" w:hAnsi="Calibri" w:cs="Calibri"/>
          <w:sz w:val="24"/>
          <w:szCs w:val="24"/>
          <w:lang w:val="es-ES" w:eastAsia="es-GT"/>
        </w:rPr>
        <w:t> </w:t>
      </w:r>
    </w:p>
    <w:p w14:paraId="7BFB5502" w14:textId="52F3BF64" w:rsidR="007717B2" w:rsidRPr="007717B2" w:rsidRDefault="007717B2" w:rsidP="007717B2">
      <w:pPr>
        <w:spacing w:before="120" w:after="120" w:line="240" w:lineRule="auto"/>
        <w:jc w:val="both"/>
        <w:textAlignment w:val="baseline"/>
        <w:rPr>
          <w:rFonts w:ascii="Calibri" w:eastAsia="Times New Roman" w:hAnsi="Calibri" w:cs="Calibri"/>
          <w:b/>
          <w:color w:val="002060"/>
          <w:sz w:val="28"/>
          <w:szCs w:val="28"/>
        </w:rPr>
      </w:pPr>
      <w:r w:rsidRPr="007717B2">
        <w:rPr>
          <w:rFonts w:ascii="Calibri" w:eastAsia="Times New Roman" w:hAnsi="Calibri" w:cs="Calibri"/>
          <w:b/>
          <w:color w:val="002060"/>
          <w:sz w:val="28"/>
          <w:szCs w:val="28"/>
        </w:rPr>
        <w:t xml:space="preserve">Pilar 5: </w:t>
      </w:r>
      <w:r w:rsidR="009507C5">
        <w:rPr>
          <w:rFonts w:ascii="Calibri" w:eastAsia="Times New Roman" w:hAnsi="Calibri" w:cs="Calibri"/>
          <w:b/>
          <w:color w:val="002060"/>
          <w:sz w:val="28"/>
          <w:szCs w:val="28"/>
        </w:rPr>
        <w:t>R</w:t>
      </w:r>
      <w:r w:rsidRPr="007717B2">
        <w:rPr>
          <w:rFonts w:ascii="Calibri" w:eastAsia="Times New Roman" w:hAnsi="Calibri" w:cs="Calibri"/>
          <w:b/>
          <w:color w:val="002060"/>
          <w:sz w:val="28"/>
          <w:szCs w:val="28"/>
        </w:rPr>
        <w:t>elaciones con el mundo </w:t>
      </w:r>
    </w:p>
    <w:p w14:paraId="73F93B08" w14:textId="28BC26D6" w:rsidR="007717B2" w:rsidRPr="007717B2" w:rsidRDefault="007717B2" w:rsidP="007717B2">
      <w:p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En lo relativo a los desafíos que presenta el Pilar 5, figuran los siguientes:</w:t>
      </w:r>
      <w:r w:rsidRPr="007717B2">
        <w:rPr>
          <w:rFonts w:ascii="Calibri" w:eastAsia="Times New Roman" w:hAnsi="Calibri" w:cs="Calibri"/>
          <w:sz w:val="24"/>
          <w:szCs w:val="24"/>
          <w:lang w:val="es-ES" w:eastAsia="es-GT"/>
        </w:rPr>
        <w:t> </w:t>
      </w:r>
    </w:p>
    <w:p w14:paraId="3B5AA51B" w14:textId="3B6F5410" w:rsidR="007717B2" w:rsidRPr="007717B2" w:rsidRDefault="007717B2" w:rsidP="003C1D42">
      <w:pPr>
        <w:numPr>
          <w:ilvl w:val="0"/>
          <w:numId w:val="9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 xml:space="preserve">Dado que en la Política de Protección y Atención a la Persona Migrante 2019-2032 solo se reportó información </w:t>
      </w:r>
      <w:r w:rsidR="004F128F">
        <w:rPr>
          <w:rFonts w:ascii="Calibri" w:eastAsia="Times New Roman" w:hAnsi="Calibri" w:cs="Calibri"/>
          <w:sz w:val="24"/>
          <w:szCs w:val="24"/>
          <w:lang w:eastAsia="es-GT"/>
        </w:rPr>
        <w:t xml:space="preserve">en uno de sus </w:t>
      </w:r>
      <w:r w:rsidRPr="007717B2">
        <w:rPr>
          <w:rFonts w:ascii="Calibri" w:eastAsia="Times New Roman" w:hAnsi="Calibri" w:cs="Calibri"/>
          <w:sz w:val="24"/>
          <w:szCs w:val="24"/>
          <w:lang w:eastAsia="es-GT"/>
        </w:rPr>
        <w:t xml:space="preserve">cuatro ejes, (fortalecimiento de la red consular para ampliar la asistencia, atención, protección y documentación de la población migrante guatemalteca), se recomienda una implementación integral de la política que incluya los otros tres ejes de la política (protección de los derechos fundamentales de la población migrante guatemalteca, de niñas y adolescentes guatemaltecos migrantes y uso productivo de las remesas familiares). </w:t>
      </w:r>
    </w:p>
    <w:p w14:paraId="1F7CD8BF" w14:textId="77777777" w:rsidR="007717B2" w:rsidRPr="007717B2" w:rsidRDefault="007717B2" w:rsidP="003C1D42">
      <w:pPr>
        <w:numPr>
          <w:ilvl w:val="0"/>
          <w:numId w:val="91"/>
        </w:numPr>
        <w:spacing w:before="120" w:after="120" w:line="240" w:lineRule="auto"/>
        <w:jc w:val="both"/>
        <w:textAlignment w:val="baseline"/>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Definir de mejor manera los criterios para analizar adecuadamente la Meta PGG sobre Política de Atención a los Migrantes guatemaltecos. </w:t>
      </w:r>
    </w:p>
    <w:p w14:paraId="1393EC5C" w14:textId="5AC00404" w:rsidR="007717B2" w:rsidRPr="007717B2" w:rsidRDefault="007717B2" w:rsidP="003C1D42">
      <w:pPr>
        <w:numPr>
          <w:ilvl w:val="0"/>
          <w:numId w:val="91"/>
        </w:numPr>
        <w:spacing w:before="120" w:after="120" w:line="240" w:lineRule="auto"/>
        <w:jc w:val="both"/>
        <w:textAlignment w:val="baseline"/>
        <w:rPr>
          <w:rFonts w:ascii="Calibri" w:eastAsia="Times New Roman" w:hAnsi="Calibri" w:cs="Calibri"/>
          <w:sz w:val="24"/>
          <w:szCs w:val="24"/>
          <w:lang w:val="es-ES" w:eastAsia="es-GT"/>
        </w:rPr>
      </w:pPr>
      <w:r w:rsidRPr="007717B2">
        <w:rPr>
          <w:rFonts w:ascii="Calibri" w:eastAsia="Times New Roman" w:hAnsi="Calibri" w:cs="Calibri"/>
          <w:sz w:val="24"/>
          <w:szCs w:val="24"/>
          <w:lang w:eastAsia="es-GT"/>
        </w:rPr>
        <w:t>Asignar los recursos necesarios para el cumplimiento de la meta relativa a la ampliación del número de consulados en los Estados Unidos de América.</w:t>
      </w:r>
    </w:p>
    <w:p w14:paraId="13670232" w14:textId="5CC3AC62" w:rsidR="007717B2" w:rsidRDefault="007717B2"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59B90C08" w14:textId="2B0F8658"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0DA1A5FA" w14:textId="1499FA63"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72276DDF" w14:textId="25DA5EC4"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457241AC" w14:textId="58DFDF54"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1F878B09" w14:textId="30259474"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2CBCF198" w14:textId="247F2C93"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3DDDC0C5" w14:textId="3D2DF0D6"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267D0FF8" w14:textId="0CC59E16"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144E6027" w14:textId="52B8B88C"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138CB279" w14:textId="585592B5"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65EA193F" w14:textId="75FC982A"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7666876E" w14:textId="4DF37786"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103D1C7C" w14:textId="268F6FEB" w:rsidR="00B23FB8"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67C55513" w14:textId="77777777" w:rsidR="00B23FB8" w:rsidRPr="007717B2" w:rsidRDefault="00B23FB8" w:rsidP="007717B2">
      <w:pPr>
        <w:spacing w:before="120" w:after="120" w:line="240" w:lineRule="auto"/>
        <w:ind w:left="720"/>
        <w:jc w:val="both"/>
        <w:textAlignment w:val="baseline"/>
        <w:rPr>
          <w:rFonts w:ascii="Calibri" w:eastAsia="Times New Roman" w:hAnsi="Calibri" w:cs="Calibri"/>
          <w:sz w:val="24"/>
          <w:szCs w:val="24"/>
          <w:lang w:val="es-ES" w:eastAsia="es-GT"/>
        </w:rPr>
      </w:pPr>
    </w:p>
    <w:p w14:paraId="2CDF3826" w14:textId="77777777" w:rsidR="007717B2" w:rsidRPr="007717B2" w:rsidRDefault="007717B2" w:rsidP="00644EA2">
      <w:pPr>
        <w:pStyle w:val="Ttulo1"/>
        <w:rPr>
          <w:rFonts w:eastAsia="Times New Roman"/>
        </w:rPr>
      </w:pPr>
      <w:bookmarkStart w:id="149" w:name="_Toc130301112"/>
      <w:r w:rsidRPr="007717B2">
        <w:rPr>
          <w:rFonts w:eastAsia="Times New Roman"/>
        </w:rPr>
        <w:t>Conclusiones</w:t>
      </w:r>
      <w:bookmarkEnd w:id="149"/>
    </w:p>
    <w:p w14:paraId="0A79E286" w14:textId="77777777" w:rsidR="007717B2" w:rsidRPr="007717B2" w:rsidRDefault="007717B2" w:rsidP="003C1D42">
      <w:pPr>
        <w:numPr>
          <w:ilvl w:val="0"/>
          <w:numId w:val="30"/>
        </w:numPr>
        <w:spacing w:before="120" w:after="120" w:line="240" w:lineRule="auto"/>
        <w:ind w:left="357"/>
        <w:jc w:val="both"/>
        <w:rPr>
          <w:rFonts w:ascii="Calibri" w:eastAsia="Times New Roman" w:hAnsi="Calibri" w:cs="Calibri"/>
          <w:sz w:val="24"/>
          <w:szCs w:val="24"/>
          <w:lang w:eastAsia="es-GT"/>
        </w:rPr>
      </w:pPr>
      <w:r w:rsidRPr="007717B2">
        <w:rPr>
          <w:rFonts w:ascii="Calibri" w:eastAsia="Times New Roman" w:hAnsi="Calibri" w:cs="Calibri"/>
          <w:color w:val="000000"/>
          <w:sz w:val="24"/>
          <w:szCs w:val="24"/>
          <w:bdr w:val="none" w:sz="0" w:space="0" w:color="auto" w:frame="1"/>
          <w:lang w:eastAsia="es-GT"/>
        </w:rPr>
        <w:t>Como resultado de las acciones de seguimiento a las instituciones públicas, el comportamiento en la cantidad de instituciones públicas que registraron su planificación, programación y ejecución de metas en el Sistema de planes institucionales (Siplan), en general, fue positivo, con un total de 134 instituciones con registros en el sistema y 129 instituciones con reporte de ejecución de metas, lo que representa el 96% de entidades que cumplieron con la carga de información y entrega de informe cuatrimestral. De total de instituciones con resultados en el presente informe, 14 corresponden a los ministerios de Estado, 17 Secretarías, 24 Dependencias del Ejecutivo, empresas órganos de control, 42 entidades descentralizadas y dentro de las entidades deportivas, 21 Federaciones y 11 Asociaciones.</w:t>
      </w:r>
    </w:p>
    <w:p w14:paraId="00F3E48F" w14:textId="1319AAF4" w:rsidR="007717B2" w:rsidRPr="007717B2" w:rsidRDefault="007717B2" w:rsidP="003C1D42">
      <w:pPr>
        <w:numPr>
          <w:ilvl w:val="0"/>
          <w:numId w:val="30"/>
        </w:numPr>
        <w:spacing w:before="120" w:after="120" w:line="240" w:lineRule="auto"/>
        <w:jc w:val="both"/>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En general, los ministerios lograron una ejecución media en el cumplimiento de metas físicas y financieras programadas en el POA. Únicamente 5 ministerios se ubicaron dentro del rango de ejecución alta, con una mayor efectividad en la ejecución del presupuesto y el cumplimiento de las metas físicas. (MEM, MINDEF, MINECO, MINFIN y MINTRAB). Sin embargo, 8 ministerios mostraron una ejecución física dentro del rango de 51% a 79%, dentro de los cuales, el MSPAS, MIDES y MCIV, presentaron una ejecución por debajo del 53%. Estos resultados permiten alertar a los ministerios, principalmente a los responsables de los temas sectoriales con compromisos en programas e intervenciones que son prioritarios para el desarrollo del país, para que, se tomen las medidas necesarias para mejorar la entrega de bienes y servicios oportunamente, así como la calidad del gasto.</w:t>
      </w:r>
    </w:p>
    <w:p w14:paraId="2793E611" w14:textId="77777777" w:rsidR="007717B2" w:rsidRPr="007717B2" w:rsidRDefault="007717B2" w:rsidP="003C1D42">
      <w:pPr>
        <w:numPr>
          <w:ilvl w:val="0"/>
          <w:numId w:val="30"/>
        </w:numPr>
        <w:spacing w:before="120" w:after="120" w:line="240" w:lineRule="auto"/>
        <w:jc w:val="both"/>
        <w:rPr>
          <w:rFonts w:ascii="Helvetica" w:eastAsia="Times New Roman" w:hAnsi="Helvetica" w:cs="Helvetica"/>
          <w:sz w:val="24"/>
          <w:szCs w:val="24"/>
          <w:lang w:eastAsia="es-GT"/>
        </w:rPr>
      </w:pPr>
      <w:r w:rsidRPr="007717B2">
        <w:rPr>
          <w:rFonts w:ascii="Calibri" w:eastAsia="Times New Roman" w:hAnsi="Calibri" w:cs="Calibri"/>
          <w:sz w:val="24"/>
          <w:szCs w:val="24"/>
          <w:lang w:eastAsia="es-GT"/>
        </w:rPr>
        <w:t>En cuanto a las Secretarías, estas generan producción intermedia, por lo que, las intervenciones no van dirigidas directamente a la población. Sin embargo, las acciones de coordinación y apoyo al Ejecutivo, mostraron un buen desempeño durante el año, con una alta efectividad en el cumplimiento de metas físicas y financieras según lo programada en el POA.</w:t>
      </w:r>
    </w:p>
    <w:p w14:paraId="6FEDE2C8" w14:textId="77777777" w:rsidR="007717B2" w:rsidRPr="007717B2" w:rsidRDefault="007717B2" w:rsidP="003C1D42">
      <w:pPr>
        <w:numPr>
          <w:ilvl w:val="0"/>
          <w:numId w:val="30"/>
        </w:numPr>
        <w:spacing w:before="120" w:after="120" w:line="240" w:lineRule="auto"/>
        <w:jc w:val="both"/>
        <w:rPr>
          <w:rFonts w:ascii="Calibri" w:eastAsia="Times New Roman" w:hAnsi="Calibri" w:cs="Calibri"/>
          <w:sz w:val="24"/>
          <w:szCs w:val="24"/>
          <w:lang w:eastAsia="es-GT"/>
        </w:rPr>
      </w:pPr>
      <w:r w:rsidRPr="007717B2">
        <w:rPr>
          <w:rFonts w:ascii="Calibri" w:eastAsia="Times New Roman" w:hAnsi="Calibri" w:cs="Calibri"/>
          <w:sz w:val="24"/>
          <w:szCs w:val="24"/>
          <w:lang w:eastAsia="es-GT"/>
        </w:rPr>
        <w:t>Las entidades descentralizadas y autónomas, otras dependencias del ejecutivo y entidades deportivas, en promedio, se ubicaron dentro del rango de ejecución media de metas físicas, con 83%, de estas, las entidades descentralizadas mostraron la mayor ejecución, con 89.9%; un comportamiento similar durante el año. Sin embargo, los resultados en la ejecución del presupuesto no fueron los mismos, con una eficiencia de 70%. Dentro de este grupo de instituciones, 15 entidades deportivas, entre federaciones y asociaciones, se encuentran pendientes de completar los registros de planificación y programación en Siplan.</w:t>
      </w:r>
    </w:p>
    <w:p w14:paraId="1421F860" w14:textId="77777777" w:rsidR="007717B2" w:rsidRPr="007717B2" w:rsidRDefault="007717B2" w:rsidP="003C1D42">
      <w:pPr>
        <w:numPr>
          <w:ilvl w:val="0"/>
          <w:numId w:val="30"/>
        </w:numPr>
        <w:spacing w:before="120" w:after="120" w:line="240" w:lineRule="auto"/>
        <w:ind w:left="357"/>
        <w:jc w:val="both"/>
        <w:rPr>
          <w:rFonts w:ascii="Calibri" w:eastAsia="Calibri" w:hAnsi="Calibri" w:cs="Calibri"/>
          <w:sz w:val="24"/>
        </w:rPr>
      </w:pPr>
      <w:r w:rsidRPr="007717B2">
        <w:rPr>
          <w:rFonts w:ascii="Calibri" w:eastAsia="Times New Roman" w:hAnsi="Calibri" w:cs="Calibri"/>
          <w:sz w:val="24"/>
          <w:szCs w:val="24"/>
          <w:lang w:eastAsia="es-GT"/>
        </w:rPr>
        <w:t>La mayoría de las instituciones públicas cumplen con registrar la información de la planificación, programación y ejecución del POA en el Sistema de Planes Institucionales (Siplan), sin embargo, los esfuerzos institucionales y las acciones de seguimiento deben de continuar, para lograr que la totalidad de las instituciones utilicen la plataforma con registros completos y actualizados que permitan medir el avance real de las intervenciones contenidas en la planificación.</w:t>
      </w:r>
    </w:p>
    <w:p w14:paraId="76423158" w14:textId="77777777" w:rsidR="007717B2" w:rsidRPr="007717B2" w:rsidRDefault="007717B2" w:rsidP="003C1D42">
      <w:pPr>
        <w:numPr>
          <w:ilvl w:val="0"/>
          <w:numId w:val="30"/>
        </w:numPr>
        <w:spacing w:before="120" w:after="120" w:line="240" w:lineRule="auto"/>
        <w:jc w:val="both"/>
        <w:rPr>
          <w:rFonts w:ascii="Calibri" w:eastAsia="Calibri" w:hAnsi="Calibri" w:cs="Calibri"/>
          <w:sz w:val="24"/>
          <w:szCs w:val="24"/>
        </w:rPr>
      </w:pPr>
      <w:r w:rsidRPr="007717B2">
        <w:rPr>
          <w:rFonts w:ascii="Calibri" w:eastAsia="Calibri" w:hAnsi="Calibri" w:cs="Calibri"/>
          <w:sz w:val="24"/>
          <w:szCs w:val="24"/>
        </w:rPr>
        <w:t>Los municipios de Chichicastenango, San Pedro Jocopilas y Chiché del departamento de Quiché; Chuarrancho del departamento de Guatemala y San Carlos Sija del departamento de Quetzaltenango, nunca utilizaron Siplangl durante el año 2022.</w:t>
      </w:r>
    </w:p>
    <w:p w14:paraId="646BFF31" w14:textId="77777777" w:rsidR="007717B2" w:rsidRPr="007717B2" w:rsidRDefault="007717B2" w:rsidP="003C1D42">
      <w:pPr>
        <w:numPr>
          <w:ilvl w:val="0"/>
          <w:numId w:val="30"/>
        </w:numPr>
        <w:spacing w:before="120" w:after="120" w:line="240" w:lineRule="auto"/>
        <w:jc w:val="both"/>
        <w:rPr>
          <w:rFonts w:ascii="Calibri" w:eastAsia="Calibri" w:hAnsi="Calibri" w:cs="Times New Roman"/>
          <w:sz w:val="24"/>
          <w:szCs w:val="24"/>
        </w:rPr>
      </w:pPr>
      <w:r w:rsidRPr="007717B2">
        <w:rPr>
          <w:rFonts w:ascii="Calibri" w:eastAsia="Calibri" w:hAnsi="Calibri" w:cs="Times New Roman"/>
          <w:sz w:val="24"/>
          <w:szCs w:val="24"/>
        </w:rPr>
        <w:t>Al finalizar el ejercicio fiscal 2022, 335 (98%) de 340 municipios, cargaron información a Siplangl, de los cuales 304 entregaron el oficio a las diferentes delegaciones como constancia de haber actualizado el registro de avance del III informe cuatrimestral. Se observa a nivel nacional que los gobiernos locales presentaron 14,564 intervenciones; de éstos, 13,559 cuentan con código SNIP. Así mismo 6,207 (43%) son de competencia propia y 8,357 (57%) son de competencia delegada.</w:t>
      </w:r>
    </w:p>
    <w:p w14:paraId="53F6C08E" w14:textId="49B66BDC" w:rsidR="00540A9B" w:rsidRPr="00F07855" w:rsidRDefault="007717B2" w:rsidP="00734E8D">
      <w:pPr>
        <w:numPr>
          <w:ilvl w:val="0"/>
          <w:numId w:val="30"/>
        </w:numPr>
        <w:spacing w:before="120" w:after="120" w:line="240" w:lineRule="auto"/>
        <w:contextualSpacing/>
        <w:jc w:val="both"/>
        <w:rPr>
          <w:rFonts w:ascii="Calibri" w:eastAsia="Calibri" w:hAnsi="Calibri" w:cs="Times New Roman"/>
          <w:sz w:val="24"/>
          <w:szCs w:val="24"/>
        </w:rPr>
      </w:pPr>
      <w:r w:rsidRPr="007717B2">
        <w:rPr>
          <w:rFonts w:ascii="Calibri" w:eastAsia="Calibri" w:hAnsi="Calibri" w:cs="Times New Roman"/>
          <w:sz w:val="24"/>
          <w:szCs w:val="24"/>
        </w:rPr>
        <w:t>A nivel nacional se presentó un promedio de ejecución física del 64.71%. Solo el departamento de Retalhuleu mostró más del 80% de ejecución física. En relación al avance financiero, el país registró un avance del 65.88% a nivel nacional. Igual que en el avance físico, Retalhuleu mostró más del 80% de ejecución, seguido de Baja Verapaz. 11 municipios registran menos del 70 % de ejecución.</w:t>
      </w:r>
    </w:p>
    <w:p w14:paraId="627546C8" w14:textId="48295387" w:rsidR="00540A9B" w:rsidRDefault="00540A9B" w:rsidP="00734E8D">
      <w:pPr>
        <w:pStyle w:val="Sinespaciado"/>
        <w:ind w:left="360"/>
        <w:rPr>
          <w:rFonts w:cstheme="minorHAnsi"/>
          <w:sz w:val="24"/>
          <w:szCs w:val="24"/>
        </w:rPr>
      </w:pPr>
    </w:p>
    <w:p w14:paraId="747638F5" w14:textId="767403D0" w:rsidR="00540A9B" w:rsidRDefault="00540A9B" w:rsidP="00734E8D">
      <w:pPr>
        <w:pStyle w:val="Sinespaciado"/>
        <w:ind w:left="360"/>
        <w:rPr>
          <w:rFonts w:cstheme="minorHAnsi"/>
          <w:sz w:val="24"/>
          <w:szCs w:val="24"/>
        </w:rPr>
      </w:pPr>
    </w:p>
    <w:sectPr w:rsidR="00540A9B" w:rsidSect="00813082">
      <w:headerReference w:type="default" r:id="rId69"/>
      <w:footerReference w:type="default" r:id="rId70"/>
      <w:pgSz w:w="12240" w:h="15840"/>
      <w:pgMar w:top="1440" w:right="1440" w:bottom="1440" w:left="1440" w:header="708" w:footer="1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968A9" w14:textId="77777777" w:rsidR="00B843AE" w:rsidRDefault="00B843AE" w:rsidP="001B519A">
      <w:pPr>
        <w:spacing w:after="0" w:line="240" w:lineRule="auto"/>
      </w:pPr>
      <w:r>
        <w:separator/>
      </w:r>
    </w:p>
  </w:endnote>
  <w:endnote w:type="continuationSeparator" w:id="0">
    <w:p w14:paraId="74708E23" w14:textId="77777777" w:rsidR="00B843AE" w:rsidRDefault="00B843AE" w:rsidP="001B519A">
      <w:pPr>
        <w:spacing w:after="0" w:line="240" w:lineRule="auto"/>
      </w:pPr>
      <w:r>
        <w:continuationSeparator/>
      </w:r>
    </w:p>
  </w:endnote>
  <w:endnote w:type="continuationNotice" w:id="1">
    <w:p w14:paraId="1D8A8980" w14:textId="77777777" w:rsidR="00B843AE" w:rsidRDefault="00B843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A0FB" w14:textId="0DD7CE0F" w:rsidR="00E31540" w:rsidRDefault="00E31540">
    <w:pPr>
      <w:pStyle w:val="Piedepgina"/>
    </w:pPr>
    <w:r>
      <w:rPr>
        <w:noProof/>
      </w:rPr>
      <mc:AlternateContent>
        <mc:Choice Requires="wps">
          <w:drawing>
            <wp:anchor distT="0" distB="0" distL="114300" distR="114300" simplePos="0" relativeHeight="251711488" behindDoc="0" locked="0" layoutInCell="1" allowOverlap="1" wp14:anchorId="2B08C57B" wp14:editId="7C0649A2">
              <wp:simplePos x="0" y="0"/>
              <wp:positionH relativeFrom="column">
                <wp:posOffset>-1066487</wp:posOffset>
              </wp:positionH>
              <wp:positionV relativeFrom="paragraph">
                <wp:posOffset>347497</wp:posOffset>
              </wp:positionV>
              <wp:extent cx="7758430" cy="0"/>
              <wp:effectExtent l="0" t="19050" r="33020" b="19050"/>
              <wp:wrapNone/>
              <wp:docPr id="227935764" name="Conector recto 227935764"/>
              <wp:cNvGraphicFramePr/>
              <a:graphic xmlns:a="http://schemas.openxmlformats.org/drawingml/2006/main">
                <a:graphicData uri="http://schemas.microsoft.com/office/word/2010/wordprocessingShape">
                  <wps:wsp>
                    <wps:cNvCnPr/>
                    <wps:spPr>
                      <a:xfrm>
                        <a:off x="0" y="0"/>
                        <a:ext cx="7758430" cy="0"/>
                      </a:xfrm>
                      <a:prstGeom prst="line">
                        <a:avLst/>
                      </a:prstGeom>
                      <a:ln w="38100" cmpd="thickThi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4F9CA" id="Conector recto 2279357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84pt,27.35pt" to="526.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" strokecolor="#002060" strokeweight="3pt">
              <v:stroke linestyle="thickThin" joinstyle="miter"/>
            </v:line>
          </w:pict>
        </mc:Fallback>
      </mc:AlternateContent>
    </w:r>
    <w:r w:rsidRPr="002267AD">
      <w:rPr>
        <w:noProof/>
      </w:rPr>
      <mc:AlternateContent>
        <mc:Choice Requires="wps">
          <w:drawing>
            <wp:anchor distT="0" distB="0" distL="0" distR="0" simplePos="0" relativeHeight="251658240" behindDoc="0" locked="0" layoutInCell="0" allowOverlap="1" wp14:anchorId="4313981B" wp14:editId="0512361F">
              <wp:simplePos x="0" y="0"/>
              <wp:positionH relativeFrom="column">
                <wp:posOffset>-1016000</wp:posOffset>
              </wp:positionH>
              <wp:positionV relativeFrom="paragraph">
                <wp:posOffset>2437351</wp:posOffset>
              </wp:positionV>
              <wp:extent cx="7601585" cy="202018"/>
              <wp:effectExtent l="0" t="0" r="18415" b="7620"/>
              <wp:wrapSquare wrapText="bothSides"/>
              <wp:docPr id="60"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5BEA8FA5" w14:textId="77777777" w:rsidR="00E31540" w:rsidRPr="0056279B" w:rsidRDefault="00E31540" w:rsidP="00311A1F">
                          <w:pPr>
                            <w:jc w:val="center"/>
                            <w:rPr>
                              <w:rFonts w:ascii="Cambria Math" w:hAnsi="Cambria Math"/>
                              <w:b/>
                              <w:color w:val="1F4E79" w:themeColor="accent5" w:themeShade="80"/>
                              <w:sz w:val="20"/>
                              <w:szCs w:val="72"/>
                              <w:lang w:val="es-MX"/>
                            </w:rPr>
                          </w:pPr>
                          <w:r w:rsidRPr="0056279B">
                            <w:rPr>
                              <w:rFonts w:ascii="Cambria Math" w:hAnsi="Cambria Math"/>
                              <w:b/>
                              <w:color w:val="1F4E79" w:themeColor="accent5" w:themeShade="80"/>
                              <w:sz w:val="2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313981B" id="_x0000_s1039" style="position:absolute;margin-left:-80pt;margin-top:191.9pt;width:598.55pt;height:15.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" o:allowincell="f" filled="f" stroked="f" strokeweight="0">
              <v:textbox inset="0,0,0,0">
                <w:txbxContent>
                  <w:p w14:paraId="5BEA8FA5" w14:textId="77777777" w:rsidR="00E31540" w:rsidRPr="0056279B" w:rsidRDefault="00E31540" w:rsidP="00311A1F">
                    <w:pPr>
                      <w:jc w:val="center"/>
                      <w:rPr>
                        <w:rFonts w:ascii="Cambria Math" w:hAnsi="Cambria Math"/>
                        <w:b/>
                        <w:color w:val="1F4E79" w:themeColor="accent5" w:themeShade="80"/>
                        <w:sz w:val="20"/>
                        <w:szCs w:val="72"/>
                        <w:lang w:val="es-MX"/>
                      </w:rPr>
                    </w:pPr>
                    <w:r w:rsidRPr="0056279B">
                      <w:rPr>
                        <w:rFonts w:ascii="Cambria Math" w:hAnsi="Cambria Math"/>
                        <w:b/>
                        <w:color w:val="1F4E79" w:themeColor="accent5" w:themeShade="80"/>
                        <w:sz w:val="20"/>
                        <w:szCs w:val="72"/>
                        <w:lang w:val="es-MX"/>
                      </w:rPr>
                      <w:t>Secretaría de Planificación y Programación de la Presidencia</w:t>
                    </w:r>
                  </w:p>
                </w:txbxContent>
              </v:textbox>
              <w10:wrap type="square"/>
            </v:rect>
          </w:pict>
        </mc:Fallback>
      </mc:AlternateContent>
    </w:r>
    <w:r>
      <w:rPr>
        <w:noProof/>
      </w:rPr>
      <mc:AlternateContent>
        <mc:Choice Requires="wps">
          <w:drawing>
            <wp:anchor distT="0" distB="0" distL="114300" distR="114300" simplePos="0" relativeHeight="251703296" behindDoc="0" locked="0" layoutInCell="1" allowOverlap="1" wp14:anchorId="6ECF12ED" wp14:editId="07703FF1">
              <wp:simplePos x="0" y="0"/>
              <wp:positionH relativeFrom="column">
                <wp:posOffset>-1073150</wp:posOffset>
              </wp:positionH>
              <wp:positionV relativeFrom="paragraph">
                <wp:posOffset>2356043</wp:posOffset>
              </wp:positionV>
              <wp:extent cx="7758541" cy="0"/>
              <wp:effectExtent l="0" t="19050" r="33020" b="19050"/>
              <wp:wrapNone/>
              <wp:docPr id="19" name="Conector recto 19"/>
              <wp:cNvGraphicFramePr/>
              <a:graphic xmlns:a="http://schemas.openxmlformats.org/drawingml/2006/main">
                <a:graphicData uri="http://schemas.microsoft.com/office/word/2010/wordprocessingShape">
                  <wps:wsp>
                    <wps:cNvCnPr/>
                    <wps:spPr>
                      <a:xfrm>
                        <a:off x="0" y="0"/>
                        <a:ext cx="7758541"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FFB9E2" id="Conector recto 19"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5pt,185.5pt" to="526.4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" strokecolor="#4472c4 [3204]" strokeweight="3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3404" w14:textId="0B176759" w:rsidR="00E31540" w:rsidRDefault="00E31540">
    <w:pPr>
      <w:pStyle w:val="Piedepgina"/>
      <w:jc w:val="right"/>
    </w:pPr>
  </w:p>
  <w:p w14:paraId="1192415D" w14:textId="63ACEAFE" w:rsidR="00E31540" w:rsidRDefault="00E315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963066"/>
      <w:docPartObj>
        <w:docPartGallery w:val="Page Numbers (Bottom of Page)"/>
        <w:docPartUnique/>
      </w:docPartObj>
    </w:sdtPr>
    <w:sdtEndPr/>
    <w:sdtContent>
      <w:p w14:paraId="6168AA2D" w14:textId="379F0053" w:rsidR="00E31540" w:rsidRDefault="00E31540">
        <w:pPr>
          <w:pStyle w:val="Piedepgina"/>
          <w:jc w:val="right"/>
        </w:pPr>
        <w:r>
          <w:rPr>
            <w:noProof/>
          </w:rPr>
          <mc:AlternateContent>
            <mc:Choice Requires="wps">
              <w:drawing>
                <wp:anchor distT="0" distB="0" distL="114300" distR="114300" simplePos="0" relativeHeight="251715584" behindDoc="0" locked="0" layoutInCell="1" allowOverlap="1" wp14:anchorId="69DC305D" wp14:editId="2F8BCFAA">
                  <wp:simplePos x="0" y="0"/>
                  <wp:positionH relativeFrom="column">
                    <wp:posOffset>-1071245</wp:posOffset>
                  </wp:positionH>
                  <wp:positionV relativeFrom="paragraph">
                    <wp:posOffset>-87468</wp:posOffset>
                  </wp:positionV>
                  <wp:extent cx="7758430" cy="0"/>
                  <wp:effectExtent l="0" t="19050" r="33020" b="19050"/>
                  <wp:wrapNone/>
                  <wp:docPr id="227935766" name="Conector recto 227935766"/>
                  <wp:cNvGraphicFramePr/>
                  <a:graphic xmlns:a="http://schemas.openxmlformats.org/drawingml/2006/main">
                    <a:graphicData uri="http://schemas.microsoft.com/office/word/2010/wordprocessingShape">
                      <wps:wsp>
                        <wps:cNvCnPr/>
                        <wps:spPr>
                          <a:xfrm>
                            <a:off x="0" y="0"/>
                            <a:ext cx="7758430" cy="0"/>
                          </a:xfrm>
                          <a:prstGeom prst="line">
                            <a:avLst/>
                          </a:prstGeom>
                          <a:ln w="38100" cmpd="thickThi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38385" id="Conector recto 22793576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35pt,-6.9pt" to="526.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" strokecolor="#002060" strokeweight="3pt">
                  <v:stroke linestyle="thickThin" joinstyle="miter"/>
                </v:line>
              </w:pict>
            </mc:Fallback>
          </mc:AlternateContent>
        </w:r>
        <w:r>
          <w:fldChar w:fldCharType="begin"/>
        </w:r>
        <w:r>
          <w:instrText>PAGE   \* MERGEFORMAT</w:instrText>
        </w:r>
        <w:r>
          <w:fldChar w:fldCharType="separate"/>
        </w:r>
        <w:r w:rsidRPr="004F4C6A">
          <w:rPr>
            <w:noProof/>
            <w:lang w:val="es-ES"/>
          </w:rPr>
          <w:t>56</w:t>
        </w:r>
        <w:r>
          <w:fldChar w:fldCharType="end"/>
        </w:r>
      </w:p>
    </w:sdtContent>
  </w:sdt>
  <w:p w14:paraId="3F2E98AC" w14:textId="402D37FB" w:rsidR="00E31540" w:rsidRDefault="00E31540" w:rsidP="00B3395F">
    <w:pPr>
      <w:pStyle w:val="Piedepgina"/>
      <w:tabs>
        <w:tab w:val="clear" w:pos="4419"/>
        <w:tab w:val="clear" w:pos="8838"/>
        <w:tab w:val="left" w:pos="8275"/>
      </w:tabs>
    </w:pPr>
    <w:r w:rsidRPr="002267AD">
      <w:rPr>
        <w:noProof/>
      </w:rPr>
      <mc:AlternateContent>
        <mc:Choice Requires="wps">
          <w:drawing>
            <wp:anchor distT="0" distB="0" distL="0" distR="0" simplePos="0" relativeHeight="251662336" behindDoc="0" locked="0" layoutInCell="0" allowOverlap="1" wp14:anchorId="33A88AAB" wp14:editId="66ACC547">
              <wp:simplePos x="0" y="0"/>
              <wp:positionH relativeFrom="column">
                <wp:posOffset>-911111</wp:posOffset>
              </wp:positionH>
              <wp:positionV relativeFrom="paragraph">
                <wp:posOffset>327660</wp:posOffset>
              </wp:positionV>
              <wp:extent cx="7601585" cy="202018"/>
              <wp:effectExtent l="0" t="0" r="18415" b="7620"/>
              <wp:wrapNone/>
              <wp:docPr id="62"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4355369E" w14:textId="77777777" w:rsidR="00E31540" w:rsidRPr="002267AD" w:rsidRDefault="00E31540" w:rsidP="00311A1F">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3A88AAB" id="_x0000_s1041" style="position:absolute;margin-left:-71.75pt;margin-top:25.8pt;width:598.55pt;height:15.9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" o:allowincell="f" filled="f" stroked="f" strokeweight="0">
              <v:textbox inset="0,0,0,0">
                <w:txbxContent>
                  <w:p w14:paraId="4355369E" w14:textId="77777777" w:rsidR="00E31540" w:rsidRPr="002267AD" w:rsidRDefault="00E31540" w:rsidP="00311A1F">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6AE47" w14:textId="3E2C434E" w:rsidR="00E31540" w:rsidRDefault="00E31540">
    <w:pPr>
      <w:pStyle w:val="Piedepgina"/>
      <w:jc w:val="right"/>
    </w:pPr>
    <w:r>
      <w:rPr>
        <w:noProof/>
      </w:rPr>
      <mc:AlternateContent>
        <mc:Choice Requires="wps">
          <w:drawing>
            <wp:anchor distT="0" distB="0" distL="114300" distR="114300" simplePos="0" relativeHeight="251713536" behindDoc="0" locked="0" layoutInCell="1" allowOverlap="1" wp14:anchorId="431EE539" wp14:editId="01176AF9">
              <wp:simplePos x="0" y="0"/>
              <wp:positionH relativeFrom="column">
                <wp:posOffset>-1105535</wp:posOffset>
              </wp:positionH>
              <wp:positionV relativeFrom="paragraph">
                <wp:posOffset>-87970</wp:posOffset>
              </wp:positionV>
              <wp:extent cx="7758430" cy="0"/>
              <wp:effectExtent l="0" t="19050" r="33020" b="19050"/>
              <wp:wrapNone/>
              <wp:docPr id="227935765" name="Conector recto 227935765"/>
              <wp:cNvGraphicFramePr/>
              <a:graphic xmlns:a="http://schemas.openxmlformats.org/drawingml/2006/main">
                <a:graphicData uri="http://schemas.microsoft.com/office/word/2010/wordprocessingShape">
                  <wps:wsp>
                    <wps:cNvCnPr/>
                    <wps:spPr>
                      <a:xfrm>
                        <a:off x="0" y="0"/>
                        <a:ext cx="7758430" cy="0"/>
                      </a:xfrm>
                      <a:prstGeom prst="line">
                        <a:avLst/>
                      </a:prstGeom>
                      <a:ln w="38100" cmpd="thickThi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43D87" id="Conector recto 22793576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87.05pt,-6.95pt" to="523.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" strokecolor="#002060" strokeweight="3pt">
              <v:stroke linestyle="thickThin" joinstyle="miter"/>
            </v:line>
          </w:pict>
        </mc:Fallback>
      </mc:AlternateContent>
    </w:r>
    <w:r>
      <w:fldChar w:fldCharType="begin"/>
    </w:r>
    <w:r>
      <w:instrText>PAGE   \* MERGEFORMAT</w:instrText>
    </w:r>
    <w:r>
      <w:fldChar w:fldCharType="separate"/>
    </w:r>
    <w:r w:rsidRPr="004D2DE8">
      <w:rPr>
        <w:noProof/>
        <w:lang w:val="es-ES"/>
      </w:rPr>
      <w:t>1</w:t>
    </w:r>
    <w:r>
      <w:fldChar w:fldCharType="end"/>
    </w:r>
  </w:p>
  <w:p w14:paraId="504CEEC1" w14:textId="6B9F88EC" w:rsidR="00E31540" w:rsidRDefault="00E31540">
    <w:pPr>
      <w:pStyle w:val="Piedepgina"/>
    </w:pPr>
    <w:r w:rsidRPr="002267AD">
      <w:rPr>
        <w:noProof/>
      </w:rPr>
      <mc:AlternateContent>
        <mc:Choice Requires="wps">
          <w:drawing>
            <wp:anchor distT="0" distB="0" distL="0" distR="0" simplePos="0" relativeHeight="251660288" behindDoc="0" locked="0" layoutInCell="0" allowOverlap="1" wp14:anchorId="586CD7B6" wp14:editId="0D192C75">
              <wp:simplePos x="0" y="0"/>
              <wp:positionH relativeFrom="column">
                <wp:posOffset>-1013460</wp:posOffset>
              </wp:positionH>
              <wp:positionV relativeFrom="paragraph">
                <wp:posOffset>323850</wp:posOffset>
              </wp:positionV>
              <wp:extent cx="7601585" cy="202018"/>
              <wp:effectExtent l="0" t="0" r="18415" b="7620"/>
              <wp:wrapNone/>
              <wp:docPr id="61"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7DE0518C" w14:textId="77777777" w:rsidR="00E31540" w:rsidRPr="002267AD" w:rsidRDefault="00E31540" w:rsidP="00311A1F">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86CD7B6" id="_x0000_s1043" style="position:absolute;margin-left:-79.8pt;margin-top:25.5pt;width:598.55pt;height:15.9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" o:allowincell="f" filled="f" stroked="f" strokeweight="0">
              <v:textbox inset="0,0,0,0">
                <w:txbxContent>
                  <w:p w14:paraId="7DE0518C" w14:textId="77777777" w:rsidR="00E31540" w:rsidRPr="002267AD" w:rsidRDefault="00E31540" w:rsidP="00311A1F">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568741"/>
      <w:docPartObj>
        <w:docPartGallery w:val="Page Numbers (Bottom of Page)"/>
        <w:docPartUnique/>
      </w:docPartObj>
    </w:sdtPr>
    <w:sdtEndPr/>
    <w:sdtContent>
      <w:p w14:paraId="563F553C" w14:textId="365184B3" w:rsidR="00E31540" w:rsidRDefault="00E31540">
        <w:pPr>
          <w:pStyle w:val="Piedepgina"/>
          <w:jc w:val="right"/>
        </w:pPr>
        <w:r>
          <w:rPr>
            <w:noProof/>
          </w:rPr>
          <mc:AlternateContent>
            <mc:Choice Requires="wps">
              <w:drawing>
                <wp:anchor distT="0" distB="0" distL="114300" distR="114300" simplePos="0" relativeHeight="251720704" behindDoc="0" locked="0" layoutInCell="1" allowOverlap="1" wp14:anchorId="633EECE8" wp14:editId="473537F7">
                  <wp:simplePos x="0" y="0"/>
                  <wp:positionH relativeFrom="column">
                    <wp:posOffset>-1009015</wp:posOffset>
                  </wp:positionH>
                  <wp:positionV relativeFrom="paragraph">
                    <wp:posOffset>-81997</wp:posOffset>
                  </wp:positionV>
                  <wp:extent cx="9951522" cy="0"/>
                  <wp:effectExtent l="0" t="19050" r="31115" b="19050"/>
                  <wp:wrapNone/>
                  <wp:docPr id="227935770" name="Conector recto 227935770"/>
                  <wp:cNvGraphicFramePr/>
                  <a:graphic xmlns:a="http://schemas.openxmlformats.org/drawingml/2006/main">
                    <a:graphicData uri="http://schemas.microsoft.com/office/word/2010/wordprocessingShape">
                      <wps:wsp>
                        <wps:cNvCnPr/>
                        <wps:spPr>
                          <a:xfrm>
                            <a:off x="0" y="0"/>
                            <a:ext cx="9951522" cy="0"/>
                          </a:xfrm>
                          <a:prstGeom prst="line">
                            <a:avLst/>
                          </a:prstGeom>
                          <a:ln w="38100" cmpd="thickThi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EAC8F" id="Conector recto 227935770"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45pt,-6.45pt" to="704.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" strokecolor="#002060" strokeweight="3pt">
                  <v:stroke linestyle="thickThin" joinstyle="miter"/>
                </v:line>
              </w:pict>
            </mc:Fallback>
          </mc:AlternateContent>
        </w:r>
        <w:r w:rsidRPr="002267AD">
          <w:rPr>
            <w:noProof/>
          </w:rPr>
          <mc:AlternateContent>
            <mc:Choice Requires="wps">
              <w:drawing>
                <wp:anchor distT="0" distB="0" distL="0" distR="0" simplePos="0" relativeHeight="251687936" behindDoc="0" locked="0" layoutInCell="0" allowOverlap="1" wp14:anchorId="145F8D1B" wp14:editId="6B18BBF2">
                  <wp:simplePos x="0" y="0"/>
                  <wp:positionH relativeFrom="column">
                    <wp:posOffset>-1011896</wp:posOffset>
                  </wp:positionH>
                  <wp:positionV relativeFrom="paragraph">
                    <wp:posOffset>2456815</wp:posOffset>
                  </wp:positionV>
                  <wp:extent cx="7601585" cy="202018"/>
                  <wp:effectExtent l="0" t="0" r="18415" b="7620"/>
                  <wp:wrapNone/>
                  <wp:docPr id="133629016"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7766008D"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45F8D1B" id="_x0000_s1045" style="position:absolute;left:0;text-align:left;margin-left:-79.7pt;margin-top:193.45pt;width:598.55pt;height:15.9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" o:allowincell="f" filled="f" stroked="f" strokeweight="0">
                  <v:textbox inset="0,0,0,0">
                    <w:txbxContent>
                      <w:p w14:paraId="7766008D"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rsidRPr="002267AD">
          <w:rPr>
            <w:noProof/>
          </w:rPr>
          <mc:AlternateContent>
            <mc:Choice Requires="wps">
              <w:drawing>
                <wp:anchor distT="0" distB="0" distL="0" distR="0" simplePos="0" relativeHeight="251664384" behindDoc="0" locked="0" layoutInCell="0" allowOverlap="1" wp14:anchorId="3EB04D84" wp14:editId="7343C576">
                  <wp:simplePos x="0" y="0"/>
                  <wp:positionH relativeFrom="column">
                    <wp:posOffset>-643406</wp:posOffset>
                  </wp:positionH>
                  <wp:positionV relativeFrom="paragraph">
                    <wp:posOffset>2456815</wp:posOffset>
                  </wp:positionV>
                  <wp:extent cx="7601585" cy="202018"/>
                  <wp:effectExtent l="0" t="0" r="18415" b="7620"/>
                  <wp:wrapNone/>
                  <wp:docPr id="133628992"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012B87E5" w14:textId="77777777" w:rsidR="00E31540" w:rsidRPr="002267AD" w:rsidRDefault="00E31540" w:rsidP="0061221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EB04D84" id="_x0000_s1046" style="position:absolute;left:0;text-align:left;margin-left:-50.65pt;margin-top:193.45pt;width:598.55pt;height:15.9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" o:allowincell="f" filled="f" stroked="f" strokeweight="0">
                  <v:textbox inset="0,0,0,0">
                    <w:txbxContent>
                      <w:p w14:paraId="012B87E5" w14:textId="77777777" w:rsidR="00E31540" w:rsidRPr="002267AD" w:rsidRDefault="00E31540" w:rsidP="0061221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fldChar w:fldCharType="begin"/>
        </w:r>
        <w:r>
          <w:instrText>PAGE   \* MERGEFORMAT</w:instrText>
        </w:r>
        <w:r>
          <w:fldChar w:fldCharType="separate"/>
        </w:r>
        <w:r w:rsidRPr="004F4C6A">
          <w:rPr>
            <w:noProof/>
            <w:lang w:val="es-ES"/>
          </w:rPr>
          <w:t>56</w:t>
        </w:r>
        <w:r>
          <w:fldChar w:fldCharType="end"/>
        </w:r>
      </w:p>
    </w:sdtContent>
  </w:sdt>
  <w:p w14:paraId="56B5C6DF" w14:textId="6CEF9DC3" w:rsidR="00E31540" w:rsidRDefault="00E31540" w:rsidP="00B3395F">
    <w:pPr>
      <w:pStyle w:val="Piedepgina"/>
      <w:tabs>
        <w:tab w:val="clear" w:pos="4419"/>
        <w:tab w:val="clear" w:pos="8838"/>
        <w:tab w:val="left" w:pos="8275"/>
      </w:tabs>
    </w:pPr>
    <w:r w:rsidRPr="002267AD">
      <w:rPr>
        <w:noProof/>
      </w:rPr>
      <mc:AlternateContent>
        <mc:Choice Requires="wps">
          <w:drawing>
            <wp:anchor distT="0" distB="0" distL="0" distR="0" simplePos="0" relativeHeight="251696128" behindDoc="0" locked="0" layoutInCell="0" allowOverlap="1" wp14:anchorId="0493AA74" wp14:editId="09FB43D2">
              <wp:simplePos x="0" y="0"/>
              <wp:positionH relativeFrom="column">
                <wp:posOffset>-165735</wp:posOffset>
              </wp:positionH>
              <wp:positionV relativeFrom="paragraph">
                <wp:posOffset>2286635</wp:posOffset>
              </wp:positionV>
              <wp:extent cx="7601585" cy="202018"/>
              <wp:effectExtent l="0" t="0" r="18415" b="7620"/>
              <wp:wrapNone/>
              <wp:docPr id="133629020"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5CFD6DCC"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493AA74" id="_x0000_s1047" style="position:absolute;margin-left:-13.05pt;margin-top:180.05pt;width:598.55pt;height:15.9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" o:allowincell="f" filled="f" stroked="f" strokeweight="0">
              <v:textbox inset="0,0,0,0">
                <w:txbxContent>
                  <w:p w14:paraId="5CFD6DCC"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rsidRPr="002267AD">
      <w:rPr>
        <w:noProof/>
      </w:rPr>
      <mc:AlternateContent>
        <mc:Choice Requires="wps">
          <w:drawing>
            <wp:anchor distT="0" distB="0" distL="0" distR="0" simplePos="0" relativeHeight="251694080" behindDoc="0" locked="0" layoutInCell="0" allowOverlap="1" wp14:anchorId="211C669D" wp14:editId="07657DD3">
              <wp:simplePos x="0" y="0"/>
              <wp:positionH relativeFrom="column">
                <wp:posOffset>-165735</wp:posOffset>
              </wp:positionH>
              <wp:positionV relativeFrom="paragraph">
                <wp:posOffset>2286635</wp:posOffset>
              </wp:positionV>
              <wp:extent cx="7601585" cy="202018"/>
              <wp:effectExtent l="0" t="0" r="18415" b="7620"/>
              <wp:wrapNone/>
              <wp:docPr id="133629019"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1485742A"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1C669D" id="_x0000_s1048" style="position:absolute;margin-left:-13.05pt;margin-top:180.05pt;width:598.55pt;height:15.9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" o:allowincell="f" filled="f" stroked="f" strokeweight="0">
              <v:textbox inset="0,0,0,0">
                <w:txbxContent>
                  <w:p w14:paraId="1485742A"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rsidRPr="002267AD">
      <w:rPr>
        <w:noProof/>
      </w:rPr>
      <mc:AlternateContent>
        <mc:Choice Requires="wps">
          <w:drawing>
            <wp:anchor distT="0" distB="0" distL="0" distR="0" simplePos="0" relativeHeight="251692032" behindDoc="0" locked="0" layoutInCell="0" allowOverlap="1" wp14:anchorId="50793FEC" wp14:editId="5B98B369">
              <wp:simplePos x="0" y="0"/>
              <wp:positionH relativeFrom="column">
                <wp:posOffset>-165735</wp:posOffset>
              </wp:positionH>
              <wp:positionV relativeFrom="paragraph">
                <wp:posOffset>2286635</wp:posOffset>
              </wp:positionV>
              <wp:extent cx="7601585" cy="202018"/>
              <wp:effectExtent l="0" t="0" r="18415" b="7620"/>
              <wp:wrapNone/>
              <wp:docPr id="133629018"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58AF9F04"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0793FEC" id="_x0000_s1049" style="position:absolute;margin-left:-13.05pt;margin-top:180.05pt;width:598.55pt;height:15.9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" o:allowincell="f" filled="f" stroked="f" strokeweight="0">
              <v:textbox inset="0,0,0,0">
                <w:txbxContent>
                  <w:p w14:paraId="58AF9F04"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rsidRPr="002267AD">
      <w:rPr>
        <w:noProof/>
      </w:rPr>
      <mc:AlternateContent>
        <mc:Choice Requires="wps">
          <w:drawing>
            <wp:anchor distT="0" distB="0" distL="0" distR="0" simplePos="0" relativeHeight="251689984" behindDoc="0" locked="0" layoutInCell="0" allowOverlap="1" wp14:anchorId="15A5BF3F" wp14:editId="0C279FFC">
              <wp:simplePos x="0" y="0"/>
              <wp:positionH relativeFrom="column">
                <wp:posOffset>-165735</wp:posOffset>
              </wp:positionH>
              <wp:positionV relativeFrom="paragraph">
                <wp:posOffset>2286635</wp:posOffset>
              </wp:positionV>
              <wp:extent cx="7601585" cy="202018"/>
              <wp:effectExtent l="0" t="0" r="18415" b="7620"/>
              <wp:wrapNone/>
              <wp:docPr id="133629017"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27CB50D1"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5A5BF3F" id="_x0000_s1050" style="position:absolute;margin-left:-13.05pt;margin-top:180.05pt;width:598.55pt;height:15.9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" o:allowincell="f" filled="f" stroked="f" strokeweight="0">
              <v:textbox inset="0,0,0,0">
                <w:txbxContent>
                  <w:p w14:paraId="27CB50D1"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366926"/>
      <w:docPartObj>
        <w:docPartGallery w:val="Page Numbers (Bottom of Page)"/>
        <w:docPartUnique/>
      </w:docPartObj>
    </w:sdtPr>
    <w:sdtEndPr/>
    <w:sdtContent>
      <w:p w14:paraId="738BB46F" w14:textId="77777777" w:rsidR="00E31540" w:rsidRDefault="00E31540">
        <w:pPr>
          <w:pStyle w:val="Piedepgina"/>
          <w:jc w:val="right"/>
        </w:pPr>
        <w:r>
          <w:rPr>
            <w:noProof/>
          </w:rPr>
          <mc:AlternateContent>
            <mc:Choice Requires="wps">
              <w:drawing>
                <wp:anchor distT="0" distB="0" distL="114300" distR="114300" simplePos="0" relativeHeight="251731968" behindDoc="0" locked="0" layoutInCell="1" allowOverlap="1" wp14:anchorId="00D359D5" wp14:editId="4729F1FB">
                  <wp:simplePos x="0" y="0"/>
                  <wp:positionH relativeFrom="column">
                    <wp:posOffset>-1009015</wp:posOffset>
                  </wp:positionH>
                  <wp:positionV relativeFrom="paragraph">
                    <wp:posOffset>-81997</wp:posOffset>
                  </wp:positionV>
                  <wp:extent cx="9951522" cy="0"/>
                  <wp:effectExtent l="0" t="19050" r="31115" b="19050"/>
                  <wp:wrapNone/>
                  <wp:docPr id="227935775" name="Conector recto 227935775"/>
                  <wp:cNvGraphicFramePr/>
                  <a:graphic xmlns:a="http://schemas.openxmlformats.org/drawingml/2006/main">
                    <a:graphicData uri="http://schemas.microsoft.com/office/word/2010/wordprocessingShape">
                      <wps:wsp>
                        <wps:cNvCnPr/>
                        <wps:spPr>
                          <a:xfrm>
                            <a:off x="0" y="0"/>
                            <a:ext cx="9951522" cy="0"/>
                          </a:xfrm>
                          <a:prstGeom prst="line">
                            <a:avLst/>
                          </a:prstGeom>
                          <a:ln w="38100" cmpd="thickThi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781B2E" id="Conector recto 227935775"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45pt,-6.45pt" to="704.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" strokecolor="#002060" strokeweight="3pt">
                  <v:stroke linestyle="thickThin" joinstyle="miter"/>
                </v:line>
              </w:pict>
            </mc:Fallback>
          </mc:AlternateContent>
        </w:r>
        <w:r w:rsidRPr="002267AD">
          <w:rPr>
            <w:noProof/>
          </w:rPr>
          <mc:AlternateContent>
            <mc:Choice Requires="wps">
              <w:drawing>
                <wp:anchor distT="0" distB="0" distL="0" distR="0" simplePos="0" relativeHeight="251726848" behindDoc="0" locked="0" layoutInCell="0" allowOverlap="1" wp14:anchorId="2F350D77" wp14:editId="21526706">
                  <wp:simplePos x="0" y="0"/>
                  <wp:positionH relativeFrom="column">
                    <wp:posOffset>-1011896</wp:posOffset>
                  </wp:positionH>
                  <wp:positionV relativeFrom="paragraph">
                    <wp:posOffset>2456815</wp:posOffset>
                  </wp:positionV>
                  <wp:extent cx="7601585" cy="202018"/>
                  <wp:effectExtent l="0" t="0" r="18415" b="7620"/>
                  <wp:wrapNone/>
                  <wp:docPr id="227935776"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35FC3F30"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F350D77" id="_x0000_s1052" style="position:absolute;left:0;text-align:left;margin-left:-79.7pt;margin-top:193.45pt;width:598.55pt;height:15.9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" o:allowincell="f" filled="f" stroked="f" strokeweight="0">
                  <v:textbox inset="0,0,0,0">
                    <w:txbxContent>
                      <w:p w14:paraId="35FC3F30"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rsidRPr="002267AD">
          <w:rPr>
            <w:noProof/>
          </w:rPr>
          <mc:AlternateContent>
            <mc:Choice Requires="wps">
              <w:drawing>
                <wp:anchor distT="0" distB="0" distL="0" distR="0" simplePos="0" relativeHeight="251725824" behindDoc="0" locked="0" layoutInCell="0" allowOverlap="1" wp14:anchorId="71470E05" wp14:editId="4DF1C289">
                  <wp:simplePos x="0" y="0"/>
                  <wp:positionH relativeFrom="column">
                    <wp:posOffset>-643406</wp:posOffset>
                  </wp:positionH>
                  <wp:positionV relativeFrom="paragraph">
                    <wp:posOffset>2456815</wp:posOffset>
                  </wp:positionV>
                  <wp:extent cx="7601585" cy="202018"/>
                  <wp:effectExtent l="0" t="0" r="18415" b="7620"/>
                  <wp:wrapNone/>
                  <wp:docPr id="227935777"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2910E570" w14:textId="77777777" w:rsidR="00E31540" w:rsidRPr="002267AD" w:rsidRDefault="00E31540" w:rsidP="0061221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1470E05" id="_x0000_s1053" style="position:absolute;left:0;text-align:left;margin-left:-50.65pt;margin-top:193.45pt;width:598.55pt;height:15.9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" o:allowincell="f" filled="f" stroked="f" strokeweight="0">
                  <v:textbox inset="0,0,0,0">
                    <w:txbxContent>
                      <w:p w14:paraId="2910E570" w14:textId="77777777" w:rsidR="00E31540" w:rsidRPr="002267AD" w:rsidRDefault="00E31540" w:rsidP="0061221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fldChar w:fldCharType="begin"/>
        </w:r>
        <w:r>
          <w:instrText>PAGE   \* MERGEFORMAT</w:instrText>
        </w:r>
        <w:r>
          <w:fldChar w:fldCharType="separate"/>
        </w:r>
        <w:r w:rsidRPr="004F4C6A">
          <w:rPr>
            <w:noProof/>
            <w:lang w:val="es-ES"/>
          </w:rPr>
          <w:t>56</w:t>
        </w:r>
        <w:r>
          <w:fldChar w:fldCharType="end"/>
        </w:r>
      </w:p>
    </w:sdtContent>
  </w:sdt>
  <w:p w14:paraId="5195F48B" w14:textId="77777777" w:rsidR="00E31540" w:rsidRDefault="00E31540" w:rsidP="00B3395F">
    <w:pPr>
      <w:pStyle w:val="Piedepgina"/>
      <w:tabs>
        <w:tab w:val="clear" w:pos="4419"/>
        <w:tab w:val="clear" w:pos="8838"/>
        <w:tab w:val="left" w:pos="8275"/>
      </w:tabs>
    </w:pPr>
    <w:r w:rsidRPr="002267AD">
      <w:rPr>
        <w:noProof/>
      </w:rPr>
      <mc:AlternateContent>
        <mc:Choice Requires="wps">
          <w:drawing>
            <wp:anchor distT="0" distB="0" distL="0" distR="0" simplePos="0" relativeHeight="251730944" behindDoc="0" locked="0" layoutInCell="0" allowOverlap="1" wp14:anchorId="4EC0F130" wp14:editId="5AF19C19">
              <wp:simplePos x="0" y="0"/>
              <wp:positionH relativeFrom="column">
                <wp:posOffset>-165735</wp:posOffset>
              </wp:positionH>
              <wp:positionV relativeFrom="paragraph">
                <wp:posOffset>2286635</wp:posOffset>
              </wp:positionV>
              <wp:extent cx="7601585" cy="202018"/>
              <wp:effectExtent l="0" t="0" r="18415" b="7620"/>
              <wp:wrapNone/>
              <wp:docPr id="227935778"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698E3E85"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EC0F130" id="_x0000_s1054" style="position:absolute;margin-left:-13.05pt;margin-top:180.05pt;width:598.55pt;height:15.9pt;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" o:allowincell="f" filled="f" stroked="f" strokeweight="0">
              <v:textbox inset="0,0,0,0">
                <w:txbxContent>
                  <w:p w14:paraId="698E3E85"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rsidRPr="002267AD">
      <w:rPr>
        <w:noProof/>
      </w:rPr>
      <mc:AlternateContent>
        <mc:Choice Requires="wps">
          <w:drawing>
            <wp:anchor distT="0" distB="0" distL="0" distR="0" simplePos="0" relativeHeight="251729920" behindDoc="0" locked="0" layoutInCell="0" allowOverlap="1" wp14:anchorId="01FE46E0" wp14:editId="12F1A00C">
              <wp:simplePos x="0" y="0"/>
              <wp:positionH relativeFrom="column">
                <wp:posOffset>-165735</wp:posOffset>
              </wp:positionH>
              <wp:positionV relativeFrom="paragraph">
                <wp:posOffset>2286635</wp:posOffset>
              </wp:positionV>
              <wp:extent cx="7601585" cy="202018"/>
              <wp:effectExtent l="0" t="0" r="18415" b="7620"/>
              <wp:wrapNone/>
              <wp:docPr id="227935779"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7D42221E"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1FE46E0" id="_x0000_s1055" style="position:absolute;margin-left:-13.05pt;margin-top:180.05pt;width:598.55pt;height:15.9pt;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" o:allowincell="f" filled="f" stroked="f" strokeweight="0">
              <v:textbox inset="0,0,0,0">
                <w:txbxContent>
                  <w:p w14:paraId="7D42221E"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rsidRPr="002267AD">
      <w:rPr>
        <w:noProof/>
      </w:rPr>
      <mc:AlternateContent>
        <mc:Choice Requires="wps">
          <w:drawing>
            <wp:anchor distT="0" distB="0" distL="0" distR="0" simplePos="0" relativeHeight="251728896" behindDoc="0" locked="0" layoutInCell="0" allowOverlap="1" wp14:anchorId="5A95A754" wp14:editId="3A41307C">
              <wp:simplePos x="0" y="0"/>
              <wp:positionH relativeFrom="column">
                <wp:posOffset>-165735</wp:posOffset>
              </wp:positionH>
              <wp:positionV relativeFrom="paragraph">
                <wp:posOffset>2286635</wp:posOffset>
              </wp:positionV>
              <wp:extent cx="7601585" cy="202018"/>
              <wp:effectExtent l="0" t="0" r="18415" b="7620"/>
              <wp:wrapNone/>
              <wp:docPr id="227935780"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13666AF5"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A95A754" id="_x0000_s1056" style="position:absolute;margin-left:-13.05pt;margin-top:180.05pt;width:598.55pt;height:15.9pt;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" o:allowincell="f" filled="f" stroked="f" strokeweight="0">
              <v:textbox inset="0,0,0,0">
                <w:txbxContent>
                  <w:p w14:paraId="13666AF5"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r w:rsidRPr="002267AD">
      <w:rPr>
        <w:noProof/>
      </w:rPr>
      <mc:AlternateContent>
        <mc:Choice Requires="wps">
          <w:drawing>
            <wp:anchor distT="0" distB="0" distL="0" distR="0" simplePos="0" relativeHeight="251727872" behindDoc="0" locked="0" layoutInCell="0" allowOverlap="1" wp14:anchorId="71EDDF42" wp14:editId="4D9ADB7D">
              <wp:simplePos x="0" y="0"/>
              <wp:positionH relativeFrom="column">
                <wp:posOffset>-165735</wp:posOffset>
              </wp:positionH>
              <wp:positionV relativeFrom="paragraph">
                <wp:posOffset>2286635</wp:posOffset>
              </wp:positionV>
              <wp:extent cx="7601585" cy="202018"/>
              <wp:effectExtent l="0" t="0" r="18415" b="7620"/>
              <wp:wrapNone/>
              <wp:docPr id="227935781" name="Forma7"/>
              <wp:cNvGraphicFramePr/>
              <a:graphic xmlns:a="http://schemas.openxmlformats.org/drawingml/2006/main">
                <a:graphicData uri="http://schemas.microsoft.com/office/word/2010/wordprocessingShape">
                  <wps:wsp>
                    <wps:cNvSpPr/>
                    <wps:spPr>
                      <a:xfrm>
                        <a:off x="0" y="0"/>
                        <a:ext cx="7601585" cy="202018"/>
                      </a:xfrm>
                      <a:prstGeom prst="rect">
                        <a:avLst/>
                      </a:prstGeom>
                      <a:noFill/>
                      <a:ln w="0">
                        <a:noFill/>
                      </a:ln>
                    </wps:spPr>
                    <wps:style>
                      <a:lnRef idx="0">
                        <a:scrgbClr r="0" g="0" b="0"/>
                      </a:lnRef>
                      <a:fillRef idx="0">
                        <a:scrgbClr r="0" g="0" b="0"/>
                      </a:fillRef>
                      <a:effectRef idx="0">
                        <a:scrgbClr r="0" g="0" b="0"/>
                      </a:effectRef>
                      <a:fontRef idx="minor"/>
                    </wps:style>
                    <wps:txbx>
                      <w:txbxContent>
                        <w:p w14:paraId="3F9C7ACE"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1EDDF42" id="_x0000_s1057" style="position:absolute;margin-left:-13.05pt;margin-top:180.05pt;width:598.55pt;height:15.9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" o:allowincell="f" filled="f" stroked="f" strokeweight="0">
              <v:textbox inset="0,0,0,0">
                <w:txbxContent>
                  <w:p w14:paraId="3F9C7ACE" w14:textId="77777777" w:rsidR="00E31540" w:rsidRPr="002267AD" w:rsidRDefault="00E31540" w:rsidP="0093034A">
                    <w:pPr>
                      <w:jc w:val="center"/>
                      <w:rPr>
                        <w:rFonts w:ascii="Arial Nova Light" w:hAnsi="Arial Nova Light"/>
                        <w:b/>
                        <w:color w:val="1F4E79" w:themeColor="accent5" w:themeShade="80"/>
                        <w:szCs w:val="72"/>
                        <w:lang w:val="es-MX"/>
                      </w:rPr>
                    </w:pPr>
                    <w:r w:rsidRPr="002267AD">
                      <w:rPr>
                        <w:rFonts w:ascii="Arial Nova Light" w:hAnsi="Arial Nova Light"/>
                        <w:b/>
                        <w:color w:val="1F4E79" w:themeColor="accent5" w:themeShade="80"/>
                        <w:szCs w:val="72"/>
                        <w:lang w:val="es-MX"/>
                      </w:rPr>
                      <w:t>Secretaría de Planificación y Programación de la Presidencia</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CB111" w14:textId="77777777" w:rsidR="00B843AE" w:rsidRDefault="00B843AE" w:rsidP="001B519A">
      <w:pPr>
        <w:spacing w:after="0" w:line="240" w:lineRule="auto"/>
      </w:pPr>
      <w:r>
        <w:separator/>
      </w:r>
    </w:p>
  </w:footnote>
  <w:footnote w:type="continuationSeparator" w:id="0">
    <w:p w14:paraId="12191D1F" w14:textId="77777777" w:rsidR="00B843AE" w:rsidRDefault="00B843AE" w:rsidP="001B519A">
      <w:pPr>
        <w:spacing w:after="0" w:line="240" w:lineRule="auto"/>
      </w:pPr>
      <w:r>
        <w:continuationSeparator/>
      </w:r>
    </w:p>
  </w:footnote>
  <w:footnote w:type="continuationNotice" w:id="1">
    <w:p w14:paraId="67563971" w14:textId="77777777" w:rsidR="00B843AE" w:rsidRDefault="00B843AE">
      <w:pPr>
        <w:spacing w:after="0" w:line="240" w:lineRule="auto"/>
      </w:pPr>
    </w:p>
  </w:footnote>
  <w:footnote w:id="2">
    <w:p w14:paraId="20E51BE3" w14:textId="1CBCE50E" w:rsidR="00E31540" w:rsidRDefault="00E31540" w:rsidP="00D90BD3">
      <w:pPr>
        <w:pStyle w:val="Textonotapie"/>
        <w:spacing w:before="120" w:after="120"/>
      </w:pPr>
      <w:r>
        <w:rPr>
          <w:rStyle w:val="Refdenotaalpie"/>
        </w:rPr>
        <w:footnoteRef/>
      </w:r>
      <w:r>
        <w:t xml:space="preserve"> </w:t>
      </w:r>
      <w:r w:rsidRPr="00957154">
        <w:rPr>
          <w:rFonts w:cstheme="minorHAnsi"/>
          <w:sz w:val="16"/>
        </w:rPr>
        <w:t xml:space="preserve">El MIDES </w:t>
      </w:r>
      <w:r>
        <w:rPr>
          <w:rFonts w:cstheme="minorHAnsi"/>
          <w:sz w:val="16"/>
        </w:rPr>
        <w:t>está vinculado</w:t>
      </w:r>
      <w:r w:rsidRPr="00957154">
        <w:rPr>
          <w:rFonts w:cstheme="minorHAnsi"/>
          <w:sz w:val="16"/>
        </w:rPr>
        <w:t xml:space="preserve"> a cinco RED, en temas relacionados con: disminución de la pobreza y pobreza extrema, cobertura de programas sociales, disminución de la tasa de mortalidad infantil, incremento de la formalidad del empleo y disminución de la tasa de delitos contra el patrimonio de las personas.</w:t>
      </w:r>
    </w:p>
  </w:footnote>
  <w:footnote w:id="3">
    <w:p w14:paraId="1FC5A399" w14:textId="74AF8E5A" w:rsidR="00E31540" w:rsidRDefault="00E31540">
      <w:pPr>
        <w:pStyle w:val="Textonotapie"/>
      </w:pPr>
      <w:r>
        <w:rPr>
          <w:rStyle w:val="Refdenotaalpie"/>
        </w:rPr>
        <w:footnoteRef/>
      </w:r>
      <w:r>
        <w:t xml:space="preserve"> </w:t>
      </w:r>
      <w:r w:rsidRPr="000B491B">
        <w:rPr>
          <w:sz w:val="16"/>
          <w:szCs w:val="16"/>
        </w:rPr>
        <w:t>I</w:t>
      </w:r>
      <w:r w:rsidRPr="000B491B">
        <w:rPr>
          <w:rFonts w:cstheme="minorHAnsi"/>
          <w:sz w:val="16"/>
          <w:szCs w:val="16"/>
        </w:rPr>
        <w:t>n</w:t>
      </w:r>
      <w:r w:rsidRPr="00412F96">
        <w:rPr>
          <w:rFonts w:cstheme="minorHAnsi"/>
          <w:sz w:val="16"/>
        </w:rPr>
        <w:t>formación obtenida</w:t>
      </w:r>
      <w:r>
        <w:rPr>
          <w:rFonts w:cstheme="minorHAnsi"/>
          <w:sz w:val="16"/>
        </w:rPr>
        <w:t xml:space="preserve"> de instituciones públicas </w:t>
      </w:r>
      <w:r w:rsidRPr="00412F96">
        <w:rPr>
          <w:rFonts w:cstheme="minorHAnsi"/>
          <w:sz w:val="16"/>
        </w:rPr>
        <w:t xml:space="preserve">a través de cuestionario electrónico </w:t>
      </w:r>
      <w:r>
        <w:rPr>
          <w:rFonts w:cstheme="minorHAnsi"/>
          <w:sz w:val="16"/>
        </w:rPr>
        <w:t>“</w:t>
      </w:r>
      <w:r w:rsidRPr="002A1CFA">
        <w:rPr>
          <w:rFonts w:cstheme="minorHAnsi"/>
          <w:sz w:val="16"/>
        </w:rPr>
        <w:t>Complemento descriptivo de la calidad del gasto y ejecución de metas</w:t>
      </w:r>
      <w:r>
        <w:rPr>
          <w:rFonts w:cstheme="minorHAnsi"/>
          <w:sz w:val="16"/>
        </w:rPr>
        <w:t xml:space="preserve">, </w:t>
      </w:r>
      <w:r w:rsidRPr="002A1CFA">
        <w:rPr>
          <w:rFonts w:cstheme="minorHAnsi"/>
          <w:sz w:val="16"/>
        </w:rPr>
        <w:t>tercer cuatrimestre</w:t>
      </w:r>
      <w:r>
        <w:rPr>
          <w:rFonts w:cstheme="minorHAnsi"/>
          <w:sz w:val="16"/>
        </w:rPr>
        <w:t>, año</w:t>
      </w:r>
      <w:r w:rsidRPr="002A1CFA">
        <w:rPr>
          <w:rFonts w:cstheme="minorHAnsi"/>
          <w:sz w:val="16"/>
        </w:rPr>
        <w:t xml:space="preserve"> 2022</w:t>
      </w:r>
      <w:r>
        <w:rPr>
          <w:rFonts w:cstheme="minorHAnsi"/>
          <w:sz w:val="16"/>
        </w:rPr>
        <w:t>/</w:t>
      </w:r>
      <w:r w:rsidRPr="00412F96">
        <w:rPr>
          <w:rFonts w:cstheme="minorHAnsi"/>
          <w:sz w:val="16"/>
        </w:rPr>
        <w:t>Microsoft Forms</w:t>
      </w:r>
      <w:r>
        <w:rPr>
          <w:rFonts w:cstheme="minorHAnsi"/>
          <w:sz w:val="16"/>
        </w:rPr>
        <w:t>, 13/01/2023.</w:t>
      </w:r>
    </w:p>
  </w:footnote>
  <w:footnote w:id="4">
    <w:p w14:paraId="4A6A33FF" w14:textId="77777777" w:rsidR="00E31540" w:rsidRDefault="00E31540" w:rsidP="00D90BD3">
      <w:pPr>
        <w:pStyle w:val="Textonotapie"/>
        <w:spacing w:before="120" w:after="120"/>
        <w:jc w:val="both"/>
      </w:pPr>
      <w:r>
        <w:rPr>
          <w:rStyle w:val="Refdenotaalpie"/>
        </w:rPr>
        <w:footnoteRef/>
      </w:r>
      <w:r>
        <w:t xml:space="preserve"> El MINEDUC contribuye indirectamente por medio del a</w:t>
      </w:r>
      <w:r w:rsidRPr="009D34D1">
        <w:t xml:space="preserve">porte económico </w:t>
      </w:r>
      <w:r>
        <w:t>que realiza al</w:t>
      </w:r>
      <w:r w:rsidRPr="009D34D1">
        <w:t xml:space="preserve"> Comité Nacional de Alfabetización (CONALFA)</w:t>
      </w:r>
      <w:r>
        <w:t>, sin embargo, el CONALFA es la entidad responsable que se encuentra vinculada a este RED.</w:t>
      </w:r>
    </w:p>
  </w:footnote>
  <w:footnote w:id="5">
    <w:p w14:paraId="4C554E81" w14:textId="115AEFA6" w:rsidR="00E31540" w:rsidRPr="00EC3957" w:rsidRDefault="00E31540" w:rsidP="00EC3957">
      <w:pPr>
        <w:spacing w:after="0" w:line="240" w:lineRule="auto"/>
        <w:jc w:val="both"/>
        <w:rPr>
          <w:rFonts w:ascii="Calibri" w:eastAsia="Calibri" w:hAnsi="Calibri" w:cs="Calibri"/>
          <w:sz w:val="16"/>
          <w:szCs w:val="18"/>
        </w:rPr>
      </w:pPr>
      <w:r>
        <w:rPr>
          <w:rStyle w:val="Refdenotaalpie"/>
        </w:rPr>
        <w:footnoteRef/>
      </w:r>
      <w:r>
        <w:t xml:space="preserve"> </w:t>
      </w:r>
      <w:r w:rsidRPr="009B4095">
        <w:rPr>
          <w:rFonts w:ascii="Calibri" w:eastAsia="Calibri" w:hAnsi="Calibri" w:cs="Calibri"/>
          <w:sz w:val="16"/>
          <w:szCs w:val="18"/>
        </w:rPr>
        <w:t>Intervenciones relevantes realizadas por el Ministerio de Educación durante el ejercicio fiscal 2022, según información proporcionada por DIGEPSA, DIGECUR y DIGEACE.</w:t>
      </w:r>
    </w:p>
    <w:p w14:paraId="7386E821" w14:textId="01F578DD" w:rsidR="00E31540" w:rsidRPr="009B4095" w:rsidRDefault="00E31540">
      <w:pPr>
        <w:pStyle w:val="Textonotapie"/>
      </w:pPr>
    </w:p>
  </w:footnote>
  <w:footnote w:id="6">
    <w:p w14:paraId="532EBE5D" w14:textId="747455F8" w:rsidR="00E31540" w:rsidRPr="00403021" w:rsidRDefault="00E31540" w:rsidP="00E42F53">
      <w:pPr>
        <w:pStyle w:val="Textonotapie"/>
        <w:jc w:val="both"/>
        <w:rPr>
          <w:rFonts w:ascii="Helvetica" w:hAnsi="Helvetica" w:cs="Helvetica"/>
        </w:rPr>
      </w:pPr>
      <w:r w:rsidRPr="00403021">
        <w:rPr>
          <w:rStyle w:val="Refdenotaalpie"/>
          <w:rFonts w:ascii="Helvetica" w:hAnsi="Helvetica" w:cs="Helvetica"/>
          <w:sz w:val="16"/>
        </w:rPr>
        <w:footnoteRef/>
      </w:r>
      <w:r w:rsidRPr="00403021">
        <w:rPr>
          <w:rFonts w:ascii="Helvetica" w:hAnsi="Helvetica" w:cs="Helvetica"/>
          <w:sz w:val="16"/>
        </w:rPr>
        <w:t xml:space="preserve"> </w:t>
      </w:r>
      <w:r w:rsidRPr="000B491B">
        <w:rPr>
          <w:sz w:val="16"/>
          <w:szCs w:val="16"/>
        </w:rPr>
        <w:t>I</w:t>
      </w:r>
      <w:r w:rsidRPr="000B491B">
        <w:rPr>
          <w:rFonts w:cstheme="minorHAnsi"/>
          <w:sz w:val="16"/>
          <w:szCs w:val="16"/>
        </w:rPr>
        <w:t>n</w:t>
      </w:r>
      <w:r w:rsidRPr="00412F96">
        <w:rPr>
          <w:rFonts w:cstheme="minorHAnsi"/>
          <w:sz w:val="16"/>
        </w:rPr>
        <w:t>formación obtenida</w:t>
      </w:r>
      <w:r>
        <w:rPr>
          <w:rFonts w:cstheme="minorHAnsi"/>
          <w:sz w:val="16"/>
        </w:rPr>
        <w:t xml:space="preserve"> de instituciones públicas </w:t>
      </w:r>
      <w:r w:rsidRPr="00412F96">
        <w:rPr>
          <w:rFonts w:cstheme="minorHAnsi"/>
          <w:sz w:val="16"/>
        </w:rPr>
        <w:t xml:space="preserve">a través de cuestionario electrónico </w:t>
      </w:r>
      <w:r>
        <w:rPr>
          <w:rFonts w:cstheme="minorHAnsi"/>
          <w:sz w:val="16"/>
        </w:rPr>
        <w:t>“</w:t>
      </w:r>
      <w:r w:rsidRPr="002A1CFA">
        <w:rPr>
          <w:rFonts w:cstheme="minorHAnsi"/>
          <w:sz w:val="16"/>
        </w:rPr>
        <w:t>Complemento descriptivo de la calidad del gasto y ejecución de metas</w:t>
      </w:r>
      <w:r>
        <w:rPr>
          <w:rFonts w:cstheme="minorHAnsi"/>
          <w:sz w:val="16"/>
        </w:rPr>
        <w:t xml:space="preserve">, </w:t>
      </w:r>
      <w:r w:rsidRPr="002A1CFA">
        <w:rPr>
          <w:rFonts w:cstheme="minorHAnsi"/>
          <w:sz w:val="16"/>
        </w:rPr>
        <w:t>tercer cuatrimestre</w:t>
      </w:r>
      <w:r>
        <w:rPr>
          <w:rFonts w:cstheme="minorHAnsi"/>
          <w:sz w:val="16"/>
        </w:rPr>
        <w:t>, año</w:t>
      </w:r>
      <w:r w:rsidRPr="002A1CFA">
        <w:rPr>
          <w:rFonts w:cstheme="minorHAnsi"/>
          <w:sz w:val="16"/>
        </w:rPr>
        <w:t xml:space="preserve"> 2022</w:t>
      </w:r>
      <w:r>
        <w:rPr>
          <w:rFonts w:cstheme="minorHAnsi"/>
          <w:sz w:val="16"/>
        </w:rPr>
        <w:t>/</w:t>
      </w:r>
      <w:r w:rsidRPr="00412F96">
        <w:rPr>
          <w:rFonts w:cstheme="minorHAnsi"/>
          <w:sz w:val="16"/>
        </w:rPr>
        <w:t>Microsoft Forms</w:t>
      </w:r>
      <w:r>
        <w:rPr>
          <w:rFonts w:cstheme="minorHAnsi"/>
          <w:sz w:val="16"/>
        </w:rPr>
        <w:t>, 13/01/2023.</w:t>
      </w:r>
    </w:p>
  </w:footnote>
  <w:footnote w:id="7">
    <w:p w14:paraId="1B7711C3" w14:textId="7EE47BCE" w:rsidR="00E31540" w:rsidRPr="00403021" w:rsidRDefault="00E31540" w:rsidP="00640D38">
      <w:pPr>
        <w:pStyle w:val="Textonotapie"/>
        <w:jc w:val="both"/>
        <w:rPr>
          <w:rFonts w:ascii="Helvetica" w:hAnsi="Helvetica" w:cs="Helvetica"/>
        </w:rPr>
      </w:pPr>
      <w:r w:rsidRPr="00403021">
        <w:rPr>
          <w:rStyle w:val="Refdenotaalpie"/>
          <w:rFonts w:ascii="Helvetica" w:hAnsi="Helvetica" w:cs="Helvetica"/>
          <w:sz w:val="16"/>
        </w:rPr>
        <w:footnoteRef/>
      </w:r>
      <w:r w:rsidRPr="00403021">
        <w:rPr>
          <w:rFonts w:ascii="Helvetica" w:hAnsi="Helvetica" w:cs="Helvetica"/>
          <w:sz w:val="16"/>
        </w:rPr>
        <w:t xml:space="preserve"> </w:t>
      </w:r>
      <w:r w:rsidRPr="000B491B">
        <w:rPr>
          <w:sz w:val="16"/>
          <w:szCs w:val="16"/>
        </w:rPr>
        <w:t>I</w:t>
      </w:r>
      <w:r w:rsidRPr="000B491B">
        <w:rPr>
          <w:rFonts w:cstheme="minorHAnsi"/>
          <w:sz w:val="16"/>
          <w:szCs w:val="16"/>
        </w:rPr>
        <w:t>n</w:t>
      </w:r>
      <w:r w:rsidRPr="00412F96">
        <w:rPr>
          <w:rFonts w:cstheme="minorHAnsi"/>
          <w:sz w:val="16"/>
        </w:rPr>
        <w:t>formación obtenida</w:t>
      </w:r>
      <w:r>
        <w:rPr>
          <w:rFonts w:cstheme="minorHAnsi"/>
          <w:sz w:val="16"/>
        </w:rPr>
        <w:t xml:space="preserve"> de instituciones públicas </w:t>
      </w:r>
      <w:r w:rsidRPr="00412F96">
        <w:rPr>
          <w:rFonts w:cstheme="minorHAnsi"/>
          <w:sz w:val="16"/>
        </w:rPr>
        <w:t xml:space="preserve">a través de cuestionario electrónico </w:t>
      </w:r>
      <w:r>
        <w:rPr>
          <w:rFonts w:cstheme="minorHAnsi"/>
          <w:sz w:val="16"/>
        </w:rPr>
        <w:t>“</w:t>
      </w:r>
      <w:r w:rsidRPr="002A1CFA">
        <w:rPr>
          <w:rFonts w:cstheme="minorHAnsi"/>
          <w:sz w:val="16"/>
        </w:rPr>
        <w:t>Complemento descriptivo de la calidad del gasto y ejecución de metas</w:t>
      </w:r>
      <w:r>
        <w:rPr>
          <w:rFonts w:cstheme="minorHAnsi"/>
          <w:sz w:val="16"/>
        </w:rPr>
        <w:t xml:space="preserve">, </w:t>
      </w:r>
      <w:r w:rsidRPr="002A1CFA">
        <w:rPr>
          <w:rFonts w:cstheme="minorHAnsi"/>
          <w:sz w:val="16"/>
        </w:rPr>
        <w:t>tercer cuatrimestre</w:t>
      </w:r>
      <w:r>
        <w:rPr>
          <w:rFonts w:cstheme="minorHAnsi"/>
          <w:sz w:val="16"/>
        </w:rPr>
        <w:t>, año</w:t>
      </w:r>
      <w:r w:rsidRPr="002A1CFA">
        <w:rPr>
          <w:rFonts w:cstheme="minorHAnsi"/>
          <w:sz w:val="16"/>
        </w:rPr>
        <w:t xml:space="preserve"> 2022</w:t>
      </w:r>
      <w:r>
        <w:rPr>
          <w:rFonts w:cstheme="minorHAnsi"/>
          <w:sz w:val="16"/>
        </w:rPr>
        <w:t>/</w:t>
      </w:r>
      <w:r w:rsidRPr="00412F96">
        <w:rPr>
          <w:rFonts w:cstheme="minorHAnsi"/>
          <w:sz w:val="16"/>
        </w:rPr>
        <w:t>Microsoft Forms</w:t>
      </w:r>
      <w:r>
        <w:rPr>
          <w:rFonts w:cstheme="minorHAnsi"/>
          <w:sz w:val="16"/>
        </w:rPr>
        <w:t>, 13/01/2023.</w:t>
      </w:r>
    </w:p>
  </w:footnote>
  <w:footnote w:id="8">
    <w:p w14:paraId="17F4CAB0" w14:textId="2A615762" w:rsidR="00E31540" w:rsidRDefault="00E31540" w:rsidP="00A940F1">
      <w:pPr>
        <w:pStyle w:val="Textonotapie"/>
      </w:pPr>
      <w:r>
        <w:rPr>
          <w:rStyle w:val="Refdenotaalpie"/>
        </w:rPr>
        <w:footnoteRef/>
      </w:r>
      <w:r>
        <w:t xml:space="preserve"> </w:t>
      </w:r>
      <w:r>
        <w:rPr>
          <w:sz w:val="16"/>
        </w:rPr>
        <w:t>La Oficina N</w:t>
      </w:r>
      <w:r w:rsidRPr="00072B86">
        <w:rPr>
          <w:sz w:val="16"/>
        </w:rPr>
        <w:t xml:space="preserve">acional de </w:t>
      </w:r>
      <w:r>
        <w:rPr>
          <w:sz w:val="16"/>
        </w:rPr>
        <w:t>P</w:t>
      </w:r>
      <w:r w:rsidRPr="00072B86">
        <w:rPr>
          <w:sz w:val="16"/>
        </w:rPr>
        <w:t>revenci</w:t>
      </w:r>
      <w:r>
        <w:rPr>
          <w:sz w:val="16"/>
        </w:rPr>
        <w:t>ó</w:t>
      </w:r>
      <w:r w:rsidRPr="00072B86">
        <w:rPr>
          <w:sz w:val="16"/>
        </w:rPr>
        <w:t xml:space="preserve">n de la </w:t>
      </w:r>
      <w:r>
        <w:rPr>
          <w:sz w:val="16"/>
        </w:rPr>
        <w:t>T</w:t>
      </w:r>
      <w:r w:rsidRPr="00072B86">
        <w:rPr>
          <w:sz w:val="16"/>
        </w:rPr>
        <w:t xml:space="preserve">ortura y otros </w:t>
      </w:r>
      <w:r>
        <w:rPr>
          <w:sz w:val="16"/>
        </w:rPr>
        <w:t>T</w:t>
      </w:r>
      <w:r w:rsidRPr="00072B86">
        <w:rPr>
          <w:sz w:val="16"/>
        </w:rPr>
        <w:t xml:space="preserve">ratos o </w:t>
      </w:r>
      <w:r>
        <w:rPr>
          <w:sz w:val="16"/>
        </w:rPr>
        <w:t>p</w:t>
      </w:r>
      <w:r w:rsidRPr="00072B86">
        <w:rPr>
          <w:sz w:val="16"/>
        </w:rPr>
        <w:t xml:space="preserve">enas </w:t>
      </w:r>
      <w:r>
        <w:rPr>
          <w:sz w:val="16"/>
        </w:rPr>
        <w:t>C</w:t>
      </w:r>
      <w:r w:rsidRPr="00072B86">
        <w:rPr>
          <w:sz w:val="16"/>
        </w:rPr>
        <w:t xml:space="preserve">rueles </w:t>
      </w:r>
      <w:r>
        <w:rPr>
          <w:sz w:val="16"/>
        </w:rPr>
        <w:t>I</w:t>
      </w:r>
      <w:r w:rsidRPr="00072B86">
        <w:rPr>
          <w:sz w:val="16"/>
        </w:rPr>
        <w:t xml:space="preserve">nhumanos o </w:t>
      </w:r>
      <w:r>
        <w:rPr>
          <w:sz w:val="16"/>
        </w:rPr>
        <w:t>D</w:t>
      </w:r>
      <w:r w:rsidRPr="00072B86">
        <w:rPr>
          <w:sz w:val="16"/>
        </w:rPr>
        <w:t>egradantes</w:t>
      </w:r>
      <w:r>
        <w:rPr>
          <w:sz w:val="16"/>
        </w:rPr>
        <w:t xml:space="preserve"> y la Escuela Nacional Central de Agricultura, no fueron incluidas en el presente informe, </w:t>
      </w:r>
      <w:bookmarkStart w:id="47" w:name="_Hlk129248650"/>
      <w:r>
        <w:rPr>
          <w:sz w:val="16"/>
        </w:rPr>
        <w:t xml:space="preserve">por no haber registrado ejecución de metas </w:t>
      </w:r>
      <w:bookmarkEnd w:id="47"/>
      <w:r>
        <w:rPr>
          <w:sz w:val="16"/>
        </w:rPr>
        <w:t>en el Sistema de Planes Institucionales (Siplan).</w:t>
      </w:r>
    </w:p>
  </w:footnote>
  <w:footnote w:id="9">
    <w:p w14:paraId="78088B4C" w14:textId="11ADCE6C" w:rsidR="00E31540" w:rsidRPr="00403021" w:rsidRDefault="00E31540" w:rsidP="006A6ACF">
      <w:pPr>
        <w:pStyle w:val="Textonotapie"/>
        <w:jc w:val="both"/>
        <w:rPr>
          <w:rFonts w:ascii="Helvetica" w:hAnsi="Helvetica" w:cs="Helvetica"/>
        </w:rPr>
      </w:pPr>
      <w:r w:rsidRPr="00403021">
        <w:rPr>
          <w:rStyle w:val="Refdenotaalpie"/>
          <w:rFonts w:ascii="Helvetica" w:hAnsi="Helvetica" w:cs="Helvetica"/>
          <w:sz w:val="16"/>
        </w:rPr>
        <w:footnoteRef/>
      </w:r>
      <w:r w:rsidRPr="00403021">
        <w:rPr>
          <w:rFonts w:ascii="Helvetica" w:hAnsi="Helvetica" w:cs="Helvetica"/>
          <w:sz w:val="16"/>
        </w:rPr>
        <w:t xml:space="preserve"> </w:t>
      </w:r>
      <w:r w:rsidRPr="000B491B">
        <w:rPr>
          <w:sz w:val="16"/>
          <w:szCs w:val="16"/>
        </w:rPr>
        <w:t>I</w:t>
      </w:r>
      <w:r w:rsidRPr="000B491B">
        <w:rPr>
          <w:rFonts w:cstheme="minorHAnsi"/>
          <w:sz w:val="16"/>
          <w:szCs w:val="16"/>
        </w:rPr>
        <w:t>n</w:t>
      </w:r>
      <w:r w:rsidRPr="00412F96">
        <w:rPr>
          <w:rFonts w:cstheme="minorHAnsi"/>
          <w:sz w:val="16"/>
        </w:rPr>
        <w:t>formación obtenida</w:t>
      </w:r>
      <w:r>
        <w:rPr>
          <w:rFonts w:cstheme="minorHAnsi"/>
          <w:sz w:val="16"/>
        </w:rPr>
        <w:t xml:space="preserve"> de instituciones públicas </w:t>
      </w:r>
      <w:r w:rsidRPr="00412F96">
        <w:rPr>
          <w:rFonts w:cstheme="minorHAnsi"/>
          <w:sz w:val="16"/>
        </w:rPr>
        <w:t xml:space="preserve">a través de cuestionario electrónico </w:t>
      </w:r>
      <w:r>
        <w:rPr>
          <w:rFonts w:cstheme="minorHAnsi"/>
          <w:sz w:val="16"/>
        </w:rPr>
        <w:t>“</w:t>
      </w:r>
      <w:r w:rsidRPr="002A1CFA">
        <w:rPr>
          <w:rFonts w:cstheme="minorHAnsi"/>
          <w:sz w:val="16"/>
        </w:rPr>
        <w:t>Complemento descriptivo de la calidad del gasto y ejecución de metas</w:t>
      </w:r>
      <w:r>
        <w:rPr>
          <w:rFonts w:cstheme="minorHAnsi"/>
          <w:sz w:val="16"/>
        </w:rPr>
        <w:t xml:space="preserve">, </w:t>
      </w:r>
      <w:r w:rsidRPr="002A1CFA">
        <w:rPr>
          <w:rFonts w:cstheme="minorHAnsi"/>
          <w:sz w:val="16"/>
        </w:rPr>
        <w:t>tercer cuatrimestre</w:t>
      </w:r>
      <w:r>
        <w:rPr>
          <w:rFonts w:cstheme="minorHAnsi"/>
          <w:sz w:val="16"/>
        </w:rPr>
        <w:t>, año</w:t>
      </w:r>
      <w:r w:rsidRPr="002A1CFA">
        <w:rPr>
          <w:rFonts w:cstheme="minorHAnsi"/>
          <w:sz w:val="16"/>
        </w:rPr>
        <w:t xml:space="preserve"> 2022</w:t>
      </w:r>
      <w:r>
        <w:rPr>
          <w:rFonts w:cstheme="minorHAnsi"/>
          <w:sz w:val="16"/>
        </w:rPr>
        <w:t>/</w:t>
      </w:r>
      <w:r w:rsidRPr="00412F96">
        <w:rPr>
          <w:rFonts w:cstheme="minorHAnsi"/>
          <w:sz w:val="16"/>
        </w:rPr>
        <w:t>Microsoft Forms</w:t>
      </w:r>
      <w:r>
        <w:rPr>
          <w:rFonts w:cstheme="minorHAnsi"/>
          <w:sz w:val="16"/>
        </w:rPr>
        <w:t>, 13/01/2023.</w:t>
      </w:r>
    </w:p>
  </w:footnote>
  <w:footnote w:id="10">
    <w:p w14:paraId="428CA19B" w14:textId="77777777" w:rsidR="00E31540" w:rsidRPr="00E622E8" w:rsidRDefault="00E31540" w:rsidP="00D33E9B">
      <w:pPr>
        <w:pStyle w:val="Textonotapie"/>
        <w:jc w:val="both"/>
        <w:rPr>
          <w:sz w:val="16"/>
        </w:rPr>
      </w:pPr>
      <w:r>
        <w:rPr>
          <w:rStyle w:val="Refdenotaalpie"/>
        </w:rPr>
        <w:footnoteRef/>
      </w:r>
      <w:r>
        <w:t xml:space="preserve"> </w:t>
      </w:r>
      <w:r>
        <w:rPr>
          <w:sz w:val="16"/>
        </w:rPr>
        <w:t xml:space="preserve">Ocho federaciones, seis asociaciones deportivas y el Tribunal Eleccionario del Deporte Federado, no fueron incluidas en el presente informe, por no contar con registros de ejecución en el Sistema de Planes Institucionales -Siplan- (Federaciones no incluidas: Balonmano, Karate Do, </w:t>
      </w:r>
      <w:r w:rsidRPr="00444518">
        <w:rPr>
          <w:sz w:val="16"/>
        </w:rPr>
        <w:t>Natación, Clavados, Polo Acuático y Nado Sincronizado</w:t>
      </w:r>
      <w:r>
        <w:rPr>
          <w:sz w:val="16"/>
        </w:rPr>
        <w:t>, Andinismo, Badminton, Beisbol, Tenis de Mesa y Tenis de Campo. Asociaciones no incluidas: Polo, Softbol, Surf, Tiro con arma de caza, Golf y Pesca).</w:t>
      </w:r>
    </w:p>
  </w:footnote>
  <w:footnote w:id="11">
    <w:p w14:paraId="36CE7E80" w14:textId="12A17C84" w:rsidR="00E31540" w:rsidRPr="00403021" w:rsidRDefault="00E31540" w:rsidP="00BA16B0">
      <w:pPr>
        <w:pStyle w:val="Textonotapie"/>
        <w:jc w:val="both"/>
        <w:rPr>
          <w:rFonts w:ascii="Helvetica" w:hAnsi="Helvetica" w:cs="Helvetica"/>
        </w:rPr>
      </w:pPr>
      <w:r w:rsidRPr="00403021">
        <w:rPr>
          <w:rStyle w:val="Refdenotaalpie"/>
          <w:rFonts w:ascii="Helvetica" w:hAnsi="Helvetica" w:cs="Helvetica"/>
          <w:sz w:val="16"/>
        </w:rPr>
        <w:footnoteRef/>
      </w:r>
      <w:r w:rsidRPr="00403021">
        <w:rPr>
          <w:rFonts w:ascii="Helvetica" w:hAnsi="Helvetica" w:cs="Helvetica"/>
          <w:sz w:val="16"/>
        </w:rPr>
        <w:t xml:space="preserve"> </w:t>
      </w:r>
      <w:r w:rsidRPr="000B491B">
        <w:rPr>
          <w:sz w:val="16"/>
          <w:szCs w:val="16"/>
        </w:rPr>
        <w:t>I</w:t>
      </w:r>
      <w:r w:rsidRPr="000B491B">
        <w:rPr>
          <w:rFonts w:cstheme="minorHAnsi"/>
          <w:sz w:val="16"/>
          <w:szCs w:val="16"/>
        </w:rPr>
        <w:t>n</w:t>
      </w:r>
      <w:r w:rsidRPr="00412F96">
        <w:rPr>
          <w:rFonts w:cstheme="minorHAnsi"/>
          <w:sz w:val="16"/>
        </w:rPr>
        <w:t>formación obtenida</w:t>
      </w:r>
      <w:r>
        <w:rPr>
          <w:rFonts w:cstheme="minorHAnsi"/>
          <w:sz w:val="16"/>
        </w:rPr>
        <w:t xml:space="preserve"> de instituciones públicas </w:t>
      </w:r>
      <w:r w:rsidRPr="00412F96">
        <w:rPr>
          <w:rFonts w:cstheme="minorHAnsi"/>
          <w:sz w:val="16"/>
        </w:rPr>
        <w:t xml:space="preserve">a través de cuestionario electrónico </w:t>
      </w:r>
      <w:r>
        <w:rPr>
          <w:rFonts w:cstheme="minorHAnsi"/>
          <w:sz w:val="16"/>
        </w:rPr>
        <w:t>“</w:t>
      </w:r>
      <w:r w:rsidRPr="002A1CFA">
        <w:rPr>
          <w:rFonts w:cstheme="minorHAnsi"/>
          <w:sz w:val="16"/>
        </w:rPr>
        <w:t>Complemento descriptivo de la calidad del gasto y ejecución de metas</w:t>
      </w:r>
      <w:r>
        <w:rPr>
          <w:rFonts w:cstheme="minorHAnsi"/>
          <w:sz w:val="16"/>
        </w:rPr>
        <w:t xml:space="preserve">, </w:t>
      </w:r>
      <w:r w:rsidRPr="002A1CFA">
        <w:rPr>
          <w:rFonts w:cstheme="minorHAnsi"/>
          <w:sz w:val="16"/>
        </w:rPr>
        <w:t>tercer cuatrimestre</w:t>
      </w:r>
      <w:r>
        <w:rPr>
          <w:rFonts w:cstheme="minorHAnsi"/>
          <w:sz w:val="16"/>
        </w:rPr>
        <w:t>, año</w:t>
      </w:r>
      <w:r w:rsidRPr="002A1CFA">
        <w:rPr>
          <w:rFonts w:cstheme="minorHAnsi"/>
          <w:sz w:val="16"/>
        </w:rPr>
        <w:t xml:space="preserve"> 2022</w:t>
      </w:r>
      <w:r>
        <w:rPr>
          <w:rFonts w:cstheme="minorHAnsi"/>
          <w:sz w:val="16"/>
        </w:rPr>
        <w:t>/</w:t>
      </w:r>
      <w:r w:rsidRPr="00412F96">
        <w:rPr>
          <w:rFonts w:cstheme="minorHAnsi"/>
          <w:sz w:val="16"/>
        </w:rPr>
        <w:t>Microsoft Forms</w:t>
      </w:r>
      <w:r>
        <w:rPr>
          <w:rFonts w:cstheme="minorHAnsi"/>
          <w:sz w:val="16"/>
        </w:rPr>
        <w:t>, 13/01/2023.</w:t>
      </w:r>
    </w:p>
  </w:footnote>
  <w:footnote w:id="12">
    <w:p w14:paraId="57B5C249" w14:textId="299009F3" w:rsidR="00E31540" w:rsidRPr="00403021" w:rsidRDefault="00E31540" w:rsidP="00965CB1">
      <w:pPr>
        <w:pStyle w:val="Textonotapie"/>
        <w:jc w:val="both"/>
        <w:rPr>
          <w:rFonts w:ascii="Helvetica" w:hAnsi="Helvetica" w:cs="Helvetica"/>
        </w:rPr>
      </w:pPr>
      <w:r w:rsidRPr="00403021">
        <w:rPr>
          <w:rStyle w:val="Refdenotaalpie"/>
          <w:rFonts w:ascii="Helvetica" w:hAnsi="Helvetica" w:cs="Helvetica"/>
          <w:sz w:val="16"/>
        </w:rPr>
        <w:footnoteRef/>
      </w:r>
      <w:r w:rsidRPr="00403021">
        <w:rPr>
          <w:rFonts w:ascii="Helvetica" w:hAnsi="Helvetica" w:cs="Helvetica"/>
          <w:sz w:val="16"/>
        </w:rPr>
        <w:t xml:space="preserve"> </w:t>
      </w:r>
      <w:r w:rsidRPr="000B491B">
        <w:rPr>
          <w:sz w:val="16"/>
          <w:szCs w:val="16"/>
        </w:rPr>
        <w:t>I</w:t>
      </w:r>
      <w:r w:rsidRPr="000B491B">
        <w:rPr>
          <w:rFonts w:cstheme="minorHAnsi"/>
          <w:sz w:val="16"/>
          <w:szCs w:val="16"/>
        </w:rPr>
        <w:t>n</w:t>
      </w:r>
      <w:r w:rsidRPr="00412F96">
        <w:rPr>
          <w:rFonts w:cstheme="minorHAnsi"/>
          <w:sz w:val="16"/>
        </w:rPr>
        <w:t>formación obtenida</w:t>
      </w:r>
      <w:r>
        <w:rPr>
          <w:rFonts w:cstheme="minorHAnsi"/>
          <w:sz w:val="16"/>
        </w:rPr>
        <w:t xml:space="preserve"> de instituciones públicas </w:t>
      </w:r>
      <w:r w:rsidRPr="00412F96">
        <w:rPr>
          <w:rFonts w:cstheme="minorHAnsi"/>
          <w:sz w:val="16"/>
        </w:rPr>
        <w:t xml:space="preserve">a través de cuestionario electrónico </w:t>
      </w:r>
      <w:r>
        <w:rPr>
          <w:rFonts w:cstheme="minorHAnsi"/>
          <w:sz w:val="16"/>
        </w:rPr>
        <w:t>“</w:t>
      </w:r>
      <w:r w:rsidRPr="002A1CFA">
        <w:rPr>
          <w:rFonts w:cstheme="minorHAnsi"/>
          <w:sz w:val="16"/>
        </w:rPr>
        <w:t>Complemento descriptivo de la calidad del gasto y ejecución de metas</w:t>
      </w:r>
      <w:r>
        <w:rPr>
          <w:rFonts w:cstheme="minorHAnsi"/>
          <w:sz w:val="16"/>
        </w:rPr>
        <w:t xml:space="preserve">, </w:t>
      </w:r>
      <w:r w:rsidRPr="002A1CFA">
        <w:rPr>
          <w:rFonts w:cstheme="minorHAnsi"/>
          <w:sz w:val="16"/>
        </w:rPr>
        <w:t>tercer cuatrimestre</w:t>
      </w:r>
      <w:r>
        <w:rPr>
          <w:rFonts w:cstheme="minorHAnsi"/>
          <w:sz w:val="16"/>
        </w:rPr>
        <w:t>, año</w:t>
      </w:r>
      <w:r w:rsidRPr="002A1CFA">
        <w:rPr>
          <w:rFonts w:cstheme="minorHAnsi"/>
          <w:sz w:val="16"/>
        </w:rPr>
        <w:t xml:space="preserve"> 2022</w:t>
      </w:r>
      <w:r>
        <w:rPr>
          <w:rFonts w:cstheme="minorHAnsi"/>
          <w:sz w:val="16"/>
        </w:rPr>
        <w:t>/</w:t>
      </w:r>
      <w:r w:rsidRPr="00412F96">
        <w:rPr>
          <w:rFonts w:cstheme="minorHAnsi"/>
          <w:sz w:val="16"/>
        </w:rPr>
        <w:t>Microsoft Forms</w:t>
      </w:r>
      <w:r>
        <w:rPr>
          <w:rFonts w:cstheme="minorHAnsi"/>
          <w:sz w:val="16"/>
        </w:rPr>
        <w:t>, 13/01/2023.</w:t>
      </w:r>
    </w:p>
  </w:footnote>
  <w:footnote w:id="13">
    <w:p w14:paraId="12650334" w14:textId="400349F9" w:rsidR="00E31540" w:rsidRDefault="00E31540" w:rsidP="004D5701">
      <w:pPr>
        <w:pStyle w:val="Textonotapie"/>
        <w:jc w:val="both"/>
      </w:pPr>
      <w:r w:rsidRPr="004D5701">
        <w:rPr>
          <w:rStyle w:val="Refdenotaalpie"/>
          <w:sz w:val="16"/>
        </w:rPr>
        <w:footnoteRef/>
      </w:r>
      <w:r w:rsidRPr="004D5701">
        <w:rPr>
          <w:sz w:val="16"/>
        </w:rPr>
        <w:t xml:space="preserve"> El presupuesto presentado incluye la asignación por fuente en SICOIN central y SICOINDES descentralizado y resta el presupuesto de obligaciones del Estado a cargo del tesoro, el cual corresponde a transferencias para que instituciones descentralizadas ejecuten su asignación presupuestaria.</w:t>
      </w:r>
    </w:p>
  </w:footnote>
  <w:footnote w:id="14">
    <w:p w14:paraId="1AF0D6B8" w14:textId="77777777" w:rsidR="00E31540" w:rsidRPr="007717B2" w:rsidRDefault="00E31540" w:rsidP="007717B2">
      <w:pPr>
        <w:spacing w:before="120" w:after="120" w:line="240" w:lineRule="auto"/>
        <w:jc w:val="both"/>
        <w:textAlignment w:val="baseline"/>
        <w:rPr>
          <w:rFonts w:eastAsia="Times New Roman" w:cs="Calibri"/>
          <w:sz w:val="16"/>
          <w:szCs w:val="16"/>
          <w:lang w:val="es-ES" w:eastAsia="es-GT"/>
        </w:rPr>
      </w:pPr>
      <w:r w:rsidRPr="006D0ADC">
        <w:rPr>
          <w:rStyle w:val="Refdenotaalpie"/>
          <w:sz w:val="16"/>
          <w:szCs w:val="16"/>
        </w:rPr>
        <w:footnoteRef/>
      </w:r>
      <w:r w:rsidRPr="006D0ADC">
        <w:rPr>
          <w:sz w:val="16"/>
          <w:szCs w:val="16"/>
        </w:rPr>
        <w:t xml:space="preserve"> </w:t>
      </w:r>
      <w:r w:rsidRPr="007717B2">
        <w:rPr>
          <w:rFonts w:eastAsia="Times New Roman" w:cs="Calibri"/>
          <w:color w:val="000000"/>
          <w:sz w:val="16"/>
          <w:szCs w:val="16"/>
          <w:lang w:eastAsia="es-GT"/>
        </w:rPr>
        <w:t>Nota: Datos de Seguro Médico Escolar, según Sistema de Gestión –SIGES- al 31 de diciembre de 2022 y de Alimentación escolar según el Sistema de Asignación y Dotación de Recursos -SDR-.</w:t>
      </w:r>
    </w:p>
  </w:footnote>
  <w:footnote w:id="15">
    <w:p w14:paraId="246A0AFD" w14:textId="77777777" w:rsidR="00E31540" w:rsidRPr="007717B2" w:rsidRDefault="00E31540" w:rsidP="007717B2">
      <w:pPr>
        <w:spacing w:before="120" w:after="120" w:line="240" w:lineRule="auto"/>
        <w:jc w:val="both"/>
        <w:textAlignment w:val="baseline"/>
        <w:rPr>
          <w:rFonts w:eastAsia="Times New Roman" w:cs="Calibri"/>
          <w:sz w:val="18"/>
          <w:szCs w:val="18"/>
          <w:lang w:val="es-ES" w:eastAsia="es-GT"/>
        </w:rPr>
      </w:pPr>
      <w:r w:rsidRPr="006D0ADC">
        <w:rPr>
          <w:rStyle w:val="Refdenotaalpie"/>
          <w:sz w:val="18"/>
          <w:szCs w:val="18"/>
        </w:rPr>
        <w:footnoteRef/>
      </w:r>
      <w:r w:rsidRPr="006D0ADC">
        <w:rPr>
          <w:sz w:val="18"/>
          <w:szCs w:val="18"/>
        </w:rPr>
        <w:t xml:space="preserve"> </w:t>
      </w:r>
      <w:r w:rsidRPr="007717B2">
        <w:rPr>
          <w:rFonts w:eastAsia="Times New Roman" w:cs="Calibri"/>
          <w:color w:val="000000"/>
          <w:sz w:val="18"/>
          <w:szCs w:val="18"/>
          <w:lang w:eastAsia="es-GT"/>
        </w:rPr>
        <w:t>En ambos casos es información al 23 de diciembre de 2022, debido a que corresponde a metas ejecutadas para el ejercicio fiscal 2022.</w:t>
      </w:r>
    </w:p>
  </w:footnote>
  <w:footnote w:id="16">
    <w:p w14:paraId="633487F0" w14:textId="72F98F12" w:rsidR="00E31540" w:rsidRDefault="00E31540" w:rsidP="002A1CFA">
      <w:pPr>
        <w:pStyle w:val="Textonotapie"/>
        <w:jc w:val="both"/>
      </w:pPr>
      <w:r>
        <w:rPr>
          <w:rStyle w:val="Refdenotaalpie"/>
        </w:rPr>
        <w:footnoteRef/>
      </w:r>
      <w:r>
        <w:t xml:space="preserve"> </w:t>
      </w:r>
      <w:r w:rsidRPr="000B491B">
        <w:rPr>
          <w:sz w:val="16"/>
          <w:szCs w:val="16"/>
        </w:rPr>
        <w:t>I</w:t>
      </w:r>
      <w:r w:rsidRPr="000B491B">
        <w:rPr>
          <w:rFonts w:cstheme="minorHAnsi"/>
          <w:sz w:val="16"/>
          <w:szCs w:val="16"/>
        </w:rPr>
        <w:t>n</w:t>
      </w:r>
      <w:r w:rsidRPr="00412F96">
        <w:rPr>
          <w:rFonts w:cstheme="minorHAnsi"/>
          <w:sz w:val="16"/>
        </w:rPr>
        <w:t xml:space="preserve">formación </w:t>
      </w:r>
      <w:r>
        <w:rPr>
          <w:rFonts w:cstheme="minorHAnsi"/>
          <w:sz w:val="16"/>
        </w:rPr>
        <w:t>para actualización de resulatdos de metas PGG,</w:t>
      </w:r>
      <w:r w:rsidRPr="00412F96">
        <w:rPr>
          <w:rFonts w:cstheme="minorHAnsi"/>
          <w:sz w:val="16"/>
        </w:rPr>
        <w:t xml:space="preserve"> obtenida</w:t>
      </w:r>
      <w:r>
        <w:rPr>
          <w:rFonts w:cstheme="minorHAnsi"/>
          <w:sz w:val="16"/>
        </w:rPr>
        <w:t xml:space="preserve"> de instituciones públicas </w:t>
      </w:r>
      <w:r w:rsidRPr="00412F96">
        <w:rPr>
          <w:rFonts w:cstheme="minorHAnsi"/>
          <w:sz w:val="16"/>
        </w:rPr>
        <w:t xml:space="preserve">a través de cuestionario electrónico </w:t>
      </w:r>
      <w:r>
        <w:rPr>
          <w:rFonts w:cstheme="minorHAnsi"/>
          <w:sz w:val="16"/>
        </w:rPr>
        <w:t>“</w:t>
      </w:r>
      <w:r w:rsidRPr="002A1CFA">
        <w:rPr>
          <w:rFonts w:cstheme="minorHAnsi"/>
          <w:sz w:val="16"/>
        </w:rPr>
        <w:t>Complemento descriptivo de la calidad del gasto y ejecución de metas</w:t>
      </w:r>
      <w:r>
        <w:rPr>
          <w:rFonts w:cstheme="minorHAnsi"/>
          <w:sz w:val="16"/>
        </w:rPr>
        <w:t xml:space="preserve">, </w:t>
      </w:r>
      <w:r w:rsidRPr="002A1CFA">
        <w:rPr>
          <w:rFonts w:cstheme="minorHAnsi"/>
          <w:sz w:val="16"/>
        </w:rPr>
        <w:t>tercer cuatrimestre</w:t>
      </w:r>
      <w:r>
        <w:rPr>
          <w:rFonts w:cstheme="minorHAnsi"/>
          <w:sz w:val="16"/>
        </w:rPr>
        <w:t>, año</w:t>
      </w:r>
      <w:r w:rsidRPr="002A1CFA">
        <w:rPr>
          <w:rFonts w:cstheme="minorHAnsi"/>
          <w:sz w:val="16"/>
        </w:rPr>
        <w:t xml:space="preserve"> 2022</w:t>
      </w:r>
      <w:r>
        <w:rPr>
          <w:rFonts w:cstheme="minorHAnsi"/>
          <w:sz w:val="16"/>
        </w:rPr>
        <w:t>/</w:t>
      </w:r>
      <w:r w:rsidRPr="00412F96">
        <w:rPr>
          <w:rFonts w:cstheme="minorHAnsi"/>
          <w:sz w:val="16"/>
        </w:rPr>
        <w:t>Microsoft Forms</w:t>
      </w:r>
      <w:r>
        <w:rPr>
          <w:rFonts w:cstheme="minorHAnsi"/>
          <w:sz w:val="16"/>
        </w:rPr>
        <w:t>, 13/01/2023.</w:t>
      </w:r>
      <w:r w:rsidRPr="00412F96">
        <w:rPr>
          <w:rFonts w:cstheme="minorHAnsi"/>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84A8" w14:textId="6281F1E1" w:rsidR="00E31540" w:rsidRDefault="00E31540">
    <w:pPr>
      <w:pStyle w:val="Encabezado"/>
    </w:pPr>
    <w:r>
      <w:rPr>
        <w:noProof/>
      </w:rPr>
      <w:drawing>
        <wp:anchor distT="0" distB="0" distL="114300" distR="114300" simplePos="0" relativeHeight="251704320" behindDoc="0" locked="0" layoutInCell="1" allowOverlap="1" wp14:anchorId="0CD78BA4" wp14:editId="0F0AA3E8">
          <wp:simplePos x="0" y="0"/>
          <wp:positionH relativeFrom="column">
            <wp:posOffset>3990915</wp:posOffset>
          </wp:positionH>
          <wp:positionV relativeFrom="paragraph">
            <wp:posOffset>-527685</wp:posOffset>
          </wp:positionV>
          <wp:extent cx="1971675" cy="403225"/>
          <wp:effectExtent l="0" t="0" r="952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 GOBIERNO.jpg"/>
                  <pic:cNvPicPr/>
                </pic:nvPicPr>
                <pic:blipFill>
                  <a:blip r:embed="rId1">
                    <a:extLst>
                      <a:ext uri="{28A0092B-C50C-407E-A947-70E740481C1C}">
                        <a14:useLocalDpi xmlns:a14="http://schemas.microsoft.com/office/drawing/2010/main" val="0"/>
                      </a:ext>
                    </a:extLst>
                  </a:blip>
                  <a:stretch>
                    <a:fillRect/>
                  </a:stretch>
                </pic:blipFill>
                <pic:spPr>
                  <a:xfrm>
                    <a:off x="0" y="0"/>
                    <a:ext cx="1971675" cy="403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0224" behindDoc="0" locked="0" layoutInCell="1" allowOverlap="1" wp14:anchorId="34A10395" wp14:editId="7073012D">
              <wp:simplePos x="0" y="0"/>
              <wp:positionH relativeFrom="column">
                <wp:posOffset>-206821</wp:posOffset>
              </wp:positionH>
              <wp:positionV relativeFrom="paragraph">
                <wp:posOffset>-483235</wp:posOffset>
              </wp:positionV>
              <wp:extent cx="2428875" cy="29654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96545"/>
                      </a:xfrm>
                      <a:prstGeom prst="rect">
                        <a:avLst/>
                      </a:prstGeom>
                      <a:noFill/>
                      <a:ln w="9525">
                        <a:noFill/>
                        <a:miter lim="800000"/>
                        <a:headEnd/>
                        <a:tailEnd/>
                      </a:ln>
                    </wps:spPr>
                    <wps:txbx>
                      <w:txbxContent>
                        <w:p w14:paraId="031304B0" w14:textId="11C34C04" w:rsidR="00E31540" w:rsidRPr="00B97D65" w:rsidRDefault="00E31540" w:rsidP="0056279B">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A10395" id="_x0000_t202" coordsize="21600,21600" o:spt="202" path="m,l,21600r21600,l21600,xe">
              <v:stroke joinstyle="miter"/>
              <v:path gradientshapeok="t" o:connecttype="rect"/>
            </v:shapetype>
            <v:shape id="Cuadro de texto 2" o:spid="_x0000_s1038" type="#_x0000_t202" style="position:absolute;margin-left:-16.3pt;margin-top:-38.05pt;width:191.25pt;height:23.3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" filled="f" stroked="f">
              <v:textbox>
                <w:txbxContent>
                  <w:p w14:paraId="031304B0" w14:textId="11C34C04" w:rsidR="00E31540" w:rsidRPr="00B97D65" w:rsidRDefault="00E31540" w:rsidP="0056279B">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10448" w14:textId="2D177C23" w:rsidR="00E31540" w:rsidRPr="004D5701" w:rsidRDefault="00E31540" w:rsidP="004D5701">
    <w:pPr>
      <w:pStyle w:val="Encabezado"/>
    </w:pPr>
    <w:r w:rsidRPr="001905EC">
      <w:rPr>
        <w:noProof/>
      </w:rPr>
      <w:drawing>
        <wp:anchor distT="0" distB="0" distL="114300" distR="114300" simplePos="0" relativeHeight="251710464" behindDoc="0" locked="0" layoutInCell="1" allowOverlap="1" wp14:anchorId="2680035D" wp14:editId="080C740E">
          <wp:simplePos x="0" y="0"/>
          <wp:positionH relativeFrom="column">
            <wp:posOffset>4032885</wp:posOffset>
          </wp:positionH>
          <wp:positionV relativeFrom="paragraph">
            <wp:posOffset>-506095</wp:posOffset>
          </wp:positionV>
          <wp:extent cx="1971675" cy="403225"/>
          <wp:effectExtent l="0" t="0" r="9525"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 GOBIERNO.jpg"/>
                  <pic:cNvPicPr/>
                </pic:nvPicPr>
                <pic:blipFill>
                  <a:blip r:embed="rId1">
                    <a:extLst>
                      <a:ext uri="{28A0092B-C50C-407E-A947-70E740481C1C}">
                        <a14:useLocalDpi xmlns:a14="http://schemas.microsoft.com/office/drawing/2010/main" val="0"/>
                      </a:ext>
                    </a:extLst>
                  </a:blip>
                  <a:stretch>
                    <a:fillRect/>
                  </a:stretch>
                </pic:blipFill>
                <pic:spPr>
                  <a:xfrm>
                    <a:off x="0" y="0"/>
                    <a:ext cx="1971675" cy="403225"/>
                  </a:xfrm>
                  <a:prstGeom prst="rect">
                    <a:avLst/>
                  </a:prstGeom>
                </pic:spPr>
              </pic:pic>
            </a:graphicData>
          </a:graphic>
          <wp14:sizeRelH relativeFrom="margin">
            <wp14:pctWidth>0</wp14:pctWidth>
          </wp14:sizeRelH>
          <wp14:sizeRelV relativeFrom="margin">
            <wp14:pctHeight>0</wp14:pctHeight>
          </wp14:sizeRelV>
        </wp:anchor>
      </w:drawing>
    </w:r>
    <w:r w:rsidRPr="001905EC">
      <w:rPr>
        <w:noProof/>
      </w:rPr>
      <mc:AlternateContent>
        <mc:Choice Requires="wps">
          <w:drawing>
            <wp:anchor distT="45720" distB="45720" distL="114300" distR="114300" simplePos="0" relativeHeight="251709440" behindDoc="0" locked="0" layoutInCell="1" allowOverlap="1" wp14:anchorId="17BEF834" wp14:editId="296E52F1">
              <wp:simplePos x="0" y="0"/>
              <wp:positionH relativeFrom="column">
                <wp:posOffset>-122829</wp:posOffset>
              </wp:positionH>
              <wp:positionV relativeFrom="paragraph">
                <wp:posOffset>-399814</wp:posOffset>
              </wp:positionV>
              <wp:extent cx="2428875" cy="296545"/>
              <wp:effectExtent l="0" t="0" r="0" b="0"/>
              <wp:wrapSquare wrapText="bothSides"/>
              <wp:docPr id="2279357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96545"/>
                      </a:xfrm>
                      <a:prstGeom prst="rect">
                        <a:avLst/>
                      </a:prstGeom>
                      <a:noFill/>
                      <a:ln w="9525">
                        <a:noFill/>
                        <a:miter lim="800000"/>
                        <a:headEnd/>
                        <a:tailEnd/>
                      </a:ln>
                    </wps:spPr>
                    <wps:txbx>
                      <w:txbxContent>
                        <w:p w14:paraId="7B8182B9" w14:textId="77777777" w:rsidR="00E31540" w:rsidRPr="00B97D65" w:rsidRDefault="00E31540" w:rsidP="001905EC">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BEF834" id="_x0000_t202" coordsize="21600,21600" o:spt="202" path="m,l,21600r21600,l21600,xe">
              <v:stroke joinstyle="miter"/>
              <v:path gradientshapeok="t" o:connecttype="rect"/>
            </v:shapetype>
            <v:shape id="_x0000_s1040" type="#_x0000_t202" style="position:absolute;margin-left:-9.65pt;margin-top:-31.5pt;width:191.25pt;height:23.3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" filled="f" stroked="f">
              <v:textbox>
                <w:txbxContent>
                  <w:p w14:paraId="7B8182B9" w14:textId="77777777" w:rsidR="00E31540" w:rsidRPr="00B97D65" w:rsidRDefault="00E31540" w:rsidP="001905EC">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DB48" w14:textId="1222121F" w:rsidR="00E31540" w:rsidRPr="004D5701" w:rsidRDefault="00E31540" w:rsidP="004D5701">
    <w:pPr>
      <w:pStyle w:val="Encabezado"/>
    </w:pPr>
    <w:r w:rsidRPr="00B97D65">
      <w:rPr>
        <w:noProof/>
      </w:rPr>
      <w:drawing>
        <wp:anchor distT="0" distB="0" distL="114300" distR="114300" simplePos="0" relativeHeight="251707392" behindDoc="0" locked="0" layoutInCell="1" allowOverlap="1" wp14:anchorId="1978BFA9" wp14:editId="03A291AD">
          <wp:simplePos x="0" y="0"/>
          <wp:positionH relativeFrom="column">
            <wp:posOffset>3973291</wp:posOffset>
          </wp:positionH>
          <wp:positionV relativeFrom="paragraph">
            <wp:posOffset>-481330</wp:posOffset>
          </wp:positionV>
          <wp:extent cx="1971675" cy="403225"/>
          <wp:effectExtent l="0" t="0" r="952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 GOBIERNO.jpg"/>
                  <pic:cNvPicPr/>
                </pic:nvPicPr>
                <pic:blipFill>
                  <a:blip r:embed="rId1">
                    <a:extLst>
                      <a:ext uri="{28A0092B-C50C-407E-A947-70E740481C1C}">
                        <a14:useLocalDpi xmlns:a14="http://schemas.microsoft.com/office/drawing/2010/main" val="0"/>
                      </a:ext>
                    </a:extLst>
                  </a:blip>
                  <a:stretch>
                    <a:fillRect/>
                  </a:stretch>
                </pic:blipFill>
                <pic:spPr>
                  <a:xfrm>
                    <a:off x="0" y="0"/>
                    <a:ext cx="1971675" cy="403225"/>
                  </a:xfrm>
                  <a:prstGeom prst="rect">
                    <a:avLst/>
                  </a:prstGeom>
                </pic:spPr>
              </pic:pic>
            </a:graphicData>
          </a:graphic>
          <wp14:sizeRelH relativeFrom="margin">
            <wp14:pctWidth>0</wp14:pctWidth>
          </wp14:sizeRelH>
          <wp14:sizeRelV relativeFrom="margin">
            <wp14:pctHeight>0</wp14:pctHeight>
          </wp14:sizeRelV>
        </wp:anchor>
      </w:drawing>
    </w:r>
    <w:r w:rsidRPr="00B97D65">
      <w:rPr>
        <w:noProof/>
      </w:rPr>
      <mc:AlternateContent>
        <mc:Choice Requires="wps">
          <w:drawing>
            <wp:anchor distT="45720" distB="45720" distL="114300" distR="114300" simplePos="0" relativeHeight="251706368" behindDoc="0" locked="0" layoutInCell="1" allowOverlap="1" wp14:anchorId="19027092" wp14:editId="1FEDDD4A">
              <wp:simplePos x="0" y="0"/>
              <wp:positionH relativeFrom="column">
                <wp:posOffset>-182880</wp:posOffset>
              </wp:positionH>
              <wp:positionV relativeFrom="paragraph">
                <wp:posOffset>-421005</wp:posOffset>
              </wp:positionV>
              <wp:extent cx="2428875" cy="296545"/>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96545"/>
                      </a:xfrm>
                      <a:prstGeom prst="rect">
                        <a:avLst/>
                      </a:prstGeom>
                      <a:noFill/>
                      <a:ln w="9525">
                        <a:noFill/>
                        <a:miter lim="800000"/>
                        <a:headEnd/>
                        <a:tailEnd/>
                      </a:ln>
                    </wps:spPr>
                    <wps:txbx>
                      <w:txbxContent>
                        <w:p w14:paraId="53D81F21" w14:textId="77777777" w:rsidR="00E31540" w:rsidRPr="00B97D65" w:rsidRDefault="00E31540" w:rsidP="00B97D65">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9027092" id="_x0000_t202" coordsize="21600,21600" o:spt="202" path="m,l,21600r21600,l21600,xe">
              <v:stroke joinstyle="miter"/>
              <v:path gradientshapeok="t" o:connecttype="rect"/>
            </v:shapetype>
            <v:shape id="_x0000_s1042" type="#_x0000_t202" style="position:absolute;margin-left:-14.4pt;margin-top:-33.15pt;width:191.25pt;height:23.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" filled="f" stroked="f">
              <v:textbox>
                <w:txbxContent>
                  <w:p w14:paraId="53D81F21" w14:textId="77777777" w:rsidR="00E31540" w:rsidRPr="00B97D65" w:rsidRDefault="00E31540" w:rsidP="00B97D65">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FC2B" w14:textId="035B0A1F" w:rsidR="00E31540" w:rsidRPr="004D5701" w:rsidRDefault="00E31540" w:rsidP="004D5701">
    <w:pPr>
      <w:pStyle w:val="Encabezado"/>
    </w:pPr>
    <w:r w:rsidRPr="001905EC">
      <w:rPr>
        <w:noProof/>
      </w:rPr>
      <mc:AlternateContent>
        <mc:Choice Requires="wps">
          <w:drawing>
            <wp:anchor distT="45720" distB="45720" distL="114300" distR="114300" simplePos="0" relativeHeight="251717632" behindDoc="0" locked="0" layoutInCell="1" allowOverlap="1" wp14:anchorId="3A2FE808" wp14:editId="4A026E7E">
              <wp:simplePos x="0" y="0"/>
              <wp:positionH relativeFrom="column">
                <wp:posOffset>-122555</wp:posOffset>
              </wp:positionH>
              <wp:positionV relativeFrom="paragraph">
                <wp:posOffset>-209946</wp:posOffset>
              </wp:positionV>
              <wp:extent cx="2428875" cy="296545"/>
              <wp:effectExtent l="0" t="0" r="0" b="0"/>
              <wp:wrapSquare wrapText="bothSides"/>
              <wp:docPr id="2279357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96545"/>
                      </a:xfrm>
                      <a:prstGeom prst="rect">
                        <a:avLst/>
                      </a:prstGeom>
                      <a:noFill/>
                      <a:ln w="9525">
                        <a:noFill/>
                        <a:miter lim="800000"/>
                        <a:headEnd/>
                        <a:tailEnd/>
                      </a:ln>
                    </wps:spPr>
                    <wps:txbx>
                      <w:txbxContent>
                        <w:p w14:paraId="29009B71" w14:textId="77777777" w:rsidR="00E31540" w:rsidRPr="00B97D65" w:rsidRDefault="00E31540" w:rsidP="001905EC">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2FE808" id="_x0000_t202" coordsize="21600,21600" o:spt="202" path="m,l,21600r21600,l21600,xe">
              <v:stroke joinstyle="miter"/>
              <v:path gradientshapeok="t" o:connecttype="rect"/>
            </v:shapetype>
            <v:shape id="_x0000_s1044" type="#_x0000_t202" style="position:absolute;margin-left:-9.65pt;margin-top:-16.55pt;width:191.25pt;height:23.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" filled="f" stroked="f">
              <v:textbox>
                <w:txbxContent>
                  <w:p w14:paraId="29009B71" w14:textId="77777777" w:rsidR="00E31540" w:rsidRPr="00B97D65" w:rsidRDefault="00E31540" w:rsidP="001905EC">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v:textbox>
              <w10:wrap type="square"/>
            </v:shape>
          </w:pict>
        </mc:Fallback>
      </mc:AlternateContent>
    </w:r>
    <w:r w:rsidRPr="001905EC">
      <w:rPr>
        <w:noProof/>
      </w:rPr>
      <w:drawing>
        <wp:anchor distT="0" distB="0" distL="114300" distR="114300" simplePos="0" relativeHeight="251718656" behindDoc="0" locked="0" layoutInCell="1" allowOverlap="1" wp14:anchorId="2571C75A" wp14:editId="41098680">
          <wp:simplePos x="0" y="0"/>
          <wp:positionH relativeFrom="column">
            <wp:posOffset>6158568</wp:posOffset>
          </wp:positionH>
          <wp:positionV relativeFrom="paragraph">
            <wp:posOffset>-304215</wp:posOffset>
          </wp:positionV>
          <wp:extent cx="1971675" cy="403225"/>
          <wp:effectExtent l="0" t="0" r="952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 GOBIERNO.jpg"/>
                  <pic:cNvPicPr/>
                </pic:nvPicPr>
                <pic:blipFill>
                  <a:blip r:embed="rId1">
                    <a:extLst>
                      <a:ext uri="{28A0092B-C50C-407E-A947-70E740481C1C}">
                        <a14:useLocalDpi xmlns:a14="http://schemas.microsoft.com/office/drawing/2010/main" val="0"/>
                      </a:ext>
                    </a:extLst>
                  </a:blip>
                  <a:stretch>
                    <a:fillRect/>
                  </a:stretch>
                </pic:blipFill>
                <pic:spPr>
                  <a:xfrm>
                    <a:off x="0" y="0"/>
                    <a:ext cx="1971675" cy="403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0627" w14:textId="6CF5246F" w:rsidR="00E31540" w:rsidRDefault="00E31540">
    <w:pPr>
      <w:pStyle w:val="Encabezado"/>
    </w:pPr>
    <w:r w:rsidRPr="00813082">
      <w:rPr>
        <w:noProof/>
      </w:rPr>
      <mc:AlternateContent>
        <mc:Choice Requires="wps">
          <w:drawing>
            <wp:anchor distT="45720" distB="45720" distL="114300" distR="114300" simplePos="0" relativeHeight="251722752" behindDoc="0" locked="0" layoutInCell="1" allowOverlap="1" wp14:anchorId="5FABC878" wp14:editId="45C104F4">
              <wp:simplePos x="0" y="0"/>
              <wp:positionH relativeFrom="column">
                <wp:posOffset>-165735</wp:posOffset>
              </wp:positionH>
              <wp:positionV relativeFrom="paragraph">
                <wp:posOffset>-180414</wp:posOffset>
              </wp:positionV>
              <wp:extent cx="2428875" cy="296545"/>
              <wp:effectExtent l="0" t="0" r="0" b="0"/>
              <wp:wrapSquare wrapText="bothSides"/>
              <wp:docPr id="2279357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96545"/>
                      </a:xfrm>
                      <a:prstGeom prst="rect">
                        <a:avLst/>
                      </a:prstGeom>
                      <a:noFill/>
                      <a:ln w="9525">
                        <a:noFill/>
                        <a:miter lim="800000"/>
                        <a:headEnd/>
                        <a:tailEnd/>
                      </a:ln>
                    </wps:spPr>
                    <wps:txbx>
                      <w:txbxContent>
                        <w:p w14:paraId="54B73484" w14:textId="77777777" w:rsidR="00E31540" w:rsidRPr="00B97D65" w:rsidRDefault="00E31540" w:rsidP="00813082">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ABC878" id="_x0000_t202" coordsize="21600,21600" o:spt="202" path="m,l,21600r21600,l21600,xe">
              <v:stroke joinstyle="miter"/>
              <v:path gradientshapeok="t" o:connecttype="rect"/>
            </v:shapetype>
            <v:shape id="_x0000_s1051" type="#_x0000_t202" style="position:absolute;margin-left:-13.05pt;margin-top:-14.2pt;width:191.25pt;height:23.3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" filled="f" stroked="f">
              <v:textbox>
                <w:txbxContent>
                  <w:p w14:paraId="54B73484" w14:textId="77777777" w:rsidR="00E31540" w:rsidRPr="00B97D65" w:rsidRDefault="00E31540" w:rsidP="00813082">
                    <w:pPr>
                      <w:jc w:val="center"/>
                      <w:rPr>
                        <w:rFonts w:ascii="Cambria Math" w:hAnsi="Cambria Math"/>
                        <w:b/>
                        <w:color w:val="002060"/>
                        <w:sz w:val="20"/>
                      </w:rPr>
                    </w:pPr>
                    <w:r w:rsidRPr="00B97D65">
                      <w:rPr>
                        <w:rFonts w:ascii="Cambria Math" w:hAnsi="Cambria Math"/>
                        <w:b/>
                        <w:color w:val="002060"/>
                        <w:sz w:val="20"/>
                      </w:rPr>
                      <w:t>III Informe cuatrimestral y anual 2022</w:t>
                    </w:r>
                  </w:p>
                </w:txbxContent>
              </v:textbox>
              <w10:wrap type="square"/>
            </v:shape>
          </w:pict>
        </mc:Fallback>
      </mc:AlternateContent>
    </w:r>
    <w:r w:rsidRPr="00813082">
      <w:rPr>
        <w:noProof/>
      </w:rPr>
      <w:drawing>
        <wp:anchor distT="0" distB="0" distL="114300" distR="114300" simplePos="0" relativeHeight="251723776" behindDoc="0" locked="0" layoutInCell="1" allowOverlap="1" wp14:anchorId="31BBD9E5" wp14:editId="1284FC7C">
          <wp:simplePos x="0" y="0"/>
          <wp:positionH relativeFrom="column">
            <wp:posOffset>3989070</wp:posOffset>
          </wp:positionH>
          <wp:positionV relativeFrom="paragraph">
            <wp:posOffset>-285750</wp:posOffset>
          </wp:positionV>
          <wp:extent cx="1971675" cy="403225"/>
          <wp:effectExtent l="0" t="0" r="9525" b="0"/>
          <wp:wrapSquare wrapText="bothSides"/>
          <wp:docPr id="227935786" name="Imagen 2279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 GOBIERNO.jpg"/>
                  <pic:cNvPicPr/>
                </pic:nvPicPr>
                <pic:blipFill>
                  <a:blip r:embed="rId1">
                    <a:extLst>
                      <a:ext uri="{28A0092B-C50C-407E-A947-70E740481C1C}">
                        <a14:useLocalDpi xmlns:a14="http://schemas.microsoft.com/office/drawing/2010/main" val="0"/>
                      </a:ext>
                    </a:extLst>
                  </a:blip>
                  <a:stretch>
                    <a:fillRect/>
                  </a:stretch>
                </pic:blipFill>
                <pic:spPr>
                  <a:xfrm>
                    <a:off x="0" y="0"/>
                    <a:ext cx="1971675" cy="403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020F5C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4B40C7"/>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5D775A"/>
    <w:multiLevelType w:val="multilevel"/>
    <w:tmpl w:val="E140E8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6F3C6A"/>
    <w:multiLevelType w:val="hybridMultilevel"/>
    <w:tmpl w:val="297011C6"/>
    <w:lvl w:ilvl="0" w:tplc="5DFCFC6E">
      <w:start w:val="1"/>
      <w:numFmt w:val="decimal"/>
      <w:pStyle w:val="TITULOSINFORMENUEVO"/>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33412D6"/>
    <w:multiLevelType w:val="hybridMultilevel"/>
    <w:tmpl w:val="95FEC7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3B726B0"/>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916D02"/>
    <w:multiLevelType w:val="multilevel"/>
    <w:tmpl w:val="5410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A83736"/>
    <w:multiLevelType w:val="multilevel"/>
    <w:tmpl w:val="B796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A964A6"/>
    <w:multiLevelType w:val="multilevel"/>
    <w:tmpl w:val="4102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D91472"/>
    <w:multiLevelType w:val="hybridMultilevel"/>
    <w:tmpl w:val="0C6872F0"/>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06FEE600"/>
    <w:multiLevelType w:val="hybridMultilevel"/>
    <w:tmpl w:val="857C76CA"/>
    <w:lvl w:ilvl="0" w:tplc="86E0A30C">
      <w:start w:val="1"/>
      <w:numFmt w:val="decimal"/>
      <w:lvlText w:val="%1."/>
      <w:lvlJc w:val="left"/>
      <w:pPr>
        <w:ind w:left="720" w:hanging="360"/>
      </w:pPr>
    </w:lvl>
    <w:lvl w:ilvl="1" w:tplc="93FA41A4">
      <w:start w:val="1"/>
      <w:numFmt w:val="lowerLetter"/>
      <w:lvlText w:val="%2."/>
      <w:lvlJc w:val="left"/>
      <w:pPr>
        <w:ind w:left="1440" w:hanging="360"/>
      </w:pPr>
    </w:lvl>
    <w:lvl w:ilvl="2" w:tplc="92FE7DBE">
      <w:start w:val="1"/>
      <w:numFmt w:val="lowerRoman"/>
      <w:lvlText w:val="%3."/>
      <w:lvlJc w:val="right"/>
      <w:pPr>
        <w:ind w:left="2160" w:hanging="180"/>
      </w:pPr>
    </w:lvl>
    <w:lvl w:ilvl="3" w:tplc="5B02B872">
      <w:start w:val="1"/>
      <w:numFmt w:val="decimal"/>
      <w:lvlText w:val="%4."/>
      <w:lvlJc w:val="left"/>
      <w:pPr>
        <w:ind w:left="2880" w:hanging="360"/>
      </w:pPr>
    </w:lvl>
    <w:lvl w:ilvl="4" w:tplc="8CDC3BC0">
      <w:start w:val="1"/>
      <w:numFmt w:val="lowerLetter"/>
      <w:lvlText w:val="%5."/>
      <w:lvlJc w:val="left"/>
      <w:pPr>
        <w:ind w:left="3600" w:hanging="360"/>
      </w:pPr>
    </w:lvl>
    <w:lvl w:ilvl="5" w:tplc="A8182572">
      <w:start w:val="1"/>
      <w:numFmt w:val="lowerRoman"/>
      <w:lvlText w:val="%6."/>
      <w:lvlJc w:val="right"/>
      <w:pPr>
        <w:ind w:left="4320" w:hanging="180"/>
      </w:pPr>
    </w:lvl>
    <w:lvl w:ilvl="6" w:tplc="141CE3EC">
      <w:start w:val="1"/>
      <w:numFmt w:val="decimal"/>
      <w:lvlText w:val="%7."/>
      <w:lvlJc w:val="left"/>
      <w:pPr>
        <w:ind w:left="5040" w:hanging="360"/>
      </w:pPr>
    </w:lvl>
    <w:lvl w:ilvl="7" w:tplc="879CDE7A">
      <w:start w:val="1"/>
      <w:numFmt w:val="lowerLetter"/>
      <w:lvlText w:val="%8."/>
      <w:lvlJc w:val="left"/>
      <w:pPr>
        <w:ind w:left="5760" w:hanging="360"/>
      </w:pPr>
    </w:lvl>
    <w:lvl w:ilvl="8" w:tplc="84649738">
      <w:start w:val="1"/>
      <w:numFmt w:val="lowerRoman"/>
      <w:lvlText w:val="%9."/>
      <w:lvlJc w:val="right"/>
      <w:pPr>
        <w:ind w:left="6480" w:hanging="180"/>
      </w:pPr>
    </w:lvl>
  </w:abstractNum>
  <w:abstractNum w:abstractNumId="11" w15:restartNumberingAfterBreak="0">
    <w:nsid w:val="0A643F13"/>
    <w:multiLevelType w:val="hybridMultilevel"/>
    <w:tmpl w:val="0B10D07E"/>
    <w:lvl w:ilvl="0" w:tplc="144291C4">
      <w:start w:val="1"/>
      <w:numFmt w:val="decimal"/>
      <w:pStyle w:val="Tabla"/>
      <w:lvlText w:val="Tabla %1."/>
      <w:lvlJc w:val="left"/>
      <w:pPr>
        <w:ind w:left="4188" w:hanging="360"/>
      </w:pPr>
      <w:rPr>
        <w:rFonts w:hint="default"/>
        <w:b w:val="0"/>
        <w:color w:val="4472C4"/>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0AAA4258"/>
    <w:multiLevelType w:val="hybridMultilevel"/>
    <w:tmpl w:val="BD4C8D2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3" w15:restartNumberingAfterBreak="0">
    <w:nsid w:val="13567D71"/>
    <w:multiLevelType w:val="multilevel"/>
    <w:tmpl w:val="4102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5B372A"/>
    <w:multiLevelType w:val="hybridMultilevel"/>
    <w:tmpl w:val="0F8261A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13DE57B0"/>
    <w:multiLevelType w:val="hybridMultilevel"/>
    <w:tmpl w:val="865AB5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16322DDE"/>
    <w:multiLevelType w:val="hybridMultilevel"/>
    <w:tmpl w:val="A07C5E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180823C9"/>
    <w:multiLevelType w:val="hybridMultilevel"/>
    <w:tmpl w:val="669E37CE"/>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0900A7"/>
    <w:multiLevelType w:val="hybridMultilevel"/>
    <w:tmpl w:val="0A640062"/>
    <w:lvl w:ilvl="0" w:tplc="16681BC8">
      <w:start w:val="1"/>
      <w:numFmt w:val="lowerLetter"/>
      <w:lvlText w:val="%1."/>
      <w:lvlJc w:val="left"/>
      <w:pPr>
        <w:ind w:left="723" w:hanging="360"/>
      </w:pPr>
    </w:lvl>
    <w:lvl w:ilvl="1" w:tplc="273CA22E">
      <w:start w:val="1"/>
      <w:numFmt w:val="lowerLetter"/>
      <w:lvlText w:val="%2."/>
      <w:lvlJc w:val="left"/>
      <w:pPr>
        <w:ind w:left="1443" w:hanging="360"/>
      </w:pPr>
    </w:lvl>
    <w:lvl w:ilvl="2" w:tplc="32A2C4B6">
      <w:start w:val="1"/>
      <w:numFmt w:val="lowerRoman"/>
      <w:lvlText w:val="%3."/>
      <w:lvlJc w:val="right"/>
      <w:pPr>
        <w:ind w:left="2163" w:hanging="180"/>
      </w:pPr>
    </w:lvl>
    <w:lvl w:ilvl="3" w:tplc="1FD81D6E">
      <w:start w:val="1"/>
      <w:numFmt w:val="decimal"/>
      <w:lvlText w:val="%4."/>
      <w:lvlJc w:val="left"/>
      <w:pPr>
        <w:ind w:left="2883" w:hanging="360"/>
      </w:pPr>
    </w:lvl>
    <w:lvl w:ilvl="4" w:tplc="4FCA8858">
      <w:start w:val="1"/>
      <w:numFmt w:val="lowerLetter"/>
      <w:lvlText w:val="%5."/>
      <w:lvlJc w:val="left"/>
      <w:pPr>
        <w:ind w:left="3603" w:hanging="360"/>
      </w:pPr>
    </w:lvl>
    <w:lvl w:ilvl="5" w:tplc="431E6892">
      <w:start w:val="1"/>
      <w:numFmt w:val="lowerRoman"/>
      <w:lvlText w:val="%6."/>
      <w:lvlJc w:val="right"/>
      <w:pPr>
        <w:ind w:left="4323" w:hanging="180"/>
      </w:pPr>
    </w:lvl>
    <w:lvl w:ilvl="6" w:tplc="FF3EB8FE">
      <w:start w:val="1"/>
      <w:numFmt w:val="decimal"/>
      <w:lvlText w:val="%7."/>
      <w:lvlJc w:val="left"/>
      <w:pPr>
        <w:ind w:left="5043" w:hanging="360"/>
      </w:pPr>
    </w:lvl>
    <w:lvl w:ilvl="7" w:tplc="9C064398">
      <w:start w:val="1"/>
      <w:numFmt w:val="lowerLetter"/>
      <w:lvlText w:val="%8."/>
      <w:lvlJc w:val="left"/>
      <w:pPr>
        <w:ind w:left="5763" w:hanging="360"/>
      </w:pPr>
    </w:lvl>
    <w:lvl w:ilvl="8" w:tplc="86A85D7E">
      <w:start w:val="1"/>
      <w:numFmt w:val="lowerRoman"/>
      <w:lvlText w:val="%9."/>
      <w:lvlJc w:val="right"/>
      <w:pPr>
        <w:ind w:left="6483" w:hanging="180"/>
      </w:pPr>
    </w:lvl>
  </w:abstractNum>
  <w:abstractNum w:abstractNumId="19" w15:restartNumberingAfterBreak="0">
    <w:nsid w:val="1BBB62FC"/>
    <w:multiLevelType w:val="hybridMultilevel"/>
    <w:tmpl w:val="B3D43E64"/>
    <w:lvl w:ilvl="0" w:tplc="0C36DD70">
      <w:start w:val="1"/>
      <w:numFmt w:val="bullet"/>
      <w:lvlText w:val="·"/>
      <w:lvlJc w:val="left"/>
      <w:pPr>
        <w:ind w:left="720" w:hanging="360"/>
      </w:pPr>
      <w:rPr>
        <w:rFonts w:ascii="Symbol" w:hAnsi="Symbol" w:hint="default"/>
      </w:rPr>
    </w:lvl>
    <w:lvl w:ilvl="1" w:tplc="BAE6C0DE">
      <w:start w:val="1"/>
      <w:numFmt w:val="bullet"/>
      <w:lvlText w:val="o"/>
      <w:lvlJc w:val="left"/>
      <w:pPr>
        <w:ind w:left="1440" w:hanging="360"/>
      </w:pPr>
      <w:rPr>
        <w:rFonts w:ascii="Courier New" w:hAnsi="Courier New" w:hint="default"/>
      </w:rPr>
    </w:lvl>
    <w:lvl w:ilvl="2" w:tplc="9BE2983A">
      <w:start w:val="1"/>
      <w:numFmt w:val="bullet"/>
      <w:lvlText w:val=""/>
      <w:lvlJc w:val="left"/>
      <w:pPr>
        <w:ind w:left="2160" w:hanging="360"/>
      </w:pPr>
      <w:rPr>
        <w:rFonts w:ascii="Wingdings" w:hAnsi="Wingdings" w:hint="default"/>
      </w:rPr>
    </w:lvl>
    <w:lvl w:ilvl="3" w:tplc="7EB212EC">
      <w:start w:val="1"/>
      <w:numFmt w:val="bullet"/>
      <w:lvlText w:val=""/>
      <w:lvlJc w:val="left"/>
      <w:pPr>
        <w:ind w:left="2880" w:hanging="360"/>
      </w:pPr>
      <w:rPr>
        <w:rFonts w:ascii="Symbol" w:hAnsi="Symbol" w:hint="default"/>
      </w:rPr>
    </w:lvl>
    <w:lvl w:ilvl="4" w:tplc="3912F7D6">
      <w:start w:val="1"/>
      <w:numFmt w:val="bullet"/>
      <w:lvlText w:val="o"/>
      <w:lvlJc w:val="left"/>
      <w:pPr>
        <w:ind w:left="3600" w:hanging="360"/>
      </w:pPr>
      <w:rPr>
        <w:rFonts w:ascii="Courier New" w:hAnsi="Courier New" w:hint="default"/>
      </w:rPr>
    </w:lvl>
    <w:lvl w:ilvl="5" w:tplc="6D68CC6C">
      <w:start w:val="1"/>
      <w:numFmt w:val="bullet"/>
      <w:lvlText w:val=""/>
      <w:lvlJc w:val="left"/>
      <w:pPr>
        <w:ind w:left="4320" w:hanging="360"/>
      </w:pPr>
      <w:rPr>
        <w:rFonts w:ascii="Wingdings" w:hAnsi="Wingdings" w:hint="default"/>
      </w:rPr>
    </w:lvl>
    <w:lvl w:ilvl="6" w:tplc="D46019F0">
      <w:start w:val="1"/>
      <w:numFmt w:val="bullet"/>
      <w:lvlText w:val=""/>
      <w:lvlJc w:val="left"/>
      <w:pPr>
        <w:ind w:left="5040" w:hanging="360"/>
      </w:pPr>
      <w:rPr>
        <w:rFonts w:ascii="Symbol" w:hAnsi="Symbol" w:hint="default"/>
      </w:rPr>
    </w:lvl>
    <w:lvl w:ilvl="7" w:tplc="5B08C592">
      <w:start w:val="1"/>
      <w:numFmt w:val="bullet"/>
      <w:lvlText w:val="o"/>
      <w:lvlJc w:val="left"/>
      <w:pPr>
        <w:ind w:left="5760" w:hanging="360"/>
      </w:pPr>
      <w:rPr>
        <w:rFonts w:ascii="Courier New" w:hAnsi="Courier New" w:hint="default"/>
      </w:rPr>
    </w:lvl>
    <w:lvl w:ilvl="8" w:tplc="1C6EF640">
      <w:start w:val="1"/>
      <w:numFmt w:val="bullet"/>
      <w:lvlText w:val=""/>
      <w:lvlJc w:val="left"/>
      <w:pPr>
        <w:ind w:left="6480" w:hanging="360"/>
      </w:pPr>
      <w:rPr>
        <w:rFonts w:ascii="Wingdings" w:hAnsi="Wingdings" w:hint="default"/>
      </w:rPr>
    </w:lvl>
  </w:abstractNum>
  <w:abstractNum w:abstractNumId="20" w15:restartNumberingAfterBreak="0">
    <w:nsid w:val="1C0C1C76"/>
    <w:multiLevelType w:val="hybridMultilevel"/>
    <w:tmpl w:val="D12AF464"/>
    <w:lvl w:ilvl="0" w:tplc="41E683E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1D4470ED"/>
    <w:multiLevelType w:val="hybridMultilevel"/>
    <w:tmpl w:val="0BF2C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1E6D0385"/>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7A587F"/>
    <w:multiLevelType w:val="hybridMultilevel"/>
    <w:tmpl w:val="6ED42D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1E874E78"/>
    <w:multiLevelType w:val="multilevel"/>
    <w:tmpl w:val="30D6E2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1F6B7619"/>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04645B"/>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030D70"/>
    <w:multiLevelType w:val="hybridMultilevel"/>
    <w:tmpl w:val="42541B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24E93D93"/>
    <w:multiLevelType w:val="hybridMultilevel"/>
    <w:tmpl w:val="00BA5F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263033CB"/>
    <w:multiLevelType w:val="multilevel"/>
    <w:tmpl w:val="31E0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7FB0706"/>
    <w:multiLevelType w:val="hybridMultilevel"/>
    <w:tmpl w:val="3A4E2A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285467E4"/>
    <w:multiLevelType w:val="hybridMultilevel"/>
    <w:tmpl w:val="B00C6EC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29AC5B4D"/>
    <w:multiLevelType w:val="multilevel"/>
    <w:tmpl w:val="4102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C3B1F6E"/>
    <w:multiLevelType w:val="hybridMultilevel"/>
    <w:tmpl w:val="A7B67F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2D2521C6"/>
    <w:multiLevelType w:val="multilevel"/>
    <w:tmpl w:val="A650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DD458DE"/>
    <w:multiLevelType w:val="hybridMultilevel"/>
    <w:tmpl w:val="02D4D46C"/>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2E0370A8"/>
    <w:multiLevelType w:val="hybridMultilevel"/>
    <w:tmpl w:val="7ACED4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30D04E61"/>
    <w:multiLevelType w:val="hybridMultilevel"/>
    <w:tmpl w:val="4ACA8A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327F727A"/>
    <w:multiLevelType w:val="hybridMultilevel"/>
    <w:tmpl w:val="13AAB6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338F248A"/>
    <w:multiLevelType w:val="hybridMultilevel"/>
    <w:tmpl w:val="07DC02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34D63A05"/>
    <w:multiLevelType w:val="hybridMultilevel"/>
    <w:tmpl w:val="420E81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367728F3"/>
    <w:multiLevelType w:val="hybridMultilevel"/>
    <w:tmpl w:val="7F42883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37271D3E"/>
    <w:multiLevelType w:val="multilevel"/>
    <w:tmpl w:val="1A7E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84A2B1A"/>
    <w:multiLevelType w:val="hybridMultilevel"/>
    <w:tmpl w:val="D29E8D2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385F64BF"/>
    <w:multiLevelType w:val="hybridMultilevel"/>
    <w:tmpl w:val="16DE8B88"/>
    <w:lvl w:ilvl="0" w:tplc="66D0DA2E">
      <w:start w:val="1"/>
      <w:numFmt w:val="bullet"/>
      <w:lvlText w:val="·"/>
      <w:lvlJc w:val="left"/>
      <w:pPr>
        <w:ind w:left="720" w:hanging="360"/>
      </w:pPr>
      <w:rPr>
        <w:rFonts w:ascii="Symbol" w:hAnsi="Symbol" w:hint="default"/>
      </w:rPr>
    </w:lvl>
    <w:lvl w:ilvl="1" w:tplc="D00E30EA">
      <w:start w:val="1"/>
      <w:numFmt w:val="bullet"/>
      <w:lvlText w:val="o"/>
      <w:lvlJc w:val="left"/>
      <w:pPr>
        <w:ind w:left="1440" w:hanging="360"/>
      </w:pPr>
      <w:rPr>
        <w:rFonts w:ascii="Courier New" w:hAnsi="Courier New" w:hint="default"/>
      </w:rPr>
    </w:lvl>
    <w:lvl w:ilvl="2" w:tplc="DFB6E3E6">
      <w:start w:val="1"/>
      <w:numFmt w:val="bullet"/>
      <w:lvlText w:val=""/>
      <w:lvlJc w:val="left"/>
      <w:pPr>
        <w:ind w:left="2160" w:hanging="360"/>
      </w:pPr>
      <w:rPr>
        <w:rFonts w:ascii="Wingdings" w:hAnsi="Wingdings" w:hint="default"/>
      </w:rPr>
    </w:lvl>
    <w:lvl w:ilvl="3" w:tplc="82A8CAEC">
      <w:start w:val="1"/>
      <w:numFmt w:val="bullet"/>
      <w:lvlText w:val=""/>
      <w:lvlJc w:val="left"/>
      <w:pPr>
        <w:ind w:left="2880" w:hanging="360"/>
      </w:pPr>
      <w:rPr>
        <w:rFonts w:ascii="Symbol" w:hAnsi="Symbol" w:hint="default"/>
      </w:rPr>
    </w:lvl>
    <w:lvl w:ilvl="4" w:tplc="3B720656">
      <w:start w:val="1"/>
      <w:numFmt w:val="bullet"/>
      <w:lvlText w:val="o"/>
      <w:lvlJc w:val="left"/>
      <w:pPr>
        <w:ind w:left="3600" w:hanging="360"/>
      </w:pPr>
      <w:rPr>
        <w:rFonts w:ascii="Courier New" w:hAnsi="Courier New" w:hint="default"/>
      </w:rPr>
    </w:lvl>
    <w:lvl w:ilvl="5" w:tplc="8D741E0C">
      <w:start w:val="1"/>
      <w:numFmt w:val="bullet"/>
      <w:lvlText w:val=""/>
      <w:lvlJc w:val="left"/>
      <w:pPr>
        <w:ind w:left="4320" w:hanging="360"/>
      </w:pPr>
      <w:rPr>
        <w:rFonts w:ascii="Wingdings" w:hAnsi="Wingdings" w:hint="default"/>
      </w:rPr>
    </w:lvl>
    <w:lvl w:ilvl="6" w:tplc="F61E9076">
      <w:start w:val="1"/>
      <w:numFmt w:val="bullet"/>
      <w:lvlText w:val=""/>
      <w:lvlJc w:val="left"/>
      <w:pPr>
        <w:ind w:left="5040" w:hanging="360"/>
      </w:pPr>
      <w:rPr>
        <w:rFonts w:ascii="Symbol" w:hAnsi="Symbol" w:hint="default"/>
      </w:rPr>
    </w:lvl>
    <w:lvl w:ilvl="7" w:tplc="A81607DC">
      <w:start w:val="1"/>
      <w:numFmt w:val="bullet"/>
      <w:lvlText w:val="o"/>
      <w:lvlJc w:val="left"/>
      <w:pPr>
        <w:ind w:left="5760" w:hanging="360"/>
      </w:pPr>
      <w:rPr>
        <w:rFonts w:ascii="Courier New" w:hAnsi="Courier New" w:hint="default"/>
      </w:rPr>
    </w:lvl>
    <w:lvl w:ilvl="8" w:tplc="F1FE3D86">
      <w:start w:val="1"/>
      <w:numFmt w:val="bullet"/>
      <w:lvlText w:val=""/>
      <w:lvlJc w:val="left"/>
      <w:pPr>
        <w:ind w:left="6480" w:hanging="360"/>
      </w:pPr>
      <w:rPr>
        <w:rFonts w:ascii="Wingdings" w:hAnsi="Wingdings" w:hint="default"/>
      </w:rPr>
    </w:lvl>
  </w:abstractNum>
  <w:abstractNum w:abstractNumId="45" w15:restartNumberingAfterBreak="0">
    <w:nsid w:val="39BF01F4"/>
    <w:multiLevelType w:val="hybridMultilevel"/>
    <w:tmpl w:val="54084360"/>
    <w:lvl w:ilvl="0" w:tplc="FFFFFFFF">
      <w:start w:val="1"/>
      <w:numFmt w:val="decimal"/>
      <w:pStyle w:val="Grfica"/>
      <w:lvlText w:val="Gráfica %1."/>
      <w:lvlJc w:val="left"/>
      <w:pPr>
        <w:ind w:left="4330" w:hanging="360"/>
      </w:pPr>
      <w:rPr>
        <w:b w:val="0"/>
      </w:rPr>
    </w:lvl>
    <w:lvl w:ilvl="1" w:tplc="100A0019" w:tentative="1">
      <w:start w:val="1"/>
      <w:numFmt w:val="lowerLetter"/>
      <w:lvlText w:val="%2."/>
      <w:lvlJc w:val="left"/>
      <w:pPr>
        <w:ind w:left="1894" w:hanging="360"/>
      </w:pPr>
    </w:lvl>
    <w:lvl w:ilvl="2" w:tplc="100A001B" w:tentative="1">
      <w:start w:val="1"/>
      <w:numFmt w:val="lowerRoman"/>
      <w:lvlText w:val="%3."/>
      <w:lvlJc w:val="right"/>
      <w:pPr>
        <w:ind w:left="2614" w:hanging="180"/>
      </w:pPr>
    </w:lvl>
    <w:lvl w:ilvl="3" w:tplc="100A000F" w:tentative="1">
      <w:start w:val="1"/>
      <w:numFmt w:val="decimal"/>
      <w:lvlText w:val="%4."/>
      <w:lvlJc w:val="left"/>
      <w:pPr>
        <w:ind w:left="3334" w:hanging="360"/>
      </w:pPr>
    </w:lvl>
    <w:lvl w:ilvl="4" w:tplc="100A0019" w:tentative="1">
      <w:start w:val="1"/>
      <w:numFmt w:val="lowerLetter"/>
      <w:lvlText w:val="%5."/>
      <w:lvlJc w:val="left"/>
      <w:pPr>
        <w:ind w:left="4054" w:hanging="360"/>
      </w:pPr>
    </w:lvl>
    <w:lvl w:ilvl="5" w:tplc="100A001B" w:tentative="1">
      <w:start w:val="1"/>
      <w:numFmt w:val="lowerRoman"/>
      <w:lvlText w:val="%6."/>
      <w:lvlJc w:val="right"/>
      <w:pPr>
        <w:ind w:left="4774" w:hanging="180"/>
      </w:pPr>
    </w:lvl>
    <w:lvl w:ilvl="6" w:tplc="100A000F" w:tentative="1">
      <w:start w:val="1"/>
      <w:numFmt w:val="decimal"/>
      <w:lvlText w:val="%7."/>
      <w:lvlJc w:val="left"/>
      <w:pPr>
        <w:ind w:left="5494" w:hanging="360"/>
      </w:pPr>
    </w:lvl>
    <w:lvl w:ilvl="7" w:tplc="100A0019" w:tentative="1">
      <w:start w:val="1"/>
      <w:numFmt w:val="lowerLetter"/>
      <w:lvlText w:val="%8."/>
      <w:lvlJc w:val="left"/>
      <w:pPr>
        <w:ind w:left="6214" w:hanging="360"/>
      </w:pPr>
    </w:lvl>
    <w:lvl w:ilvl="8" w:tplc="100A001B" w:tentative="1">
      <w:start w:val="1"/>
      <w:numFmt w:val="lowerRoman"/>
      <w:lvlText w:val="%9."/>
      <w:lvlJc w:val="right"/>
      <w:pPr>
        <w:ind w:left="6934" w:hanging="180"/>
      </w:pPr>
    </w:lvl>
  </w:abstractNum>
  <w:abstractNum w:abstractNumId="46" w15:restartNumberingAfterBreak="0">
    <w:nsid w:val="3A3075FF"/>
    <w:multiLevelType w:val="hybridMultilevel"/>
    <w:tmpl w:val="653297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15:restartNumberingAfterBreak="0">
    <w:nsid w:val="3A7B3D92"/>
    <w:multiLevelType w:val="hybridMultilevel"/>
    <w:tmpl w:val="B96880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8" w15:restartNumberingAfterBreak="0">
    <w:nsid w:val="3AB62A4B"/>
    <w:multiLevelType w:val="hybridMultilevel"/>
    <w:tmpl w:val="7C9E45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15:restartNumberingAfterBreak="0">
    <w:nsid w:val="3CB52C90"/>
    <w:multiLevelType w:val="multilevel"/>
    <w:tmpl w:val="5410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FFC6C12"/>
    <w:multiLevelType w:val="hybridMultilevel"/>
    <w:tmpl w:val="8CC25E8E"/>
    <w:lvl w:ilvl="0" w:tplc="100A001B">
      <w:start w:val="1"/>
      <w:numFmt w:val="lowerRoman"/>
      <w:lvlText w:val="%1."/>
      <w:lvlJc w:val="right"/>
      <w:pPr>
        <w:ind w:left="1788" w:hanging="360"/>
      </w:pPr>
    </w:lvl>
    <w:lvl w:ilvl="1" w:tplc="100A0019" w:tentative="1">
      <w:start w:val="1"/>
      <w:numFmt w:val="lowerLetter"/>
      <w:lvlText w:val="%2."/>
      <w:lvlJc w:val="left"/>
      <w:pPr>
        <w:ind w:left="2508" w:hanging="360"/>
      </w:pPr>
    </w:lvl>
    <w:lvl w:ilvl="2" w:tplc="100A001B" w:tentative="1">
      <w:start w:val="1"/>
      <w:numFmt w:val="lowerRoman"/>
      <w:lvlText w:val="%3."/>
      <w:lvlJc w:val="right"/>
      <w:pPr>
        <w:ind w:left="3228" w:hanging="180"/>
      </w:pPr>
    </w:lvl>
    <w:lvl w:ilvl="3" w:tplc="100A000F" w:tentative="1">
      <w:start w:val="1"/>
      <w:numFmt w:val="decimal"/>
      <w:lvlText w:val="%4."/>
      <w:lvlJc w:val="left"/>
      <w:pPr>
        <w:ind w:left="3948" w:hanging="360"/>
      </w:pPr>
    </w:lvl>
    <w:lvl w:ilvl="4" w:tplc="100A0019" w:tentative="1">
      <w:start w:val="1"/>
      <w:numFmt w:val="lowerLetter"/>
      <w:lvlText w:val="%5."/>
      <w:lvlJc w:val="left"/>
      <w:pPr>
        <w:ind w:left="4668" w:hanging="360"/>
      </w:pPr>
    </w:lvl>
    <w:lvl w:ilvl="5" w:tplc="100A001B" w:tentative="1">
      <w:start w:val="1"/>
      <w:numFmt w:val="lowerRoman"/>
      <w:lvlText w:val="%6."/>
      <w:lvlJc w:val="right"/>
      <w:pPr>
        <w:ind w:left="5388" w:hanging="180"/>
      </w:pPr>
    </w:lvl>
    <w:lvl w:ilvl="6" w:tplc="100A000F" w:tentative="1">
      <w:start w:val="1"/>
      <w:numFmt w:val="decimal"/>
      <w:lvlText w:val="%7."/>
      <w:lvlJc w:val="left"/>
      <w:pPr>
        <w:ind w:left="6108" w:hanging="360"/>
      </w:pPr>
    </w:lvl>
    <w:lvl w:ilvl="7" w:tplc="100A0019" w:tentative="1">
      <w:start w:val="1"/>
      <w:numFmt w:val="lowerLetter"/>
      <w:lvlText w:val="%8."/>
      <w:lvlJc w:val="left"/>
      <w:pPr>
        <w:ind w:left="6828" w:hanging="360"/>
      </w:pPr>
    </w:lvl>
    <w:lvl w:ilvl="8" w:tplc="100A001B" w:tentative="1">
      <w:start w:val="1"/>
      <w:numFmt w:val="lowerRoman"/>
      <w:lvlText w:val="%9."/>
      <w:lvlJc w:val="right"/>
      <w:pPr>
        <w:ind w:left="7548" w:hanging="180"/>
      </w:pPr>
    </w:lvl>
  </w:abstractNum>
  <w:abstractNum w:abstractNumId="51" w15:restartNumberingAfterBreak="0">
    <w:nsid w:val="428F782C"/>
    <w:multiLevelType w:val="hybridMultilevel"/>
    <w:tmpl w:val="31FCDC82"/>
    <w:lvl w:ilvl="0" w:tplc="03F4E4FA">
      <w:start w:val="1"/>
      <w:numFmt w:val="bullet"/>
      <w:lvlText w:val="·"/>
      <w:lvlJc w:val="left"/>
      <w:pPr>
        <w:ind w:left="720" w:hanging="360"/>
      </w:pPr>
      <w:rPr>
        <w:rFonts w:ascii="Symbol" w:hAnsi="Symbol" w:hint="default"/>
      </w:rPr>
    </w:lvl>
    <w:lvl w:ilvl="1" w:tplc="CF9E7BD4">
      <w:start w:val="1"/>
      <w:numFmt w:val="bullet"/>
      <w:lvlText w:val="o"/>
      <w:lvlJc w:val="left"/>
      <w:pPr>
        <w:ind w:left="1440" w:hanging="360"/>
      </w:pPr>
      <w:rPr>
        <w:rFonts w:ascii="Courier New" w:hAnsi="Courier New" w:hint="default"/>
      </w:rPr>
    </w:lvl>
    <w:lvl w:ilvl="2" w:tplc="EB2692E6">
      <w:start w:val="1"/>
      <w:numFmt w:val="bullet"/>
      <w:lvlText w:val=""/>
      <w:lvlJc w:val="left"/>
      <w:pPr>
        <w:ind w:left="2160" w:hanging="360"/>
      </w:pPr>
      <w:rPr>
        <w:rFonts w:ascii="Wingdings" w:hAnsi="Wingdings" w:hint="default"/>
      </w:rPr>
    </w:lvl>
    <w:lvl w:ilvl="3" w:tplc="1EB67858">
      <w:start w:val="1"/>
      <w:numFmt w:val="bullet"/>
      <w:lvlText w:val=""/>
      <w:lvlJc w:val="left"/>
      <w:pPr>
        <w:ind w:left="2880" w:hanging="360"/>
      </w:pPr>
      <w:rPr>
        <w:rFonts w:ascii="Symbol" w:hAnsi="Symbol" w:hint="default"/>
      </w:rPr>
    </w:lvl>
    <w:lvl w:ilvl="4" w:tplc="3870AF7A">
      <w:start w:val="1"/>
      <w:numFmt w:val="bullet"/>
      <w:lvlText w:val="o"/>
      <w:lvlJc w:val="left"/>
      <w:pPr>
        <w:ind w:left="3600" w:hanging="360"/>
      </w:pPr>
      <w:rPr>
        <w:rFonts w:ascii="Courier New" w:hAnsi="Courier New" w:hint="default"/>
      </w:rPr>
    </w:lvl>
    <w:lvl w:ilvl="5" w:tplc="47A4BC84">
      <w:start w:val="1"/>
      <w:numFmt w:val="bullet"/>
      <w:lvlText w:val=""/>
      <w:lvlJc w:val="left"/>
      <w:pPr>
        <w:ind w:left="4320" w:hanging="360"/>
      </w:pPr>
      <w:rPr>
        <w:rFonts w:ascii="Wingdings" w:hAnsi="Wingdings" w:hint="default"/>
      </w:rPr>
    </w:lvl>
    <w:lvl w:ilvl="6" w:tplc="9B4E99EC">
      <w:start w:val="1"/>
      <w:numFmt w:val="bullet"/>
      <w:lvlText w:val=""/>
      <w:lvlJc w:val="left"/>
      <w:pPr>
        <w:ind w:left="5040" w:hanging="360"/>
      </w:pPr>
      <w:rPr>
        <w:rFonts w:ascii="Symbol" w:hAnsi="Symbol" w:hint="default"/>
      </w:rPr>
    </w:lvl>
    <w:lvl w:ilvl="7" w:tplc="9BFCB3B8">
      <w:start w:val="1"/>
      <w:numFmt w:val="bullet"/>
      <w:lvlText w:val="o"/>
      <w:lvlJc w:val="left"/>
      <w:pPr>
        <w:ind w:left="5760" w:hanging="360"/>
      </w:pPr>
      <w:rPr>
        <w:rFonts w:ascii="Courier New" w:hAnsi="Courier New" w:hint="default"/>
      </w:rPr>
    </w:lvl>
    <w:lvl w:ilvl="8" w:tplc="1D5E2076">
      <w:start w:val="1"/>
      <w:numFmt w:val="bullet"/>
      <w:lvlText w:val=""/>
      <w:lvlJc w:val="left"/>
      <w:pPr>
        <w:ind w:left="6480" w:hanging="360"/>
      </w:pPr>
      <w:rPr>
        <w:rFonts w:ascii="Wingdings" w:hAnsi="Wingdings" w:hint="default"/>
      </w:rPr>
    </w:lvl>
  </w:abstractNum>
  <w:abstractNum w:abstractNumId="52" w15:restartNumberingAfterBreak="0">
    <w:nsid w:val="42B027FB"/>
    <w:multiLevelType w:val="hybridMultilevel"/>
    <w:tmpl w:val="27122A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3" w15:restartNumberingAfterBreak="0">
    <w:nsid w:val="46137E1B"/>
    <w:multiLevelType w:val="hybridMultilevel"/>
    <w:tmpl w:val="601CA2A8"/>
    <w:lvl w:ilvl="0" w:tplc="7A6AA29A">
      <w:start w:val="2"/>
      <w:numFmt w:val="decimal"/>
      <w:suff w:val="space"/>
      <w:lvlText w:val="%1."/>
      <w:lvlJc w:val="left"/>
      <w:pPr>
        <w:ind w:left="723"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15:restartNumberingAfterBreak="0">
    <w:nsid w:val="463D5720"/>
    <w:multiLevelType w:val="hybridMultilevel"/>
    <w:tmpl w:val="CEFC2ED0"/>
    <w:lvl w:ilvl="0" w:tplc="5742FA82">
      <w:start w:val="1"/>
      <w:numFmt w:val="decimal"/>
      <w:suff w:val="space"/>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5" w15:restartNumberingAfterBreak="0">
    <w:nsid w:val="47D87A1E"/>
    <w:multiLevelType w:val="multilevel"/>
    <w:tmpl w:val="BCCC6C6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56" w15:restartNumberingAfterBreak="0">
    <w:nsid w:val="4A166020"/>
    <w:multiLevelType w:val="hybridMultilevel"/>
    <w:tmpl w:val="0750D9F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7" w15:restartNumberingAfterBreak="0">
    <w:nsid w:val="4DEA3D36"/>
    <w:multiLevelType w:val="multilevel"/>
    <w:tmpl w:val="1CA0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E0901AB"/>
    <w:multiLevelType w:val="multilevel"/>
    <w:tmpl w:val="31E0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217D36"/>
    <w:multiLevelType w:val="hybridMultilevel"/>
    <w:tmpl w:val="BEA2F4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0" w15:restartNumberingAfterBreak="0">
    <w:nsid w:val="507C7E7F"/>
    <w:multiLevelType w:val="hybridMultilevel"/>
    <w:tmpl w:val="6AB05C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1" w15:restartNumberingAfterBreak="0">
    <w:nsid w:val="51249E85"/>
    <w:multiLevelType w:val="hybridMultilevel"/>
    <w:tmpl w:val="4CD042B8"/>
    <w:lvl w:ilvl="0" w:tplc="F44CBE96">
      <w:start w:val="1"/>
      <w:numFmt w:val="decimal"/>
      <w:lvlText w:val="%1."/>
      <w:lvlJc w:val="left"/>
      <w:pPr>
        <w:ind w:left="720" w:hanging="360"/>
      </w:pPr>
      <w:rPr>
        <w:b w:val="0"/>
      </w:rPr>
    </w:lvl>
    <w:lvl w:ilvl="1" w:tplc="AB684E00">
      <w:start w:val="1"/>
      <w:numFmt w:val="lowerLetter"/>
      <w:lvlText w:val="%2."/>
      <w:lvlJc w:val="left"/>
      <w:pPr>
        <w:ind w:left="1440" w:hanging="360"/>
      </w:pPr>
    </w:lvl>
    <w:lvl w:ilvl="2" w:tplc="EBF6DC3E">
      <w:start w:val="1"/>
      <w:numFmt w:val="lowerRoman"/>
      <w:lvlText w:val="%3."/>
      <w:lvlJc w:val="right"/>
      <w:pPr>
        <w:ind w:left="2160" w:hanging="180"/>
      </w:pPr>
    </w:lvl>
    <w:lvl w:ilvl="3" w:tplc="BAF00A22">
      <w:start w:val="1"/>
      <w:numFmt w:val="decimal"/>
      <w:lvlText w:val="%4."/>
      <w:lvlJc w:val="left"/>
      <w:pPr>
        <w:ind w:left="2880" w:hanging="360"/>
      </w:pPr>
    </w:lvl>
    <w:lvl w:ilvl="4" w:tplc="F47847CC">
      <w:start w:val="1"/>
      <w:numFmt w:val="lowerLetter"/>
      <w:lvlText w:val="%5."/>
      <w:lvlJc w:val="left"/>
      <w:pPr>
        <w:ind w:left="3600" w:hanging="360"/>
      </w:pPr>
    </w:lvl>
    <w:lvl w:ilvl="5" w:tplc="BA4A446E">
      <w:start w:val="1"/>
      <w:numFmt w:val="lowerRoman"/>
      <w:lvlText w:val="%6."/>
      <w:lvlJc w:val="right"/>
      <w:pPr>
        <w:ind w:left="4320" w:hanging="180"/>
      </w:pPr>
    </w:lvl>
    <w:lvl w:ilvl="6" w:tplc="BE72C0C8">
      <w:start w:val="1"/>
      <w:numFmt w:val="decimal"/>
      <w:lvlText w:val="%7."/>
      <w:lvlJc w:val="left"/>
      <w:pPr>
        <w:ind w:left="5040" w:hanging="360"/>
      </w:pPr>
    </w:lvl>
    <w:lvl w:ilvl="7" w:tplc="35B4BE7A">
      <w:start w:val="1"/>
      <w:numFmt w:val="lowerLetter"/>
      <w:lvlText w:val="%8."/>
      <w:lvlJc w:val="left"/>
      <w:pPr>
        <w:ind w:left="5760" w:hanging="360"/>
      </w:pPr>
    </w:lvl>
    <w:lvl w:ilvl="8" w:tplc="C53E8FC6">
      <w:start w:val="1"/>
      <w:numFmt w:val="lowerRoman"/>
      <w:lvlText w:val="%9."/>
      <w:lvlJc w:val="right"/>
      <w:pPr>
        <w:ind w:left="6480" w:hanging="180"/>
      </w:pPr>
    </w:lvl>
  </w:abstractNum>
  <w:abstractNum w:abstractNumId="62" w15:restartNumberingAfterBreak="0">
    <w:nsid w:val="51FA0057"/>
    <w:multiLevelType w:val="hybridMultilevel"/>
    <w:tmpl w:val="BE6A611C"/>
    <w:lvl w:ilvl="0" w:tplc="EC7CF76E">
      <w:start w:val="1"/>
      <w:numFmt w:val="bullet"/>
      <w:lvlText w:val="·"/>
      <w:lvlJc w:val="left"/>
      <w:pPr>
        <w:ind w:left="720" w:hanging="360"/>
      </w:pPr>
      <w:rPr>
        <w:rFonts w:ascii="Symbol" w:hAnsi="Symbol" w:hint="default"/>
      </w:rPr>
    </w:lvl>
    <w:lvl w:ilvl="1" w:tplc="FE06C008">
      <w:start w:val="1"/>
      <w:numFmt w:val="bullet"/>
      <w:lvlText w:val="o"/>
      <w:lvlJc w:val="left"/>
      <w:pPr>
        <w:ind w:left="1440" w:hanging="360"/>
      </w:pPr>
      <w:rPr>
        <w:rFonts w:ascii="Courier New" w:hAnsi="Courier New" w:hint="default"/>
      </w:rPr>
    </w:lvl>
    <w:lvl w:ilvl="2" w:tplc="A86E1E04">
      <w:start w:val="1"/>
      <w:numFmt w:val="bullet"/>
      <w:lvlText w:val=""/>
      <w:lvlJc w:val="left"/>
      <w:pPr>
        <w:ind w:left="2160" w:hanging="360"/>
      </w:pPr>
      <w:rPr>
        <w:rFonts w:ascii="Wingdings" w:hAnsi="Wingdings" w:hint="default"/>
      </w:rPr>
    </w:lvl>
    <w:lvl w:ilvl="3" w:tplc="D2C2EE62">
      <w:start w:val="1"/>
      <w:numFmt w:val="bullet"/>
      <w:lvlText w:val=""/>
      <w:lvlJc w:val="left"/>
      <w:pPr>
        <w:ind w:left="2880" w:hanging="360"/>
      </w:pPr>
      <w:rPr>
        <w:rFonts w:ascii="Symbol" w:hAnsi="Symbol" w:hint="default"/>
      </w:rPr>
    </w:lvl>
    <w:lvl w:ilvl="4" w:tplc="D0DACBEE">
      <w:start w:val="1"/>
      <w:numFmt w:val="bullet"/>
      <w:lvlText w:val="o"/>
      <w:lvlJc w:val="left"/>
      <w:pPr>
        <w:ind w:left="3600" w:hanging="360"/>
      </w:pPr>
      <w:rPr>
        <w:rFonts w:ascii="Courier New" w:hAnsi="Courier New" w:hint="default"/>
      </w:rPr>
    </w:lvl>
    <w:lvl w:ilvl="5" w:tplc="27B22328">
      <w:start w:val="1"/>
      <w:numFmt w:val="bullet"/>
      <w:lvlText w:val=""/>
      <w:lvlJc w:val="left"/>
      <w:pPr>
        <w:ind w:left="4320" w:hanging="360"/>
      </w:pPr>
      <w:rPr>
        <w:rFonts w:ascii="Wingdings" w:hAnsi="Wingdings" w:hint="default"/>
      </w:rPr>
    </w:lvl>
    <w:lvl w:ilvl="6" w:tplc="01C05FC4">
      <w:start w:val="1"/>
      <w:numFmt w:val="bullet"/>
      <w:lvlText w:val=""/>
      <w:lvlJc w:val="left"/>
      <w:pPr>
        <w:ind w:left="5040" w:hanging="360"/>
      </w:pPr>
      <w:rPr>
        <w:rFonts w:ascii="Symbol" w:hAnsi="Symbol" w:hint="default"/>
      </w:rPr>
    </w:lvl>
    <w:lvl w:ilvl="7" w:tplc="41B2B39C">
      <w:start w:val="1"/>
      <w:numFmt w:val="bullet"/>
      <w:lvlText w:val="o"/>
      <w:lvlJc w:val="left"/>
      <w:pPr>
        <w:ind w:left="5760" w:hanging="360"/>
      </w:pPr>
      <w:rPr>
        <w:rFonts w:ascii="Courier New" w:hAnsi="Courier New" w:hint="default"/>
      </w:rPr>
    </w:lvl>
    <w:lvl w:ilvl="8" w:tplc="00FE58AA">
      <w:start w:val="1"/>
      <w:numFmt w:val="bullet"/>
      <w:lvlText w:val=""/>
      <w:lvlJc w:val="left"/>
      <w:pPr>
        <w:ind w:left="6480" w:hanging="360"/>
      </w:pPr>
      <w:rPr>
        <w:rFonts w:ascii="Wingdings" w:hAnsi="Wingdings" w:hint="default"/>
      </w:rPr>
    </w:lvl>
  </w:abstractNum>
  <w:abstractNum w:abstractNumId="63" w15:restartNumberingAfterBreak="0">
    <w:nsid w:val="52E308AD"/>
    <w:multiLevelType w:val="hybridMultilevel"/>
    <w:tmpl w:val="A3D6C38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4" w15:restartNumberingAfterBreak="0">
    <w:nsid w:val="547667A8"/>
    <w:multiLevelType w:val="hybridMultilevel"/>
    <w:tmpl w:val="16704D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5" w15:restartNumberingAfterBreak="0">
    <w:nsid w:val="5CAD2E86"/>
    <w:multiLevelType w:val="hybridMultilevel"/>
    <w:tmpl w:val="2EE42B2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6" w15:restartNumberingAfterBreak="0">
    <w:nsid w:val="5D1951F6"/>
    <w:multiLevelType w:val="hybridMultilevel"/>
    <w:tmpl w:val="305A5A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7" w15:restartNumberingAfterBreak="0">
    <w:nsid w:val="5D5E3145"/>
    <w:multiLevelType w:val="hybridMultilevel"/>
    <w:tmpl w:val="4D1ECB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8" w15:restartNumberingAfterBreak="0">
    <w:nsid w:val="5E00000F"/>
    <w:multiLevelType w:val="hybridMultilevel"/>
    <w:tmpl w:val="BF1C23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9" w15:restartNumberingAfterBreak="0">
    <w:nsid w:val="5F254A58"/>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F3D7B13"/>
    <w:multiLevelType w:val="multilevel"/>
    <w:tmpl w:val="E140E8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14B3F04"/>
    <w:multiLevelType w:val="multilevel"/>
    <w:tmpl w:val="4102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2622115"/>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2AD5376"/>
    <w:multiLevelType w:val="multilevel"/>
    <w:tmpl w:val="E272C234"/>
    <w:lvl w:ilvl="0">
      <w:start w:val="6"/>
      <w:numFmt w:val="decimal"/>
      <w:pStyle w:val="Ttulo1"/>
      <w:suff w:val="space"/>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4" w15:restartNumberingAfterBreak="0">
    <w:nsid w:val="67625F20"/>
    <w:multiLevelType w:val="multilevel"/>
    <w:tmpl w:val="8AA2DE0A"/>
    <w:lvl w:ilvl="0">
      <w:start w:val="1"/>
      <w:numFmt w:val="decimal"/>
      <w:pStyle w:val="Listaconvietas4"/>
      <w:lvlText w:val="%1"/>
      <w:lvlJc w:val="left"/>
      <w:pPr>
        <w:tabs>
          <w:tab w:val="num" w:pos="360"/>
        </w:tabs>
        <w:ind w:left="360" w:hanging="360"/>
      </w:pPr>
      <w:rPr>
        <w:rFonts w:hint="default"/>
        <w:b/>
        <w:bCs/>
        <w:sz w:val="32"/>
        <w:szCs w:val="32"/>
      </w:rPr>
    </w:lvl>
    <w:lvl w:ilvl="1">
      <w:start w:val="1"/>
      <w:numFmt w:val="decimal"/>
      <w:lvlText w:val="%1.%2"/>
      <w:lvlJc w:val="left"/>
      <w:pPr>
        <w:tabs>
          <w:tab w:val="num" w:pos="360"/>
        </w:tabs>
        <w:ind w:left="360" w:hanging="360"/>
      </w:pPr>
      <w:rPr>
        <w:rFonts w:hint="default"/>
        <w:b/>
        <w:bCs/>
        <w:color w:val="auto"/>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67934501"/>
    <w:multiLevelType w:val="hybridMultilevel"/>
    <w:tmpl w:val="43267A1E"/>
    <w:lvl w:ilvl="0" w:tplc="100A0001">
      <w:start w:val="1"/>
      <w:numFmt w:val="bullet"/>
      <w:lvlText w:val=""/>
      <w:lvlJc w:val="left"/>
      <w:pPr>
        <w:ind w:left="360" w:hanging="360"/>
      </w:pPr>
      <w:rPr>
        <w:rFonts w:ascii="Symbol" w:hAnsi="Symbo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6" w15:restartNumberingAfterBreak="0">
    <w:nsid w:val="680C51EE"/>
    <w:multiLevelType w:val="multilevel"/>
    <w:tmpl w:val="5410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A472EE9"/>
    <w:multiLevelType w:val="hybridMultilevel"/>
    <w:tmpl w:val="6E9236D8"/>
    <w:lvl w:ilvl="0" w:tplc="4F500144">
      <w:start w:val="1"/>
      <w:numFmt w:val="bullet"/>
      <w:lvlText w:val="·"/>
      <w:lvlJc w:val="left"/>
      <w:pPr>
        <w:ind w:left="720" w:hanging="360"/>
      </w:pPr>
      <w:rPr>
        <w:rFonts w:ascii="Symbol" w:hAnsi="Symbol" w:hint="default"/>
      </w:rPr>
    </w:lvl>
    <w:lvl w:ilvl="1" w:tplc="E5A823DC">
      <w:start w:val="1"/>
      <w:numFmt w:val="bullet"/>
      <w:lvlText w:val="o"/>
      <w:lvlJc w:val="left"/>
      <w:pPr>
        <w:ind w:left="1440" w:hanging="360"/>
      </w:pPr>
      <w:rPr>
        <w:rFonts w:ascii="Courier New" w:hAnsi="Courier New" w:hint="default"/>
      </w:rPr>
    </w:lvl>
    <w:lvl w:ilvl="2" w:tplc="1FDC9374">
      <w:start w:val="1"/>
      <w:numFmt w:val="bullet"/>
      <w:lvlText w:val=""/>
      <w:lvlJc w:val="left"/>
      <w:pPr>
        <w:ind w:left="2160" w:hanging="360"/>
      </w:pPr>
      <w:rPr>
        <w:rFonts w:ascii="Wingdings" w:hAnsi="Wingdings" w:hint="default"/>
      </w:rPr>
    </w:lvl>
    <w:lvl w:ilvl="3" w:tplc="41CCA0FE">
      <w:start w:val="1"/>
      <w:numFmt w:val="bullet"/>
      <w:lvlText w:val=""/>
      <w:lvlJc w:val="left"/>
      <w:pPr>
        <w:ind w:left="2880" w:hanging="360"/>
      </w:pPr>
      <w:rPr>
        <w:rFonts w:ascii="Symbol" w:hAnsi="Symbol" w:hint="default"/>
      </w:rPr>
    </w:lvl>
    <w:lvl w:ilvl="4" w:tplc="A0FA0E64">
      <w:start w:val="1"/>
      <w:numFmt w:val="bullet"/>
      <w:lvlText w:val="o"/>
      <w:lvlJc w:val="left"/>
      <w:pPr>
        <w:ind w:left="3600" w:hanging="360"/>
      </w:pPr>
      <w:rPr>
        <w:rFonts w:ascii="Courier New" w:hAnsi="Courier New" w:hint="default"/>
      </w:rPr>
    </w:lvl>
    <w:lvl w:ilvl="5" w:tplc="6AE412A2">
      <w:start w:val="1"/>
      <w:numFmt w:val="bullet"/>
      <w:lvlText w:val=""/>
      <w:lvlJc w:val="left"/>
      <w:pPr>
        <w:ind w:left="4320" w:hanging="360"/>
      </w:pPr>
      <w:rPr>
        <w:rFonts w:ascii="Wingdings" w:hAnsi="Wingdings" w:hint="default"/>
      </w:rPr>
    </w:lvl>
    <w:lvl w:ilvl="6" w:tplc="4DDE976E">
      <w:start w:val="1"/>
      <w:numFmt w:val="bullet"/>
      <w:lvlText w:val=""/>
      <w:lvlJc w:val="left"/>
      <w:pPr>
        <w:ind w:left="5040" w:hanging="360"/>
      </w:pPr>
      <w:rPr>
        <w:rFonts w:ascii="Symbol" w:hAnsi="Symbol" w:hint="default"/>
      </w:rPr>
    </w:lvl>
    <w:lvl w:ilvl="7" w:tplc="FC586DE0">
      <w:start w:val="1"/>
      <w:numFmt w:val="bullet"/>
      <w:lvlText w:val="o"/>
      <w:lvlJc w:val="left"/>
      <w:pPr>
        <w:ind w:left="5760" w:hanging="360"/>
      </w:pPr>
      <w:rPr>
        <w:rFonts w:ascii="Courier New" w:hAnsi="Courier New" w:hint="default"/>
      </w:rPr>
    </w:lvl>
    <w:lvl w:ilvl="8" w:tplc="AD3A0640">
      <w:start w:val="1"/>
      <w:numFmt w:val="bullet"/>
      <w:lvlText w:val=""/>
      <w:lvlJc w:val="left"/>
      <w:pPr>
        <w:ind w:left="6480" w:hanging="360"/>
      </w:pPr>
      <w:rPr>
        <w:rFonts w:ascii="Wingdings" w:hAnsi="Wingdings" w:hint="default"/>
      </w:rPr>
    </w:lvl>
  </w:abstractNum>
  <w:abstractNum w:abstractNumId="78" w15:restartNumberingAfterBreak="0">
    <w:nsid w:val="6AFB5B4C"/>
    <w:multiLevelType w:val="hybridMultilevel"/>
    <w:tmpl w:val="7B5298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9" w15:restartNumberingAfterBreak="0">
    <w:nsid w:val="6B667D1C"/>
    <w:multiLevelType w:val="hybridMultilevel"/>
    <w:tmpl w:val="621C502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0" w15:restartNumberingAfterBreak="0">
    <w:nsid w:val="6C00047F"/>
    <w:multiLevelType w:val="hybridMultilevel"/>
    <w:tmpl w:val="572806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1" w15:restartNumberingAfterBreak="0">
    <w:nsid w:val="6F317D68"/>
    <w:multiLevelType w:val="hybridMultilevel"/>
    <w:tmpl w:val="52526E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2" w15:restartNumberingAfterBreak="0">
    <w:nsid w:val="722FD146"/>
    <w:multiLevelType w:val="hybridMultilevel"/>
    <w:tmpl w:val="07D824E4"/>
    <w:lvl w:ilvl="0" w:tplc="B1B60048">
      <w:start w:val="1"/>
      <w:numFmt w:val="bullet"/>
      <w:lvlText w:val="·"/>
      <w:lvlJc w:val="left"/>
      <w:pPr>
        <w:ind w:left="720" w:hanging="360"/>
      </w:pPr>
      <w:rPr>
        <w:rFonts w:ascii="Symbol" w:hAnsi="Symbol" w:hint="default"/>
      </w:rPr>
    </w:lvl>
    <w:lvl w:ilvl="1" w:tplc="0A48B164">
      <w:start w:val="1"/>
      <w:numFmt w:val="bullet"/>
      <w:lvlText w:val="o"/>
      <w:lvlJc w:val="left"/>
      <w:pPr>
        <w:ind w:left="1440" w:hanging="360"/>
      </w:pPr>
      <w:rPr>
        <w:rFonts w:ascii="Courier New" w:hAnsi="Courier New" w:hint="default"/>
      </w:rPr>
    </w:lvl>
    <w:lvl w:ilvl="2" w:tplc="F7E6BB96">
      <w:start w:val="1"/>
      <w:numFmt w:val="bullet"/>
      <w:lvlText w:val=""/>
      <w:lvlJc w:val="left"/>
      <w:pPr>
        <w:ind w:left="2160" w:hanging="360"/>
      </w:pPr>
      <w:rPr>
        <w:rFonts w:ascii="Wingdings" w:hAnsi="Wingdings" w:hint="default"/>
      </w:rPr>
    </w:lvl>
    <w:lvl w:ilvl="3" w:tplc="E19C9BB6">
      <w:start w:val="1"/>
      <w:numFmt w:val="bullet"/>
      <w:lvlText w:val=""/>
      <w:lvlJc w:val="left"/>
      <w:pPr>
        <w:ind w:left="2880" w:hanging="360"/>
      </w:pPr>
      <w:rPr>
        <w:rFonts w:ascii="Symbol" w:hAnsi="Symbol" w:hint="default"/>
      </w:rPr>
    </w:lvl>
    <w:lvl w:ilvl="4" w:tplc="1E642416">
      <w:start w:val="1"/>
      <w:numFmt w:val="bullet"/>
      <w:lvlText w:val="o"/>
      <w:lvlJc w:val="left"/>
      <w:pPr>
        <w:ind w:left="3600" w:hanging="360"/>
      </w:pPr>
      <w:rPr>
        <w:rFonts w:ascii="Courier New" w:hAnsi="Courier New" w:hint="default"/>
      </w:rPr>
    </w:lvl>
    <w:lvl w:ilvl="5" w:tplc="DB7A5986">
      <w:start w:val="1"/>
      <w:numFmt w:val="bullet"/>
      <w:lvlText w:val=""/>
      <w:lvlJc w:val="left"/>
      <w:pPr>
        <w:ind w:left="4320" w:hanging="360"/>
      </w:pPr>
      <w:rPr>
        <w:rFonts w:ascii="Wingdings" w:hAnsi="Wingdings" w:hint="default"/>
      </w:rPr>
    </w:lvl>
    <w:lvl w:ilvl="6" w:tplc="CCC428A2">
      <w:start w:val="1"/>
      <w:numFmt w:val="bullet"/>
      <w:lvlText w:val=""/>
      <w:lvlJc w:val="left"/>
      <w:pPr>
        <w:ind w:left="5040" w:hanging="360"/>
      </w:pPr>
      <w:rPr>
        <w:rFonts w:ascii="Symbol" w:hAnsi="Symbol" w:hint="default"/>
      </w:rPr>
    </w:lvl>
    <w:lvl w:ilvl="7" w:tplc="36A0E2C8">
      <w:start w:val="1"/>
      <w:numFmt w:val="bullet"/>
      <w:lvlText w:val="o"/>
      <w:lvlJc w:val="left"/>
      <w:pPr>
        <w:ind w:left="5760" w:hanging="360"/>
      </w:pPr>
      <w:rPr>
        <w:rFonts w:ascii="Courier New" w:hAnsi="Courier New" w:hint="default"/>
      </w:rPr>
    </w:lvl>
    <w:lvl w:ilvl="8" w:tplc="972CFFC8">
      <w:start w:val="1"/>
      <w:numFmt w:val="bullet"/>
      <w:lvlText w:val=""/>
      <w:lvlJc w:val="left"/>
      <w:pPr>
        <w:ind w:left="6480" w:hanging="360"/>
      </w:pPr>
      <w:rPr>
        <w:rFonts w:ascii="Wingdings" w:hAnsi="Wingdings" w:hint="default"/>
      </w:rPr>
    </w:lvl>
  </w:abstractNum>
  <w:abstractNum w:abstractNumId="83" w15:restartNumberingAfterBreak="0">
    <w:nsid w:val="726F4D27"/>
    <w:multiLevelType w:val="multilevel"/>
    <w:tmpl w:val="4102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33FC1E7"/>
    <w:multiLevelType w:val="hybridMultilevel"/>
    <w:tmpl w:val="289404B4"/>
    <w:lvl w:ilvl="0" w:tplc="A64C270A">
      <w:start w:val="1"/>
      <w:numFmt w:val="bullet"/>
      <w:lvlText w:val="·"/>
      <w:lvlJc w:val="left"/>
      <w:pPr>
        <w:ind w:left="720" w:hanging="360"/>
      </w:pPr>
      <w:rPr>
        <w:rFonts w:ascii="Symbol" w:hAnsi="Symbol" w:hint="default"/>
      </w:rPr>
    </w:lvl>
    <w:lvl w:ilvl="1" w:tplc="01CC285A">
      <w:start w:val="1"/>
      <w:numFmt w:val="bullet"/>
      <w:lvlText w:val="o"/>
      <w:lvlJc w:val="left"/>
      <w:pPr>
        <w:ind w:left="1440" w:hanging="360"/>
      </w:pPr>
      <w:rPr>
        <w:rFonts w:ascii="Courier New" w:hAnsi="Courier New" w:hint="default"/>
      </w:rPr>
    </w:lvl>
    <w:lvl w:ilvl="2" w:tplc="57F26058">
      <w:start w:val="1"/>
      <w:numFmt w:val="bullet"/>
      <w:lvlText w:val=""/>
      <w:lvlJc w:val="left"/>
      <w:pPr>
        <w:ind w:left="2160" w:hanging="360"/>
      </w:pPr>
      <w:rPr>
        <w:rFonts w:ascii="Wingdings" w:hAnsi="Wingdings" w:hint="default"/>
      </w:rPr>
    </w:lvl>
    <w:lvl w:ilvl="3" w:tplc="A7DAF050">
      <w:start w:val="1"/>
      <w:numFmt w:val="bullet"/>
      <w:lvlText w:val=""/>
      <w:lvlJc w:val="left"/>
      <w:pPr>
        <w:ind w:left="2880" w:hanging="360"/>
      </w:pPr>
      <w:rPr>
        <w:rFonts w:ascii="Symbol" w:hAnsi="Symbol" w:hint="default"/>
      </w:rPr>
    </w:lvl>
    <w:lvl w:ilvl="4" w:tplc="DF488E92">
      <w:start w:val="1"/>
      <w:numFmt w:val="bullet"/>
      <w:lvlText w:val="o"/>
      <w:lvlJc w:val="left"/>
      <w:pPr>
        <w:ind w:left="3600" w:hanging="360"/>
      </w:pPr>
      <w:rPr>
        <w:rFonts w:ascii="Courier New" w:hAnsi="Courier New" w:hint="default"/>
      </w:rPr>
    </w:lvl>
    <w:lvl w:ilvl="5" w:tplc="0A800B8C">
      <w:start w:val="1"/>
      <w:numFmt w:val="bullet"/>
      <w:lvlText w:val=""/>
      <w:lvlJc w:val="left"/>
      <w:pPr>
        <w:ind w:left="4320" w:hanging="360"/>
      </w:pPr>
      <w:rPr>
        <w:rFonts w:ascii="Wingdings" w:hAnsi="Wingdings" w:hint="default"/>
      </w:rPr>
    </w:lvl>
    <w:lvl w:ilvl="6" w:tplc="71BE186A">
      <w:start w:val="1"/>
      <w:numFmt w:val="bullet"/>
      <w:lvlText w:val=""/>
      <w:lvlJc w:val="left"/>
      <w:pPr>
        <w:ind w:left="5040" w:hanging="360"/>
      </w:pPr>
      <w:rPr>
        <w:rFonts w:ascii="Symbol" w:hAnsi="Symbol" w:hint="default"/>
      </w:rPr>
    </w:lvl>
    <w:lvl w:ilvl="7" w:tplc="EFC4BD04">
      <w:start w:val="1"/>
      <w:numFmt w:val="bullet"/>
      <w:lvlText w:val="o"/>
      <w:lvlJc w:val="left"/>
      <w:pPr>
        <w:ind w:left="5760" w:hanging="360"/>
      </w:pPr>
      <w:rPr>
        <w:rFonts w:ascii="Courier New" w:hAnsi="Courier New" w:hint="default"/>
      </w:rPr>
    </w:lvl>
    <w:lvl w:ilvl="8" w:tplc="C0807D08">
      <w:start w:val="1"/>
      <w:numFmt w:val="bullet"/>
      <w:lvlText w:val=""/>
      <w:lvlJc w:val="left"/>
      <w:pPr>
        <w:ind w:left="6480" w:hanging="360"/>
      </w:pPr>
      <w:rPr>
        <w:rFonts w:ascii="Wingdings" w:hAnsi="Wingdings" w:hint="default"/>
      </w:rPr>
    </w:lvl>
  </w:abstractNum>
  <w:abstractNum w:abstractNumId="85" w15:restartNumberingAfterBreak="0">
    <w:nsid w:val="74995DC5"/>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52863D0"/>
    <w:multiLevelType w:val="multilevel"/>
    <w:tmpl w:val="4102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56E5446"/>
    <w:multiLevelType w:val="hybridMultilevel"/>
    <w:tmpl w:val="B11C1C1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8" w15:restartNumberingAfterBreak="0">
    <w:nsid w:val="75C4384B"/>
    <w:multiLevelType w:val="hybridMultilevel"/>
    <w:tmpl w:val="A448D564"/>
    <w:lvl w:ilvl="0" w:tplc="E31C44B8">
      <w:start w:val="1"/>
      <w:numFmt w:val="bullet"/>
      <w:lvlText w:val="·"/>
      <w:lvlJc w:val="left"/>
      <w:pPr>
        <w:ind w:left="720" w:hanging="360"/>
      </w:pPr>
      <w:rPr>
        <w:rFonts w:ascii="Symbol" w:hAnsi="Symbol" w:hint="default"/>
      </w:rPr>
    </w:lvl>
    <w:lvl w:ilvl="1" w:tplc="D5828148">
      <w:start w:val="1"/>
      <w:numFmt w:val="bullet"/>
      <w:lvlText w:val="o"/>
      <w:lvlJc w:val="left"/>
      <w:pPr>
        <w:ind w:left="1440" w:hanging="360"/>
      </w:pPr>
      <w:rPr>
        <w:rFonts w:ascii="Courier New" w:hAnsi="Courier New" w:hint="default"/>
      </w:rPr>
    </w:lvl>
    <w:lvl w:ilvl="2" w:tplc="3BEC2AF2">
      <w:start w:val="1"/>
      <w:numFmt w:val="bullet"/>
      <w:lvlText w:val=""/>
      <w:lvlJc w:val="left"/>
      <w:pPr>
        <w:ind w:left="2160" w:hanging="360"/>
      </w:pPr>
      <w:rPr>
        <w:rFonts w:ascii="Wingdings" w:hAnsi="Wingdings" w:hint="default"/>
      </w:rPr>
    </w:lvl>
    <w:lvl w:ilvl="3" w:tplc="E824684C">
      <w:start w:val="1"/>
      <w:numFmt w:val="bullet"/>
      <w:lvlText w:val=""/>
      <w:lvlJc w:val="left"/>
      <w:pPr>
        <w:ind w:left="2880" w:hanging="360"/>
      </w:pPr>
      <w:rPr>
        <w:rFonts w:ascii="Symbol" w:hAnsi="Symbol" w:hint="default"/>
      </w:rPr>
    </w:lvl>
    <w:lvl w:ilvl="4" w:tplc="97287382">
      <w:start w:val="1"/>
      <w:numFmt w:val="bullet"/>
      <w:lvlText w:val="o"/>
      <w:lvlJc w:val="left"/>
      <w:pPr>
        <w:ind w:left="3600" w:hanging="360"/>
      </w:pPr>
      <w:rPr>
        <w:rFonts w:ascii="Courier New" w:hAnsi="Courier New" w:hint="default"/>
      </w:rPr>
    </w:lvl>
    <w:lvl w:ilvl="5" w:tplc="B8288D58">
      <w:start w:val="1"/>
      <w:numFmt w:val="bullet"/>
      <w:lvlText w:val=""/>
      <w:lvlJc w:val="left"/>
      <w:pPr>
        <w:ind w:left="4320" w:hanging="360"/>
      </w:pPr>
      <w:rPr>
        <w:rFonts w:ascii="Wingdings" w:hAnsi="Wingdings" w:hint="default"/>
      </w:rPr>
    </w:lvl>
    <w:lvl w:ilvl="6" w:tplc="F25A03B6">
      <w:start w:val="1"/>
      <w:numFmt w:val="bullet"/>
      <w:lvlText w:val=""/>
      <w:lvlJc w:val="left"/>
      <w:pPr>
        <w:ind w:left="5040" w:hanging="360"/>
      </w:pPr>
      <w:rPr>
        <w:rFonts w:ascii="Symbol" w:hAnsi="Symbol" w:hint="default"/>
      </w:rPr>
    </w:lvl>
    <w:lvl w:ilvl="7" w:tplc="C7F8F916">
      <w:start w:val="1"/>
      <w:numFmt w:val="bullet"/>
      <w:lvlText w:val="o"/>
      <w:lvlJc w:val="left"/>
      <w:pPr>
        <w:ind w:left="5760" w:hanging="360"/>
      </w:pPr>
      <w:rPr>
        <w:rFonts w:ascii="Courier New" w:hAnsi="Courier New" w:hint="default"/>
      </w:rPr>
    </w:lvl>
    <w:lvl w:ilvl="8" w:tplc="8BF0EA20">
      <w:start w:val="1"/>
      <w:numFmt w:val="bullet"/>
      <w:lvlText w:val=""/>
      <w:lvlJc w:val="left"/>
      <w:pPr>
        <w:ind w:left="6480" w:hanging="360"/>
      </w:pPr>
      <w:rPr>
        <w:rFonts w:ascii="Wingdings" w:hAnsi="Wingdings" w:hint="default"/>
      </w:rPr>
    </w:lvl>
  </w:abstractNum>
  <w:abstractNum w:abstractNumId="89" w15:restartNumberingAfterBreak="0">
    <w:nsid w:val="763B74FA"/>
    <w:multiLevelType w:val="hybridMultilevel"/>
    <w:tmpl w:val="F93C338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0" w15:restartNumberingAfterBreak="0">
    <w:nsid w:val="77A676D9"/>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7B41266"/>
    <w:multiLevelType w:val="multilevel"/>
    <w:tmpl w:val="1F0A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8650C3A"/>
    <w:multiLevelType w:val="hybridMultilevel"/>
    <w:tmpl w:val="94980F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3" w15:restartNumberingAfterBreak="0">
    <w:nsid w:val="78664DC4"/>
    <w:multiLevelType w:val="hybridMultilevel"/>
    <w:tmpl w:val="D5B2BBEE"/>
    <w:lvl w:ilvl="0" w:tplc="1A28BBCA">
      <w:start w:val="1"/>
      <w:numFmt w:val="bullet"/>
      <w:lvlText w:val="·"/>
      <w:lvlJc w:val="left"/>
      <w:pPr>
        <w:ind w:left="720" w:hanging="360"/>
      </w:pPr>
      <w:rPr>
        <w:rFonts w:ascii="Symbol" w:hAnsi="Symbol" w:hint="default"/>
      </w:rPr>
    </w:lvl>
    <w:lvl w:ilvl="1" w:tplc="D0CA53AE">
      <w:start w:val="1"/>
      <w:numFmt w:val="bullet"/>
      <w:lvlText w:val="o"/>
      <w:lvlJc w:val="left"/>
      <w:pPr>
        <w:ind w:left="1440" w:hanging="360"/>
      </w:pPr>
      <w:rPr>
        <w:rFonts w:ascii="Courier New" w:hAnsi="Courier New" w:hint="default"/>
      </w:rPr>
    </w:lvl>
    <w:lvl w:ilvl="2" w:tplc="AFFC09E8">
      <w:start w:val="1"/>
      <w:numFmt w:val="bullet"/>
      <w:lvlText w:val=""/>
      <w:lvlJc w:val="left"/>
      <w:pPr>
        <w:ind w:left="2160" w:hanging="360"/>
      </w:pPr>
      <w:rPr>
        <w:rFonts w:ascii="Wingdings" w:hAnsi="Wingdings" w:hint="default"/>
      </w:rPr>
    </w:lvl>
    <w:lvl w:ilvl="3" w:tplc="609E1872">
      <w:start w:val="1"/>
      <w:numFmt w:val="bullet"/>
      <w:lvlText w:val=""/>
      <w:lvlJc w:val="left"/>
      <w:pPr>
        <w:ind w:left="2880" w:hanging="360"/>
      </w:pPr>
      <w:rPr>
        <w:rFonts w:ascii="Symbol" w:hAnsi="Symbol" w:hint="default"/>
      </w:rPr>
    </w:lvl>
    <w:lvl w:ilvl="4" w:tplc="2F1482BA">
      <w:start w:val="1"/>
      <w:numFmt w:val="bullet"/>
      <w:lvlText w:val="o"/>
      <w:lvlJc w:val="left"/>
      <w:pPr>
        <w:ind w:left="3600" w:hanging="360"/>
      </w:pPr>
      <w:rPr>
        <w:rFonts w:ascii="Courier New" w:hAnsi="Courier New" w:hint="default"/>
      </w:rPr>
    </w:lvl>
    <w:lvl w:ilvl="5" w:tplc="A7E6AA98">
      <w:start w:val="1"/>
      <w:numFmt w:val="bullet"/>
      <w:lvlText w:val=""/>
      <w:lvlJc w:val="left"/>
      <w:pPr>
        <w:ind w:left="4320" w:hanging="360"/>
      </w:pPr>
      <w:rPr>
        <w:rFonts w:ascii="Wingdings" w:hAnsi="Wingdings" w:hint="default"/>
      </w:rPr>
    </w:lvl>
    <w:lvl w:ilvl="6" w:tplc="00E0DC82">
      <w:start w:val="1"/>
      <w:numFmt w:val="bullet"/>
      <w:lvlText w:val=""/>
      <w:lvlJc w:val="left"/>
      <w:pPr>
        <w:ind w:left="5040" w:hanging="360"/>
      </w:pPr>
      <w:rPr>
        <w:rFonts w:ascii="Symbol" w:hAnsi="Symbol" w:hint="default"/>
      </w:rPr>
    </w:lvl>
    <w:lvl w:ilvl="7" w:tplc="286AB238">
      <w:start w:val="1"/>
      <w:numFmt w:val="bullet"/>
      <w:lvlText w:val="o"/>
      <w:lvlJc w:val="left"/>
      <w:pPr>
        <w:ind w:left="5760" w:hanging="360"/>
      </w:pPr>
      <w:rPr>
        <w:rFonts w:ascii="Courier New" w:hAnsi="Courier New" w:hint="default"/>
      </w:rPr>
    </w:lvl>
    <w:lvl w:ilvl="8" w:tplc="C08651FC">
      <w:start w:val="1"/>
      <w:numFmt w:val="bullet"/>
      <w:lvlText w:val=""/>
      <w:lvlJc w:val="left"/>
      <w:pPr>
        <w:ind w:left="6480" w:hanging="360"/>
      </w:pPr>
      <w:rPr>
        <w:rFonts w:ascii="Wingdings" w:hAnsi="Wingdings" w:hint="default"/>
      </w:rPr>
    </w:lvl>
  </w:abstractNum>
  <w:abstractNum w:abstractNumId="94" w15:restartNumberingAfterBreak="0">
    <w:nsid w:val="78FA635F"/>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98A7A1A"/>
    <w:multiLevelType w:val="multilevel"/>
    <w:tmpl w:val="BCC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A2D5F23"/>
    <w:multiLevelType w:val="hybridMultilevel"/>
    <w:tmpl w:val="4A7845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7" w15:restartNumberingAfterBreak="0">
    <w:nsid w:val="7B3C79D3"/>
    <w:multiLevelType w:val="hybridMultilevel"/>
    <w:tmpl w:val="D966C2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8" w15:restartNumberingAfterBreak="0">
    <w:nsid w:val="7C8003EB"/>
    <w:multiLevelType w:val="hybridMultilevel"/>
    <w:tmpl w:val="00F40A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9" w15:restartNumberingAfterBreak="0">
    <w:nsid w:val="7D5448E1"/>
    <w:multiLevelType w:val="hybridMultilevel"/>
    <w:tmpl w:val="250ED0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93"/>
  </w:num>
  <w:num w:numId="2">
    <w:abstractNumId w:val="84"/>
  </w:num>
  <w:num w:numId="3">
    <w:abstractNumId w:val="82"/>
  </w:num>
  <w:num w:numId="4">
    <w:abstractNumId w:val="19"/>
  </w:num>
  <w:num w:numId="5">
    <w:abstractNumId w:val="88"/>
  </w:num>
  <w:num w:numId="6">
    <w:abstractNumId w:val="44"/>
  </w:num>
  <w:num w:numId="7">
    <w:abstractNumId w:val="18"/>
  </w:num>
  <w:num w:numId="8">
    <w:abstractNumId w:val="51"/>
  </w:num>
  <w:num w:numId="9">
    <w:abstractNumId w:val="77"/>
  </w:num>
  <w:num w:numId="10">
    <w:abstractNumId w:val="62"/>
  </w:num>
  <w:num w:numId="11">
    <w:abstractNumId w:val="10"/>
  </w:num>
  <w:num w:numId="12">
    <w:abstractNumId w:val="61"/>
  </w:num>
  <w:num w:numId="13">
    <w:abstractNumId w:val="73"/>
  </w:num>
  <w:num w:numId="14">
    <w:abstractNumId w:val="74"/>
  </w:num>
  <w:num w:numId="15">
    <w:abstractNumId w:val="20"/>
  </w:num>
  <w:num w:numId="16">
    <w:abstractNumId w:val="21"/>
  </w:num>
  <w:num w:numId="17">
    <w:abstractNumId w:val="87"/>
  </w:num>
  <w:num w:numId="18">
    <w:abstractNumId w:val="0"/>
  </w:num>
  <w:num w:numId="19">
    <w:abstractNumId w:val="3"/>
  </w:num>
  <w:num w:numId="20">
    <w:abstractNumId w:val="98"/>
  </w:num>
  <w:num w:numId="21">
    <w:abstractNumId w:val="40"/>
  </w:num>
  <w:num w:numId="22">
    <w:abstractNumId w:val="50"/>
  </w:num>
  <w:num w:numId="23">
    <w:abstractNumId w:val="11"/>
  </w:num>
  <w:num w:numId="24">
    <w:abstractNumId w:val="45"/>
  </w:num>
  <w:num w:numId="25">
    <w:abstractNumId w:val="33"/>
  </w:num>
  <w:num w:numId="26">
    <w:abstractNumId w:val="65"/>
  </w:num>
  <w:num w:numId="27">
    <w:abstractNumId w:val="52"/>
  </w:num>
  <w:num w:numId="28">
    <w:abstractNumId w:val="12"/>
  </w:num>
  <w:num w:numId="29">
    <w:abstractNumId w:val="56"/>
  </w:num>
  <w:num w:numId="30">
    <w:abstractNumId w:val="79"/>
  </w:num>
  <w:num w:numId="31">
    <w:abstractNumId w:val="6"/>
  </w:num>
  <w:num w:numId="32">
    <w:abstractNumId w:val="25"/>
  </w:num>
  <w:num w:numId="33">
    <w:abstractNumId w:val="58"/>
  </w:num>
  <w:num w:numId="34">
    <w:abstractNumId w:val="42"/>
  </w:num>
  <w:num w:numId="35">
    <w:abstractNumId w:val="7"/>
  </w:num>
  <w:num w:numId="36">
    <w:abstractNumId w:val="24"/>
  </w:num>
  <w:num w:numId="37">
    <w:abstractNumId w:val="57"/>
  </w:num>
  <w:num w:numId="38">
    <w:abstractNumId w:val="91"/>
  </w:num>
  <w:num w:numId="39">
    <w:abstractNumId w:val="34"/>
  </w:num>
  <w:num w:numId="40">
    <w:abstractNumId w:val="83"/>
  </w:num>
  <w:num w:numId="41">
    <w:abstractNumId w:val="43"/>
  </w:num>
  <w:num w:numId="42">
    <w:abstractNumId w:val="28"/>
  </w:num>
  <w:num w:numId="43">
    <w:abstractNumId w:val="59"/>
  </w:num>
  <w:num w:numId="44">
    <w:abstractNumId w:val="48"/>
  </w:num>
  <w:num w:numId="45">
    <w:abstractNumId w:val="4"/>
  </w:num>
  <w:num w:numId="46">
    <w:abstractNumId w:val="92"/>
  </w:num>
  <w:num w:numId="47">
    <w:abstractNumId w:val="99"/>
  </w:num>
  <w:num w:numId="48">
    <w:abstractNumId w:val="75"/>
  </w:num>
  <w:num w:numId="49">
    <w:abstractNumId w:val="47"/>
  </w:num>
  <w:num w:numId="50">
    <w:abstractNumId w:val="68"/>
  </w:num>
  <w:num w:numId="51">
    <w:abstractNumId w:val="23"/>
  </w:num>
  <w:num w:numId="52">
    <w:abstractNumId w:val="35"/>
  </w:num>
  <w:num w:numId="53">
    <w:abstractNumId w:val="9"/>
  </w:num>
  <w:num w:numId="54">
    <w:abstractNumId w:val="16"/>
  </w:num>
  <w:num w:numId="55">
    <w:abstractNumId w:val="27"/>
  </w:num>
  <w:num w:numId="56">
    <w:abstractNumId w:val="89"/>
  </w:num>
  <w:num w:numId="57">
    <w:abstractNumId w:val="37"/>
  </w:num>
  <w:num w:numId="58">
    <w:abstractNumId w:val="14"/>
  </w:num>
  <w:num w:numId="59">
    <w:abstractNumId w:val="80"/>
  </w:num>
  <w:num w:numId="60">
    <w:abstractNumId w:val="66"/>
  </w:num>
  <w:num w:numId="61">
    <w:abstractNumId w:val="38"/>
  </w:num>
  <w:num w:numId="62">
    <w:abstractNumId w:val="97"/>
  </w:num>
  <w:num w:numId="63">
    <w:abstractNumId w:val="81"/>
  </w:num>
  <w:num w:numId="64">
    <w:abstractNumId w:val="39"/>
  </w:num>
  <w:num w:numId="65">
    <w:abstractNumId w:val="30"/>
  </w:num>
  <w:num w:numId="66">
    <w:abstractNumId w:val="41"/>
  </w:num>
  <w:num w:numId="67">
    <w:abstractNumId w:val="70"/>
  </w:num>
  <w:num w:numId="68">
    <w:abstractNumId w:val="2"/>
  </w:num>
  <w:num w:numId="69">
    <w:abstractNumId w:val="64"/>
  </w:num>
  <w:num w:numId="70">
    <w:abstractNumId w:val="36"/>
  </w:num>
  <w:num w:numId="71">
    <w:abstractNumId w:val="67"/>
  </w:num>
  <w:num w:numId="72">
    <w:abstractNumId w:val="17"/>
  </w:num>
  <w:num w:numId="73">
    <w:abstractNumId w:val="15"/>
  </w:num>
  <w:num w:numId="74">
    <w:abstractNumId w:val="96"/>
  </w:num>
  <w:num w:numId="75">
    <w:abstractNumId w:val="49"/>
  </w:num>
  <w:num w:numId="76">
    <w:abstractNumId w:val="76"/>
  </w:num>
  <w:num w:numId="77">
    <w:abstractNumId w:val="5"/>
  </w:num>
  <w:num w:numId="78">
    <w:abstractNumId w:val="1"/>
  </w:num>
  <w:num w:numId="79">
    <w:abstractNumId w:val="22"/>
  </w:num>
  <w:num w:numId="80">
    <w:abstractNumId w:val="85"/>
  </w:num>
  <w:num w:numId="81">
    <w:abstractNumId w:val="72"/>
  </w:num>
  <w:num w:numId="82">
    <w:abstractNumId w:val="26"/>
  </w:num>
  <w:num w:numId="83">
    <w:abstractNumId w:val="69"/>
  </w:num>
  <w:num w:numId="84">
    <w:abstractNumId w:val="90"/>
  </w:num>
  <w:num w:numId="85">
    <w:abstractNumId w:val="55"/>
  </w:num>
  <w:num w:numId="86">
    <w:abstractNumId w:val="94"/>
  </w:num>
  <w:num w:numId="87">
    <w:abstractNumId w:val="8"/>
  </w:num>
  <w:num w:numId="88">
    <w:abstractNumId w:val="13"/>
  </w:num>
  <w:num w:numId="89">
    <w:abstractNumId w:val="86"/>
  </w:num>
  <w:num w:numId="90">
    <w:abstractNumId w:val="71"/>
  </w:num>
  <w:num w:numId="91">
    <w:abstractNumId w:val="32"/>
  </w:num>
  <w:num w:numId="92">
    <w:abstractNumId w:val="46"/>
  </w:num>
  <w:num w:numId="93">
    <w:abstractNumId w:val="63"/>
  </w:num>
  <w:num w:numId="94">
    <w:abstractNumId w:val="31"/>
  </w:num>
  <w:num w:numId="95">
    <w:abstractNumId w:val="95"/>
  </w:num>
  <w:num w:numId="96">
    <w:abstractNumId w:val="29"/>
  </w:num>
  <w:num w:numId="97">
    <w:abstractNumId w:val="60"/>
  </w:num>
  <w:num w:numId="98">
    <w:abstractNumId w:val="78"/>
  </w:num>
  <w:num w:numId="99">
    <w:abstractNumId w:val="54"/>
  </w:num>
  <w:num w:numId="100">
    <w:abstractNumId w:val="73"/>
  </w:num>
  <w:num w:numId="101">
    <w:abstractNumId w:val="73"/>
  </w:num>
  <w:num w:numId="102">
    <w:abstractNumId w:val="73"/>
  </w:num>
  <w:num w:numId="103">
    <w:abstractNumId w:val="73"/>
  </w:num>
  <w:num w:numId="104">
    <w:abstractNumId w:val="73"/>
  </w:num>
  <w:num w:numId="105">
    <w:abstractNumId w:val="5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F6"/>
    <w:rsid w:val="00002566"/>
    <w:rsid w:val="00002A87"/>
    <w:rsid w:val="000032C6"/>
    <w:rsid w:val="00006911"/>
    <w:rsid w:val="000071EE"/>
    <w:rsid w:val="000119B3"/>
    <w:rsid w:val="000120C0"/>
    <w:rsid w:val="000144AD"/>
    <w:rsid w:val="00014BD3"/>
    <w:rsid w:val="000152B5"/>
    <w:rsid w:val="0001536B"/>
    <w:rsid w:val="00016865"/>
    <w:rsid w:val="00020479"/>
    <w:rsid w:val="000222A5"/>
    <w:rsid w:val="000232C7"/>
    <w:rsid w:val="00026005"/>
    <w:rsid w:val="000278D6"/>
    <w:rsid w:val="00027D2D"/>
    <w:rsid w:val="00030934"/>
    <w:rsid w:val="00032783"/>
    <w:rsid w:val="00035D10"/>
    <w:rsid w:val="0004362D"/>
    <w:rsid w:val="00043EF1"/>
    <w:rsid w:val="0004410F"/>
    <w:rsid w:val="00045700"/>
    <w:rsid w:val="00045984"/>
    <w:rsid w:val="000469D1"/>
    <w:rsid w:val="0004787B"/>
    <w:rsid w:val="00047E7F"/>
    <w:rsid w:val="000527A8"/>
    <w:rsid w:val="000528AF"/>
    <w:rsid w:val="00055CFA"/>
    <w:rsid w:val="000567DA"/>
    <w:rsid w:val="000605EB"/>
    <w:rsid w:val="0006382F"/>
    <w:rsid w:val="00077D41"/>
    <w:rsid w:val="000810BD"/>
    <w:rsid w:val="00085107"/>
    <w:rsid w:val="0009174B"/>
    <w:rsid w:val="00091F84"/>
    <w:rsid w:val="00092C70"/>
    <w:rsid w:val="0009362C"/>
    <w:rsid w:val="0009400D"/>
    <w:rsid w:val="000A2330"/>
    <w:rsid w:val="000A2449"/>
    <w:rsid w:val="000A72CB"/>
    <w:rsid w:val="000A7378"/>
    <w:rsid w:val="000B1B24"/>
    <w:rsid w:val="000B241B"/>
    <w:rsid w:val="000B26F0"/>
    <w:rsid w:val="000B491B"/>
    <w:rsid w:val="000B64A4"/>
    <w:rsid w:val="000B71C6"/>
    <w:rsid w:val="000C579A"/>
    <w:rsid w:val="000D0AFC"/>
    <w:rsid w:val="000D3FC2"/>
    <w:rsid w:val="000D669E"/>
    <w:rsid w:val="000D7A07"/>
    <w:rsid w:val="000E0F9D"/>
    <w:rsid w:val="000E2727"/>
    <w:rsid w:val="000E555B"/>
    <w:rsid w:val="000E632D"/>
    <w:rsid w:val="000F0CB8"/>
    <w:rsid w:val="000F5427"/>
    <w:rsid w:val="000F7502"/>
    <w:rsid w:val="00104DBF"/>
    <w:rsid w:val="00106882"/>
    <w:rsid w:val="00111AEF"/>
    <w:rsid w:val="00111CDE"/>
    <w:rsid w:val="00112D21"/>
    <w:rsid w:val="00113894"/>
    <w:rsid w:val="00113960"/>
    <w:rsid w:val="0011492A"/>
    <w:rsid w:val="00116F74"/>
    <w:rsid w:val="00117022"/>
    <w:rsid w:val="00120C24"/>
    <w:rsid w:val="00125F9A"/>
    <w:rsid w:val="00127791"/>
    <w:rsid w:val="00135078"/>
    <w:rsid w:val="00145E91"/>
    <w:rsid w:val="00154839"/>
    <w:rsid w:val="00164D9D"/>
    <w:rsid w:val="001664BD"/>
    <w:rsid w:val="001723AD"/>
    <w:rsid w:val="00176810"/>
    <w:rsid w:val="00176A6E"/>
    <w:rsid w:val="00182B71"/>
    <w:rsid w:val="00183143"/>
    <w:rsid w:val="00184B3A"/>
    <w:rsid w:val="00186E4D"/>
    <w:rsid w:val="0018772F"/>
    <w:rsid w:val="00187ADF"/>
    <w:rsid w:val="00190288"/>
    <w:rsid w:val="001905EC"/>
    <w:rsid w:val="001912B8"/>
    <w:rsid w:val="0019448B"/>
    <w:rsid w:val="00196C6F"/>
    <w:rsid w:val="001A361C"/>
    <w:rsid w:val="001A3757"/>
    <w:rsid w:val="001A3760"/>
    <w:rsid w:val="001A3805"/>
    <w:rsid w:val="001A4292"/>
    <w:rsid w:val="001A4BF5"/>
    <w:rsid w:val="001A55F1"/>
    <w:rsid w:val="001B519A"/>
    <w:rsid w:val="001C011A"/>
    <w:rsid w:val="001C47C7"/>
    <w:rsid w:val="001C55A7"/>
    <w:rsid w:val="001D41E5"/>
    <w:rsid w:val="001D7B49"/>
    <w:rsid w:val="001E1EB0"/>
    <w:rsid w:val="001E2598"/>
    <w:rsid w:val="001E25B9"/>
    <w:rsid w:val="001E4EAA"/>
    <w:rsid w:val="001F106A"/>
    <w:rsid w:val="001F2BC2"/>
    <w:rsid w:val="001F2C60"/>
    <w:rsid w:val="001F32B4"/>
    <w:rsid w:val="001F5A28"/>
    <w:rsid w:val="001F77C2"/>
    <w:rsid w:val="00200EA8"/>
    <w:rsid w:val="00201277"/>
    <w:rsid w:val="00203947"/>
    <w:rsid w:val="00207398"/>
    <w:rsid w:val="002126CE"/>
    <w:rsid w:val="00214C47"/>
    <w:rsid w:val="00216644"/>
    <w:rsid w:val="00217A77"/>
    <w:rsid w:val="00224606"/>
    <w:rsid w:val="002248EE"/>
    <w:rsid w:val="0023234C"/>
    <w:rsid w:val="002407A8"/>
    <w:rsid w:val="00240827"/>
    <w:rsid w:val="00240D65"/>
    <w:rsid w:val="00242B70"/>
    <w:rsid w:val="00246671"/>
    <w:rsid w:val="00251396"/>
    <w:rsid w:val="00252DB0"/>
    <w:rsid w:val="00255EDD"/>
    <w:rsid w:val="00257214"/>
    <w:rsid w:val="002578FF"/>
    <w:rsid w:val="00260636"/>
    <w:rsid w:val="00263085"/>
    <w:rsid w:val="00263794"/>
    <w:rsid w:val="0026384C"/>
    <w:rsid w:val="00266FC4"/>
    <w:rsid w:val="002703FC"/>
    <w:rsid w:val="00275F91"/>
    <w:rsid w:val="002902C5"/>
    <w:rsid w:val="002904CD"/>
    <w:rsid w:val="002905E4"/>
    <w:rsid w:val="00291995"/>
    <w:rsid w:val="00293225"/>
    <w:rsid w:val="002A0798"/>
    <w:rsid w:val="002A1A53"/>
    <w:rsid w:val="002A1CFA"/>
    <w:rsid w:val="002A4688"/>
    <w:rsid w:val="002A4A18"/>
    <w:rsid w:val="002A67F0"/>
    <w:rsid w:val="002C1587"/>
    <w:rsid w:val="002C1F2D"/>
    <w:rsid w:val="002C291F"/>
    <w:rsid w:val="002C5CC7"/>
    <w:rsid w:val="002C61A9"/>
    <w:rsid w:val="002C6654"/>
    <w:rsid w:val="002C6AD1"/>
    <w:rsid w:val="002C7E0B"/>
    <w:rsid w:val="002D4688"/>
    <w:rsid w:val="002D6552"/>
    <w:rsid w:val="002D6F19"/>
    <w:rsid w:val="002D6F4E"/>
    <w:rsid w:val="002D7F8A"/>
    <w:rsid w:val="002E2CD6"/>
    <w:rsid w:val="002E2FBB"/>
    <w:rsid w:val="002E7114"/>
    <w:rsid w:val="002F0E46"/>
    <w:rsid w:val="002F1360"/>
    <w:rsid w:val="002F3281"/>
    <w:rsid w:val="002F3F8D"/>
    <w:rsid w:val="002F47EC"/>
    <w:rsid w:val="002F4FE3"/>
    <w:rsid w:val="002F770E"/>
    <w:rsid w:val="00302017"/>
    <w:rsid w:val="003020FD"/>
    <w:rsid w:val="00303766"/>
    <w:rsid w:val="00303F2A"/>
    <w:rsid w:val="00304C7F"/>
    <w:rsid w:val="0030705D"/>
    <w:rsid w:val="00307F8F"/>
    <w:rsid w:val="003104D9"/>
    <w:rsid w:val="00311A1F"/>
    <w:rsid w:val="0031420A"/>
    <w:rsid w:val="0031680A"/>
    <w:rsid w:val="00316FAD"/>
    <w:rsid w:val="00317318"/>
    <w:rsid w:val="00320A75"/>
    <w:rsid w:val="00322631"/>
    <w:rsid w:val="003251DE"/>
    <w:rsid w:val="00325439"/>
    <w:rsid w:val="003276FD"/>
    <w:rsid w:val="00334C5B"/>
    <w:rsid w:val="003356FB"/>
    <w:rsid w:val="00336B69"/>
    <w:rsid w:val="00341C51"/>
    <w:rsid w:val="00342BC8"/>
    <w:rsid w:val="00346FAF"/>
    <w:rsid w:val="0034725B"/>
    <w:rsid w:val="00347385"/>
    <w:rsid w:val="00352839"/>
    <w:rsid w:val="0035388E"/>
    <w:rsid w:val="003562C1"/>
    <w:rsid w:val="003606FF"/>
    <w:rsid w:val="0036296F"/>
    <w:rsid w:val="00363CE0"/>
    <w:rsid w:val="00365C67"/>
    <w:rsid w:val="00372445"/>
    <w:rsid w:val="003756C9"/>
    <w:rsid w:val="00377EF6"/>
    <w:rsid w:val="00381031"/>
    <w:rsid w:val="00386AC2"/>
    <w:rsid w:val="00386E32"/>
    <w:rsid w:val="00390F6B"/>
    <w:rsid w:val="0039187D"/>
    <w:rsid w:val="00392337"/>
    <w:rsid w:val="0039393A"/>
    <w:rsid w:val="00393AD0"/>
    <w:rsid w:val="003943C6"/>
    <w:rsid w:val="00395113"/>
    <w:rsid w:val="003955B8"/>
    <w:rsid w:val="003964D8"/>
    <w:rsid w:val="003A1C47"/>
    <w:rsid w:val="003A1DA9"/>
    <w:rsid w:val="003A4AE6"/>
    <w:rsid w:val="003B0029"/>
    <w:rsid w:val="003B1BD8"/>
    <w:rsid w:val="003B574C"/>
    <w:rsid w:val="003B748E"/>
    <w:rsid w:val="003B7B3E"/>
    <w:rsid w:val="003B7E83"/>
    <w:rsid w:val="003C0245"/>
    <w:rsid w:val="003C1D42"/>
    <w:rsid w:val="003C5101"/>
    <w:rsid w:val="003C786E"/>
    <w:rsid w:val="003D0E5B"/>
    <w:rsid w:val="003D3F45"/>
    <w:rsid w:val="003D5125"/>
    <w:rsid w:val="003D5B1B"/>
    <w:rsid w:val="003E144C"/>
    <w:rsid w:val="003E1E24"/>
    <w:rsid w:val="003E1E8E"/>
    <w:rsid w:val="003E28F5"/>
    <w:rsid w:val="003E6C52"/>
    <w:rsid w:val="003F0DFE"/>
    <w:rsid w:val="003F5C0C"/>
    <w:rsid w:val="003F7438"/>
    <w:rsid w:val="00401A04"/>
    <w:rsid w:val="00401C40"/>
    <w:rsid w:val="00402DBA"/>
    <w:rsid w:val="00403ED4"/>
    <w:rsid w:val="00403F9C"/>
    <w:rsid w:val="00412F96"/>
    <w:rsid w:val="0041346A"/>
    <w:rsid w:val="00414FFF"/>
    <w:rsid w:val="0041744F"/>
    <w:rsid w:val="004175C3"/>
    <w:rsid w:val="0042058C"/>
    <w:rsid w:val="004207BB"/>
    <w:rsid w:val="004219F5"/>
    <w:rsid w:val="00421F5E"/>
    <w:rsid w:val="00422A26"/>
    <w:rsid w:val="00427981"/>
    <w:rsid w:val="00431A33"/>
    <w:rsid w:val="00431FEA"/>
    <w:rsid w:val="004333CB"/>
    <w:rsid w:val="00434145"/>
    <w:rsid w:val="00437F1E"/>
    <w:rsid w:val="00440A96"/>
    <w:rsid w:val="004448B4"/>
    <w:rsid w:val="00444E51"/>
    <w:rsid w:val="0044604D"/>
    <w:rsid w:val="004470EB"/>
    <w:rsid w:val="00453120"/>
    <w:rsid w:val="004574B9"/>
    <w:rsid w:val="00460FB5"/>
    <w:rsid w:val="00461769"/>
    <w:rsid w:val="00467533"/>
    <w:rsid w:val="004676A6"/>
    <w:rsid w:val="004729BA"/>
    <w:rsid w:val="00472A5C"/>
    <w:rsid w:val="00472ACC"/>
    <w:rsid w:val="004734D5"/>
    <w:rsid w:val="004756FC"/>
    <w:rsid w:val="004760E9"/>
    <w:rsid w:val="0048003C"/>
    <w:rsid w:val="00485038"/>
    <w:rsid w:val="004855FF"/>
    <w:rsid w:val="00486211"/>
    <w:rsid w:val="004864DA"/>
    <w:rsid w:val="00487598"/>
    <w:rsid w:val="00490CE2"/>
    <w:rsid w:val="00492078"/>
    <w:rsid w:val="00495BB8"/>
    <w:rsid w:val="004A127B"/>
    <w:rsid w:val="004A2B5A"/>
    <w:rsid w:val="004A497E"/>
    <w:rsid w:val="004A7060"/>
    <w:rsid w:val="004B159C"/>
    <w:rsid w:val="004B2860"/>
    <w:rsid w:val="004B3CE2"/>
    <w:rsid w:val="004B6AAF"/>
    <w:rsid w:val="004B7E13"/>
    <w:rsid w:val="004C0B8C"/>
    <w:rsid w:val="004C1D58"/>
    <w:rsid w:val="004C450B"/>
    <w:rsid w:val="004C5A27"/>
    <w:rsid w:val="004C7C9B"/>
    <w:rsid w:val="004D16E0"/>
    <w:rsid w:val="004D237B"/>
    <w:rsid w:val="004D2DE8"/>
    <w:rsid w:val="004D30D9"/>
    <w:rsid w:val="004D338E"/>
    <w:rsid w:val="004D5701"/>
    <w:rsid w:val="004D69D0"/>
    <w:rsid w:val="004E1B81"/>
    <w:rsid w:val="004E554C"/>
    <w:rsid w:val="004F128F"/>
    <w:rsid w:val="004F4C6A"/>
    <w:rsid w:val="004F6131"/>
    <w:rsid w:val="005004EE"/>
    <w:rsid w:val="005008A4"/>
    <w:rsid w:val="005008AD"/>
    <w:rsid w:val="00501DF2"/>
    <w:rsid w:val="00502197"/>
    <w:rsid w:val="00503246"/>
    <w:rsid w:val="00504599"/>
    <w:rsid w:val="00505CF7"/>
    <w:rsid w:val="00507D60"/>
    <w:rsid w:val="005101F6"/>
    <w:rsid w:val="005134C1"/>
    <w:rsid w:val="00514181"/>
    <w:rsid w:val="005143E4"/>
    <w:rsid w:val="005156D6"/>
    <w:rsid w:val="00517E4A"/>
    <w:rsid w:val="00525514"/>
    <w:rsid w:val="0053103F"/>
    <w:rsid w:val="00531485"/>
    <w:rsid w:val="005321FC"/>
    <w:rsid w:val="00532256"/>
    <w:rsid w:val="0053294E"/>
    <w:rsid w:val="00535CA1"/>
    <w:rsid w:val="00540A9B"/>
    <w:rsid w:val="00540FA8"/>
    <w:rsid w:val="005436C6"/>
    <w:rsid w:val="00547B76"/>
    <w:rsid w:val="00550A1C"/>
    <w:rsid w:val="00554324"/>
    <w:rsid w:val="00557E17"/>
    <w:rsid w:val="0056279B"/>
    <w:rsid w:val="0056431A"/>
    <w:rsid w:val="00567F4C"/>
    <w:rsid w:val="00570576"/>
    <w:rsid w:val="005707B9"/>
    <w:rsid w:val="0057132E"/>
    <w:rsid w:val="00571659"/>
    <w:rsid w:val="005719CF"/>
    <w:rsid w:val="00572E0C"/>
    <w:rsid w:val="00573521"/>
    <w:rsid w:val="005744AB"/>
    <w:rsid w:val="005752C7"/>
    <w:rsid w:val="005809CC"/>
    <w:rsid w:val="005814D5"/>
    <w:rsid w:val="00583640"/>
    <w:rsid w:val="0059105E"/>
    <w:rsid w:val="00595D1D"/>
    <w:rsid w:val="005A0BB2"/>
    <w:rsid w:val="005A771F"/>
    <w:rsid w:val="005A7787"/>
    <w:rsid w:val="005B112B"/>
    <w:rsid w:val="005B5391"/>
    <w:rsid w:val="005B6392"/>
    <w:rsid w:val="005C0580"/>
    <w:rsid w:val="005C354E"/>
    <w:rsid w:val="005C4219"/>
    <w:rsid w:val="005D0A86"/>
    <w:rsid w:val="005D21BB"/>
    <w:rsid w:val="005D4123"/>
    <w:rsid w:val="005D4383"/>
    <w:rsid w:val="005D512F"/>
    <w:rsid w:val="005E02B9"/>
    <w:rsid w:val="005E1C4E"/>
    <w:rsid w:val="005E2D10"/>
    <w:rsid w:val="005E4110"/>
    <w:rsid w:val="005E55E0"/>
    <w:rsid w:val="005E7A40"/>
    <w:rsid w:val="005F090B"/>
    <w:rsid w:val="005F0C32"/>
    <w:rsid w:val="005F29CB"/>
    <w:rsid w:val="005F4DD6"/>
    <w:rsid w:val="005F5DE6"/>
    <w:rsid w:val="00601148"/>
    <w:rsid w:val="00603B92"/>
    <w:rsid w:val="006042DC"/>
    <w:rsid w:val="006066F3"/>
    <w:rsid w:val="00606CB8"/>
    <w:rsid w:val="00607BB0"/>
    <w:rsid w:val="00611C66"/>
    <w:rsid w:val="0061221A"/>
    <w:rsid w:val="00615643"/>
    <w:rsid w:val="0061669C"/>
    <w:rsid w:val="00616893"/>
    <w:rsid w:val="00616CCA"/>
    <w:rsid w:val="00621A4F"/>
    <w:rsid w:val="00625965"/>
    <w:rsid w:val="00630439"/>
    <w:rsid w:val="00630F7F"/>
    <w:rsid w:val="00631FE2"/>
    <w:rsid w:val="006345AD"/>
    <w:rsid w:val="006378CC"/>
    <w:rsid w:val="00640D38"/>
    <w:rsid w:val="00642097"/>
    <w:rsid w:val="0064339C"/>
    <w:rsid w:val="00644EA2"/>
    <w:rsid w:val="00650C1B"/>
    <w:rsid w:val="00652F9B"/>
    <w:rsid w:val="00653125"/>
    <w:rsid w:val="006538A0"/>
    <w:rsid w:val="006568F2"/>
    <w:rsid w:val="00657139"/>
    <w:rsid w:val="00660B95"/>
    <w:rsid w:val="00660E8C"/>
    <w:rsid w:val="0066109C"/>
    <w:rsid w:val="00662A64"/>
    <w:rsid w:val="0066355C"/>
    <w:rsid w:val="006640DA"/>
    <w:rsid w:val="006645F7"/>
    <w:rsid w:val="006665AB"/>
    <w:rsid w:val="00673E14"/>
    <w:rsid w:val="0067473B"/>
    <w:rsid w:val="00677923"/>
    <w:rsid w:val="00681322"/>
    <w:rsid w:val="00682075"/>
    <w:rsid w:val="006835F6"/>
    <w:rsid w:val="006840F8"/>
    <w:rsid w:val="0068441A"/>
    <w:rsid w:val="00690B11"/>
    <w:rsid w:val="00691B67"/>
    <w:rsid w:val="006936D2"/>
    <w:rsid w:val="00693BD9"/>
    <w:rsid w:val="00693DB3"/>
    <w:rsid w:val="00694A4A"/>
    <w:rsid w:val="006962EE"/>
    <w:rsid w:val="00697B16"/>
    <w:rsid w:val="006A00CE"/>
    <w:rsid w:val="006A3648"/>
    <w:rsid w:val="006A389A"/>
    <w:rsid w:val="006A5365"/>
    <w:rsid w:val="006A63E3"/>
    <w:rsid w:val="006A6ACF"/>
    <w:rsid w:val="006A7C8F"/>
    <w:rsid w:val="006B292E"/>
    <w:rsid w:val="006B2C52"/>
    <w:rsid w:val="006B68C9"/>
    <w:rsid w:val="006C0BE4"/>
    <w:rsid w:val="006C2487"/>
    <w:rsid w:val="006D0ADC"/>
    <w:rsid w:val="006D203B"/>
    <w:rsid w:val="006D6825"/>
    <w:rsid w:val="006E2754"/>
    <w:rsid w:val="006E3297"/>
    <w:rsid w:val="006E37DD"/>
    <w:rsid w:val="006E5797"/>
    <w:rsid w:val="006E5E0A"/>
    <w:rsid w:val="006E62FF"/>
    <w:rsid w:val="006F21F0"/>
    <w:rsid w:val="006F386B"/>
    <w:rsid w:val="006F3954"/>
    <w:rsid w:val="006F64B2"/>
    <w:rsid w:val="006F7149"/>
    <w:rsid w:val="007037D2"/>
    <w:rsid w:val="00704612"/>
    <w:rsid w:val="00704DA7"/>
    <w:rsid w:val="00705CE9"/>
    <w:rsid w:val="007069DF"/>
    <w:rsid w:val="00710F76"/>
    <w:rsid w:val="00711ABF"/>
    <w:rsid w:val="00715924"/>
    <w:rsid w:val="00722285"/>
    <w:rsid w:val="0073239C"/>
    <w:rsid w:val="007348F2"/>
    <w:rsid w:val="00734E8D"/>
    <w:rsid w:val="00740721"/>
    <w:rsid w:val="00742720"/>
    <w:rsid w:val="00745059"/>
    <w:rsid w:val="0074585D"/>
    <w:rsid w:val="00747BFE"/>
    <w:rsid w:val="007575CC"/>
    <w:rsid w:val="00761E2A"/>
    <w:rsid w:val="00763391"/>
    <w:rsid w:val="00765224"/>
    <w:rsid w:val="00770826"/>
    <w:rsid w:val="007717B2"/>
    <w:rsid w:val="00777974"/>
    <w:rsid w:val="00777D1C"/>
    <w:rsid w:val="007806ED"/>
    <w:rsid w:val="0078103A"/>
    <w:rsid w:val="007822B7"/>
    <w:rsid w:val="00783FB2"/>
    <w:rsid w:val="007879C1"/>
    <w:rsid w:val="00790191"/>
    <w:rsid w:val="00791533"/>
    <w:rsid w:val="007A41C1"/>
    <w:rsid w:val="007A4760"/>
    <w:rsid w:val="007A6B50"/>
    <w:rsid w:val="007B7C22"/>
    <w:rsid w:val="007C060A"/>
    <w:rsid w:val="007C065D"/>
    <w:rsid w:val="007C379E"/>
    <w:rsid w:val="007C4761"/>
    <w:rsid w:val="007C5F36"/>
    <w:rsid w:val="007C6826"/>
    <w:rsid w:val="007C6C84"/>
    <w:rsid w:val="007D13B7"/>
    <w:rsid w:val="007D2B24"/>
    <w:rsid w:val="007D437A"/>
    <w:rsid w:val="007D4C7A"/>
    <w:rsid w:val="007D6E10"/>
    <w:rsid w:val="007E2980"/>
    <w:rsid w:val="007E67C4"/>
    <w:rsid w:val="007F049C"/>
    <w:rsid w:val="007F0652"/>
    <w:rsid w:val="007F134F"/>
    <w:rsid w:val="007F13BE"/>
    <w:rsid w:val="007F25FC"/>
    <w:rsid w:val="007F2900"/>
    <w:rsid w:val="007F3E7B"/>
    <w:rsid w:val="008053C6"/>
    <w:rsid w:val="00810981"/>
    <w:rsid w:val="00813082"/>
    <w:rsid w:val="00814722"/>
    <w:rsid w:val="0082066E"/>
    <w:rsid w:val="0082305E"/>
    <w:rsid w:val="00823E67"/>
    <w:rsid w:val="00825577"/>
    <w:rsid w:val="00825AC4"/>
    <w:rsid w:val="00826276"/>
    <w:rsid w:val="00826652"/>
    <w:rsid w:val="008271F6"/>
    <w:rsid w:val="008308B4"/>
    <w:rsid w:val="008321CE"/>
    <w:rsid w:val="008341A8"/>
    <w:rsid w:val="00834D42"/>
    <w:rsid w:val="0083517B"/>
    <w:rsid w:val="00837BCF"/>
    <w:rsid w:val="00840718"/>
    <w:rsid w:val="008424E7"/>
    <w:rsid w:val="008474F4"/>
    <w:rsid w:val="00850A68"/>
    <w:rsid w:val="008537AA"/>
    <w:rsid w:val="00856012"/>
    <w:rsid w:val="008566C4"/>
    <w:rsid w:val="00860F32"/>
    <w:rsid w:val="00861847"/>
    <w:rsid w:val="00862222"/>
    <w:rsid w:val="00867746"/>
    <w:rsid w:val="0087248C"/>
    <w:rsid w:val="00873F9D"/>
    <w:rsid w:val="00883C0A"/>
    <w:rsid w:val="00886473"/>
    <w:rsid w:val="00894F86"/>
    <w:rsid w:val="0089672F"/>
    <w:rsid w:val="00897412"/>
    <w:rsid w:val="008A5415"/>
    <w:rsid w:val="008A63D9"/>
    <w:rsid w:val="008A7146"/>
    <w:rsid w:val="008A7A9F"/>
    <w:rsid w:val="008B053A"/>
    <w:rsid w:val="008B17B9"/>
    <w:rsid w:val="008B315B"/>
    <w:rsid w:val="008C0C9C"/>
    <w:rsid w:val="008C0F19"/>
    <w:rsid w:val="008C24E9"/>
    <w:rsid w:val="008C2643"/>
    <w:rsid w:val="008C3AFB"/>
    <w:rsid w:val="008C4C7F"/>
    <w:rsid w:val="008C544E"/>
    <w:rsid w:val="008C7A42"/>
    <w:rsid w:val="008D17BC"/>
    <w:rsid w:val="008D4595"/>
    <w:rsid w:val="008D4CD0"/>
    <w:rsid w:val="008D5922"/>
    <w:rsid w:val="008D5DF9"/>
    <w:rsid w:val="008D6172"/>
    <w:rsid w:val="008D6F67"/>
    <w:rsid w:val="008E400B"/>
    <w:rsid w:val="008F7682"/>
    <w:rsid w:val="008F79ED"/>
    <w:rsid w:val="00902357"/>
    <w:rsid w:val="00904CA4"/>
    <w:rsid w:val="009070B1"/>
    <w:rsid w:val="009113A0"/>
    <w:rsid w:val="009118A3"/>
    <w:rsid w:val="009144FD"/>
    <w:rsid w:val="009218E8"/>
    <w:rsid w:val="00924F5C"/>
    <w:rsid w:val="0092740B"/>
    <w:rsid w:val="009278C2"/>
    <w:rsid w:val="0093034A"/>
    <w:rsid w:val="00936E17"/>
    <w:rsid w:val="00937739"/>
    <w:rsid w:val="00937F36"/>
    <w:rsid w:val="00941430"/>
    <w:rsid w:val="00942A7C"/>
    <w:rsid w:val="009431B8"/>
    <w:rsid w:val="00945853"/>
    <w:rsid w:val="009507C5"/>
    <w:rsid w:val="00950C5F"/>
    <w:rsid w:val="00955806"/>
    <w:rsid w:val="00955FE9"/>
    <w:rsid w:val="009578B0"/>
    <w:rsid w:val="00965CB1"/>
    <w:rsid w:val="00966BE1"/>
    <w:rsid w:val="00967B06"/>
    <w:rsid w:val="009760B0"/>
    <w:rsid w:val="00977145"/>
    <w:rsid w:val="00977BD5"/>
    <w:rsid w:val="00977C16"/>
    <w:rsid w:val="0098143A"/>
    <w:rsid w:val="00981591"/>
    <w:rsid w:val="00981710"/>
    <w:rsid w:val="00984BA9"/>
    <w:rsid w:val="00984D55"/>
    <w:rsid w:val="009878A6"/>
    <w:rsid w:val="00994906"/>
    <w:rsid w:val="009953BA"/>
    <w:rsid w:val="009A145F"/>
    <w:rsid w:val="009A2A15"/>
    <w:rsid w:val="009A2A99"/>
    <w:rsid w:val="009A2D23"/>
    <w:rsid w:val="009A4DB3"/>
    <w:rsid w:val="009B4095"/>
    <w:rsid w:val="009B6094"/>
    <w:rsid w:val="009C3D82"/>
    <w:rsid w:val="009C469D"/>
    <w:rsid w:val="009C48C4"/>
    <w:rsid w:val="009C5918"/>
    <w:rsid w:val="009D323A"/>
    <w:rsid w:val="009D6FE0"/>
    <w:rsid w:val="009E1C89"/>
    <w:rsid w:val="009E6D29"/>
    <w:rsid w:val="009F2209"/>
    <w:rsid w:val="009F235F"/>
    <w:rsid w:val="009F4719"/>
    <w:rsid w:val="009F567A"/>
    <w:rsid w:val="009F5A6A"/>
    <w:rsid w:val="009F5DFD"/>
    <w:rsid w:val="009F60C6"/>
    <w:rsid w:val="009F6121"/>
    <w:rsid w:val="009F746E"/>
    <w:rsid w:val="00A02D42"/>
    <w:rsid w:val="00A03DB8"/>
    <w:rsid w:val="00A121E0"/>
    <w:rsid w:val="00A1449F"/>
    <w:rsid w:val="00A144D4"/>
    <w:rsid w:val="00A157BA"/>
    <w:rsid w:val="00A242C9"/>
    <w:rsid w:val="00A266EF"/>
    <w:rsid w:val="00A2709A"/>
    <w:rsid w:val="00A31E02"/>
    <w:rsid w:val="00A368F6"/>
    <w:rsid w:val="00A41A19"/>
    <w:rsid w:val="00A44D98"/>
    <w:rsid w:val="00A4542C"/>
    <w:rsid w:val="00A47FDD"/>
    <w:rsid w:val="00A508D7"/>
    <w:rsid w:val="00A52434"/>
    <w:rsid w:val="00A543DE"/>
    <w:rsid w:val="00A55633"/>
    <w:rsid w:val="00A56642"/>
    <w:rsid w:val="00A6139A"/>
    <w:rsid w:val="00A61F2C"/>
    <w:rsid w:val="00A70539"/>
    <w:rsid w:val="00A80470"/>
    <w:rsid w:val="00A80BA8"/>
    <w:rsid w:val="00A836C2"/>
    <w:rsid w:val="00A83CDC"/>
    <w:rsid w:val="00A84285"/>
    <w:rsid w:val="00A87EEB"/>
    <w:rsid w:val="00A91A70"/>
    <w:rsid w:val="00A92E38"/>
    <w:rsid w:val="00A940F1"/>
    <w:rsid w:val="00A96AFF"/>
    <w:rsid w:val="00A97A32"/>
    <w:rsid w:val="00AA1B44"/>
    <w:rsid w:val="00AA2202"/>
    <w:rsid w:val="00AA2593"/>
    <w:rsid w:val="00AA6557"/>
    <w:rsid w:val="00AA6A39"/>
    <w:rsid w:val="00AB298B"/>
    <w:rsid w:val="00AB4A35"/>
    <w:rsid w:val="00AB63C1"/>
    <w:rsid w:val="00AB6A48"/>
    <w:rsid w:val="00AC0838"/>
    <w:rsid w:val="00AC1B5C"/>
    <w:rsid w:val="00AC7B1B"/>
    <w:rsid w:val="00AD4792"/>
    <w:rsid w:val="00AD4BB8"/>
    <w:rsid w:val="00AD5249"/>
    <w:rsid w:val="00AD5ABC"/>
    <w:rsid w:val="00AD64C7"/>
    <w:rsid w:val="00AD6E08"/>
    <w:rsid w:val="00AD78CC"/>
    <w:rsid w:val="00AD7DE7"/>
    <w:rsid w:val="00AE3762"/>
    <w:rsid w:val="00AE4B0C"/>
    <w:rsid w:val="00AE5A1E"/>
    <w:rsid w:val="00AE5ECC"/>
    <w:rsid w:val="00AE743B"/>
    <w:rsid w:val="00AF10A3"/>
    <w:rsid w:val="00AF44DF"/>
    <w:rsid w:val="00B0643E"/>
    <w:rsid w:val="00B06460"/>
    <w:rsid w:val="00B07192"/>
    <w:rsid w:val="00B11FA1"/>
    <w:rsid w:val="00B1416B"/>
    <w:rsid w:val="00B16229"/>
    <w:rsid w:val="00B213BB"/>
    <w:rsid w:val="00B23FB8"/>
    <w:rsid w:val="00B3258C"/>
    <w:rsid w:val="00B3395F"/>
    <w:rsid w:val="00B340FD"/>
    <w:rsid w:val="00B36C5F"/>
    <w:rsid w:val="00B466BB"/>
    <w:rsid w:val="00B46DF6"/>
    <w:rsid w:val="00B5079E"/>
    <w:rsid w:val="00B52102"/>
    <w:rsid w:val="00B5576A"/>
    <w:rsid w:val="00B57028"/>
    <w:rsid w:val="00B638AA"/>
    <w:rsid w:val="00B66B48"/>
    <w:rsid w:val="00B74478"/>
    <w:rsid w:val="00B759FC"/>
    <w:rsid w:val="00B843AE"/>
    <w:rsid w:val="00B84C77"/>
    <w:rsid w:val="00B90592"/>
    <w:rsid w:val="00B910DD"/>
    <w:rsid w:val="00B92B56"/>
    <w:rsid w:val="00B93FEF"/>
    <w:rsid w:val="00B95815"/>
    <w:rsid w:val="00B95DA5"/>
    <w:rsid w:val="00B97D65"/>
    <w:rsid w:val="00BA1214"/>
    <w:rsid w:val="00BA16B0"/>
    <w:rsid w:val="00BA17A3"/>
    <w:rsid w:val="00BA501E"/>
    <w:rsid w:val="00BA59F5"/>
    <w:rsid w:val="00BA62B2"/>
    <w:rsid w:val="00BB32E3"/>
    <w:rsid w:val="00BB448E"/>
    <w:rsid w:val="00BB561C"/>
    <w:rsid w:val="00BC13E9"/>
    <w:rsid w:val="00BC2B6E"/>
    <w:rsid w:val="00BC4B3B"/>
    <w:rsid w:val="00BC61B9"/>
    <w:rsid w:val="00BD1BD3"/>
    <w:rsid w:val="00BD2BA1"/>
    <w:rsid w:val="00BD5CC6"/>
    <w:rsid w:val="00BD6D78"/>
    <w:rsid w:val="00BE2BA5"/>
    <w:rsid w:val="00BE3D0B"/>
    <w:rsid w:val="00BE59F4"/>
    <w:rsid w:val="00BE7959"/>
    <w:rsid w:val="00BE7D50"/>
    <w:rsid w:val="00BF0826"/>
    <w:rsid w:val="00BF1125"/>
    <w:rsid w:val="00BF1ECD"/>
    <w:rsid w:val="00BF3C29"/>
    <w:rsid w:val="00C00517"/>
    <w:rsid w:val="00C00F9A"/>
    <w:rsid w:val="00C0120F"/>
    <w:rsid w:val="00C0232A"/>
    <w:rsid w:val="00C0493C"/>
    <w:rsid w:val="00C0751A"/>
    <w:rsid w:val="00C07B85"/>
    <w:rsid w:val="00C110C5"/>
    <w:rsid w:val="00C13596"/>
    <w:rsid w:val="00C13D0D"/>
    <w:rsid w:val="00C15B4E"/>
    <w:rsid w:val="00C201DE"/>
    <w:rsid w:val="00C22B2E"/>
    <w:rsid w:val="00C25A92"/>
    <w:rsid w:val="00C25B7E"/>
    <w:rsid w:val="00C26DEB"/>
    <w:rsid w:val="00C3126D"/>
    <w:rsid w:val="00C31C3E"/>
    <w:rsid w:val="00C348DD"/>
    <w:rsid w:val="00C35883"/>
    <w:rsid w:val="00C54A7F"/>
    <w:rsid w:val="00C55E32"/>
    <w:rsid w:val="00C577E5"/>
    <w:rsid w:val="00C605C1"/>
    <w:rsid w:val="00C60BCA"/>
    <w:rsid w:val="00C75033"/>
    <w:rsid w:val="00C7720E"/>
    <w:rsid w:val="00C8352D"/>
    <w:rsid w:val="00C8373F"/>
    <w:rsid w:val="00C85C46"/>
    <w:rsid w:val="00C85F38"/>
    <w:rsid w:val="00C87DAD"/>
    <w:rsid w:val="00C90BD2"/>
    <w:rsid w:val="00C929D7"/>
    <w:rsid w:val="00C9328C"/>
    <w:rsid w:val="00C94B88"/>
    <w:rsid w:val="00CA1DBF"/>
    <w:rsid w:val="00CA2312"/>
    <w:rsid w:val="00CA2C69"/>
    <w:rsid w:val="00CA5062"/>
    <w:rsid w:val="00CA52A6"/>
    <w:rsid w:val="00CA78AF"/>
    <w:rsid w:val="00CB0726"/>
    <w:rsid w:val="00CB1C4C"/>
    <w:rsid w:val="00CB2668"/>
    <w:rsid w:val="00CB3DFF"/>
    <w:rsid w:val="00CB6587"/>
    <w:rsid w:val="00CC3385"/>
    <w:rsid w:val="00CD281D"/>
    <w:rsid w:val="00CD56FD"/>
    <w:rsid w:val="00CE1F61"/>
    <w:rsid w:val="00CE2739"/>
    <w:rsid w:val="00CE3D5C"/>
    <w:rsid w:val="00CE4515"/>
    <w:rsid w:val="00CF430E"/>
    <w:rsid w:val="00CF6913"/>
    <w:rsid w:val="00CF6A54"/>
    <w:rsid w:val="00D00F1A"/>
    <w:rsid w:val="00D017BD"/>
    <w:rsid w:val="00D0650C"/>
    <w:rsid w:val="00D06918"/>
    <w:rsid w:val="00D0771A"/>
    <w:rsid w:val="00D077A0"/>
    <w:rsid w:val="00D112E0"/>
    <w:rsid w:val="00D1158B"/>
    <w:rsid w:val="00D136AB"/>
    <w:rsid w:val="00D1390F"/>
    <w:rsid w:val="00D14764"/>
    <w:rsid w:val="00D14CE0"/>
    <w:rsid w:val="00D16733"/>
    <w:rsid w:val="00D209BE"/>
    <w:rsid w:val="00D219CB"/>
    <w:rsid w:val="00D26FB5"/>
    <w:rsid w:val="00D330D1"/>
    <w:rsid w:val="00D33E9B"/>
    <w:rsid w:val="00D375CC"/>
    <w:rsid w:val="00D37F71"/>
    <w:rsid w:val="00D403C1"/>
    <w:rsid w:val="00D40E91"/>
    <w:rsid w:val="00D454E4"/>
    <w:rsid w:val="00D45C89"/>
    <w:rsid w:val="00D473FF"/>
    <w:rsid w:val="00D5044E"/>
    <w:rsid w:val="00D51F45"/>
    <w:rsid w:val="00D52EC3"/>
    <w:rsid w:val="00D55EB3"/>
    <w:rsid w:val="00D5716C"/>
    <w:rsid w:val="00D60FF6"/>
    <w:rsid w:val="00D637E5"/>
    <w:rsid w:val="00D715C5"/>
    <w:rsid w:val="00D7316E"/>
    <w:rsid w:val="00D8035D"/>
    <w:rsid w:val="00D80CD5"/>
    <w:rsid w:val="00D831A0"/>
    <w:rsid w:val="00D8500D"/>
    <w:rsid w:val="00D90BD3"/>
    <w:rsid w:val="00D91915"/>
    <w:rsid w:val="00D93289"/>
    <w:rsid w:val="00D93F92"/>
    <w:rsid w:val="00DA2C64"/>
    <w:rsid w:val="00DA459C"/>
    <w:rsid w:val="00DA5217"/>
    <w:rsid w:val="00DA775D"/>
    <w:rsid w:val="00DB1179"/>
    <w:rsid w:val="00DB4550"/>
    <w:rsid w:val="00DB497D"/>
    <w:rsid w:val="00DB5C36"/>
    <w:rsid w:val="00DB5CE0"/>
    <w:rsid w:val="00DB696A"/>
    <w:rsid w:val="00DB77C9"/>
    <w:rsid w:val="00DC2646"/>
    <w:rsid w:val="00DC52D8"/>
    <w:rsid w:val="00DC5E7C"/>
    <w:rsid w:val="00DC6A4B"/>
    <w:rsid w:val="00DD051F"/>
    <w:rsid w:val="00DD2516"/>
    <w:rsid w:val="00DD3EDA"/>
    <w:rsid w:val="00DD404D"/>
    <w:rsid w:val="00DD7049"/>
    <w:rsid w:val="00DE0BC3"/>
    <w:rsid w:val="00DE1000"/>
    <w:rsid w:val="00DE3673"/>
    <w:rsid w:val="00DE5090"/>
    <w:rsid w:val="00DF02CF"/>
    <w:rsid w:val="00DF1971"/>
    <w:rsid w:val="00DF6B20"/>
    <w:rsid w:val="00DF7668"/>
    <w:rsid w:val="00E002AA"/>
    <w:rsid w:val="00E00491"/>
    <w:rsid w:val="00E054C4"/>
    <w:rsid w:val="00E059C2"/>
    <w:rsid w:val="00E07501"/>
    <w:rsid w:val="00E11820"/>
    <w:rsid w:val="00E15871"/>
    <w:rsid w:val="00E158F1"/>
    <w:rsid w:val="00E17E27"/>
    <w:rsid w:val="00E20319"/>
    <w:rsid w:val="00E23D92"/>
    <w:rsid w:val="00E240CC"/>
    <w:rsid w:val="00E2486F"/>
    <w:rsid w:val="00E27610"/>
    <w:rsid w:val="00E30BC3"/>
    <w:rsid w:val="00E31540"/>
    <w:rsid w:val="00E32B7C"/>
    <w:rsid w:val="00E353C5"/>
    <w:rsid w:val="00E40609"/>
    <w:rsid w:val="00E4088B"/>
    <w:rsid w:val="00E41A64"/>
    <w:rsid w:val="00E42F53"/>
    <w:rsid w:val="00E432AD"/>
    <w:rsid w:val="00E43D2C"/>
    <w:rsid w:val="00E44372"/>
    <w:rsid w:val="00E4667A"/>
    <w:rsid w:val="00E47618"/>
    <w:rsid w:val="00E47805"/>
    <w:rsid w:val="00E5007D"/>
    <w:rsid w:val="00E5024C"/>
    <w:rsid w:val="00E50AFC"/>
    <w:rsid w:val="00E52450"/>
    <w:rsid w:val="00E52A68"/>
    <w:rsid w:val="00E554AC"/>
    <w:rsid w:val="00E60C4F"/>
    <w:rsid w:val="00E6187A"/>
    <w:rsid w:val="00E652D7"/>
    <w:rsid w:val="00E6534A"/>
    <w:rsid w:val="00E663B8"/>
    <w:rsid w:val="00E66CD0"/>
    <w:rsid w:val="00E7036E"/>
    <w:rsid w:val="00E7064E"/>
    <w:rsid w:val="00E7305D"/>
    <w:rsid w:val="00E73C62"/>
    <w:rsid w:val="00E74D4D"/>
    <w:rsid w:val="00E7513F"/>
    <w:rsid w:val="00E75D59"/>
    <w:rsid w:val="00E77430"/>
    <w:rsid w:val="00E813E3"/>
    <w:rsid w:val="00E82EF7"/>
    <w:rsid w:val="00E8422A"/>
    <w:rsid w:val="00E866C4"/>
    <w:rsid w:val="00E87C43"/>
    <w:rsid w:val="00E87E33"/>
    <w:rsid w:val="00E90DD2"/>
    <w:rsid w:val="00E91099"/>
    <w:rsid w:val="00E92111"/>
    <w:rsid w:val="00E938C7"/>
    <w:rsid w:val="00E962AC"/>
    <w:rsid w:val="00EA0049"/>
    <w:rsid w:val="00EA18D7"/>
    <w:rsid w:val="00EA3448"/>
    <w:rsid w:val="00EA45F9"/>
    <w:rsid w:val="00EA4CCB"/>
    <w:rsid w:val="00EA60D0"/>
    <w:rsid w:val="00EA733B"/>
    <w:rsid w:val="00EA7AF3"/>
    <w:rsid w:val="00EB2076"/>
    <w:rsid w:val="00EB2974"/>
    <w:rsid w:val="00EB2C58"/>
    <w:rsid w:val="00EB51DF"/>
    <w:rsid w:val="00EC3957"/>
    <w:rsid w:val="00EC473E"/>
    <w:rsid w:val="00EC7304"/>
    <w:rsid w:val="00EC739D"/>
    <w:rsid w:val="00EC757E"/>
    <w:rsid w:val="00ED2DA4"/>
    <w:rsid w:val="00ED6767"/>
    <w:rsid w:val="00EE284B"/>
    <w:rsid w:val="00EE2E06"/>
    <w:rsid w:val="00EF070A"/>
    <w:rsid w:val="00EF46CE"/>
    <w:rsid w:val="00F0100E"/>
    <w:rsid w:val="00F01754"/>
    <w:rsid w:val="00F0349C"/>
    <w:rsid w:val="00F0629E"/>
    <w:rsid w:val="00F07855"/>
    <w:rsid w:val="00F11809"/>
    <w:rsid w:val="00F12627"/>
    <w:rsid w:val="00F12A77"/>
    <w:rsid w:val="00F16EBE"/>
    <w:rsid w:val="00F171A6"/>
    <w:rsid w:val="00F2181E"/>
    <w:rsid w:val="00F22247"/>
    <w:rsid w:val="00F225C5"/>
    <w:rsid w:val="00F24DCE"/>
    <w:rsid w:val="00F27CD1"/>
    <w:rsid w:val="00F32C3C"/>
    <w:rsid w:val="00F34896"/>
    <w:rsid w:val="00F349AE"/>
    <w:rsid w:val="00F350D4"/>
    <w:rsid w:val="00F365EA"/>
    <w:rsid w:val="00F407CB"/>
    <w:rsid w:val="00F41C9C"/>
    <w:rsid w:val="00F42C91"/>
    <w:rsid w:val="00F46484"/>
    <w:rsid w:val="00F50569"/>
    <w:rsid w:val="00F5102D"/>
    <w:rsid w:val="00F52482"/>
    <w:rsid w:val="00F53520"/>
    <w:rsid w:val="00F54114"/>
    <w:rsid w:val="00F55539"/>
    <w:rsid w:val="00F56836"/>
    <w:rsid w:val="00F60775"/>
    <w:rsid w:val="00F61921"/>
    <w:rsid w:val="00F62B0E"/>
    <w:rsid w:val="00F646B2"/>
    <w:rsid w:val="00F65BA7"/>
    <w:rsid w:val="00F66E24"/>
    <w:rsid w:val="00F670C9"/>
    <w:rsid w:val="00F709A7"/>
    <w:rsid w:val="00F713D7"/>
    <w:rsid w:val="00F715EC"/>
    <w:rsid w:val="00F72E65"/>
    <w:rsid w:val="00F7661D"/>
    <w:rsid w:val="00F81934"/>
    <w:rsid w:val="00F84B6C"/>
    <w:rsid w:val="00F84F0C"/>
    <w:rsid w:val="00F85BD4"/>
    <w:rsid w:val="00F913F4"/>
    <w:rsid w:val="00F919E4"/>
    <w:rsid w:val="00F9437F"/>
    <w:rsid w:val="00F94567"/>
    <w:rsid w:val="00F963D7"/>
    <w:rsid w:val="00F96837"/>
    <w:rsid w:val="00F9694E"/>
    <w:rsid w:val="00FA32C4"/>
    <w:rsid w:val="00FB217C"/>
    <w:rsid w:val="00FB3651"/>
    <w:rsid w:val="00FB3DF5"/>
    <w:rsid w:val="00FC12A8"/>
    <w:rsid w:val="00FC34A3"/>
    <w:rsid w:val="00FC4484"/>
    <w:rsid w:val="00FC47DD"/>
    <w:rsid w:val="00FC6218"/>
    <w:rsid w:val="00FC7FBF"/>
    <w:rsid w:val="00FD138E"/>
    <w:rsid w:val="00FD2524"/>
    <w:rsid w:val="00FD394C"/>
    <w:rsid w:val="00FD48C9"/>
    <w:rsid w:val="00FD7672"/>
    <w:rsid w:val="00FD79E6"/>
    <w:rsid w:val="00FD7C03"/>
    <w:rsid w:val="00FE0F3A"/>
    <w:rsid w:val="00FE0F67"/>
    <w:rsid w:val="00FE299F"/>
    <w:rsid w:val="00FE6C1D"/>
    <w:rsid w:val="00FE7484"/>
    <w:rsid w:val="00FF4432"/>
    <w:rsid w:val="00FF5407"/>
    <w:rsid w:val="00FF55BE"/>
    <w:rsid w:val="00FF671F"/>
    <w:rsid w:val="01D9CEE3"/>
    <w:rsid w:val="049B63E7"/>
    <w:rsid w:val="0831ED43"/>
    <w:rsid w:val="0D5760DF"/>
    <w:rsid w:val="1041AE5A"/>
    <w:rsid w:val="10DDB783"/>
    <w:rsid w:val="149C5B63"/>
    <w:rsid w:val="17FCB52A"/>
    <w:rsid w:val="193EFB2E"/>
    <w:rsid w:val="1E5698F7"/>
    <w:rsid w:val="206F3FAC"/>
    <w:rsid w:val="22C98DE9"/>
    <w:rsid w:val="25AE2413"/>
    <w:rsid w:val="25BD66AC"/>
    <w:rsid w:val="26FE9891"/>
    <w:rsid w:val="2D5FAA33"/>
    <w:rsid w:val="30E813E6"/>
    <w:rsid w:val="322BED81"/>
    <w:rsid w:val="34D87270"/>
    <w:rsid w:val="375C27C2"/>
    <w:rsid w:val="3945CD24"/>
    <w:rsid w:val="3A42294A"/>
    <w:rsid w:val="3AD7B7C1"/>
    <w:rsid w:val="44B431B7"/>
    <w:rsid w:val="46B27687"/>
    <w:rsid w:val="4C92DD92"/>
    <w:rsid w:val="506FC93B"/>
    <w:rsid w:val="5499291F"/>
    <w:rsid w:val="565F02A5"/>
    <w:rsid w:val="5AE381E5"/>
    <w:rsid w:val="6B4CB047"/>
    <w:rsid w:val="6BDFCF16"/>
    <w:rsid w:val="6F0158C6"/>
    <w:rsid w:val="72A5A7BC"/>
    <w:rsid w:val="7351A6A1"/>
    <w:rsid w:val="75375A8C"/>
    <w:rsid w:val="76A07687"/>
    <w:rsid w:val="7BC6B3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183B7"/>
  <w15:chartTrackingRefBased/>
  <w15:docId w15:val="{E142B6B7-0BB6-46AA-BDAA-F737571AC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445"/>
  </w:style>
  <w:style w:type="paragraph" w:styleId="Ttulo1">
    <w:name w:val="heading 1"/>
    <w:basedOn w:val="Normal"/>
    <w:next w:val="Normal"/>
    <w:link w:val="Ttulo1Car"/>
    <w:uiPriority w:val="9"/>
    <w:qFormat/>
    <w:rsid w:val="007C5F36"/>
    <w:pPr>
      <w:keepNext/>
      <w:keepLines/>
      <w:numPr>
        <w:numId w:val="13"/>
      </w:numPr>
      <w:spacing w:after="0" w:line="240" w:lineRule="auto"/>
      <w:outlineLvl w:val="0"/>
    </w:pPr>
    <w:rPr>
      <w:rFonts w:ascii="Helvetica" w:eastAsiaTheme="majorEastAsia" w:hAnsi="Helvetica" w:cstheme="majorBidi"/>
      <w:b/>
      <w:color w:val="002060"/>
      <w:sz w:val="32"/>
      <w:szCs w:val="32"/>
    </w:rPr>
  </w:style>
  <w:style w:type="paragraph" w:styleId="Ttulo2">
    <w:name w:val="heading 2"/>
    <w:basedOn w:val="Normal"/>
    <w:next w:val="Normal"/>
    <w:link w:val="Ttulo2Car"/>
    <w:uiPriority w:val="9"/>
    <w:unhideWhenUsed/>
    <w:qFormat/>
    <w:rsid w:val="00393AD0"/>
    <w:pPr>
      <w:keepNext/>
      <w:keepLines/>
      <w:numPr>
        <w:ilvl w:val="1"/>
        <w:numId w:val="1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93AD0"/>
    <w:pPr>
      <w:keepNext/>
      <w:keepLines/>
      <w:numPr>
        <w:ilvl w:val="2"/>
        <w:numId w:val="1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393AD0"/>
    <w:pPr>
      <w:keepNext/>
      <w:keepLines/>
      <w:numPr>
        <w:ilvl w:val="3"/>
        <w:numId w:val="13"/>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93AD0"/>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93AD0"/>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93AD0"/>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93AD0"/>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93AD0"/>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26FB5"/>
    <w:pPr>
      <w:spacing w:after="0" w:line="240" w:lineRule="auto"/>
    </w:pPr>
  </w:style>
  <w:style w:type="character" w:customStyle="1" w:styleId="SinespaciadoCar">
    <w:name w:val="Sin espaciado Car"/>
    <w:link w:val="Sinespaciado"/>
    <w:uiPriority w:val="1"/>
    <w:locked/>
    <w:rsid w:val="00D26FB5"/>
  </w:style>
  <w:style w:type="character" w:customStyle="1" w:styleId="Ttulo1Car">
    <w:name w:val="Título 1 Car"/>
    <w:basedOn w:val="Fuentedeprrafopredeter"/>
    <w:link w:val="Ttulo1"/>
    <w:uiPriority w:val="9"/>
    <w:rsid w:val="007C5F36"/>
    <w:rPr>
      <w:rFonts w:ascii="Helvetica" w:eastAsiaTheme="majorEastAsia" w:hAnsi="Helvetica" w:cstheme="majorBidi"/>
      <w:b/>
      <w:color w:val="002060"/>
      <w:sz w:val="32"/>
      <w:szCs w:val="32"/>
    </w:rPr>
  </w:style>
  <w:style w:type="character" w:customStyle="1" w:styleId="Ttulo2Car">
    <w:name w:val="Título 2 Car"/>
    <w:basedOn w:val="Fuentedeprrafopredeter"/>
    <w:link w:val="Ttulo2"/>
    <w:uiPriority w:val="9"/>
    <w:rsid w:val="00393AD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93AD0"/>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393AD0"/>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393AD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93AD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93AD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93AD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93AD0"/>
    <w:rPr>
      <w:rFonts w:asciiTheme="majorHAnsi" w:eastAsiaTheme="majorEastAsia" w:hAnsiTheme="majorHAnsi" w:cstheme="majorBidi"/>
      <w:i/>
      <w:iCs/>
      <w:color w:val="272727" w:themeColor="text1" w:themeTint="D8"/>
      <w:sz w:val="21"/>
      <w:szCs w:val="21"/>
    </w:rPr>
  </w:style>
  <w:style w:type="paragraph" w:customStyle="1" w:styleId="Normal1">
    <w:name w:val="Normal1"/>
    <w:uiPriority w:val="99"/>
    <w:rsid w:val="00020479"/>
    <w:pPr>
      <w:jc w:val="both"/>
    </w:pPr>
    <w:rPr>
      <w:rFonts w:ascii="Candara" w:eastAsia="Candara" w:hAnsi="Candara" w:cs="Candara"/>
      <w:lang w:eastAsia="es-GT"/>
    </w:rPr>
  </w:style>
  <w:style w:type="paragraph" w:styleId="Encabezado">
    <w:name w:val="header"/>
    <w:basedOn w:val="Normal"/>
    <w:link w:val="EncabezadoCar"/>
    <w:uiPriority w:val="99"/>
    <w:unhideWhenUsed/>
    <w:rsid w:val="001B51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519A"/>
  </w:style>
  <w:style w:type="paragraph" w:styleId="Piedepgina">
    <w:name w:val="footer"/>
    <w:basedOn w:val="Normal"/>
    <w:link w:val="PiedepginaCar"/>
    <w:uiPriority w:val="99"/>
    <w:unhideWhenUsed/>
    <w:rsid w:val="001B51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519A"/>
  </w:style>
  <w:style w:type="table" w:styleId="Tablaconcuadrcula">
    <w:name w:val="Table Grid"/>
    <w:basedOn w:val="Tablanormal"/>
    <w:uiPriority w:val="39"/>
    <w:rsid w:val="00AD7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A3648"/>
    <w:pPr>
      <w:ind w:left="720"/>
      <w:contextualSpacing/>
    </w:pPr>
  </w:style>
  <w:style w:type="paragraph" w:styleId="TtuloTDC">
    <w:name w:val="TOC Heading"/>
    <w:basedOn w:val="Ttulo1"/>
    <w:next w:val="Normal"/>
    <w:uiPriority w:val="39"/>
    <w:unhideWhenUsed/>
    <w:qFormat/>
    <w:rsid w:val="00937F36"/>
    <w:pPr>
      <w:numPr>
        <w:numId w:val="0"/>
      </w:numPr>
      <w:spacing w:before="240" w:line="259" w:lineRule="auto"/>
      <w:outlineLvl w:val="9"/>
    </w:pPr>
    <w:rPr>
      <w:rFonts w:asciiTheme="majorHAnsi" w:hAnsiTheme="majorHAnsi"/>
      <w:b w:val="0"/>
      <w:color w:val="2F5496" w:themeColor="accent1" w:themeShade="BF"/>
      <w:lang w:eastAsia="es-GT"/>
    </w:rPr>
  </w:style>
  <w:style w:type="paragraph" w:styleId="TDC2">
    <w:name w:val="toc 2"/>
    <w:basedOn w:val="Normal"/>
    <w:next w:val="Normal"/>
    <w:autoRedefine/>
    <w:uiPriority w:val="39"/>
    <w:unhideWhenUsed/>
    <w:rsid w:val="00F07855"/>
    <w:pPr>
      <w:tabs>
        <w:tab w:val="right" w:leader="dot" w:pos="9395"/>
      </w:tabs>
      <w:spacing w:after="0" w:line="240" w:lineRule="auto"/>
      <w:ind w:left="221"/>
    </w:pPr>
    <w:rPr>
      <w:rFonts w:eastAsiaTheme="minorEastAsia" w:cs="Times New Roman"/>
      <w:lang w:eastAsia="es-GT"/>
    </w:rPr>
  </w:style>
  <w:style w:type="paragraph" w:styleId="TDC1">
    <w:name w:val="toc 1"/>
    <w:basedOn w:val="Normal"/>
    <w:next w:val="Normal"/>
    <w:autoRedefine/>
    <w:uiPriority w:val="39"/>
    <w:unhideWhenUsed/>
    <w:rsid w:val="00924F5C"/>
    <w:pPr>
      <w:tabs>
        <w:tab w:val="right" w:leader="dot" w:pos="9395"/>
      </w:tabs>
      <w:spacing w:after="100"/>
      <w:mirrorIndents/>
    </w:pPr>
    <w:rPr>
      <w:rFonts w:eastAsiaTheme="minorEastAsia" w:cs="Times New Roman"/>
      <w:lang w:eastAsia="es-GT"/>
    </w:rPr>
  </w:style>
  <w:style w:type="paragraph" w:styleId="TDC3">
    <w:name w:val="toc 3"/>
    <w:basedOn w:val="Normal"/>
    <w:next w:val="Normal"/>
    <w:autoRedefine/>
    <w:uiPriority w:val="39"/>
    <w:unhideWhenUsed/>
    <w:rsid w:val="00937F36"/>
    <w:pPr>
      <w:spacing w:after="100"/>
      <w:ind w:left="440"/>
    </w:pPr>
    <w:rPr>
      <w:rFonts w:eastAsiaTheme="minorEastAsia" w:cs="Times New Roman"/>
      <w:lang w:eastAsia="es-GT"/>
    </w:rPr>
  </w:style>
  <w:style w:type="character" w:styleId="Hipervnculo">
    <w:name w:val="Hyperlink"/>
    <w:basedOn w:val="Fuentedeprrafopredeter"/>
    <w:uiPriority w:val="99"/>
    <w:unhideWhenUsed/>
    <w:rsid w:val="00937F36"/>
    <w:rPr>
      <w:color w:val="0563C1" w:themeColor="hyperlink"/>
      <w:u w:val="single"/>
    </w:rPr>
  </w:style>
  <w:style w:type="paragraph" w:styleId="Listaconvietas4">
    <w:name w:val="List Bullet 4"/>
    <w:basedOn w:val="Normal"/>
    <w:uiPriority w:val="99"/>
    <w:rsid w:val="00F85BD4"/>
    <w:pPr>
      <w:numPr>
        <w:numId w:val="14"/>
      </w:numPr>
      <w:tabs>
        <w:tab w:val="clear" w:pos="360"/>
        <w:tab w:val="num" w:pos="1209"/>
      </w:tabs>
      <w:spacing w:after="200" w:line="252" w:lineRule="auto"/>
      <w:ind w:left="1209"/>
    </w:pPr>
    <w:rPr>
      <w:rFonts w:asciiTheme="majorHAnsi" w:eastAsiaTheme="majorEastAsia" w:hAnsiTheme="majorHAnsi" w:cstheme="majorBidi"/>
      <w:lang w:eastAsia="es-GT"/>
    </w:rPr>
  </w:style>
  <w:style w:type="table" w:customStyle="1" w:styleId="Tabladecuadrcula5oscura-nfasis11">
    <w:name w:val="Tabla de cuadrícula 5 oscura - Énfasis 11"/>
    <w:basedOn w:val="Tablanormal"/>
    <w:uiPriority w:val="50"/>
    <w:rsid w:val="00F85B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5oscura-nfasis411">
    <w:name w:val="Tabla con cuadrícula 5 oscura - Énfasis 411"/>
    <w:basedOn w:val="Tablanormal"/>
    <w:uiPriority w:val="50"/>
    <w:rsid w:val="00F85BD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styleId="Textodeglobo">
    <w:name w:val="Balloon Text"/>
    <w:basedOn w:val="Normal"/>
    <w:link w:val="TextodegloboCar"/>
    <w:uiPriority w:val="99"/>
    <w:semiHidden/>
    <w:unhideWhenUsed/>
    <w:rsid w:val="00DB11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1179"/>
    <w:rPr>
      <w:rFonts w:ascii="Segoe UI" w:hAnsi="Segoe UI" w:cs="Segoe UI"/>
      <w:sz w:val="18"/>
      <w:szCs w:val="18"/>
    </w:rPr>
  </w:style>
  <w:style w:type="table" w:customStyle="1" w:styleId="Tabladecuadrcula4-nfasis11">
    <w:name w:val="Tabla de cuadrícula 4 - Énfasis 11"/>
    <w:basedOn w:val="Tablanormal"/>
    <w:uiPriority w:val="49"/>
    <w:rsid w:val="001912B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notaalfinal">
    <w:name w:val="endnote text"/>
    <w:basedOn w:val="Normal"/>
    <w:link w:val="TextonotaalfinalCar"/>
    <w:uiPriority w:val="99"/>
    <w:semiHidden/>
    <w:unhideWhenUsed/>
    <w:rsid w:val="001912B8"/>
    <w:pPr>
      <w:spacing w:after="0" w:line="240" w:lineRule="auto"/>
    </w:pPr>
    <w:rPr>
      <w:noProof/>
      <w:sz w:val="20"/>
      <w:szCs w:val="20"/>
    </w:rPr>
  </w:style>
  <w:style w:type="character" w:customStyle="1" w:styleId="TextonotaalfinalCar">
    <w:name w:val="Texto nota al final Car"/>
    <w:basedOn w:val="Fuentedeprrafopredeter"/>
    <w:link w:val="Textonotaalfinal"/>
    <w:uiPriority w:val="99"/>
    <w:semiHidden/>
    <w:rsid w:val="001912B8"/>
    <w:rPr>
      <w:noProof/>
      <w:sz w:val="20"/>
      <w:szCs w:val="20"/>
    </w:rPr>
  </w:style>
  <w:style w:type="character" w:styleId="Refdenotaalfinal">
    <w:name w:val="endnote reference"/>
    <w:basedOn w:val="Fuentedeprrafopredeter"/>
    <w:uiPriority w:val="99"/>
    <w:semiHidden/>
    <w:unhideWhenUsed/>
    <w:rsid w:val="001912B8"/>
    <w:rPr>
      <w:vertAlign w:val="superscript"/>
    </w:rPr>
  </w:style>
  <w:style w:type="paragraph" w:styleId="Textonotapie">
    <w:name w:val="footnote text"/>
    <w:aliases w:val=" Car,Texto nota pie Car Car Car Car,Texto nota pie1,ft,single space,fn,FOOTNOTES,Texto nota pie Car Car Car Car Car Car,Texto nota pie Car Car Car Car Car Car Car,Texto nota pie Car Car Car Car Car Car Ca,Char,Footnote Text Char2,Car"/>
    <w:basedOn w:val="Normal"/>
    <w:link w:val="TextonotapieCar"/>
    <w:uiPriority w:val="99"/>
    <w:unhideWhenUsed/>
    <w:rsid w:val="001912B8"/>
    <w:pPr>
      <w:spacing w:after="0" w:line="240" w:lineRule="auto"/>
    </w:pPr>
    <w:rPr>
      <w:noProof/>
      <w:sz w:val="20"/>
      <w:szCs w:val="20"/>
    </w:rPr>
  </w:style>
  <w:style w:type="character" w:customStyle="1" w:styleId="TextonotapieCar">
    <w:name w:val="Texto nota pie Car"/>
    <w:aliases w:val=" Car Car,Texto nota pie Car Car Car Car Car,Texto nota pie1 Car,ft Car,single space Car,fn Car,FOOTNOTES Car,Texto nota pie Car Car Car Car Car Car Car1,Texto nota pie Car Car Car Car Car Car Car Car,Char Car,Footnote Text Char2 Car"/>
    <w:basedOn w:val="Fuentedeprrafopredeter"/>
    <w:link w:val="Textonotapie"/>
    <w:uiPriority w:val="99"/>
    <w:rsid w:val="001912B8"/>
    <w:rPr>
      <w:noProof/>
      <w:sz w:val="20"/>
      <w:szCs w:val="20"/>
    </w:rPr>
  </w:style>
  <w:style w:type="character" w:styleId="Refdenotaalpie">
    <w:name w:val="footnote reference"/>
    <w:basedOn w:val="Fuentedeprrafopredeter"/>
    <w:uiPriority w:val="99"/>
    <w:unhideWhenUsed/>
    <w:rsid w:val="001912B8"/>
    <w:rPr>
      <w:vertAlign w:val="superscript"/>
    </w:rPr>
  </w:style>
  <w:style w:type="table" w:customStyle="1" w:styleId="Tabladecuadrcula2-nfasis11">
    <w:name w:val="Tabla de cuadrícula 2 - Énfasis 11"/>
    <w:basedOn w:val="Tablanormal"/>
    <w:uiPriority w:val="47"/>
    <w:rsid w:val="001912B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4-nfasis51">
    <w:name w:val="Tabla de cuadrícula 4 - Énfasis 51"/>
    <w:basedOn w:val="Tablanormal"/>
    <w:uiPriority w:val="49"/>
    <w:rsid w:val="001912B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
    <w:name w:val="Default"/>
    <w:rsid w:val="001912B8"/>
    <w:pPr>
      <w:autoSpaceDE w:val="0"/>
      <w:autoSpaceDN w:val="0"/>
      <w:adjustRightInd w:val="0"/>
      <w:spacing w:after="0" w:line="240" w:lineRule="auto"/>
    </w:pPr>
    <w:rPr>
      <w:rFonts w:ascii="Candara" w:eastAsiaTheme="minorEastAsia" w:hAnsi="Candara" w:cs="Candara"/>
      <w:color w:val="000000"/>
      <w:sz w:val="24"/>
      <w:szCs w:val="24"/>
      <w:lang w:eastAsia="es-GT"/>
    </w:rPr>
  </w:style>
  <w:style w:type="table" w:styleId="Cuadrculamedia3-nfasis1">
    <w:name w:val="Medium Grid 3 Accent 1"/>
    <w:basedOn w:val="Tablanormal"/>
    <w:uiPriority w:val="69"/>
    <w:rsid w:val="001912B8"/>
    <w:pPr>
      <w:widowControl w:val="0"/>
      <w:spacing w:after="0" w:line="240" w:lineRule="auto"/>
    </w:pPr>
    <w:rPr>
      <w:rFonts w:eastAsiaTheme="minorEastAsia"/>
      <w:kern w:val="2"/>
      <w:sz w:val="21"/>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Tablaconcuadrcula4-nfasis11">
    <w:name w:val="Tabla con cuadrícula 4 - Énfasis 11"/>
    <w:basedOn w:val="Tablanormal"/>
    <w:uiPriority w:val="49"/>
    <w:rsid w:val="001912B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4-nfasis51">
    <w:name w:val="Tabla con cuadrícula 4 - Énfasis 51"/>
    <w:basedOn w:val="Tablanormal"/>
    <w:uiPriority w:val="49"/>
    <w:rsid w:val="001912B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decomentario">
    <w:name w:val="annotation reference"/>
    <w:basedOn w:val="Fuentedeprrafopredeter"/>
    <w:uiPriority w:val="99"/>
    <w:semiHidden/>
    <w:unhideWhenUsed/>
    <w:rsid w:val="001912B8"/>
    <w:rPr>
      <w:sz w:val="16"/>
      <w:szCs w:val="16"/>
    </w:rPr>
  </w:style>
  <w:style w:type="paragraph" w:styleId="Textocomentario">
    <w:name w:val="annotation text"/>
    <w:basedOn w:val="Normal"/>
    <w:link w:val="TextocomentarioCar"/>
    <w:uiPriority w:val="99"/>
    <w:semiHidden/>
    <w:unhideWhenUsed/>
    <w:rsid w:val="001912B8"/>
    <w:pPr>
      <w:spacing w:line="240" w:lineRule="auto"/>
    </w:pPr>
    <w:rPr>
      <w:noProof/>
      <w:sz w:val="20"/>
      <w:szCs w:val="20"/>
    </w:rPr>
  </w:style>
  <w:style w:type="character" w:customStyle="1" w:styleId="TextocomentarioCar">
    <w:name w:val="Texto comentario Car"/>
    <w:basedOn w:val="Fuentedeprrafopredeter"/>
    <w:link w:val="Textocomentario"/>
    <w:uiPriority w:val="99"/>
    <w:semiHidden/>
    <w:rsid w:val="001912B8"/>
    <w:rPr>
      <w:noProof/>
      <w:sz w:val="20"/>
      <w:szCs w:val="20"/>
    </w:rPr>
  </w:style>
  <w:style w:type="character" w:customStyle="1" w:styleId="Ninguno">
    <w:name w:val="Ninguno"/>
    <w:rsid w:val="001912B8"/>
  </w:style>
  <w:style w:type="paragraph" w:styleId="Asuntodelcomentario">
    <w:name w:val="annotation subject"/>
    <w:basedOn w:val="Textocomentario"/>
    <w:next w:val="Textocomentario"/>
    <w:link w:val="AsuntodelcomentarioCar"/>
    <w:uiPriority w:val="99"/>
    <w:semiHidden/>
    <w:unhideWhenUsed/>
    <w:rsid w:val="001912B8"/>
    <w:rPr>
      <w:b/>
      <w:bCs/>
    </w:rPr>
  </w:style>
  <w:style w:type="character" w:customStyle="1" w:styleId="AsuntodelcomentarioCar">
    <w:name w:val="Asunto del comentario Car"/>
    <w:basedOn w:val="TextocomentarioCar"/>
    <w:link w:val="Asuntodelcomentario"/>
    <w:uiPriority w:val="99"/>
    <w:semiHidden/>
    <w:rsid w:val="001912B8"/>
    <w:rPr>
      <w:b/>
      <w:bCs/>
      <w:noProof/>
      <w:sz w:val="20"/>
      <w:szCs w:val="20"/>
    </w:rPr>
  </w:style>
  <w:style w:type="paragraph" w:styleId="Revisin">
    <w:name w:val="Revision"/>
    <w:hidden/>
    <w:uiPriority w:val="99"/>
    <w:semiHidden/>
    <w:rsid w:val="001912B8"/>
    <w:pPr>
      <w:spacing w:after="0" w:line="240" w:lineRule="auto"/>
    </w:pPr>
    <w:rPr>
      <w:noProof/>
    </w:rPr>
  </w:style>
  <w:style w:type="paragraph" w:customStyle="1" w:styleId="Contenido">
    <w:name w:val="Contenido"/>
    <w:basedOn w:val="Normal"/>
    <w:link w:val="ContenidoCar"/>
    <w:qFormat/>
    <w:rsid w:val="001912B8"/>
    <w:pPr>
      <w:spacing w:line="240" w:lineRule="auto"/>
      <w:jc w:val="both"/>
    </w:pPr>
    <w:rPr>
      <w:rFonts w:ascii="Arial" w:hAnsi="Arial"/>
    </w:rPr>
  </w:style>
  <w:style w:type="character" w:customStyle="1" w:styleId="ContenidoCar">
    <w:name w:val="Contenido Car"/>
    <w:basedOn w:val="Fuentedeprrafopredeter"/>
    <w:link w:val="Contenido"/>
    <w:rsid w:val="001912B8"/>
    <w:rPr>
      <w:rFonts w:ascii="Arial" w:hAnsi="Arial"/>
    </w:rPr>
  </w:style>
  <w:style w:type="paragraph" w:customStyle="1" w:styleId="Ttulo41">
    <w:name w:val="Título 41"/>
    <w:basedOn w:val="Normal"/>
    <w:next w:val="Normal"/>
    <w:uiPriority w:val="9"/>
    <w:unhideWhenUsed/>
    <w:qFormat/>
    <w:rsid w:val="001912B8"/>
    <w:pPr>
      <w:keepNext/>
      <w:keepLines/>
      <w:spacing w:before="40" w:after="0"/>
      <w:outlineLvl w:val="3"/>
    </w:pPr>
    <w:rPr>
      <w:rFonts w:ascii="Calibri Light" w:eastAsia="Times New Roman" w:hAnsi="Calibri Light" w:cs="Times New Roman"/>
      <w:i/>
      <w:iCs/>
      <w:noProof/>
      <w:color w:val="365F91"/>
    </w:rPr>
  </w:style>
  <w:style w:type="numbering" w:customStyle="1" w:styleId="Sinlista1">
    <w:name w:val="Sin lista1"/>
    <w:next w:val="Sinlista"/>
    <w:uiPriority w:val="99"/>
    <w:semiHidden/>
    <w:unhideWhenUsed/>
    <w:rsid w:val="001912B8"/>
  </w:style>
  <w:style w:type="paragraph" w:customStyle="1" w:styleId="TDC21">
    <w:name w:val="TDC 21"/>
    <w:basedOn w:val="Normal"/>
    <w:next w:val="Normal"/>
    <w:autoRedefine/>
    <w:uiPriority w:val="39"/>
    <w:unhideWhenUsed/>
    <w:rsid w:val="001912B8"/>
    <w:pPr>
      <w:tabs>
        <w:tab w:val="left" w:pos="284"/>
        <w:tab w:val="right" w:leader="dot" w:pos="8828"/>
      </w:tabs>
      <w:spacing w:after="100"/>
    </w:pPr>
    <w:rPr>
      <w:rFonts w:ascii="Calibri" w:eastAsia="Times New Roman" w:hAnsi="Calibri" w:cs="Times New Roman"/>
      <w:noProof/>
      <w:lang w:eastAsia="es-GT"/>
    </w:rPr>
  </w:style>
  <w:style w:type="paragraph" w:customStyle="1" w:styleId="TDC11">
    <w:name w:val="TDC 11"/>
    <w:basedOn w:val="Normal"/>
    <w:next w:val="Normal"/>
    <w:autoRedefine/>
    <w:uiPriority w:val="39"/>
    <w:unhideWhenUsed/>
    <w:rsid w:val="001912B8"/>
    <w:pPr>
      <w:spacing w:after="100"/>
    </w:pPr>
    <w:rPr>
      <w:rFonts w:ascii="Calibri" w:eastAsia="Times New Roman" w:hAnsi="Calibri" w:cs="Times New Roman"/>
      <w:noProof/>
      <w:lang w:eastAsia="es-GT"/>
    </w:rPr>
  </w:style>
  <w:style w:type="paragraph" w:customStyle="1" w:styleId="TDC31">
    <w:name w:val="TDC 31"/>
    <w:basedOn w:val="Normal"/>
    <w:next w:val="Normal"/>
    <w:autoRedefine/>
    <w:uiPriority w:val="39"/>
    <w:unhideWhenUsed/>
    <w:rsid w:val="001912B8"/>
    <w:pPr>
      <w:tabs>
        <w:tab w:val="right" w:leader="dot" w:pos="8828"/>
      </w:tabs>
      <w:spacing w:after="100"/>
    </w:pPr>
    <w:rPr>
      <w:rFonts w:ascii="Calibri" w:eastAsia="Times New Roman" w:hAnsi="Calibri" w:cs="Times New Roman"/>
      <w:noProof/>
      <w:lang w:eastAsia="es-GT"/>
    </w:rPr>
  </w:style>
  <w:style w:type="character" w:customStyle="1" w:styleId="Hipervnculo1">
    <w:name w:val="Hipervínculo1"/>
    <w:basedOn w:val="Fuentedeprrafopredeter"/>
    <w:uiPriority w:val="99"/>
    <w:unhideWhenUsed/>
    <w:rsid w:val="001912B8"/>
    <w:rPr>
      <w:color w:val="0000FF"/>
      <w:u w:val="single"/>
    </w:rPr>
  </w:style>
  <w:style w:type="table" w:customStyle="1" w:styleId="Cuadrculamedia3-nfasis11">
    <w:name w:val="Cuadrícula media 3 - Énfasis 11"/>
    <w:basedOn w:val="Tablanormal"/>
    <w:next w:val="Cuadrculamedia3-nfasis1"/>
    <w:uiPriority w:val="69"/>
    <w:rsid w:val="001912B8"/>
    <w:pPr>
      <w:widowControl w:val="0"/>
      <w:spacing w:after="0" w:line="240" w:lineRule="auto"/>
    </w:pPr>
    <w:rPr>
      <w:rFonts w:eastAsia="Times New Roman"/>
      <w:kern w:val="2"/>
      <w:sz w:val="21"/>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tulo4Car1">
    <w:name w:val="Título 4 Car1"/>
    <w:basedOn w:val="Fuentedeprrafopredeter"/>
    <w:uiPriority w:val="9"/>
    <w:semiHidden/>
    <w:rsid w:val="001912B8"/>
    <w:rPr>
      <w:rFonts w:asciiTheme="majorHAnsi" w:eastAsiaTheme="majorEastAsia" w:hAnsiTheme="majorHAnsi" w:cstheme="majorBidi"/>
      <w:i/>
      <w:iCs/>
      <w:color w:val="2F5496" w:themeColor="accent1" w:themeShade="BF"/>
    </w:rPr>
  </w:style>
  <w:style w:type="paragraph" w:customStyle="1" w:styleId="ttulosgrficas">
    <w:name w:val="títulos gráficas"/>
    <w:basedOn w:val="Normal"/>
    <w:link w:val="ttulosgrficasCar"/>
    <w:qFormat/>
    <w:rsid w:val="00316FAD"/>
    <w:pPr>
      <w:spacing w:after="0" w:line="240" w:lineRule="auto"/>
      <w:jc w:val="center"/>
    </w:pPr>
    <w:rPr>
      <w:rFonts w:ascii="Helvetica" w:hAnsi="Helvetica" w:cs="Helvetica"/>
      <w:b/>
      <w:bCs/>
      <w:color w:val="1F3864" w:themeColor="accent1" w:themeShade="80"/>
      <w:sz w:val="24"/>
      <w:szCs w:val="24"/>
    </w:rPr>
  </w:style>
  <w:style w:type="numbering" w:customStyle="1" w:styleId="Sinlista2">
    <w:name w:val="Sin lista2"/>
    <w:next w:val="Sinlista"/>
    <w:uiPriority w:val="99"/>
    <w:semiHidden/>
    <w:unhideWhenUsed/>
    <w:rsid w:val="00CE3D5C"/>
  </w:style>
  <w:style w:type="character" w:customStyle="1" w:styleId="ttulosgrficasCar">
    <w:name w:val="títulos gráficas Car"/>
    <w:basedOn w:val="Fuentedeprrafopredeter"/>
    <w:link w:val="ttulosgrficas"/>
    <w:rsid w:val="00316FAD"/>
    <w:rPr>
      <w:rFonts w:ascii="Helvetica" w:hAnsi="Helvetica" w:cs="Helvetica"/>
      <w:b/>
      <w:bCs/>
      <w:color w:val="1F3864" w:themeColor="accent1" w:themeShade="80"/>
      <w:sz w:val="24"/>
      <w:szCs w:val="24"/>
    </w:rPr>
  </w:style>
  <w:style w:type="character" w:customStyle="1" w:styleId="Heading1Char">
    <w:name w:val="Heading 1 Char"/>
    <w:uiPriority w:val="99"/>
    <w:locked/>
    <w:rsid w:val="00CE3D5C"/>
    <w:rPr>
      <w:rFonts w:ascii="Cambria" w:hAnsi="Cambria" w:cs="Cambria"/>
      <w:b/>
      <w:bCs/>
      <w:kern w:val="32"/>
      <w:sz w:val="32"/>
      <w:szCs w:val="32"/>
      <w:lang w:val="es-ES" w:eastAsia="en-US"/>
    </w:rPr>
  </w:style>
  <w:style w:type="paragraph" w:customStyle="1" w:styleId="Prrafodelista1">
    <w:name w:val="Párrafo de lista1"/>
    <w:basedOn w:val="Normal"/>
    <w:uiPriority w:val="99"/>
    <w:rsid w:val="00CE3D5C"/>
    <w:pPr>
      <w:spacing w:after="200" w:line="252" w:lineRule="auto"/>
      <w:ind w:left="720"/>
    </w:pPr>
    <w:rPr>
      <w:rFonts w:ascii="Calibri" w:eastAsia="Times New Roman" w:hAnsi="Calibri" w:cs="Times New Roman"/>
      <w:lang w:eastAsia="es-GT"/>
    </w:rPr>
  </w:style>
  <w:style w:type="character" w:styleId="Nmerodepgina">
    <w:name w:val="page number"/>
    <w:basedOn w:val="Fuentedeprrafopredeter"/>
    <w:uiPriority w:val="99"/>
    <w:rsid w:val="00CE3D5C"/>
  </w:style>
  <w:style w:type="table" w:customStyle="1" w:styleId="Tablaconcuadrcula1">
    <w:name w:val="Tabla con cuadrícula1"/>
    <w:basedOn w:val="Tablanormal"/>
    <w:next w:val="Tablaconcuadrcula"/>
    <w:uiPriority w:val="59"/>
    <w:locked/>
    <w:rsid w:val="00CE3D5C"/>
    <w:pPr>
      <w:spacing w:after="200" w:line="276" w:lineRule="auto"/>
    </w:pPr>
    <w:rPr>
      <w:rFonts w:ascii="Calibri" w:eastAsia="Times New Roman" w:hAnsi="Calibri" w:cs="Calibri"/>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CE3D5C"/>
    <w:pPr>
      <w:spacing w:before="100" w:beforeAutospacing="1" w:after="100" w:afterAutospacing="1" w:line="240" w:lineRule="auto"/>
    </w:pPr>
    <w:rPr>
      <w:rFonts w:ascii="Times New Roman" w:eastAsia="MS PGothic" w:hAnsi="Times New Roman" w:cs="Times New Roman"/>
      <w:sz w:val="24"/>
      <w:szCs w:val="24"/>
      <w:lang w:eastAsia="es-GT"/>
    </w:rPr>
  </w:style>
  <w:style w:type="paragraph" w:styleId="Saludo">
    <w:name w:val="Salutation"/>
    <w:basedOn w:val="Normal"/>
    <w:next w:val="Normal"/>
    <w:link w:val="SaludoCar"/>
    <w:uiPriority w:val="99"/>
    <w:unhideWhenUsed/>
    <w:rsid w:val="00CE3D5C"/>
    <w:pPr>
      <w:spacing w:after="200" w:line="252" w:lineRule="auto"/>
    </w:pPr>
    <w:rPr>
      <w:rFonts w:ascii="Calibri" w:eastAsia="MS PGothic" w:hAnsi="Calibri" w:cs="Times New Roman"/>
      <w:lang w:eastAsia="es-GT"/>
    </w:rPr>
  </w:style>
  <w:style w:type="character" w:customStyle="1" w:styleId="SaludoCar">
    <w:name w:val="Saludo Car"/>
    <w:basedOn w:val="Fuentedeprrafopredeter"/>
    <w:link w:val="Saludo"/>
    <w:uiPriority w:val="99"/>
    <w:rsid w:val="00CE3D5C"/>
    <w:rPr>
      <w:rFonts w:ascii="Calibri" w:eastAsia="MS PGothic" w:hAnsi="Calibri" w:cs="Times New Roman"/>
      <w:lang w:eastAsia="es-GT"/>
    </w:rPr>
  </w:style>
  <w:style w:type="paragraph" w:styleId="Listaconvietas2">
    <w:name w:val="List Bullet 2"/>
    <w:basedOn w:val="Normal"/>
    <w:uiPriority w:val="99"/>
    <w:unhideWhenUsed/>
    <w:rsid w:val="00CE3D5C"/>
    <w:pPr>
      <w:numPr>
        <w:numId w:val="18"/>
      </w:numPr>
      <w:tabs>
        <w:tab w:val="clear" w:pos="643"/>
      </w:tabs>
      <w:spacing w:after="200" w:line="252" w:lineRule="auto"/>
      <w:ind w:left="1080" w:hanging="720"/>
      <w:contextualSpacing/>
    </w:pPr>
    <w:rPr>
      <w:rFonts w:ascii="Calibri" w:eastAsia="MS PGothic" w:hAnsi="Calibri" w:cs="Times New Roman"/>
      <w:lang w:eastAsia="es-GT"/>
    </w:rPr>
  </w:style>
  <w:style w:type="paragraph" w:styleId="Textoindependiente">
    <w:name w:val="Body Text"/>
    <w:basedOn w:val="Normal"/>
    <w:link w:val="TextoindependienteCar"/>
    <w:uiPriority w:val="99"/>
    <w:unhideWhenUsed/>
    <w:rsid w:val="00CE3D5C"/>
    <w:pPr>
      <w:spacing w:after="120" w:line="252" w:lineRule="auto"/>
    </w:pPr>
    <w:rPr>
      <w:rFonts w:ascii="Calibri" w:eastAsia="MS PGothic" w:hAnsi="Calibri" w:cs="Times New Roman"/>
      <w:lang w:eastAsia="es-GT"/>
    </w:rPr>
  </w:style>
  <w:style w:type="character" w:customStyle="1" w:styleId="TextoindependienteCar">
    <w:name w:val="Texto independiente Car"/>
    <w:basedOn w:val="Fuentedeprrafopredeter"/>
    <w:link w:val="Textoindependiente"/>
    <w:uiPriority w:val="99"/>
    <w:rsid w:val="00CE3D5C"/>
    <w:rPr>
      <w:rFonts w:ascii="Calibri" w:eastAsia="MS PGothic" w:hAnsi="Calibri" w:cs="Times New Roman"/>
      <w:lang w:eastAsia="es-GT"/>
    </w:rPr>
  </w:style>
  <w:style w:type="paragraph" w:styleId="Textoindependienteprimerasangra">
    <w:name w:val="Body Text First Indent"/>
    <w:basedOn w:val="Textoindependiente"/>
    <w:link w:val="TextoindependienteprimerasangraCar"/>
    <w:uiPriority w:val="99"/>
    <w:unhideWhenUsed/>
    <w:rsid w:val="00CE3D5C"/>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CE3D5C"/>
    <w:rPr>
      <w:rFonts w:ascii="Calibri" w:eastAsia="MS PGothic" w:hAnsi="Calibri" w:cs="Times New Roman"/>
      <w:lang w:eastAsia="es-GT"/>
    </w:rPr>
  </w:style>
  <w:style w:type="paragraph" w:styleId="Descripcin">
    <w:name w:val="caption"/>
    <w:basedOn w:val="Normal"/>
    <w:next w:val="Normal"/>
    <w:link w:val="DescripcinCar"/>
    <w:uiPriority w:val="35"/>
    <w:unhideWhenUsed/>
    <w:qFormat/>
    <w:rsid w:val="00CE3D5C"/>
    <w:pPr>
      <w:spacing w:after="200" w:line="252" w:lineRule="auto"/>
    </w:pPr>
    <w:rPr>
      <w:rFonts w:ascii="Calibri" w:eastAsia="MS PGothic" w:hAnsi="Calibri" w:cs="Times New Roman"/>
      <w:caps/>
      <w:spacing w:val="10"/>
      <w:sz w:val="18"/>
      <w:szCs w:val="18"/>
      <w:lang w:eastAsia="es-GT"/>
    </w:rPr>
  </w:style>
  <w:style w:type="paragraph" w:customStyle="1" w:styleId="Ttulo10">
    <w:name w:val="Título1"/>
    <w:basedOn w:val="Normal"/>
    <w:next w:val="Normal"/>
    <w:uiPriority w:val="10"/>
    <w:qFormat/>
    <w:locked/>
    <w:rsid w:val="00CE3D5C"/>
    <w:pPr>
      <w:pBdr>
        <w:top w:val="dotted" w:sz="2" w:space="1" w:color="143F6A"/>
        <w:bottom w:val="dotted" w:sz="2" w:space="6" w:color="143F6A"/>
      </w:pBdr>
      <w:spacing w:before="500" w:after="300" w:line="240" w:lineRule="auto"/>
      <w:jc w:val="center"/>
    </w:pPr>
    <w:rPr>
      <w:rFonts w:ascii="Calibri" w:eastAsia="MS PGothic" w:hAnsi="Calibri" w:cs="Times New Roman"/>
      <w:caps/>
      <w:color w:val="143F6A"/>
      <w:spacing w:val="50"/>
      <w:sz w:val="44"/>
      <w:szCs w:val="44"/>
      <w:lang w:eastAsia="es-GT"/>
    </w:rPr>
  </w:style>
  <w:style w:type="character" w:customStyle="1" w:styleId="TtuloCar">
    <w:name w:val="Título Car"/>
    <w:basedOn w:val="Fuentedeprrafopredeter"/>
    <w:link w:val="Ttulo"/>
    <w:uiPriority w:val="10"/>
    <w:rsid w:val="00CE3D5C"/>
    <w:rPr>
      <w:caps/>
      <w:color w:val="143F6A"/>
      <w:spacing w:val="50"/>
      <w:sz w:val="44"/>
      <w:szCs w:val="44"/>
    </w:rPr>
  </w:style>
  <w:style w:type="paragraph" w:styleId="Subttulo">
    <w:name w:val="Subtitle"/>
    <w:basedOn w:val="Normal"/>
    <w:next w:val="Normal"/>
    <w:link w:val="SubttuloCar"/>
    <w:uiPriority w:val="11"/>
    <w:qFormat/>
    <w:rsid w:val="00CE3D5C"/>
    <w:pPr>
      <w:spacing w:after="560" w:line="240" w:lineRule="auto"/>
      <w:jc w:val="center"/>
    </w:pPr>
    <w:rPr>
      <w:rFonts w:ascii="Calibri" w:eastAsia="MS PGothic" w:hAnsi="Calibri" w:cs="Times New Roman"/>
      <w:caps/>
      <w:spacing w:val="20"/>
      <w:sz w:val="18"/>
      <w:szCs w:val="18"/>
      <w:lang w:eastAsia="es-GT"/>
    </w:rPr>
  </w:style>
  <w:style w:type="character" w:customStyle="1" w:styleId="SubttuloCar">
    <w:name w:val="Subtítulo Car"/>
    <w:basedOn w:val="Fuentedeprrafopredeter"/>
    <w:link w:val="Subttulo"/>
    <w:uiPriority w:val="11"/>
    <w:rsid w:val="00CE3D5C"/>
    <w:rPr>
      <w:rFonts w:ascii="Calibri" w:eastAsia="MS PGothic" w:hAnsi="Calibri" w:cs="Times New Roman"/>
      <w:caps/>
      <w:spacing w:val="20"/>
      <w:sz w:val="18"/>
      <w:szCs w:val="18"/>
      <w:lang w:eastAsia="es-GT"/>
    </w:rPr>
  </w:style>
  <w:style w:type="character" w:customStyle="1" w:styleId="Textoennegrita1">
    <w:name w:val="Texto en negrita1"/>
    <w:uiPriority w:val="22"/>
    <w:qFormat/>
    <w:locked/>
    <w:rsid w:val="00CE3D5C"/>
    <w:rPr>
      <w:b/>
      <w:bCs/>
      <w:color w:val="1E5E9F"/>
      <w:spacing w:val="5"/>
    </w:rPr>
  </w:style>
  <w:style w:type="character" w:styleId="nfasis">
    <w:name w:val="Emphasis"/>
    <w:uiPriority w:val="20"/>
    <w:qFormat/>
    <w:rsid w:val="00CE3D5C"/>
    <w:rPr>
      <w:caps/>
      <w:spacing w:val="5"/>
      <w:sz w:val="20"/>
      <w:szCs w:val="20"/>
    </w:rPr>
  </w:style>
  <w:style w:type="paragraph" w:styleId="Cita">
    <w:name w:val="Quote"/>
    <w:basedOn w:val="Normal"/>
    <w:next w:val="Normal"/>
    <w:link w:val="CitaCar"/>
    <w:uiPriority w:val="29"/>
    <w:qFormat/>
    <w:rsid w:val="00CE3D5C"/>
    <w:pPr>
      <w:spacing w:after="200" w:line="252" w:lineRule="auto"/>
    </w:pPr>
    <w:rPr>
      <w:rFonts w:ascii="Calibri" w:eastAsia="MS PGothic" w:hAnsi="Calibri" w:cs="Times New Roman"/>
      <w:i/>
      <w:iCs/>
      <w:lang w:eastAsia="es-GT"/>
    </w:rPr>
  </w:style>
  <w:style w:type="character" w:customStyle="1" w:styleId="CitaCar">
    <w:name w:val="Cita Car"/>
    <w:basedOn w:val="Fuentedeprrafopredeter"/>
    <w:link w:val="Cita"/>
    <w:uiPriority w:val="29"/>
    <w:rsid w:val="00CE3D5C"/>
    <w:rPr>
      <w:rFonts w:ascii="Calibri" w:eastAsia="MS PGothic" w:hAnsi="Calibri" w:cs="Times New Roman"/>
      <w:i/>
      <w:iCs/>
      <w:lang w:eastAsia="es-GT"/>
    </w:rPr>
  </w:style>
  <w:style w:type="paragraph" w:customStyle="1" w:styleId="Citadestacada1">
    <w:name w:val="Cita destacada1"/>
    <w:basedOn w:val="Normal"/>
    <w:next w:val="Normal"/>
    <w:uiPriority w:val="30"/>
    <w:qFormat/>
    <w:rsid w:val="00CE3D5C"/>
    <w:pPr>
      <w:pBdr>
        <w:top w:val="dotted" w:sz="2" w:space="10" w:color="143F6A"/>
        <w:bottom w:val="dotted" w:sz="2" w:space="4" w:color="143F6A"/>
      </w:pBdr>
      <w:spacing w:before="160" w:after="200" w:line="300" w:lineRule="auto"/>
      <w:ind w:left="1440" w:right="1440"/>
    </w:pPr>
    <w:rPr>
      <w:rFonts w:ascii="Calibri" w:eastAsia="MS PGothic" w:hAnsi="Calibri" w:cs="Times New Roman"/>
      <w:caps/>
      <w:color w:val="143E69"/>
      <w:spacing w:val="5"/>
      <w:sz w:val="20"/>
      <w:szCs w:val="20"/>
      <w:lang w:eastAsia="es-GT"/>
    </w:rPr>
  </w:style>
  <w:style w:type="character" w:customStyle="1" w:styleId="CitadestacadaCar">
    <w:name w:val="Cita destacada Car"/>
    <w:basedOn w:val="Fuentedeprrafopredeter"/>
    <w:link w:val="Citadestacada"/>
    <w:uiPriority w:val="30"/>
    <w:rsid w:val="00CE3D5C"/>
    <w:rPr>
      <w:caps/>
      <w:color w:val="143E69"/>
      <w:spacing w:val="5"/>
      <w:sz w:val="20"/>
      <w:szCs w:val="20"/>
    </w:rPr>
  </w:style>
  <w:style w:type="character" w:styleId="nfasissutil">
    <w:name w:val="Subtle Emphasis"/>
    <w:uiPriority w:val="19"/>
    <w:qFormat/>
    <w:rsid w:val="00CE3D5C"/>
    <w:rPr>
      <w:i/>
      <w:iCs/>
    </w:rPr>
  </w:style>
  <w:style w:type="character" w:styleId="nfasisintenso">
    <w:name w:val="Intense Emphasis"/>
    <w:uiPriority w:val="21"/>
    <w:qFormat/>
    <w:rsid w:val="00CE3D5C"/>
    <w:rPr>
      <w:i/>
      <w:iCs/>
      <w:caps/>
      <w:spacing w:val="10"/>
      <w:sz w:val="20"/>
      <w:szCs w:val="20"/>
    </w:rPr>
  </w:style>
  <w:style w:type="character" w:customStyle="1" w:styleId="Referenciasutil1">
    <w:name w:val="Referencia sutil1"/>
    <w:basedOn w:val="Fuentedeprrafopredeter"/>
    <w:uiPriority w:val="31"/>
    <w:qFormat/>
    <w:rsid w:val="00CE3D5C"/>
    <w:rPr>
      <w:rFonts w:ascii="Calibri" w:eastAsia="MS PGothic" w:hAnsi="Calibri" w:cs="Times New Roman"/>
      <w:i/>
      <w:iCs/>
      <w:color w:val="143E69"/>
    </w:rPr>
  </w:style>
  <w:style w:type="character" w:customStyle="1" w:styleId="Referenciaintensa1">
    <w:name w:val="Referencia intensa1"/>
    <w:uiPriority w:val="32"/>
    <w:qFormat/>
    <w:rsid w:val="00CE3D5C"/>
    <w:rPr>
      <w:rFonts w:ascii="Calibri" w:eastAsia="MS PGothic" w:hAnsi="Calibri" w:cs="Times New Roman"/>
      <w:b/>
      <w:bCs/>
      <w:i/>
      <w:iCs/>
      <w:color w:val="143E69"/>
    </w:rPr>
  </w:style>
  <w:style w:type="character" w:customStyle="1" w:styleId="Ttulodellibro1">
    <w:name w:val="Título del libro1"/>
    <w:uiPriority w:val="33"/>
    <w:qFormat/>
    <w:rsid w:val="00CE3D5C"/>
    <w:rPr>
      <w:caps/>
      <w:color w:val="143E69"/>
      <w:spacing w:val="5"/>
      <w:u w:color="143E69"/>
    </w:rPr>
  </w:style>
  <w:style w:type="table" w:customStyle="1" w:styleId="Tabladecuadrcula4-nfasis21">
    <w:name w:val="Tabla de cuadrícula 4 - Énfasis 21"/>
    <w:basedOn w:val="Tablanormal"/>
    <w:uiPriority w:val="49"/>
    <w:rsid w:val="00CE3D5C"/>
    <w:pPr>
      <w:spacing w:after="0" w:line="240" w:lineRule="auto"/>
    </w:pPr>
    <w:rPr>
      <w:rFonts w:ascii="Calibri" w:eastAsia="MS PGothic" w:hAnsi="Calibri" w:cs="Times New Roman"/>
      <w:lang w:eastAsia="es-GT"/>
    </w:rPr>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paragraph" w:styleId="NormalWeb">
    <w:name w:val="Normal (Web)"/>
    <w:basedOn w:val="Normal"/>
    <w:uiPriority w:val="99"/>
    <w:semiHidden/>
    <w:unhideWhenUsed/>
    <w:rsid w:val="00CE3D5C"/>
    <w:rPr>
      <w:rFonts w:ascii="Times New Roman" w:hAnsi="Times New Roman" w:cs="Times New Roman"/>
      <w:sz w:val="24"/>
      <w:szCs w:val="24"/>
    </w:rPr>
  </w:style>
  <w:style w:type="paragraph" w:styleId="Ttulo">
    <w:name w:val="Title"/>
    <w:basedOn w:val="Normal"/>
    <w:next w:val="Normal"/>
    <w:link w:val="TtuloCar"/>
    <w:uiPriority w:val="10"/>
    <w:qFormat/>
    <w:rsid w:val="00CE3D5C"/>
    <w:pPr>
      <w:spacing w:after="0" w:line="240" w:lineRule="auto"/>
      <w:contextualSpacing/>
    </w:pPr>
    <w:rPr>
      <w:caps/>
      <w:color w:val="143F6A"/>
      <w:spacing w:val="50"/>
      <w:sz w:val="44"/>
      <w:szCs w:val="44"/>
    </w:rPr>
  </w:style>
  <w:style w:type="character" w:customStyle="1" w:styleId="TtuloCar1">
    <w:name w:val="Título Car1"/>
    <w:basedOn w:val="Fuentedeprrafopredeter"/>
    <w:uiPriority w:val="10"/>
    <w:rsid w:val="00CE3D5C"/>
    <w:rPr>
      <w:rFonts w:asciiTheme="majorHAnsi" w:eastAsiaTheme="majorEastAsia" w:hAnsiTheme="majorHAnsi" w:cstheme="majorBidi"/>
      <w:spacing w:val="-10"/>
      <w:kern w:val="28"/>
      <w:sz w:val="56"/>
      <w:szCs w:val="56"/>
    </w:rPr>
  </w:style>
  <w:style w:type="character" w:styleId="Textoennegrita">
    <w:name w:val="Strong"/>
    <w:basedOn w:val="Fuentedeprrafopredeter"/>
    <w:uiPriority w:val="22"/>
    <w:qFormat/>
    <w:rsid w:val="00CE3D5C"/>
    <w:rPr>
      <w:b/>
      <w:bCs/>
    </w:rPr>
  </w:style>
  <w:style w:type="paragraph" w:styleId="Citadestacada">
    <w:name w:val="Intense Quote"/>
    <w:basedOn w:val="Normal"/>
    <w:next w:val="Normal"/>
    <w:link w:val="CitadestacadaCar"/>
    <w:uiPriority w:val="30"/>
    <w:qFormat/>
    <w:rsid w:val="00CE3D5C"/>
    <w:pPr>
      <w:pBdr>
        <w:top w:val="single" w:sz="4" w:space="10" w:color="4472C4" w:themeColor="accent1"/>
        <w:bottom w:val="single" w:sz="4" w:space="10" w:color="4472C4" w:themeColor="accent1"/>
      </w:pBdr>
      <w:spacing w:before="360" w:after="360"/>
      <w:ind w:left="864" w:right="864"/>
      <w:jc w:val="center"/>
    </w:pPr>
    <w:rPr>
      <w:caps/>
      <w:color w:val="143E69"/>
      <w:spacing w:val="5"/>
      <w:sz w:val="20"/>
      <w:szCs w:val="20"/>
    </w:rPr>
  </w:style>
  <w:style w:type="character" w:customStyle="1" w:styleId="CitadestacadaCar1">
    <w:name w:val="Cita destacada Car1"/>
    <w:basedOn w:val="Fuentedeprrafopredeter"/>
    <w:uiPriority w:val="30"/>
    <w:rsid w:val="00CE3D5C"/>
    <w:rPr>
      <w:i/>
      <w:iCs/>
      <w:color w:val="4472C4" w:themeColor="accent1"/>
    </w:rPr>
  </w:style>
  <w:style w:type="character" w:styleId="Referenciasutil">
    <w:name w:val="Subtle Reference"/>
    <w:basedOn w:val="Fuentedeprrafopredeter"/>
    <w:uiPriority w:val="31"/>
    <w:qFormat/>
    <w:rsid w:val="00CE3D5C"/>
    <w:rPr>
      <w:smallCaps/>
      <w:color w:val="5A5A5A" w:themeColor="text1" w:themeTint="A5"/>
    </w:rPr>
  </w:style>
  <w:style w:type="character" w:styleId="Referenciaintensa">
    <w:name w:val="Intense Reference"/>
    <w:basedOn w:val="Fuentedeprrafopredeter"/>
    <w:uiPriority w:val="32"/>
    <w:qFormat/>
    <w:rsid w:val="00CE3D5C"/>
    <w:rPr>
      <w:b/>
      <w:bCs/>
      <w:smallCaps/>
      <w:color w:val="4472C4" w:themeColor="accent1"/>
      <w:spacing w:val="5"/>
    </w:rPr>
  </w:style>
  <w:style w:type="character" w:styleId="Ttulodellibro">
    <w:name w:val="Book Title"/>
    <w:basedOn w:val="Fuentedeprrafopredeter"/>
    <w:uiPriority w:val="33"/>
    <w:qFormat/>
    <w:rsid w:val="00CE3D5C"/>
    <w:rPr>
      <w:b/>
      <w:bCs/>
      <w:i/>
      <w:iCs/>
      <w:spacing w:val="5"/>
    </w:rPr>
  </w:style>
  <w:style w:type="paragraph" w:customStyle="1" w:styleId="normalinforme">
    <w:name w:val="normal informe"/>
    <w:basedOn w:val="Normal"/>
    <w:link w:val="normalinformeCar"/>
    <w:qFormat/>
    <w:rsid w:val="000567DA"/>
    <w:pPr>
      <w:ind w:left="432" w:hanging="432"/>
    </w:pPr>
    <w:rPr>
      <w:rFonts w:eastAsia="Times New Roman"/>
      <w:lang w:val="es-ES"/>
    </w:rPr>
  </w:style>
  <w:style w:type="character" w:customStyle="1" w:styleId="normalinformeCar">
    <w:name w:val="normal informe Car"/>
    <w:basedOn w:val="Fuentedeprrafopredeter"/>
    <w:link w:val="normalinforme"/>
    <w:rsid w:val="000567DA"/>
    <w:rPr>
      <w:rFonts w:eastAsia="Times New Roman"/>
      <w:lang w:val="es-ES"/>
    </w:rPr>
  </w:style>
  <w:style w:type="paragraph" w:customStyle="1" w:styleId="TITULOSINFORMENUEVO">
    <w:name w:val="TITULOS INFORME NUEVO"/>
    <w:basedOn w:val="Normal1"/>
    <w:next w:val="Normal1"/>
    <w:link w:val="TITULOSINFORMENUEVOCar"/>
    <w:uiPriority w:val="99"/>
    <w:qFormat/>
    <w:rsid w:val="00A87EEB"/>
    <w:pPr>
      <w:numPr>
        <w:numId w:val="19"/>
      </w:numPr>
    </w:pPr>
    <w:rPr>
      <w:b/>
      <w:bCs/>
      <w:iCs/>
      <w:color w:val="1F4E79" w:themeColor="accent5" w:themeShade="80"/>
      <w:sz w:val="32"/>
      <w:szCs w:val="40"/>
    </w:rPr>
  </w:style>
  <w:style w:type="character" w:customStyle="1" w:styleId="TITULOSINFORMENUEVOCar">
    <w:name w:val="TITULOS INFORME NUEVO Car"/>
    <w:basedOn w:val="Fuentedeprrafopredeter"/>
    <w:link w:val="TITULOSINFORMENUEVO"/>
    <w:uiPriority w:val="99"/>
    <w:rsid w:val="00A87EEB"/>
    <w:rPr>
      <w:rFonts w:ascii="Candara" w:eastAsia="Candara" w:hAnsi="Candara" w:cs="Candara"/>
      <w:b/>
      <w:bCs/>
      <w:iCs/>
      <w:color w:val="1F4E79" w:themeColor="accent5" w:themeShade="80"/>
      <w:sz w:val="32"/>
      <w:szCs w:val="40"/>
      <w:lang w:eastAsia="es-GT"/>
    </w:rPr>
  </w:style>
  <w:style w:type="numbering" w:customStyle="1" w:styleId="Sinlista3">
    <w:name w:val="Sin lista3"/>
    <w:next w:val="Sinlista"/>
    <w:uiPriority w:val="99"/>
    <w:semiHidden/>
    <w:unhideWhenUsed/>
    <w:rsid w:val="00693BD9"/>
  </w:style>
  <w:style w:type="character" w:styleId="Hipervnculovisitado">
    <w:name w:val="FollowedHyperlink"/>
    <w:basedOn w:val="Fuentedeprrafopredeter"/>
    <w:uiPriority w:val="99"/>
    <w:semiHidden/>
    <w:unhideWhenUsed/>
    <w:rsid w:val="00693BD9"/>
    <w:rPr>
      <w:color w:val="954F72"/>
      <w:u w:val="single"/>
    </w:rPr>
  </w:style>
  <w:style w:type="paragraph" w:customStyle="1" w:styleId="msonormal0">
    <w:name w:val="msonormal"/>
    <w:basedOn w:val="Normal"/>
    <w:rsid w:val="00693BD9"/>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xl65">
    <w:name w:val="xl65"/>
    <w:basedOn w:val="Normal"/>
    <w:uiPriority w:val="99"/>
    <w:rsid w:val="00693BD9"/>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xl66">
    <w:name w:val="xl66"/>
    <w:basedOn w:val="Normal"/>
    <w:uiPriority w:val="99"/>
    <w:rsid w:val="00693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es-GT"/>
    </w:rPr>
  </w:style>
  <w:style w:type="paragraph" w:customStyle="1" w:styleId="xl67">
    <w:name w:val="xl67"/>
    <w:basedOn w:val="Normal"/>
    <w:uiPriority w:val="99"/>
    <w:rsid w:val="00693BD9"/>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GT"/>
    </w:rPr>
  </w:style>
  <w:style w:type="paragraph" w:customStyle="1" w:styleId="xl68">
    <w:name w:val="xl68"/>
    <w:basedOn w:val="Normal"/>
    <w:uiPriority w:val="99"/>
    <w:rsid w:val="00693BD9"/>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GT"/>
    </w:rPr>
  </w:style>
  <w:style w:type="paragraph" w:customStyle="1" w:styleId="xl69">
    <w:name w:val="xl69"/>
    <w:basedOn w:val="Normal"/>
    <w:uiPriority w:val="99"/>
    <w:rsid w:val="00693BD9"/>
    <w:pPr>
      <w:pBdr>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GT"/>
    </w:rPr>
  </w:style>
  <w:style w:type="paragraph" w:customStyle="1" w:styleId="xl70">
    <w:name w:val="xl70"/>
    <w:basedOn w:val="Normal"/>
    <w:uiPriority w:val="99"/>
    <w:rsid w:val="00693B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GT"/>
    </w:rPr>
  </w:style>
  <w:style w:type="paragraph" w:customStyle="1" w:styleId="xl71">
    <w:name w:val="xl71"/>
    <w:basedOn w:val="Normal"/>
    <w:uiPriority w:val="99"/>
    <w:rsid w:val="00693BD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GT"/>
    </w:rPr>
  </w:style>
  <w:style w:type="paragraph" w:customStyle="1" w:styleId="xl72">
    <w:name w:val="xl72"/>
    <w:basedOn w:val="Normal"/>
    <w:uiPriority w:val="99"/>
    <w:rsid w:val="00693BD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73">
    <w:name w:val="xl73"/>
    <w:basedOn w:val="Normal"/>
    <w:uiPriority w:val="99"/>
    <w:rsid w:val="00693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36"/>
      <w:szCs w:val="36"/>
      <w:lang w:eastAsia="es-GT"/>
    </w:rPr>
  </w:style>
  <w:style w:type="paragraph" w:customStyle="1" w:styleId="xl74">
    <w:name w:val="xl74"/>
    <w:basedOn w:val="Normal"/>
    <w:uiPriority w:val="99"/>
    <w:rsid w:val="00693BD9"/>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75">
    <w:name w:val="xl75"/>
    <w:basedOn w:val="Normal"/>
    <w:uiPriority w:val="99"/>
    <w:rsid w:val="00693BD9"/>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76">
    <w:name w:val="xl76"/>
    <w:basedOn w:val="Normal"/>
    <w:uiPriority w:val="99"/>
    <w:rsid w:val="00693BD9"/>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77">
    <w:name w:val="xl77"/>
    <w:basedOn w:val="Normal"/>
    <w:uiPriority w:val="99"/>
    <w:rsid w:val="00693BD9"/>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78">
    <w:name w:val="xl78"/>
    <w:basedOn w:val="Normal"/>
    <w:uiPriority w:val="99"/>
    <w:rsid w:val="00693BD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79">
    <w:name w:val="xl79"/>
    <w:basedOn w:val="Normal"/>
    <w:uiPriority w:val="99"/>
    <w:rsid w:val="00693BD9"/>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0">
    <w:name w:val="xl80"/>
    <w:basedOn w:val="Normal"/>
    <w:uiPriority w:val="99"/>
    <w:rsid w:val="00693BD9"/>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1">
    <w:name w:val="xl81"/>
    <w:basedOn w:val="Normal"/>
    <w:uiPriority w:val="99"/>
    <w:rsid w:val="00693BD9"/>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2">
    <w:name w:val="xl82"/>
    <w:basedOn w:val="Normal"/>
    <w:uiPriority w:val="99"/>
    <w:rsid w:val="00693BD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3">
    <w:name w:val="xl83"/>
    <w:basedOn w:val="Normal"/>
    <w:uiPriority w:val="99"/>
    <w:rsid w:val="00693BD9"/>
    <w:pPr>
      <w:pBdr>
        <w:left w:val="single" w:sz="8"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4">
    <w:name w:val="xl84"/>
    <w:basedOn w:val="Normal"/>
    <w:uiPriority w:val="99"/>
    <w:rsid w:val="00693BD9"/>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5">
    <w:name w:val="xl85"/>
    <w:basedOn w:val="Normal"/>
    <w:uiPriority w:val="99"/>
    <w:rsid w:val="00693BD9"/>
    <w:pPr>
      <w:pBdr>
        <w:right w:val="single" w:sz="8"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6">
    <w:name w:val="xl86"/>
    <w:basedOn w:val="Normal"/>
    <w:uiPriority w:val="99"/>
    <w:rsid w:val="00693BD9"/>
    <w:pPr>
      <w:pBdr>
        <w:left w:val="single" w:sz="8"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7">
    <w:name w:val="xl87"/>
    <w:basedOn w:val="Normal"/>
    <w:uiPriority w:val="99"/>
    <w:rsid w:val="00693BD9"/>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8">
    <w:name w:val="xl88"/>
    <w:basedOn w:val="Normal"/>
    <w:uiPriority w:val="99"/>
    <w:rsid w:val="00693BD9"/>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89">
    <w:name w:val="xl89"/>
    <w:basedOn w:val="Normal"/>
    <w:uiPriority w:val="99"/>
    <w:rsid w:val="00693BD9"/>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90">
    <w:name w:val="xl90"/>
    <w:basedOn w:val="Normal"/>
    <w:uiPriority w:val="99"/>
    <w:rsid w:val="00693BD9"/>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91">
    <w:name w:val="xl91"/>
    <w:basedOn w:val="Normal"/>
    <w:uiPriority w:val="99"/>
    <w:rsid w:val="00693BD9"/>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92">
    <w:name w:val="xl92"/>
    <w:basedOn w:val="Normal"/>
    <w:uiPriority w:val="99"/>
    <w:rsid w:val="00693BD9"/>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paragraph" w:customStyle="1" w:styleId="xl93">
    <w:name w:val="xl93"/>
    <w:basedOn w:val="Normal"/>
    <w:uiPriority w:val="99"/>
    <w:rsid w:val="00693BD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GT"/>
    </w:rPr>
  </w:style>
  <w:style w:type="table" w:styleId="Tablaconcuadrcula2-nfasis1">
    <w:name w:val="Grid Table 2 Accent 1"/>
    <w:basedOn w:val="Tablanormal"/>
    <w:uiPriority w:val="47"/>
    <w:rsid w:val="000B241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5">
    <w:name w:val="Grid Table 1 Light Accent 5"/>
    <w:basedOn w:val="Tablanormal"/>
    <w:uiPriority w:val="46"/>
    <w:rsid w:val="000B241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0B241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adeilustraciones">
    <w:name w:val="table of figures"/>
    <w:basedOn w:val="Normal"/>
    <w:next w:val="Normal"/>
    <w:uiPriority w:val="99"/>
    <w:unhideWhenUsed/>
    <w:rsid w:val="0018772F"/>
    <w:pPr>
      <w:spacing w:after="0"/>
    </w:pPr>
    <w:rPr>
      <w:rFonts w:cstheme="minorHAnsi"/>
      <w:i/>
      <w:iCs/>
      <w:sz w:val="20"/>
      <w:szCs w:val="20"/>
    </w:rPr>
  </w:style>
  <w:style w:type="table" w:styleId="Tablaconcuadrculaclara">
    <w:name w:val="Grid Table Light"/>
    <w:basedOn w:val="Tablanormal"/>
    <w:uiPriority w:val="40"/>
    <w:rsid w:val="004875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4729BA"/>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4729B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4">
    <w:name w:val="Sin lista4"/>
    <w:next w:val="Sinlista"/>
    <w:uiPriority w:val="99"/>
    <w:semiHidden/>
    <w:unhideWhenUsed/>
    <w:rsid w:val="00E6534A"/>
  </w:style>
  <w:style w:type="character" w:customStyle="1" w:styleId="TextonotapieCar1">
    <w:name w:val="Texto nota pie Car1"/>
    <w:aliases w:val="Car Car1,Texto nota pie Car Car Car Car Car1,Texto nota pie1 Car1,ft Car1,single space Car1,fn Car1,FOOTNOTES Car1,Texto nota pie Car Car Car Car Car Car Car2,Texto nota pie Car Car Car Car Car Car Car Car1,Char Car1"/>
    <w:basedOn w:val="Fuentedeprrafopredeter"/>
    <w:uiPriority w:val="99"/>
    <w:semiHidden/>
    <w:rsid w:val="00E6534A"/>
    <w:rPr>
      <w:rFonts w:ascii="Helvetica" w:hAnsi="Helvetica"/>
      <w:lang w:val="es-GT" w:eastAsia="en-US"/>
    </w:rPr>
  </w:style>
  <w:style w:type="character" w:customStyle="1" w:styleId="tablaCar">
    <w:name w:val="tabla Car"/>
    <w:link w:val="tabla0"/>
    <w:semiHidden/>
    <w:locked/>
    <w:rsid w:val="00E6534A"/>
    <w:rPr>
      <w:rFonts w:ascii="Helvetica" w:eastAsia="Times New Roman" w:hAnsi="Helvetica" w:cs="Helvetica"/>
      <w:b/>
      <w:bCs/>
      <w:color w:val="4472C4"/>
      <w:sz w:val="24"/>
      <w:szCs w:val="24"/>
    </w:rPr>
  </w:style>
  <w:style w:type="paragraph" w:customStyle="1" w:styleId="tabla0">
    <w:name w:val="tabla"/>
    <w:basedOn w:val="ttulosgrficas"/>
    <w:link w:val="tablaCar"/>
    <w:semiHidden/>
    <w:qFormat/>
    <w:rsid w:val="00E6534A"/>
    <w:rPr>
      <w:rFonts w:eastAsia="Times New Roman"/>
      <w:color w:val="4472C4"/>
    </w:rPr>
  </w:style>
  <w:style w:type="table" w:customStyle="1" w:styleId="Tablaconcuadrcula2">
    <w:name w:val="Tabla con cuadrícula2"/>
    <w:basedOn w:val="Tablanormal"/>
    <w:next w:val="Tablaconcuadrcula"/>
    <w:uiPriority w:val="39"/>
    <w:rsid w:val="00E6534A"/>
    <w:pPr>
      <w:spacing w:after="0" w:line="240" w:lineRule="auto"/>
    </w:pPr>
    <w:rPr>
      <w:rFonts w:ascii="Calibri" w:eastAsia="Calibri" w:hAnsi="Calibri" w:cs="Arial"/>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12">
    <w:name w:val="Cuadrícula media 3 - Énfasis 12"/>
    <w:basedOn w:val="Tablanormal"/>
    <w:next w:val="Cuadrculamedia3-nfasis1"/>
    <w:uiPriority w:val="69"/>
    <w:semiHidden/>
    <w:unhideWhenUsed/>
    <w:rsid w:val="00E6534A"/>
    <w:pPr>
      <w:widowControl w:val="0"/>
      <w:spacing w:after="0" w:line="240" w:lineRule="auto"/>
    </w:pPr>
    <w:rPr>
      <w:rFonts w:ascii="Calibri" w:eastAsia="Times New Roman" w:hAnsi="Calibri" w:cs="Arial"/>
      <w:kern w:val="2"/>
      <w:sz w:val="21"/>
      <w:lang w:val="en-US"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aconcuadrculaclara1">
    <w:name w:val="Tabla con cuadrícula clara1"/>
    <w:basedOn w:val="Tablanormal"/>
    <w:next w:val="Tablaconcuadrculaclara"/>
    <w:uiPriority w:val="40"/>
    <w:rsid w:val="00E6534A"/>
    <w:pPr>
      <w:spacing w:after="0" w:line="240" w:lineRule="auto"/>
    </w:pPr>
    <w:rPr>
      <w:rFonts w:ascii="Calibri" w:eastAsia="Calibri" w:hAnsi="Calibri" w:cs="Arial"/>
      <w:lang w:val="es-ES" w:eastAsia="ja-JP"/>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nfasis11">
    <w:name w:val="Tabla con cuadrícula 2 - Énfasis 11"/>
    <w:basedOn w:val="Tablanormal"/>
    <w:next w:val="Tablaconcuadrcula2-nfasis1"/>
    <w:uiPriority w:val="47"/>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2">
    <w:name w:val="Tabla con cuadrícula 4 - Énfasis 12"/>
    <w:basedOn w:val="Tablanormal"/>
    <w:next w:val="Tablaconcuadrcula4-nfasis1"/>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clara-nfasis51">
    <w:name w:val="Tabla con cuadrícula 1 clara - Énfasis 51"/>
    <w:basedOn w:val="Tablanormal"/>
    <w:next w:val="Tablaconcuadrcula1clara-nfasis5"/>
    <w:uiPriority w:val="46"/>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11">
    <w:name w:val="Tabla de cuadrícula 5 oscura - Énfasis 111"/>
    <w:basedOn w:val="Tablanormal"/>
    <w:uiPriority w:val="50"/>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4111">
    <w:name w:val="Tabla con cuadrícula 5 oscura - Énfasis 4111"/>
    <w:basedOn w:val="Tablanormal"/>
    <w:uiPriority w:val="50"/>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4-nfasis111">
    <w:name w:val="Tabla de cuadrícula 4 - Énfasis 111"/>
    <w:basedOn w:val="Tablanormal"/>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111">
    <w:name w:val="Tabla de cuadrícula 2 - Énfasis 111"/>
    <w:basedOn w:val="Tablanormal"/>
    <w:uiPriority w:val="47"/>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
    <w:name w:val="Tabla de cuadrícula 4 - Énfasis 511"/>
    <w:basedOn w:val="Tablanormal"/>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1">
    <w:name w:val="Tabla con cuadrícula 4 - Énfasis 111"/>
    <w:basedOn w:val="Tablanormal"/>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1">
    <w:name w:val="Tabla con cuadrícula 4 - Énfasis 511"/>
    <w:basedOn w:val="Tablanormal"/>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uadrculamedia3-nfasis111">
    <w:name w:val="Cuadrícula media 3 - Énfasis 111"/>
    <w:basedOn w:val="Tablanormal"/>
    <w:uiPriority w:val="69"/>
    <w:rsid w:val="00E6534A"/>
    <w:pPr>
      <w:widowControl w:val="0"/>
      <w:spacing w:after="0" w:line="240" w:lineRule="auto"/>
    </w:pPr>
    <w:rPr>
      <w:rFonts w:ascii="Calibri" w:eastAsia="Times New Roman" w:hAnsi="Calibri" w:cs="Arial"/>
      <w:kern w:val="2"/>
      <w:sz w:val="21"/>
      <w:lang w:val="en-US"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1">
    <w:name w:val="Tabla con cuadrícula11"/>
    <w:basedOn w:val="Tablanormal"/>
    <w:uiPriority w:val="59"/>
    <w:locked/>
    <w:rsid w:val="00E6534A"/>
    <w:pPr>
      <w:spacing w:after="200" w:line="276" w:lineRule="auto"/>
    </w:pPr>
    <w:rPr>
      <w:rFonts w:ascii="Calibri" w:eastAsia="Times New Roman" w:hAnsi="Calibri" w:cs="Calibri"/>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1">
    <w:name w:val="Tabla de cuadrícula 4 - Énfasis 211"/>
    <w:basedOn w:val="Tablanormal"/>
    <w:uiPriority w:val="49"/>
    <w:rsid w:val="00E6534A"/>
    <w:pPr>
      <w:spacing w:after="0" w:line="240" w:lineRule="auto"/>
    </w:pPr>
    <w:rPr>
      <w:rFonts w:ascii="Calibri" w:eastAsia="MS PGothic" w:hAnsi="Calibri" w:cs="Times New Roman"/>
      <w:lang w:val="es-ES" w:eastAsia="ja-JP"/>
    </w:rPr>
    <w:tblPr>
      <w:tblStyleRowBandSize w:val="1"/>
      <w:tblStyleColBandSize w:val="1"/>
      <w:tblInd w:w="0" w:type="nil"/>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Tablaconcuadrcula21">
    <w:name w:val="Tabla con cuadrícula21"/>
    <w:basedOn w:val="Tablanormal"/>
    <w:uiPriority w:val="59"/>
    <w:locked/>
    <w:rsid w:val="00E6534A"/>
    <w:pPr>
      <w:spacing w:after="200" w:line="276" w:lineRule="auto"/>
    </w:pPr>
    <w:rPr>
      <w:rFonts w:ascii="Calibri" w:eastAsia="Times New Roman" w:hAnsi="Calibri" w:cs="Calibri"/>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11">
    <w:name w:val="Tabla con cuadrícula 4 - Énfasis 1111"/>
    <w:basedOn w:val="Tablanormal"/>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5111">
    <w:name w:val="Tabla con cuadrícula 4 - Énfasis 5111"/>
    <w:basedOn w:val="Tablanormal"/>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11">
    <w:name w:val="Tabla de lista 4 - Énfasis 11"/>
    <w:basedOn w:val="Tablanormal"/>
    <w:uiPriority w:val="49"/>
    <w:rsid w:val="00E6534A"/>
    <w:pPr>
      <w:spacing w:after="0" w:line="240" w:lineRule="auto"/>
      <w:jc w:val="center"/>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a">
    <w:name w:val="Tabla"/>
    <w:basedOn w:val="Normal"/>
    <w:link w:val="TablaCar0"/>
    <w:qFormat/>
    <w:rsid w:val="00E6534A"/>
    <w:pPr>
      <w:keepNext/>
      <w:numPr>
        <w:numId w:val="23"/>
      </w:numPr>
      <w:spacing w:after="0" w:line="240" w:lineRule="auto"/>
    </w:pPr>
    <w:rPr>
      <w:rFonts w:ascii="Helvetica" w:eastAsia="Times New Roman" w:hAnsi="Helvetica" w:cs="Helvetica"/>
      <w:bCs/>
      <w:color w:val="4472C4"/>
      <w:sz w:val="24"/>
      <w:szCs w:val="24"/>
      <w:lang w:val="es-ES"/>
    </w:rPr>
  </w:style>
  <w:style w:type="paragraph" w:customStyle="1" w:styleId="Grfica">
    <w:name w:val="Gráfica"/>
    <w:basedOn w:val="Normal"/>
    <w:link w:val="GrficaCar"/>
    <w:qFormat/>
    <w:rsid w:val="00E6534A"/>
    <w:pPr>
      <w:numPr>
        <w:numId w:val="24"/>
      </w:numPr>
      <w:spacing w:after="0" w:line="240" w:lineRule="auto"/>
      <w:jc w:val="center"/>
    </w:pPr>
    <w:rPr>
      <w:rFonts w:ascii="Helvetica" w:eastAsia="Times New Roman" w:hAnsi="Helvetica" w:cs="Helvetica"/>
      <w:bCs/>
      <w:color w:val="4472C4"/>
      <w:sz w:val="24"/>
      <w:szCs w:val="24"/>
      <w:lang w:val="es-ES"/>
    </w:rPr>
  </w:style>
  <w:style w:type="character" w:customStyle="1" w:styleId="DescripcinCar">
    <w:name w:val="Descripción Car"/>
    <w:link w:val="Descripcin"/>
    <w:uiPriority w:val="35"/>
    <w:rsid w:val="00E6534A"/>
    <w:rPr>
      <w:rFonts w:ascii="Calibri" w:eastAsia="MS PGothic" w:hAnsi="Calibri" w:cs="Times New Roman"/>
      <w:caps/>
      <w:spacing w:val="10"/>
      <w:sz w:val="18"/>
      <w:szCs w:val="18"/>
      <w:lang w:eastAsia="es-GT"/>
    </w:rPr>
  </w:style>
  <w:style w:type="character" w:customStyle="1" w:styleId="TablaCar0">
    <w:name w:val="Tabla Car"/>
    <w:link w:val="Tabla"/>
    <w:rsid w:val="00E6534A"/>
    <w:rPr>
      <w:rFonts w:ascii="Helvetica" w:eastAsia="Times New Roman" w:hAnsi="Helvetica" w:cs="Helvetica"/>
      <w:bCs/>
      <w:color w:val="4472C4"/>
      <w:sz w:val="24"/>
      <w:szCs w:val="24"/>
      <w:lang w:val="es-ES"/>
    </w:rPr>
  </w:style>
  <w:style w:type="character" w:customStyle="1" w:styleId="GrficaCar">
    <w:name w:val="Gráfica Car"/>
    <w:link w:val="Grfica"/>
    <w:rsid w:val="00E6534A"/>
    <w:rPr>
      <w:rFonts w:ascii="Helvetica" w:eastAsia="Times New Roman" w:hAnsi="Helvetica" w:cs="Helvetica"/>
      <w:bCs/>
      <w:color w:val="4472C4"/>
      <w:sz w:val="24"/>
      <w:szCs w:val="24"/>
      <w:lang w:val="es-ES"/>
    </w:rPr>
  </w:style>
  <w:style w:type="numbering" w:customStyle="1" w:styleId="Sinlista11">
    <w:name w:val="Sin lista11"/>
    <w:next w:val="Sinlista"/>
    <w:uiPriority w:val="99"/>
    <w:semiHidden/>
    <w:unhideWhenUsed/>
    <w:rsid w:val="00E6534A"/>
  </w:style>
  <w:style w:type="table" w:customStyle="1" w:styleId="Tablaconcuadrcula3">
    <w:name w:val="Tabla con cuadrícula3"/>
    <w:basedOn w:val="Tablanormal"/>
    <w:next w:val="Tablaconcuadrcula"/>
    <w:uiPriority w:val="39"/>
    <w:rsid w:val="00E6534A"/>
    <w:pPr>
      <w:spacing w:after="0" w:line="240" w:lineRule="auto"/>
    </w:pPr>
    <w:rPr>
      <w:rFonts w:ascii="Calibri" w:eastAsia="Calibri" w:hAnsi="Calibri" w:cs="Arial"/>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12">
    <w:name w:val="Tabla de lista 4 - Énfasis 12"/>
    <w:basedOn w:val="Tablanormal"/>
    <w:next w:val="Tabladelista4-nfasis1"/>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12">
    <w:name w:val="Tabla con cuadrícula 4 - Énfasis 112"/>
    <w:basedOn w:val="Tablanormal"/>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2">
    <w:name w:val="Tabla con cuadrícula 4 - Énfasis 512"/>
    <w:basedOn w:val="Tablanormal"/>
    <w:uiPriority w:val="49"/>
    <w:rsid w:val="00E6534A"/>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212">
    <w:name w:val="Tabla de cuadrícula 4 - Énfasis 212"/>
    <w:basedOn w:val="Tablanormal"/>
    <w:uiPriority w:val="49"/>
    <w:rsid w:val="00E6534A"/>
    <w:pPr>
      <w:spacing w:after="0" w:line="240" w:lineRule="auto"/>
    </w:pPr>
    <w:rPr>
      <w:rFonts w:ascii="Calibri" w:eastAsia="MS PGothic" w:hAnsi="Calibri" w:cs="Times New Roman"/>
      <w:lang w:val="es-ES" w:eastAsia="ja-JP"/>
    </w:rPr>
    <w:tblPr>
      <w:tblStyleRowBandSize w:val="1"/>
      <w:tblStyleColBandSize w:val="1"/>
      <w:tblInd w:w="0" w:type="nil"/>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Tabladecuadrcula4-nfasis2111">
    <w:name w:val="Tabla de cuadrícula 4 - Énfasis 2111"/>
    <w:basedOn w:val="Tablanormal"/>
    <w:uiPriority w:val="49"/>
    <w:rsid w:val="00E6534A"/>
    <w:pPr>
      <w:spacing w:after="0" w:line="240" w:lineRule="auto"/>
    </w:pPr>
    <w:rPr>
      <w:rFonts w:ascii="Calibri" w:eastAsia="MS PGothic" w:hAnsi="Calibri" w:cs="Times New Roman"/>
      <w:lang w:val="es-ES" w:eastAsia="ja-JP"/>
    </w:rPr>
    <w:tblPr>
      <w:tblStyleRowBandSize w:val="1"/>
      <w:tblStyleColBandSize w:val="1"/>
      <w:tblInd w:w="0" w:type="nil"/>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Tabladelista4-nfasis111">
    <w:name w:val="Tabla de lista 4 - Énfasis 111"/>
    <w:basedOn w:val="Tablanormal"/>
    <w:uiPriority w:val="49"/>
    <w:rsid w:val="00E6534A"/>
    <w:pPr>
      <w:spacing w:after="0" w:line="240" w:lineRule="auto"/>
      <w:jc w:val="center"/>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lista3-nfasis1">
    <w:name w:val="List Table 3 Accent 1"/>
    <w:basedOn w:val="Tablanormal"/>
    <w:uiPriority w:val="48"/>
    <w:rsid w:val="00E6534A"/>
    <w:pPr>
      <w:spacing w:after="0" w:line="240" w:lineRule="auto"/>
    </w:pPr>
    <w:rPr>
      <w:rFonts w:ascii="Calibri" w:eastAsia="Calibri" w:hAnsi="Calibri" w:cs="Arial"/>
      <w:sz w:val="20"/>
      <w:szCs w:val="20"/>
      <w:lang w:val="es-ES" w:eastAsia="ja-JP"/>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normaltextrun">
    <w:name w:val="normaltextrun"/>
    <w:basedOn w:val="Fuentedeprrafopredeter"/>
    <w:rsid w:val="00E6534A"/>
  </w:style>
  <w:style w:type="table" w:styleId="Tablaconcuadrcula4-nfasis5">
    <w:name w:val="Grid Table 4 Accent 5"/>
    <w:basedOn w:val="Tablanormal"/>
    <w:uiPriority w:val="49"/>
    <w:rsid w:val="00E6534A"/>
    <w:pPr>
      <w:spacing w:after="0" w:line="240" w:lineRule="auto"/>
    </w:pPr>
    <w:rPr>
      <w:rFonts w:ascii="Calibri" w:eastAsia="Calibri" w:hAnsi="Calibri" w:cs="Arial"/>
      <w:sz w:val="20"/>
      <w:szCs w:val="20"/>
      <w:lang w:val="es-ES"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5">
    <w:name w:val="Grid Table 5 Dark Accent 5"/>
    <w:basedOn w:val="Tablanormal"/>
    <w:uiPriority w:val="50"/>
    <w:rsid w:val="00E6534A"/>
    <w:pPr>
      <w:spacing w:after="0" w:line="240" w:lineRule="auto"/>
    </w:pPr>
    <w:rPr>
      <w:rFonts w:ascii="Calibri" w:eastAsia="Calibri" w:hAnsi="Calibri" w:cs="Arial"/>
      <w:sz w:val="20"/>
      <w:szCs w:val="20"/>
      <w:lang w:val="es-E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concuadrcula4-nfasis52">
    <w:name w:val="Tabla con cuadrícula 4 - Énfasis 52"/>
    <w:basedOn w:val="Tablaconcuadrcula4-nfasis5"/>
    <w:uiPriority w:val="49"/>
    <w:rsid w:val="00C348DD"/>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4-nfasis53">
    <w:name w:val="Tabla con cuadrícula 4 - Énfasis 53"/>
    <w:basedOn w:val="Tablanormal"/>
    <w:next w:val="Tablaconcuadrcula4-nfasis5"/>
    <w:uiPriority w:val="49"/>
    <w:rsid w:val="004B159C"/>
    <w:pPr>
      <w:spacing w:after="0" w:line="240" w:lineRule="auto"/>
    </w:pPr>
    <w:rPr>
      <w:rFonts w:ascii="Calibri" w:eastAsia="Calibri" w:hAnsi="Calibri" w:cs="Arial"/>
      <w:sz w:val="20"/>
      <w:szCs w:val="20"/>
      <w:lang w:val="es-ES" w:eastAsia="ja-JP"/>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4-nfasis5">
    <w:name w:val="List Table 4 Accent 5"/>
    <w:basedOn w:val="Tabla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4-nfasis51">
    <w:name w:val="Tabla de lista 4 - Énfasis 51"/>
    <w:basedOn w:val="Tablanormal"/>
    <w:next w:val="Tabladelista4-nfasis5"/>
    <w:uiPriority w:val="49"/>
    <w:rsid w:val="00606CB8"/>
    <w:pPr>
      <w:spacing w:after="0" w:line="240" w:lineRule="auto"/>
    </w:pPr>
    <w:rPr>
      <w:lang w:val="es-ES_tradnl" w:eastAsia="es-GT"/>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ontenidodelmarco">
    <w:name w:val="Contenido del marco"/>
    <w:basedOn w:val="Normal"/>
    <w:qFormat/>
    <w:rsid w:val="00E23D92"/>
    <w:pPr>
      <w:suppressAutoHyphens/>
      <w:overflowPunct w:val="0"/>
      <w:spacing w:after="0" w:line="240" w:lineRule="auto"/>
    </w:pPr>
    <w:rPr>
      <w:rFonts w:ascii="Liberation Serif" w:eastAsia="NSimSun" w:hAnsi="Liberation Serif" w:cs="Arial"/>
      <w:kern w:val="2"/>
      <w:sz w:val="24"/>
      <w:szCs w:val="24"/>
      <w:lang w:val="es-ES" w:eastAsia="zh-CN" w:bidi="hi-IN"/>
    </w:rPr>
  </w:style>
  <w:style w:type="paragraph" w:customStyle="1" w:styleId="paragraph">
    <w:name w:val="paragraph"/>
    <w:basedOn w:val="Normal"/>
    <w:rsid w:val="005E2D10"/>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extrun">
    <w:name w:val="textrun"/>
    <w:basedOn w:val="Fuentedeprrafopredeter"/>
    <w:rsid w:val="005E2D10"/>
  </w:style>
  <w:style w:type="character" w:customStyle="1" w:styleId="eop">
    <w:name w:val="eop"/>
    <w:basedOn w:val="Fuentedeprrafopredeter"/>
    <w:rsid w:val="005E2D10"/>
  </w:style>
  <w:style w:type="character" w:customStyle="1" w:styleId="linebreakblob">
    <w:name w:val="linebreakblob"/>
    <w:basedOn w:val="Fuentedeprrafopredeter"/>
    <w:rsid w:val="005E2D10"/>
  </w:style>
  <w:style w:type="character" w:customStyle="1" w:styleId="scxw55713023">
    <w:name w:val="scxw55713023"/>
    <w:basedOn w:val="Fuentedeprrafopredeter"/>
    <w:rsid w:val="005E2D10"/>
  </w:style>
  <w:style w:type="paragraph" w:customStyle="1" w:styleId="outlineelement">
    <w:name w:val="outlineelement"/>
    <w:basedOn w:val="Normal"/>
    <w:rsid w:val="005E2D10"/>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abrun">
    <w:name w:val="tabrun"/>
    <w:basedOn w:val="Fuentedeprrafopredeter"/>
    <w:rsid w:val="005E2D10"/>
  </w:style>
  <w:style w:type="character" w:customStyle="1" w:styleId="tabchar">
    <w:name w:val="tabchar"/>
    <w:basedOn w:val="Fuentedeprrafopredeter"/>
    <w:rsid w:val="005E2D10"/>
  </w:style>
  <w:style w:type="character" w:customStyle="1" w:styleId="tableaderchars">
    <w:name w:val="tableaderchars"/>
    <w:basedOn w:val="Fuentedeprrafopredeter"/>
    <w:rsid w:val="005E2D10"/>
  </w:style>
  <w:style w:type="character" w:customStyle="1" w:styleId="scxw257492376">
    <w:name w:val="scxw257492376"/>
    <w:basedOn w:val="Fuentedeprrafopredeter"/>
    <w:rsid w:val="005E2D10"/>
  </w:style>
  <w:style w:type="character" w:customStyle="1" w:styleId="scxw190594417">
    <w:name w:val="scxw190594417"/>
    <w:basedOn w:val="Fuentedeprrafopredeter"/>
    <w:rsid w:val="005E2D10"/>
  </w:style>
  <w:style w:type="numbering" w:customStyle="1" w:styleId="Sinlista5">
    <w:name w:val="Sin lista5"/>
    <w:next w:val="Sinlista"/>
    <w:uiPriority w:val="99"/>
    <w:semiHidden/>
    <w:unhideWhenUsed/>
    <w:rsid w:val="007717B2"/>
  </w:style>
  <w:style w:type="table" w:customStyle="1" w:styleId="Tablaconcuadrcula4">
    <w:name w:val="Tabla con cuadrícula4"/>
    <w:basedOn w:val="Tablanormal"/>
    <w:next w:val="Tablaconcuadrcula"/>
    <w:uiPriority w:val="39"/>
    <w:rsid w:val="00771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
    <w:name w:val="Tabla de cuadrícula 5 oscura - Énfasis 112"/>
    <w:basedOn w:val="Tablanormal"/>
    <w:uiPriority w:val="50"/>
    <w:rsid w:val="007717B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4112">
    <w:name w:val="Tabla con cuadrícula 5 oscura - Énfasis 4112"/>
    <w:basedOn w:val="Tablanormal"/>
    <w:uiPriority w:val="50"/>
    <w:rsid w:val="007717B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4-nfasis112">
    <w:name w:val="Tabla de cuadrícula 4 - Énfasis 112"/>
    <w:basedOn w:val="Tablanormal"/>
    <w:uiPriority w:val="49"/>
    <w:rsid w:val="007717B2"/>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112">
    <w:name w:val="Tabla de cuadrícula 2 - Énfasis 112"/>
    <w:basedOn w:val="Tablanormal"/>
    <w:uiPriority w:val="47"/>
    <w:rsid w:val="007717B2"/>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2">
    <w:name w:val="Tabla de cuadrícula 4 - Énfasis 512"/>
    <w:basedOn w:val="Tablanormal"/>
    <w:uiPriority w:val="49"/>
    <w:rsid w:val="007717B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uadrculamedia3-nfasis13">
    <w:name w:val="Cuadrícula media 3 - Énfasis 13"/>
    <w:basedOn w:val="Tablanormal"/>
    <w:next w:val="Cuadrculamedia3-nfasis1"/>
    <w:uiPriority w:val="69"/>
    <w:rsid w:val="007717B2"/>
    <w:pPr>
      <w:widowControl w:val="0"/>
      <w:spacing w:after="0" w:line="240" w:lineRule="auto"/>
    </w:pPr>
    <w:rPr>
      <w:rFonts w:eastAsia="Times New Roman"/>
      <w:kern w:val="2"/>
      <w:sz w:val="21"/>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aconcuadrcula4-nfasis113">
    <w:name w:val="Tabla con cuadrícula 4 - Énfasis 113"/>
    <w:basedOn w:val="Tablanormal"/>
    <w:uiPriority w:val="49"/>
    <w:rsid w:val="007717B2"/>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3">
    <w:name w:val="Tabla con cuadrícula 4 - Énfasis 513"/>
    <w:basedOn w:val="Tablanormal"/>
    <w:uiPriority w:val="49"/>
    <w:rsid w:val="007717B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2">
    <w:name w:val="Sin lista12"/>
    <w:next w:val="Sinlista"/>
    <w:uiPriority w:val="99"/>
    <w:semiHidden/>
    <w:unhideWhenUsed/>
    <w:rsid w:val="007717B2"/>
  </w:style>
  <w:style w:type="table" w:customStyle="1" w:styleId="Cuadrculamedia3-nfasis112">
    <w:name w:val="Cuadrícula media 3 - Énfasis 112"/>
    <w:basedOn w:val="Tablanormal"/>
    <w:next w:val="Cuadrculamedia3-nfasis1"/>
    <w:uiPriority w:val="69"/>
    <w:rsid w:val="007717B2"/>
    <w:pPr>
      <w:widowControl w:val="0"/>
      <w:spacing w:after="0" w:line="240" w:lineRule="auto"/>
    </w:pPr>
    <w:rPr>
      <w:rFonts w:eastAsia="Times New Roman"/>
      <w:kern w:val="2"/>
      <w:sz w:val="21"/>
      <w:lang w:val="en-US"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21">
    <w:name w:val="Sin lista21"/>
    <w:next w:val="Sinlista"/>
    <w:uiPriority w:val="99"/>
    <w:semiHidden/>
    <w:unhideWhenUsed/>
    <w:rsid w:val="007717B2"/>
  </w:style>
  <w:style w:type="table" w:customStyle="1" w:styleId="Tablaconcuadrcula12">
    <w:name w:val="Tabla con cuadrícula12"/>
    <w:basedOn w:val="Tablanormal"/>
    <w:next w:val="Tablaconcuadrcula"/>
    <w:uiPriority w:val="59"/>
    <w:locked/>
    <w:rsid w:val="007717B2"/>
    <w:pPr>
      <w:spacing w:after="200" w:line="276" w:lineRule="auto"/>
    </w:pPr>
    <w:rPr>
      <w:rFonts w:ascii="Calibri" w:eastAsia="Times New Roman" w:hAnsi="Calibri" w:cs="Calibri"/>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uiPriority w:val="49"/>
    <w:rsid w:val="007717B2"/>
    <w:pPr>
      <w:spacing w:after="0" w:line="240" w:lineRule="auto"/>
    </w:pPr>
    <w:rPr>
      <w:rFonts w:ascii="Calibri" w:eastAsia="MS PGothic" w:hAnsi="Calibri" w:cs="Times New Roman"/>
      <w:lang w:eastAsia="es-GT"/>
    </w:rPr>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numbering" w:customStyle="1" w:styleId="Sinlista31">
    <w:name w:val="Sin lista31"/>
    <w:next w:val="Sinlista"/>
    <w:uiPriority w:val="99"/>
    <w:semiHidden/>
    <w:unhideWhenUsed/>
    <w:rsid w:val="007717B2"/>
  </w:style>
  <w:style w:type="table" w:customStyle="1" w:styleId="Tablaconcuadrcula2-nfasis12">
    <w:name w:val="Tabla con cuadrícula 2 - Énfasis 12"/>
    <w:basedOn w:val="Tablanormal"/>
    <w:next w:val="Tablaconcuadrcula2-nfasis1"/>
    <w:uiPriority w:val="47"/>
    <w:rsid w:val="007717B2"/>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clara-nfasis52">
    <w:name w:val="Tabla con cuadrícula 1 clara - Énfasis 52"/>
    <w:basedOn w:val="Tablanormal"/>
    <w:next w:val="Tablaconcuadrcula1clara-nfasis5"/>
    <w:uiPriority w:val="46"/>
    <w:rsid w:val="007717B2"/>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4-nfasis13">
    <w:name w:val="Tabla con cuadrícula 4 - Énfasis 13"/>
    <w:basedOn w:val="Tablanormal"/>
    <w:next w:val="Tablaconcuadrcula4-nfasis1"/>
    <w:uiPriority w:val="49"/>
    <w:rsid w:val="007717B2"/>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clara2">
    <w:name w:val="Tabla con cuadrícula clara2"/>
    <w:basedOn w:val="Tablanormal"/>
    <w:next w:val="Tablaconcuadrculaclara"/>
    <w:uiPriority w:val="40"/>
    <w:rsid w:val="007717B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411">
    <w:name w:val="Tabla de cuadrícula 411"/>
    <w:basedOn w:val="Tablanormal"/>
    <w:next w:val="Tabladecuadrcula4"/>
    <w:uiPriority w:val="49"/>
    <w:rsid w:val="007717B2"/>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
    <w:name w:val="Tabla de cuadrícula 42"/>
    <w:basedOn w:val="Tablanormal"/>
    <w:next w:val="Tabladecuadrcula4"/>
    <w:uiPriority w:val="49"/>
    <w:rsid w:val="007717B2"/>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41">
    <w:name w:val="Sin lista41"/>
    <w:next w:val="Sinlista"/>
    <w:uiPriority w:val="99"/>
    <w:semiHidden/>
    <w:unhideWhenUsed/>
    <w:rsid w:val="007717B2"/>
  </w:style>
  <w:style w:type="table" w:customStyle="1" w:styleId="Tablaconcuadrcula22">
    <w:name w:val="Tabla con cuadrícula22"/>
    <w:basedOn w:val="Tablanormal"/>
    <w:next w:val="Tablaconcuadrcula"/>
    <w:uiPriority w:val="39"/>
    <w:rsid w:val="007717B2"/>
    <w:pPr>
      <w:spacing w:after="0" w:line="240" w:lineRule="auto"/>
    </w:pPr>
    <w:rPr>
      <w:rFonts w:ascii="Calibri" w:eastAsia="Calibri" w:hAnsi="Calibri" w:cs="Arial"/>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121">
    <w:name w:val="Cuadrícula media 3 - Énfasis 121"/>
    <w:basedOn w:val="Tablanormal"/>
    <w:next w:val="Cuadrculamedia3-nfasis1"/>
    <w:uiPriority w:val="69"/>
    <w:semiHidden/>
    <w:unhideWhenUsed/>
    <w:rsid w:val="007717B2"/>
    <w:pPr>
      <w:widowControl w:val="0"/>
      <w:spacing w:after="0" w:line="240" w:lineRule="auto"/>
    </w:pPr>
    <w:rPr>
      <w:rFonts w:ascii="Calibri" w:eastAsia="Times New Roman" w:hAnsi="Calibri" w:cs="Arial"/>
      <w:kern w:val="2"/>
      <w:sz w:val="21"/>
      <w:lang w:val="en-US"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aconcuadrculaclara11">
    <w:name w:val="Tabla con cuadrícula clara11"/>
    <w:basedOn w:val="Tablanormal"/>
    <w:next w:val="Tablaconcuadrculaclara"/>
    <w:uiPriority w:val="40"/>
    <w:rsid w:val="007717B2"/>
    <w:pPr>
      <w:spacing w:after="0" w:line="240" w:lineRule="auto"/>
    </w:pPr>
    <w:rPr>
      <w:rFonts w:ascii="Calibri" w:eastAsia="Calibri" w:hAnsi="Calibri" w:cs="Arial"/>
      <w:lang w:val="es-ES" w:eastAsia="ja-JP"/>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nfasis111">
    <w:name w:val="Tabla con cuadrícula 2 - Énfasis 111"/>
    <w:basedOn w:val="Tablanormal"/>
    <w:next w:val="Tablaconcuadrcula2-nfasis1"/>
    <w:uiPriority w:val="47"/>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21">
    <w:name w:val="Tabla con cuadrícula 4 - Énfasis 121"/>
    <w:basedOn w:val="Tablanormal"/>
    <w:next w:val="Tablaconcuadrcula4-nfasis1"/>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clara-nfasis511">
    <w:name w:val="Tabla con cuadrícula 1 clara - Énfasis 511"/>
    <w:basedOn w:val="Tablanormal"/>
    <w:next w:val="Tablaconcuadrcula1clara-nfasis5"/>
    <w:uiPriority w:val="46"/>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lista4-nfasis13">
    <w:name w:val="Tabla de lista 4 - Énfasis 13"/>
    <w:basedOn w:val="Tablanormal"/>
    <w:next w:val="Tabladelista4-nfasis1"/>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111">
    <w:name w:val="Tabla de cuadrícula 5 oscura - Énfasis 1111"/>
    <w:basedOn w:val="Tablanormal"/>
    <w:uiPriority w:val="50"/>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41111">
    <w:name w:val="Tabla con cuadrícula 5 oscura - Énfasis 41111"/>
    <w:basedOn w:val="Tablanormal"/>
    <w:uiPriority w:val="50"/>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4-nfasis1111">
    <w:name w:val="Tabla de cuadrícula 4 - Énfasis 1111"/>
    <w:basedOn w:val="Tablanormal"/>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1111">
    <w:name w:val="Tabla de cuadrícula 2 - Énfasis 1111"/>
    <w:basedOn w:val="Tablanormal"/>
    <w:uiPriority w:val="47"/>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1">
    <w:name w:val="Tabla de cuadrícula 4 - Énfasis 5111"/>
    <w:basedOn w:val="Tablanormal"/>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12">
    <w:name w:val="Tabla con cuadrícula 4 - Énfasis 1112"/>
    <w:basedOn w:val="Tablanormal"/>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12">
    <w:name w:val="Tabla con cuadrícula 4 - Énfasis 5112"/>
    <w:basedOn w:val="Tablanormal"/>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uadrculamedia3-nfasis1111">
    <w:name w:val="Cuadrícula media 3 - Énfasis 1111"/>
    <w:basedOn w:val="Tablanormal"/>
    <w:uiPriority w:val="69"/>
    <w:rsid w:val="007717B2"/>
    <w:pPr>
      <w:widowControl w:val="0"/>
      <w:spacing w:after="0" w:line="240" w:lineRule="auto"/>
    </w:pPr>
    <w:rPr>
      <w:rFonts w:ascii="Calibri" w:eastAsia="Times New Roman" w:hAnsi="Calibri" w:cs="Arial"/>
      <w:kern w:val="2"/>
      <w:sz w:val="21"/>
      <w:lang w:val="en-US" w:eastAsia="zh-C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11">
    <w:name w:val="Tabla con cuadrícula111"/>
    <w:basedOn w:val="Tablanormal"/>
    <w:uiPriority w:val="59"/>
    <w:locked/>
    <w:rsid w:val="007717B2"/>
    <w:pPr>
      <w:spacing w:after="200" w:line="276" w:lineRule="auto"/>
    </w:pPr>
    <w:rPr>
      <w:rFonts w:ascii="Calibri" w:eastAsia="Times New Roman" w:hAnsi="Calibri" w:cs="Calibri"/>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12">
    <w:name w:val="Tabla de cuadrícula 4 - Énfasis 2112"/>
    <w:basedOn w:val="Tablanormal"/>
    <w:uiPriority w:val="49"/>
    <w:rsid w:val="007717B2"/>
    <w:pPr>
      <w:spacing w:after="0" w:line="240" w:lineRule="auto"/>
    </w:pPr>
    <w:rPr>
      <w:rFonts w:ascii="Calibri" w:eastAsia="MS PGothic" w:hAnsi="Calibri" w:cs="Times New Roman"/>
      <w:lang w:val="es-ES" w:eastAsia="ja-JP"/>
    </w:rPr>
    <w:tblPr>
      <w:tblStyleRowBandSize w:val="1"/>
      <w:tblStyleColBandSize w:val="1"/>
      <w:tblInd w:w="0" w:type="nil"/>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Tablaconcuadrcula211">
    <w:name w:val="Tabla con cuadrícula211"/>
    <w:basedOn w:val="Tablanormal"/>
    <w:uiPriority w:val="59"/>
    <w:locked/>
    <w:rsid w:val="007717B2"/>
    <w:pPr>
      <w:spacing w:after="200" w:line="276" w:lineRule="auto"/>
    </w:pPr>
    <w:rPr>
      <w:rFonts w:ascii="Calibri" w:eastAsia="Times New Roman" w:hAnsi="Calibri" w:cs="Calibri"/>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111">
    <w:name w:val="Tabla con cuadrícula 4 - Énfasis 11111"/>
    <w:basedOn w:val="Tablanormal"/>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51111">
    <w:name w:val="Tabla con cuadrícula 4 - Énfasis 51111"/>
    <w:basedOn w:val="Tablanormal"/>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112">
    <w:name w:val="Tabla de lista 4 - Énfasis 112"/>
    <w:basedOn w:val="Tablanormal"/>
    <w:uiPriority w:val="49"/>
    <w:rsid w:val="007717B2"/>
    <w:pPr>
      <w:spacing w:after="0" w:line="240" w:lineRule="auto"/>
      <w:jc w:val="center"/>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111">
    <w:name w:val="Sin lista111"/>
    <w:next w:val="Sinlista"/>
    <w:uiPriority w:val="99"/>
    <w:semiHidden/>
    <w:unhideWhenUsed/>
    <w:rsid w:val="007717B2"/>
  </w:style>
  <w:style w:type="table" w:customStyle="1" w:styleId="Tablaconcuadrcula31">
    <w:name w:val="Tabla con cuadrícula31"/>
    <w:basedOn w:val="Tablanormal"/>
    <w:next w:val="Tablaconcuadrcula"/>
    <w:uiPriority w:val="39"/>
    <w:rsid w:val="007717B2"/>
    <w:pPr>
      <w:spacing w:after="0" w:line="240" w:lineRule="auto"/>
    </w:pPr>
    <w:rPr>
      <w:rFonts w:ascii="Calibri" w:eastAsia="Calibri" w:hAnsi="Calibri" w:cs="Arial"/>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121">
    <w:name w:val="Tabla de lista 4 - Énfasis 121"/>
    <w:basedOn w:val="Tablanormal"/>
    <w:next w:val="Tabladelista4-nfasis1"/>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121">
    <w:name w:val="Tabla con cuadrícula 4 - Énfasis 1121"/>
    <w:basedOn w:val="Tablanormal"/>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21">
    <w:name w:val="Tabla con cuadrícula 4 - Énfasis 5121"/>
    <w:basedOn w:val="Tablanormal"/>
    <w:uiPriority w:val="49"/>
    <w:rsid w:val="007717B2"/>
    <w:pPr>
      <w:spacing w:after="0" w:line="240" w:lineRule="auto"/>
    </w:pPr>
    <w:rPr>
      <w:rFonts w:ascii="Calibri" w:eastAsia="Calibri" w:hAnsi="Calibri" w:cs="Arial"/>
      <w:lang w:val="es-ES" w:eastAsia="ja-JP"/>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2121">
    <w:name w:val="Tabla de cuadrícula 4 - Énfasis 2121"/>
    <w:basedOn w:val="Tablanormal"/>
    <w:uiPriority w:val="49"/>
    <w:rsid w:val="007717B2"/>
    <w:pPr>
      <w:spacing w:after="0" w:line="240" w:lineRule="auto"/>
    </w:pPr>
    <w:rPr>
      <w:rFonts w:ascii="Calibri" w:eastAsia="MS PGothic" w:hAnsi="Calibri" w:cs="Times New Roman"/>
      <w:lang w:val="es-ES" w:eastAsia="ja-JP"/>
    </w:rPr>
    <w:tblPr>
      <w:tblStyleRowBandSize w:val="1"/>
      <w:tblStyleColBandSize w:val="1"/>
      <w:tblInd w:w="0" w:type="nil"/>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Tabladecuadrcula4-nfasis21111">
    <w:name w:val="Tabla de cuadrícula 4 - Énfasis 21111"/>
    <w:basedOn w:val="Tablanormal"/>
    <w:uiPriority w:val="49"/>
    <w:rsid w:val="007717B2"/>
    <w:pPr>
      <w:spacing w:after="0" w:line="240" w:lineRule="auto"/>
    </w:pPr>
    <w:rPr>
      <w:rFonts w:ascii="Calibri" w:eastAsia="MS PGothic" w:hAnsi="Calibri" w:cs="Times New Roman"/>
      <w:lang w:val="es-ES" w:eastAsia="ja-JP"/>
    </w:rPr>
    <w:tblPr>
      <w:tblStyleRowBandSize w:val="1"/>
      <w:tblStyleColBandSize w:val="1"/>
      <w:tblInd w:w="0" w:type="nil"/>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Tabladelista4-nfasis1111">
    <w:name w:val="Tabla de lista 4 - Énfasis 1111"/>
    <w:basedOn w:val="Tablanormal"/>
    <w:uiPriority w:val="49"/>
    <w:rsid w:val="007717B2"/>
    <w:pPr>
      <w:spacing w:after="0" w:line="240" w:lineRule="auto"/>
      <w:jc w:val="center"/>
    </w:pPr>
    <w:rPr>
      <w:rFonts w:ascii="Calibri" w:eastAsia="Calibri" w:hAnsi="Calibri" w:cs="Arial"/>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11">
    <w:name w:val="Tabla de lista 3 - Énfasis 11"/>
    <w:basedOn w:val="Tablanormal"/>
    <w:next w:val="Tabladelista3-nfasis1"/>
    <w:uiPriority w:val="48"/>
    <w:rsid w:val="007717B2"/>
    <w:pPr>
      <w:spacing w:after="0" w:line="240" w:lineRule="auto"/>
    </w:pPr>
    <w:rPr>
      <w:rFonts w:ascii="Calibri" w:eastAsia="Calibri" w:hAnsi="Calibri" w:cs="Arial"/>
      <w:sz w:val="20"/>
      <w:szCs w:val="20"/>
      <w:lang w:val="es-ES" w:eastAsia="ja-JP"/>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4-nfasis54">
    <w:name w:val="Tabla con cuadrícula 4 - Énfasis 54"/>
    <w:basedOn w:val="Tablanormal"/>
    <w:next w:val="Tablaconcuadrcula4-nfasis5"/>
    <w:uiPriority w:val="49"/>
    <w:rsid w:val="007717B2"/>
    <w:pPr>
      <w:spacing w:after="0" w:line="240" w:lineRule="auto"/>
    </w:pPr>
    <w:rPr>
      <w:rFonts w:ascii="Calibri" w:eastAsia="Calibri" w:hAnsi="Calibri" w:cs="Arial"/>
      <w:sz w:val="20"/>
      <w:szCs w:val="20"/>
      <w:lang w:val="es-ES"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1">
    <w:name w:val="Tabla con cuadrícula 5 oscura - Énfasis 51"/>
    <w:basedOn w:val="Tablanormal"/>
    <w:next w:val="Tablaconcuadrcula5oscura-nfasis5"/>
    <w:uiPriority w:val="50"/>
    <w:rsid w:val="007717B2"/>
    <w:pPr>
      <w:spacing w:after="0" w:line="240" w:lineRule="auto"/>
    </w:pPr>
    <w:rPr>
      <w:rFonts w:ascii="Calibri" w:eastAsia="Calibri" w:hAnsi="Calibri" w:cs="Arial"/>
      <w:sz w:val="20"/>
      <w:szCs w:val="20"/>
      <w:lang w:val="es-E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521">
    <w:name w:val="Tabla con cuadrícula 4 - Énfasis 521"/>
    <w:basedOn w:val="Tablaconcuadrcula4-nfasis5"/>
    <w:uiPriority w:val="49"/>
    <w:rsid w:val="007717B2"/>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531">
    <w:name w:val="Tabla con cuadrícula 4 - Énfasis 531"/>
    <w:basedOn w:val="Tablanormal"/>
    <w:next w:val="Tablaconcuadrcula4-nfasis5"/>
    <w:uiPriority w:val="49"/>
    <w:rsid w:val="007717B2"/>
    <w:pPr>
      <w:spacing w:after="0" w:line="240" w:lineRule="auto"/>
    </w:pPr>
    <w:rPr>
      <w:rFonts w:ascii="Calibri" w:eastAsia="Calibri" w:hAnsi="Calibri" w:cs="Arial"/>
      <w:sz w:val="20"/>
      <w:szCs w:val="20"/>
      <w:lang w:val="es-ES"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4-nfasis52">
    <w:name w:val="Tabla de lista 4 - Énfasis 52"/>
    <w:basedOn w:val="Tablanormal"/>
    <w:next w:val="Tabladelista4-nfasis5"/>
    <w:uiPriority w:val="49"/>
    <w:rsid w:val="007717B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4-nfasis511">
    <w:name w:val="Tabla de lista 4 - Énfasis 511"/>
    <w:basedOn w:val="Tablanormal"/>
    <w:next w:val="Tabladelista4-nfasis5"/>
    <w:uiPriority w:val="49"/>
    <w:rsid w:val="007717B2"/>
    <w:pPr>
      <w:spacing w:after="0" w:line="240" w:lineRule="auto"/>
    </w:pPr>
    <w:rPr>
      <w:lang w:val="es-ES_tradnl" w:eastAsia="es-GT"/>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3628">
      <w:bodyDiv w:val="1"/>
      <w:marLeft w:val="0"/>
      <w:marRight w:val="0"/>
      <w:marTop w:val="0"/>
      <w:marBottom w:val="0"/>
      <w:divBdr>
        <w:top w:val="none" w:sz="0" w:space="0" w:color="auto"/>
        <w:left w:val="none" w:sz="0" w:space="0" w:color="auto"/>
        <w:bottom w:val="none" w:sz="0" w:space="0" w:color="auto"/>
        <w:right w:val="none" w:sz="0" w:space="0" w:color="auto"/>
      </w:divBdr>
      <w:divsChild>
        <w:div w:id="1012996885">
          <w:marLeft w:val="0"/>
          <w:marRight w:val="0"/>
          <w:marTop w:val="0"/>
          <w:marBottom w:val="0"/>
          <w:divBdr>
            <w:top w:val="none" w:sz="0" w:space="0" w:color="auto"/>
            <w:left w:val="none" w:sz="0" w:space="0" w:color="auto"/>
            <w:bottom w:val="none" w:sz="0" w:space="0" w:color="auto"/>
            <w:right w:val="none" w:sz="0" w:space="0" w:color="auto"/>
          </w:divBdr>
        </w:div>
      </w:divsChild>
    </w:div>
    <w:div w:id="332345623">
      <w:bodyDiv w:val="1"/>
      <w:marLeft w:val="0"/>
      <w:marRight w:val="0"/>
      <w:marTop w:val="0"/>
      <w:marBottom w:val="0"/>
      <w:divBdr>
        <w:top w:val="none" w:sz="0" w:space="0" w:color="auto"/>
        <w:left w:val="none" w:sz="0" w:space="0" w:color="auto"/>
        <w:bottom w:val="none" w:sz="0" w:space="0" w:color="auto"/>
        <w:right w:val="none" w:sz="0" w:space="0" w:color="auto"/>
      </w:divBdr>
    </w:div>
    <w:div w:id="428434167">
      <w:bodyDiv w:val="1"/>
      <w:marLeft w:val="0"/>
      <w:marRight w:val="0"/>
      <w:marTop w:val="0"/>
      <w:marBottom w:val="0"/>
      <w:divBdr>
        <w:top w:val="none" w:sz="0" w:space="0" w:color="auto"/>
        <w:left w:val="none" w:sz="0" w:space="0" w:color="auto"/>
        <w:bottom w:val="none" w:sz="0" w:space="0" w:color="auto"/>
        <w:right w:val="none" w:sz="0" w:space="0" w:color="auto"/>
      </w:divBdr>
      <w:divsChild>
        <w:div w:id="1586457684">
          <w:marLeft w:val="0"/>
          <w:marRight w:val="0"/>
          <w:marTop w:val="0"/>
          <w:marBottom w:val="0"/>
          <w:divBdr>
            <w:top w:val="none" w:sz="0" w:space="0" w:color="auto"/>
            <w:left w:val="none" w:sz="0" w:space="0" w:color="auto"/>
            <w:bottom w:val="none" w:sz="0" w:space="0" w:color="auto"/>
            <w:right w:val="none" w:sz="0" w:space="0" w:color="auto"/>
          </w:divBdr>
        </w:div>
        <w:div w:id="1772049314">
          <w:marLeft w:val="0"/>
          <w:marRight w:val="0"/>
          <w:marTop w:val="0"/>
          <w:marBottom w:val="0"/>
          <w:divBdr>
            <w:top w:val="none" w:sz="0" w:space="0" w:color="auto"/>
            <w:left w:val="none" w:sz="0" w:space="0" w:color="auto"/>
            <w:bottom w:val="none" w:sz="0" w:space="0" w:color="auto"/>
            <w:right w:val="none" w:sz="0" w:space="0" w:color="auto"/>
          </w:divBdr>
        </w:div>
        <w:div w:id="549847778">
          <w:marLeft w:val="0"/>
          <w:marRight w:val="0"/>
          <w:marTop w:val="0"/>
          <w:marBottom w:val="0"/>
          <w:divBdr>
            <w:top w:val="none" w:sz="0" w:space="0" w:color="auto"/>
            <w:left w:val="none" w:sz="0" w:space="0" w:color="auto"/>
            <w:bottom w:val="none" w:sz="0" w:space="0" w:color="auto"/>
            <w:right w:val="none" w:sz="0" w:space="0" w:color="auto"/>
          </w:divBdr>
        </w:div>
        <w:div w:id="809983275">
          <w:marLeft w:val="0"/>
          <w:marRight w:val="0"/>
          <w:marTop w:val="0"/>
          <w:marBottom w:val="0"/>
          <w:divBdr>
            <w:top w:val="none" w:sz="0" w:space="0" w:color="auto"/>
            <w:left w:val="none" w:sz="0" w:space="0" w:color="auto"/>
            <w:bottom w:val="none" w:sz="0" w:space="0" w:color="auto"/>
            <w:right w:val="none" w:sz="0" w:space="0" w:color="auto"/>
          </w:divBdr>
        </w:div>
        <w:div w:id="1267546077">
          <w:marLeft w:val="0"/>
          <w:marRight w:val="0"/>
          <w:marTop w:val="0"/>
          <w:marBottom w:val="0"/>
          <w:divBdr>
            <w:top w:val="none" w:sz="0" w:space="0" w:color="auto"/>
            <w:left w:val="none" w:sz="0" w:space="0" w:color="auto"/>
            <w:bottom w:val="none" w:sz="0" w:space="0" w:color="auto"/>
            <w:right w:val="none" w:sz="0" w:space="0" w:color="auto"/>
          </w:divBdr>
        </w:div>
        <w:div w:id="1000741410">
          <w:marLeft w:val="0"/>
          <w:marRight w:val="0"/>
          <w:marTop w:val="0"/>
          <w:marBottom w:val="0"/>
          <w:divBdr>
            <w:top w:val="none" w:sz="0" w:space="0" w:color="auto"/>
            <w:left w:val="none" w:sz="0" w:space="0" w:color="auto"/>
            <w:bottom w:val="none" w:sz="0" w:space="0" w:color="auto"/>
            <w:right w:val="none" w:sz="0" w:space="0" w:color="auto"/>
          </w:divBdr>
        </w:div>
        <w:div w:id="241452373">
          <w:marLeft w:val="0"/>
          <w:marRight w:val="0"/>
          <w:marTop w:val="0"/>
          <w:marBottom w:val="0"/>
          <w:divBdr>
            <w:top w:val="none" w:sz="0" w:space="0" w:color="auto"/>
            <w:left w:val="none" w:sz="0" w:space="0" w:color="auto"/>
            <w:bottom w:val="none" w:sz="0" w:space="0" w:color="auto"/>
            <w:right w:val="none" w:sz="0" w:space="0" w:color="auto"/>
          </w:divBdr>
        </w:div>
        <w:div w:id="1839954286">
          <w:marLeft w:val="0"/>
          <w:marRight w:val="0"/>
          <w:marTop w:val="0"/>
          <w:marBottom w:val="0"/>
          <w:divBdr>
            <w:top w:val="none" w:sz="0" w:space="0" w:color="auto"/>
            <w:left w:val="none" w:sz="0" w:space="0" w:color="auto"/>
            <w:bottom w:val="none" w:sz="0" w:space="0" w:color="auto"/>
            <w:right w:val="none" w:sz="0" w:space="0" w:color="auto"/>
          </w:divBdr>
        </w:div>
        <w:div w:id="719090672">
          <w:marLeft w:val="0"/>
          <w:marRight w:val="0"/>
          <w:marTop w:val="0"/>
          <w:marBottom w:val="0"/>
          <w:divBdr>
            <w:top w:val="none" w:sz="0" w:space="0" w:color="auto"/>
            <w:left w:val="none" w:sz="0" w:space="0" w:color="auto"/>
            <w:bottom w:val="none" w:sz="0" w:space="0" w:color="auto"/>
            <w:right w:val="none" w:sz="0" w:space="0" w:color="auto"/>
          </w:divBdr>
        </w:div>
        <w:div w:id="1519658122">
          <w:marLeft w:val="0"/>
          <w:marRight w:val="0"/>
          <w:marTop w:val="0"/>
          <w:marBottom w:val="0"/>
          <w:divBdr>
            <w:top w:val="none" w:sz="0" w:space="0" w:color="auto"/>
            <w:left w:val="none" w:sz="0" w:space="0" w:color="auto"/>
            <w:bottom w:val="none" w:sz="0" w:space="0" w:color="auto"/>
            <w:right w:val="none" w:sz="0" w:space="0" w:color="auto"/>
          </w:divBdr>
        </w:div>
        <w:div w:id="1463502840">
          <w:marLeft w:val="0"/>
          <w:marRight w:val="0"/>
          <w:marTop w:val="0"/>
          <w:marBottom w:val="0"/>
          <w:divBdr>
            <w:top w:val="none" w:sz="0" w:space="0" w:color="auto"/>
            <w:left w:val="none" w:sz="0" w:space="0" w:color="auto"/>
            <w:bottom w:val="none" w:sz="0" w:space="0" w:color="auto"/>
            <w:right w:val="none" w:sz="0" w:space="0" w:color="auto"/>
          </w:divBdr>
        </w:div>
        <w:div w:id="285936048">
          <w:marLeft w:val="0"/>
          <w:marRight w:val="0"/>
          <w:marTop w:val="0"/>
          <w:marBottom w:val="0"/>
          <w:divBdr>
            <w:top w:val="none" w:sz="0" w:space="0" w:color="auto"/>
            <w:left w:val="none" w:sz="0" w:space="0" w:color="auto"/>
            <w:bottom w:val="none" w:sz="0" w:space="0" w:color="auto"/>
            <w:right w:val="none" w:sz="0" w:space="0" w:color="auto"/>
          </w:divBdr>
        </w:div>
        <w:div w:id="922497368">
          <w:marLeft w:val="0"/>
          <w:marRight w:val="0"/>
          <w:marTop w:val="0"/>
          <w:marBottom w:val="0"/>
          <w:divBdr>
            <w:top w:val="none" w:sz="0" w:space="0" w:color="auto"/>
            <w:left w:val="none" w:sz="0" w:space="0" w:color="auto"/>
            <w:bottom w:val="none" w:sz="0" w:space="0" w:color="auto"/>
            <w:right w:val="none" w:sz="0" w:space="0" w:color="auto"/>
          </w:divBdr>
        </w:div>
        <w:div w:id="263929596">
          <w:marLeft w:val="0"/>
          <w:marRight w:val="0"/>
          <w:marTop w:val="0"/>
          <w:marBottom w:val="0"/>
          <w:divBdr>
            <w:top w:val="none" w:sz="0" w:space="0" w:color="auto"/>
            <w:left w:val="none" w:sz="0" w:space="0" w:color="auto"/>
            <w:bottom w:val="none" w:sz="0" w:space="0" w:color="auto"/>
            <w:right w:val="none" w:sz="0" w:space="0" w:color="auto"/>
          </w:divBdr>
        </w:div>
        <w:div w:id="1761876247">
          <w:marLeft w:val="0"/>
          <w:marRight w:val="0"/>
          <w:marTop w:val="0"/>
          <w:marBottom w:val="0"/>
          <w:divBdr>
            <w:top w:val="none" w:sz="0" w:space="0" w:color="auto"/>
            <w:left w:val="none" w:sz="0" w:space="0" w:color="auto"/>
            <w:bottom w:val="none" w:sz="0" w:space="0" w:color="auto"/>
            <w:right w:val="none" w:sz="0" w:space="0" w:color="auto"/>
          </w:divBdr>
        </w:div>
        <w:div w:id="111561303">
          <w:marLeft w:val="0"/>
          <w:marRight w:val="0"/>
          <w:marTop w:val="0"/>
          <w:marBottom w:val="0"/>
          <w:divBdr>
            <w:top w:val="none" w:sz="0" w:space="0" w:color="auto"/>
            <w:left w:val="none" w:sz="0" w:space="0" w:color="auto"/>
            <w:bottom w:val="none" w:sz="0" w:space="0" w:color="auto"/>
            <w:right w:val="none" w:sz="0" w:space="0" w:color="auto"/>
          </w:divBdr>
        </w:div>
        <w:div w:id="386152611">
          <w:marLeft w:val="0"/>
          <w:marRight w:val="0"/>
          <w:marTop w:val="0"/>
          <w:marBottom w:val="0"/>
          <w:divBdr>
            <w:top w:val="none" w:sz="0" w:space="0" w:color="auto"/>
            <w:left w:val="none" w:sz="0" w:space="0" w:color="auto"/>
            <w:bottom w:val="none" w:sz="0" w:space="0" w:color="auto"/>
            <w:right w:val="none" w:sz="0" w:space="0" w:color="auto"/>
          </w:divBdr>
        </w:div>
        <w:div w:id="1884559266">
          <w:marLeft w:val="0"/>
          <w:marRight w:val="0"/>
          <w:marTop w:val="0"/>
          <w:marBottom w:val="0"/>
          <w:divBdr>
            <w:top w:val="none" w:sz="0" w:space="0" w:color="auto"/>
            <w:left w:val="none" w:sz="0" w:space="0" w:color="auto"/>
            <w:bottom w:val="none" w:sz="0" w:space="0" w:color="auto"/>
            <w:right w:val="none" w:sz="0" w:space="0" w:color="auto"/>
          </w:divBdr>
        </w:div>
        <w:div w:id="869025835">
          <w:marLeft w:val="0"/>
          <w:marRight w:val="0"/>
          <w:marTop w:val="0"/>
          <w:marBottom w:val="0"/>
          <w:divBdr>
            <w:top w:val="none" w:sz="0" w:space="0" w:color="auto"/>
            <w:left w:val="none" w:sz="0" w:space="0" w:color="auto"/>
            <w:bottom w:val="none" w:sz="0" w:space="0" w:color="auto"/>
            <w:right w:val="none" w:sz="0" w:space="0" w:color="auto"/>
          </w:divBdr>
        </w:div>
        <w:div w:id="1210384611">
          <w:marLeft w:val="0"/>
          <w:marRight w:val="0"/>
          <w:marTop w:val="0"/>
          <w:marBottom w:val="0"/>
          <w:divBdr>
            <w:top w:val="none" w:sz="0" w:space="0" w:color="auto"/>
            <w:left w:val="none" w:sz="0" w:space="0" w:color="auto"/>
            <w:bottom w:val="none" w:sz="0" w:space="0" w:color="auto"/>
            <w:right w:val="none" w:sz="0" w:space="0" w:color="auto"/>
          </w:divBdr>
        </w:div>
        <w:div w:id="212735132">
          <w:marLeft w:val="0"/>
          <w:marRight w:val="0"/>
          <w:marTop w:val="0"/>
          <w:marBottom w:val="0"/>
          <w:divBdr>
            <w:top w:val="none" w:sz="0" w:space="0" w:color="auto"/>
            <w:left w:val="none" w:sz="0" w:space="0" w:color="auto"/>
            <w:bottom w:val="none" w:sz="0" w:space="0" w:color="auto"/>
            <w:right w:val="none" w:sz="0" w:space="0" w:color="auto"/>
          </w:divBdr>
        </w:div>
        <w:div w:id="1002589792">
          <w:marLeft w:val="0"/>
          <w:marRight w:val="0"/>
          <w:marTop w:val="0"/>
          <w:marBottom w:val="0"/>
          <w:divBdr>
            <w:top w:val="none" w:sz="0" w:space="0" w:color="auto"/>
            <w:left w:val="none" w:sz="0" w:space="0" w:color="auto"/>
            <w:bottom w:val="none" w:sz="0" w:space="0" w:color="auto"/>
            <w:right w:val="none" w:sz="0" w:space="0" w:color="auto"/>
          </w:divBdr>
        </w:div>
        <w:div w:id="1612587828">
          <w:marLeft w:val="0"/>
          <w:marRight w:val="0"/>
          <w:marTop w:val="0"/>
          <w:marBottom w:val="0"/>
          <w:divBdr>
            <w:top w:val="none" w:sz="0" w:space="0" w:color="auto"/>
            <w:left w:val="none" w:sz="0" w:space="0" w:color="auto"/>
            <w:bottom w:val="none" w:sz="0" w:space="0" w:color="auto"/>
            <w:right w:val="none" w:sz="0" w:space="0" w:color="auto"/>
          </w:divBdr>
        </w:div>
        <w:div w:id="357124152">
          <w:marLeft w:val="0"/>
          <w:marRight w:val="0"/>
          <w:marTop w:val="0"/>
          <w:marBottom w:val="0"/>
          <w:divBdr>
            <w:top w:val="none" w:sz="0" w:space="0" w:color="auto"/>
            <w:left w:val="none" w:sz="0" w:space="0" w:color="auto"/>
            <w:bottom w:val="none" w:sz="0" w:space="0" w:color="auto"/>
            <w:right w:val="none" w:sz="0" w:space="0" w:color="auto"/>
          </w:divBdr>
        </w:div>
        <w:div w:id="625355418">
          <w:marLeft w:val="0"/>
          <w:marRight w:val="0"/>
          <w:marTop w:val="0"/>
          <w:marBottom w:val="0"/>
          <w:divBdr>
            <w:top w:val="none" w:sz="0" w:space="0" w:color="auto"/>
            <w:left w:val="none" w:sz="0" w:space="0" w:color="auto"/>
            <w:bottom w:val="none" w:sz="0" w:space="0" w:color="auto"/>
            <w:right w:val="none" w:sz="0" w:space="0" w:color="auto"/>
          </w:divBdr>
        </w:div>
        <w:div w:id="1711177370">
          <w:marLeft w:val="0"/>
          <w:marRight w:val="0"/>
          <w:marTop w:val="0"/>
          <w:marBottom w:val="0"/>
          <w:divBdr>
            <w:top w:val="none" w:sz="0" w:space="0" w:color="auto"/>
            <w:left w:val="none" w:sz="0" w:space="0" w:color="auto"/>
            <w:bottom w:val="none" w:sz="0" w:space="0" w:color="auto"/>
            <w:right w:val="none" w:sz="0" w:space="0" w:color="auto"/>
          </w:divBdr>
        </w:div>
        <w:div w:id="24183226">
          <w:marLeft w:val="0"/>
          <w:marRight w:val="0"/>
          <w:marTop w:val="0"/>
          <w:marBottom w:val="0"/>
          <w:divBdr>
            <w:top w:val="none" w:sz="0" w:space="0" w:color="auto"/>
            <w:left w:val="none" w:sz="0" w:space="0" w:color="auto"/>
            <w:bottom w:val="none" w:sz="0" w:space="0" w:color="auto"/>
            <w:right w:val="none" w:sz="0" w:space="0" w:color="auto"/>
          </w:divBdr>
        </w:div>
        <w:div w:id="999574177">
          <w:marLeft w:val="0"/>
          <w:marRight w:val="0"/>
          <w:marTop w:val="0"/>
          <w:marBottom w:val="0"/>
          <w:divBdr>
            <w:top w:val="none" w:sz="0" w:space="0" w:color="auto"/>
            <w:left w:val="none" w:sz="0" w:space="0" w:color="auto"/>
            <w:bottom w:val="none" w:sz="0" w:space="0" w:color="auto"/>
            <w:right w:val="none" w:sz="0" w:space="0" w:color="auto"/>
          </w:divBdr>
        </w:div>
        <w:div w:id="725179103">
          <w:marLeft w:val="0"/>
          <w:marRight w:val="0"/>
          <w:marTop w:val="0"/>
          <w:marBottom w:val="0"/>
          <w:divBdr>
            <w:top w:val="none" w:sz="0" w:space="0" w:color="auto"/>
            <w:left w:val="none" w:sz="0" w:space="0" w:color="auto"/>
            <w:bottom w:val="none" w:sz="0" w:space="0" w:color="auto"/>
            <w:right w:val="none" w:sz="0" w:space="0" w:color="auto"/>
          </w:divBdr>
        </w:div>
        <w:div w:id="1395085385">
          <w:marLeft w:val="0"/>
          <w:marRight w:val="0"/>
          <w:marTop w:val="0"/>
          <w:marBottom w:val="0"/>
          <w:divBdr>
            <w:top w:val="none" w:sz="0" w:space="0" w:color="auto"/>
            <w:left w:val="none" w:sz="0" w:space="0" w:color="auto"/>
            <w:bottom w:val="none" w:sz="0" w:space="0" w:color="auto"/>
            <w:right w:val="none" w:sz="0" w:space="0" w:color="auto"/>
          </w:divBdr>
        </w:div>
        <w:div w:id="721756626">
          <w:marLeft w:val="0"/>
          <w:marRight w:val="0"/>
          <w:marTop w:val="0"/>
          <w:marBottom w:val="0"/>
          <w:divBdr>
            <w:top w:val="none" w:sz="0" w:space="0" w:color="auto"/>
            <w:left w:val="none" w:sz="0" w:space="0" w:color="auto"/>
            <w:bottom w:val="none" w:sz="0" w:space="0" w:color="auto"/>
            <w:right w:val="none" w:sz="0" w:space="0" w:color="auto"/>
          </w:divBdr>
        </w:div>
        <w:div w:id="437456637">
          <w:marLeft w:val="0"/>
          <w:marRight w:val="0"/>
          <w:marTop w:val="0"/>
          <w:marBottom w:val="0"/>
          <w:divBdr>
            <w:top w:val="none" w:sz="0" w:space="0" w:color="auto"/>
            <w:left w:val="none" w:sz="0" w:space="0" w:color="auto"/>
            <w:bottom w:val="none" w:sz="0" w:space="0" w:color="auto"/>
            <w:right w:val="none" w:sz="0" w:space="0" w:color="auto"/>
          </w:divBdr>
        </w:div>
        <w:div w:id="507870922">
          <w:marLeft w:val="0"/>
          <w:marRight w:val="0"/>
          <w:marTop w:val="0"/>
          <w:marBottom w:val="0"/>
          <w:divBdr>
            <w:top w:val="none" w:sz="0" w:space="0" w:color="auto"/>
            <w:left w:val="none" w:sz="0" w:space="0" w:color="auto"/>
            <w:bottom w:val="none" w:sz="0" w:space="0" w:color="auto"/>
            <w:right w:val="none" w:sz="0" w:space="0" w:color="auto"/>
          </w:divBdr>
        </w:div>
        <w:div w:id="776678462">
          <w:marLeft w:val="0"/>
          <w:marRight w:val="0"/>
          <w:marTop w:val="0"/>
          <w:marBottom w:val="0"/>
          <w:divBdr>
            <w:top w:val="none" w:sz="0" w:space="0" w:color="auto"/>
            <w:left w:val="none" w:sz="0" w:space="0" w:color="auto"/>
            <w:bottom w:val="none" w:sz="0" w:space="0" w:color="auto"/>
            <w:right w:val="none" w:sz="0" w:space="0" w:color="auto"/>
          </w:divBdr>
        </w:div>
        <w:div w:id="1355962502">
          <w:marLeft w:val="0"/>
          <w:marRight w:val="0"/>
          <w:marTop w:val="0"/>
          <w:marBottom w:val="0"/>
          <w:divBdr>
            <w:top w:val="none" w:sz="0" w:space="0" w:color="auto"/>
            <w:left w:val="none" w:sz="0" w:space="0" w:color="auto"/>
            <w:bottom w:val="none" w:sz="0" w:space="0" w:color="auto"/>
            <w:right w:val="none" w:sz="0" w:space="0" w:color="auto"/>
          </w:divBdr>
        </w:div>
        <w:div w:id="755982697">
          <w:marLeft w:val="0"/>
          <w:marRight w:val="0"/>
          <w:marTop w:val="0"/>
          <w:marBottom w:val="0"/>
          <w:divBdr>
            <w:top w:val="none" w:sz="0" w:space="0" w:color="auto"/>
            <w:left w:val="none" w:sz="0" w:space="0" w:color="auto"/>
            <w:bottom w:val="none" w:sz="0" w:space="0" w:color="auto"/>
            <w:right w:val="none" w:sz="0" w:space="0" w:color="auto"/>
          </w:divBdr>
        </w:div>
        <w:div w:id="444811702">
          <w:marLeft w:val="0"/>
          <w:marRight w:val="0"/>
          <w:marTop w:val="0"/>
          <w:marBottom w:val="0"/>
          <w:divBdr>
            <w:top w:val="none" w:sz="0" w:space="0" w:color="auto"/>
            <w:left w:val="none" w:sz="0" w:space="0" w:color="auto"/>
            <w:bottom w:val="none" w:sz="0" w:space="0" w:color="auto"/>
            <w:right w:val="none" w:sz="0" w:space="0" w:color="auto"/>
          </w:divBdr>
        </w:div>
        <w:div w:id="1769111149">
          <w:marLeft w:val="0"/>
          <w:marRight w:val="0"/>
          <w:marTop w:val="0"/>
          <w:marBottom w:val="0"/>
          <w:divBdr>
            <w:top w:val="none" w:sz="0" w:space="0" w:color="auto"/>
            <w:left w:val="none" w:sz="0" w:space="0" w:color="auto"/>
            <w:bottom w:val="none" w:sz="0" w:space="0" w:color="auto"/>
            <w:right w:val="none" w:sz="0" w:space="0" w:color="auto"/>
          </w:divBdr>
        </w:div>
        <w:div w:id="939264552">
          <w:marLeft w:val="0"/>
          <w:marRight w:val="0"/>
          <w:marTop w:val="0"/>
          <w:marBottom w:val="0"/>
          <w:divBdr>
            <w:top w:val="none" w:sz="0" w:space="0" w:color="auto"/>
            <w:left w:val="none" w:sz="0" w:space="0" w:color="auto"/>
            <w:bottom w:val="none" w:sz="0" w:space="0" w:color="auto"/>
            <w:right w:val="none" w:sz="0" w:space="0" w:color="auto"/>
          </w:divBdr>
        </w:div>
        <w:div w:id="525563381">
          <w:marLeft w:val="0"/>
          <w:marRight w:val="0"/>
          <w:marTop w:val="0"/>
          <w:marBottom w:val="0"/>
          <w:divBdr>
            <w:top w:val="none" w:sz="0" w:space="0" w:color="auto"/>
            <w:left w:val="none" w:sz="0" w:space="0" w:color="auto"/>
            <w:bottom w:val="none" w:sz="0" w:space="0" w:color="auto"/>
            <w:right w:val="none" w:sz="0" w:space="0" w:color="auto"/>
          </w:divBdr>
        </w:div>
        <w:div w:id="1586069046">
          <w:marLeft w:val="0"/>
          <w:marRight w:val="0"/>
          <w:marTop w:val="0"/>
          <w:marBottom w:val="0"/>
          <w:divBdr>
            <w:top w:val="none" w:sz="0" w:space="0" w:color="auto"/>
            <w:left w:val="none" w:sz="0" w:space="0" w:color="auto"/>
            <w:bottom w:val="none" w:sz="0" w:space="0" w:color="auto"/>
            <w:right w:val="none" w:sz="0" w:space="0" w:color="auto"/>
          </w:divBdr>
        </w:div>
        <w:div w:id="446852612">
          <w:marLeft w:val="0"/>
          <w:marRight w:val="0"/>
          <w:marTop w:val="0"/>
          <w:marBottom w:val="0"/>
          <w:divBdr>
            <w:top w:val="none" w:sz="0" w:space="0" w:color="auto"/>
            <w:left w:val="none" w:sz="0" w:space="0" w:color="auto"/>
            <w:bottom w:val="none" w:sz="0" w:space="0" w:color="auto"/>
            <w:right w:val="none" w:sz="0" w:space="0" w:color="auto"/>
          </w:divBdr>
        </w:div>
        <w:div w:id="735132899">
          <w:marLeft w:val="0"/>
          <w:marRight w:val="0"/>
          <w:marTop w:val="0"/>
          <w:marBottom w:val="0"/>
          <w:divBdr>
            <w:top w:val="none" w:sz="0" w:space="0" w:color="auto"/>
            <w:left w:val="none" w:sz="0" w:space="0" w:color="auto"/>
            <w:bottom w:val="none" w:sz="0" w:space="0" w:color="auto"/>
            <w:right w:val="none" w:sz="0" w:space="0" w:color="auto"/>
          </w:divBdr>
        </w:div>
        <w:div w:id="1870340032">
          <w:marLeft w:val="0"/>
          <w:marRight w:val="0"/>
          <w:marTop w:val="0"/>
          <w:marBottom w:val="0"/>
          <w:divBdr>
            <w:top w:val="none" w:sz="0" w:space="0" w:color="auto"/>
            <w:left w:val="none" w:sz="0" w:space="0" w:color="auto"/>
            <w:bottom w:val="none" w:sz="0" w:space="0" w:color="auto"/>
            <w:right w:val="none" w:sz="0" w:space="0" w:color="auto"/>
          </w:divBdr>
        </w:div>
        <w:div w:id="496042972">
          <w:marLeft w:val="0"/>
          <w:marRight w:val="0"/>
          <w:marTop w:val="0"/>
          <w:marBottom w:val="0"/>
          <w:divBdr>
            <w:top w:val="none" w:sz="0" w:space="0" w:color="auto"/>
            <w:left w:val="none" w:sz="0" w:space="0" w:color="auto"/>
            <w:bottom w:val="none" w:sz="0" w:space="0" w:color="auto"/>
            <w:right w:val="none" w:sz="0" w:space="0" w:color="auto"/>
          </w:divBdr>
        </w:div>
        <w:div w:id="305669626">
          <w:marLeft w:val="0"/>
          <w:marRight w:val="0"/>
          <w:marTop w:val="0"/>
          <w:marBottom w:val="0"/>
          <w:divBdr>
            <w:top w:val="none" w:sz="0" w:space="0" w:color="auto"/>
            <w:left w:val="none" w:sz="0" w:space="0" w:color="auto"/>
            <w:bottom w:val="none" w:sz="0" w:space="0" w:color="auto"/>
            <w:right w:val="none" w:sz="0" w:space="0" w:color="auto"/>
          </w:divBdr>
        </w:div>
        <w:div w:id="1941061907">
          <w:marLeft w:val="0"/>
          <w:marRight w:val="0"/>
          <w:marTop w:val="0"/>
          <w:marBottom w:val="0"/>
          <w:divBdr>
            <w:top w:val="none" w:sz="0" w:space="0" w:color="auto"/>
            <w:left w:val="none" w:sz="0" w:space="0" w:color="auto"/>
            <w:bottom w:val="none" w:sz="0" w:space="0" w:color="auto"/>
            <w:right w:val="none" w:sz="0" w:space="0" w:color="auto"/>
          </w:divBdr>
        </w:div>
        <w:div w:id="341667233">
          <w:marLeft w:val="0"/>
          <w:marRight w:val="0"/>
          <w:marTop w:val="0"/>
          <w:marBottom w:val="0"/>
          <w:divBdr>
            <w:top w:val="none" w:sz="0" w:space="0" w:color="auto"/>
            <w:left w:val="none" w:sz="0" w:space="0" w:color="auto"/>
            <w:bottom w:val="none" w:sz="0" w:space="0" w:color="auto"/>
            <w:right w:val="none" w:sz="0" w:space="0" w:color="auto"/>
          </w:divBdr>
        </w:div>
        <w:div w:id="1697271718">
          <w:marLeft w:val="0"/>
          <w:marRight w:val="0"/>
          <w:marTop w:val="0"/>
          <w:marBottom w:val="0"/>
          <w:divBdr>
            <w:top w:val="none" w:sz="0" w:space="0" w:color="auto"/>
            <w:left w:val="none" w:sz="0" w:space="0" w:color="auto"/>
            <w:bottom w:val="none" w:sz="0" w:space="0" w:color="auto"/>
            <w:right w:val="none" w:sz="0" w:space="0" w:color="auto"/>
          </w:divBdr>
        </w:div>
        <w:div w:id="772747505">
          <w:marLeft w:val="0"/>
          <w:marRight w:val="0"/>
          <w:marTop w:val="0"/>
          <w:marBottom w:val="0"/>
          <w:divBdr>
            <w:top w:val="none" w:sz="0" w:space="0" w:color="auto"/>
            <w:left w:val="none" w:sz="0" w:space="0" w:color="auto"/>
            <w:bottom w:val="none" w:sz="0" w:space="0" w:color="auto"/>
            <w:right w:val="none" w:sz="0" w:space="0" w:color="auto"/>
          </w:divBdr>
        </w:div>
        <w:div w:id="812407719">
          <w:marLeft w:val="0"/>
          <w:marRight w:val="0"/>
          <w:marTop w:val="0"/>
          <w:marBottom w:val="0"/>
          <w:divBdr>
            <w:top w:val="none" w:sz="0" w:space="0" w:color="auto"/>
            <w:left w:val="none" w:sz="0" w:space="0" w:color="auto"/>
            <w:bottom w:val="none" w:sz="0" w:space="0" w:color="auto"/>
            <w:right w:val="none" w:sz="0" w:space="0" w:color="auto"/>
          </w:divBdr>
        </w:div>
        <w:div w:id="1006522410">
          <w:marLeft w:val="0"/>
          <w:marRight w:val="0"/>
          <w:marTop w:val="0"/>
          <w:marBottom w:val="0"/>
          <w:divBdr>
            <w:top w:val="none" w:sz="0" w:space="0" w:color="auto"/>
            <w:left w:val="none" w:sz="0" w:space="0" w:color="auto"/>
            <w:bottom w:val="none" w:sz="0" w:space="0" w:color="auto"/>
            <w:right w:val="none" w:sz="0" w:space="0" w:color="auto"/>
          </w:divBdr>
        </w:div>
        <w:div w:id="58208904">
          <w:marLeft w:val="0"/>
          <w:marRight w:val="0"/>
          <w:marTop w:val="0"/>
          <w:marBottom w:val="0"/>
          <w:divBdr>
            <w:top w:val="none" w:sz="0" w:space="0" w:color="auto"/>
            <w:left w:val="none" w:sz="0" w:space="0" w:color="auto"/>
            <w:bottom w:val="none" w:sz="0" w:space="0" w:color="auto"/>
            <w:right w:val="none" w:sz="0" w:space="0" w:color="auto"/>
          </w:divBdr>
        </w:div>
        <w:div w:id="413429956">
          <w:marLeft w:val="0"/>
          <w:marRight w:val="0"/>
          <w:marTop w:val="0"/>
          <w:marBottom w:val="0"/>
          <w:divBdr>
            <w:top w:val="none" w:sz="0" w:space="0" w:color="auto"/>
            <w:left w:val="none" w:sz="0" w:space="0" w:color="auto"/>
            <w:bottom w:val="none" w:sz="0" w:space="0" w:color="auto"/>
            <w:right w:val="none" w:sz="0" w:space="0" w:color="auto"/>
          </w:divBdr>
        </w:div>
        <w:div w:id="1273396578">
          <w:marLeft w:val="0"/>
          <w:marRight w:val="0"/>
          <w:marTop w:val="0"/>
          <w:marBottom w:val="0"/>
          <w:divBdr>
            <w:top w:val="none" w:sz="0" w:space="0" w:color="auto"/>
            <w:left w:val="none" w:sz="0" w:space="0" w:color="auto"/>
            <w:bottom w:val="none" w:sz="0" w:space="0" w:color="auto"/>
            <w:right w:val="none" w:sz="0" w:space="0" w:color="auto"/>
          </w:divBdr>
        </w:div>
        <w:div w:id="1041058322">
          <w:marLeft w:val="0"/>
          <w:marRight w:val="0"/>
          <w:marTop w:val="0"/>
          <w:marBottom w:val="0"/>
          <w:divBdr>
            <w:top w:val="none" w:sz="0" w:space="0" w:color="auto"/>
            <w:left w:val="none" w:sz="0" w:space="0" w:color="auto"/>
            <w:bottom w:val="none" w:sz="0" w:space="0" w:color="auto"/>
            <w:right w:val="none" w:sz="0" w:space="0" w:color="auto"/>
          </w:divBdr>
        </w:div>
        <w:div w:id="602807116">
          <w:marLeft w:val="0"/>
          <w:marRight w:val="0"/>
          <w:marTop w:val="0"/>
          <w:marBottom w:val="0"/>
          <w:divBdr>
            <w:top w:val="none" w:sz="0" w:space="0" w:color="auto"/>
            <w:left w:val="none" w:sz="0" w:space="0" w:color="auto"/>
            <w:bottom w:val="none" w:sz="0" w:space="0" w:color="auto"/>
            <w:right w:val="none" w:sz="0" w:space="0" w:color="auto"/>
          </w:divBdr>
        </w:div>
        <w:div w:id="1269966990">
          <w:marLeft w:val="0"/>
          <w:marRight w:val="0"/>
          <w:marTop w:val="0"/>
          <w:marBottom w:val="0"/>
          <w:divBdr>
            <w:top w:val="none" w:sz="0" w:space="0" w:color="auto"/>
            <w:left w:val="none" w:sz="0" w:space="0" w:color="auto"/>
            <w:bottom w:val="none" w:sz="0" w:space="0" w:color="auto"/>
            <w:right w:val="none" w:sz="0" w:space="0" w:color="auto"/>
          </w:divBdr>
        </w:div>
        <w:div w:id="1558010978">
          <w:marLeft w:val="0"/>
          <w:marRight w:val="0"/>
          <w:marTop w:val="0"/>
          <w:marBottom w:val="0"/>
          <w:divBdr>
            <w:top w:val="none" w:sz="0" w:space="0" w:color="auto"/>
            <w:left w:val="none" w:sz="0" w:space="0" w:color="auto"/>
            <w:bottom w:val="none" w:sz="0" w:space="0" w:color="auto"/>
            <w:right w:val="none" w:sz="0" w:space="0" w:color="auto"/>
          </w:divBdr>
        </w:div>
        <w:div w:id="994605011">
          <w:marLeft w:val="0"/>
          <w:marRight w:val="0"/>
          <w:marTop w:val="0"/>
          <w:marBottom w:val="0"/>
          <w:divBdr>
            <w:top w:val="none" w:sz="0" w:space="0" w:color="auto"/>
            <w:left w:val="none" w:sz="0" w:space="0" w:color="auto"/>
            <w:bottom w:val="none" w:sz="0" w:space="0" w:color="auto"/>
            <w:right w:val="none" w:sz="0" w:space="0" w:color="auto"/>
          </w:divBdr>
        </w:div>
        <w:div w:id="184297059">
          <w:marLeft w:val="0"/>
          <w:marRight w:val="0"/>
          <w:marTop w:val="0"/>
          <w:marBottom w:val="0"/>
          <w:divBdr>
            <w:top w:val="none" w:sz="0" w:space="0" w:color="auto"/>
            <w:left w:val="none" w:sz="0" w:space="0" w:color="auto"/>
            <w:bottom w:val="none" w:sz="0" w:space="0" w:color="auto"/>
            <w:right w:val="none" w:sz="0" w:space="0" w:color="auto"/>
          </w:divBdr>
        </w:div>
        <w:div w:id="710345723">
          <w:marLeft w:val="0"/>
          <w:marRight w:val="0"/>
          <w:marTop w:val="0"/>
          <w:marBottom w:val="0"/>
          <w:divBdr>
            <w:top w:val="none" w:sz="0" w:space="0" w:color="auto"/>
            <w:left w:val="none" w:sz="0" w:space="0" w:color="auto"/>
            <w:bottom w:val="none" w:sz="0" w:space="0" w:color="auto"/>
            <w:right w:val="none" w:sz="0" w:space="0" w:color="auto"/>
          </w:divBdr>
        </w:div>
        <w:div w:id="757681329">
          <w:marLeft w:val="0"/>
          <w:marRight w:val="0"/>
          <w:marTop w:val="0"/>
          <w:marBottom w:val="0"/>
          <w:divBdr>
            <w:top w:val="none" w:sz="0" w:space="0" w:color="auto"/>
            <w:left w:val="none" w:sz="0" w:space="0" w:color="auto"/>
            <w:bottom w:val="none" w:sz="0" w:space="0" w:color="auto"/>
            <w:right w:val="none" w:sz="0" w:space="0" w:color="auto"/>
          </w:divBdr>
        </w:div>
        <w:div w:id="1040133496">
          <w:marLeft w:val="0"/>
          <w:marRight w:val="0"/>
          <w:marTop w:val="0"/>
          <w:marBottom w:val="0"/>
          <w:divBdr>
            <w:top w:val="none" w:sz="0" w:space="0" w:color="auto"/>
            <w:left w:val="none" w:sz="0" w:space="0" w:color="auto"/>
            <w:bottom w:val="none" w:sz="0" w:space="0" w:color="auto"/>
            <w:right w:val="none" w:sz="0" w:space="0" w:color="auto"/>
          </w:divBdr>
        </w:div>
        <w:div w:id="1978561094">
          <w:marLeft w:val="0"/>
          <w:marRight w:val="0"/>
          <w:marTop w:val="0"/>
          <w:marBottom w:val="0"/>
          <w:divBdr>
            <w:top w:val="none" w:sz="0" w:space="0" w:color="auto"/>
            <w:left w:val="none" w:sz="0" w:space="0" w:color="auto"/>
            <w:bottom w:val="none" w:sz="0" w:space="0" w:color="auto"/>
            <w:right w:val="none" w:sz="0" w:space="0" w:color="auto"/>
          </w:divBdr>
        </w:div>
        <w:div w:id="615916806">
          <w:marLeft w:val="0"/>
          <w:marRight w:val="0"/>
          <w:marTop w:val="0"/>
          <w:marBottom w:val="0"/>
          <w:divBdr>
            <w:top w:val="none" w:sz="0" w:space="0" w:color="auto"/>
            <w:left w:val="none" w:sz="0" w:space="0" w:color="auto"/>
            <w:bottom w:val="none" w:sz="0" w:space="0" w:color="auto"/>
            <w:right w:val="none" w:sz="0" w:space="0" w:color="auto"/>
          </w:divBdr>
        </w:div>
        <w:div w:id="1635259594">
          <w:marLeft w:val="0"/>
          <w:marRight w:val="0"/>
          <w:marTop w:val="0"/>
          <w:marBottom w:val="0"/>
          <w:divBdr>
            <w:top w:val="none" w:sz="0" w:space="0" w:color="auto"/>
            <w:left w:val="none" w:sz="0" w:space="0" w:color="auto"/>
            <w:bottom w:val="none" w:sz="0" w:space="0" w:color="auto"/>
            <w:right w:val="none" w:sz="0" w:space="0" w:color="auto"/>
          </w:divBdr>
        </w:div>
        <w:div w:id="645276994">
          <w:marLeft w:val="0"/>
          <w:marRight w:val="0"/>
          <w:marTop w:val="0"/>
          <w:marBottom w:val="0"/>
          <w:divBdr>
            <w:top w:val="none" w:sz="0" w:space="0" w:color="auto"/>
            <w:left w:val="none" w:sz="0" w:space="0" w:color="auto"/>
            <w:bottom w:val="none" w:sz="0" w:space="0" w:color="auto"/>
            <w:right w:val="none" w:sz="0" w:space="0" w:color="auto"/>
          </w:divBdr>
        </w:div>
        <w:div w:id="1941329194">
          <w:marLeft w:val="0"/>
          <w:marRight w:val="0"/>
          <w:marTop w:val="0"/>
          <w:marBottom w:val="0"/>
          <w:divBdr>
            <w:top w:val="none" w:sz="0" w:space="0" w:color="auto"/>
            <w:left w:val="none" w:sz="0" w:space="0" w:color="auto"/>
            <w:bottom w:val="none" w:sz="0" w:space="0" w:color="auto"/>
            <w:right w:val="none" w:sz="0" w:space="0" w:color="auto"/>
          </w:divBdr>
        </w:div>
        <w:div w:id="1582332679">
          <w:marLeft w:val="0"/>
          <w:marRight w:val="0"/>
          <w:marTop w:val="0"/>
          <w:marBottom w:val="0"/>
          <w:divBdr>
            <w:top w:val="none" w:sz="0" w:space="0" w:color="auto"/>
            <w:left w:val="none" w:sz="0" w:space="0" w:color="auto"/>
            <w:bottom w:val="none" w:sz="0" w:space="0" w:color="auto"/>
            <w:right w:val="none" w:sz="0" w:space="0" w:color="auto"/>
          </w:divBdr>
        </w:div>
        <w:div w:id="1926332196">
          <w:marLeft w:val="0"/>
          <w:marRight w:val="0"/>
          <w:marTop w:val="0"/>
          <w:marBottom w:val="0"/>
          <w:divBdr>
            <w:top w:val="none" w:sz="0" w:space="0" w:color="auto"/>
            <w:left w:val="none" w:sz="0" w:space="0" w:color="auto"/>
            <w:bottom w:val="none" w:sz="0" w:space="0" w:color="auto"/>
            <w:right w:val="none" w:sz="0" w:space="0" w:color="auto"/>
          </w:divBdr>
        </w:div>
        <w:div w:id="904679470">
          <w:marLeft w:val="0"/>
          <w:marRight w:val="0"/>
          <w:marTop w:val="0"/>
          <w:marBottom w:val="0"/>
          <w:divBdr>
            <w:top w:val="none" w:sz="0" w:space="0" w:color="auto"/>
            <w:left w:val="none" w:sz="0" w:space="0" w:color="auto"/>
            <w:bottom w:val="none" w:sz="0" w:space="0" w:color="auto"/>
            <w:right w:val="none" w:sz="0" w:space="0" w:color="auto"/>
          </w:divBdr>
        </w:div>
        <w:div w:id="162859406">
          <w:marLeft w:val="0"/>
          <w:marRight w:val="0"/>
          <w:marTop w:val="0"/>
          <w:marBottom w:val="0"/>
          <w:divBdr>
            <w:top w:val="none" w:sz="0" w:space="0" w:color="auto"/>
            <w:left w:val="none" w:sz="0" w:space="0" w:color="auto"/>
            <w:bottom w:val="none" w:sz="0" w:space="0" w:color="auto"/>
            <w:right w:val="none" w:sz="0" w:space="0" w:color="auto"/>
          </w:divBdr>
        </w:div>
        <w:div w:id="402410526">
          <w:marLeft w:val="0"/>
          <w:marRight w:val="0"/>
          <w:marTop w:val="0"/>
          <w:marBottom w:val="0"/>
          <w:divBdr>
            <w:top w:val="none" w:sz="0" w:space="0" w:color="auto"/>
            <w:left w:val="none" w:sz="0" w:space="0" w:color="auto"/>
            <w:bottom w:val="none" w:sz="0" w:space="0" w:color="auto"/>
            <w:right w:val="none" w:sz="0" w:space="0" w:color="auto"/>
          </w:divBdr>
        </w:div>
        <w:div w:id="723530245">
          <w:marLeft w:val="0"/>
          <w:marRight w:val="0"/>
          <w:marTop w:val="0"/>
          <w:marBottom w:val="0"/>
          <w:divBdr>
            <w:top w:val="none" w:sz="0" w:space="0" w:color="auto"/>
            <w:left w:val="none" w:sz="0" w:space="0" w:color="auto"/>
            <w:bottom w:val="none" w:sz="0" w:space="0" w:color="auto"/>
            <w:right w:val="none" w:sz="0" w:space="0" w:color="auto"/>
          </w:divBdr>
        </w:div>
        <w:div w:id="66079740">
          <w:marLeft w:val="0"/>
          <w:marRight w:val="0"/>
          <w:marTop w:val="0"/>
          <w:marBottom w:val="0"/>
          <w:divBdr>
            <w:top w:val="none" w:sz="0" w:space="0" w:color="auto"/>
            <w:left w:val="none" w:sz="0" w:space="0" w:color="auto"/>
            <w:bottom w:val="none" w:sz="0" w:space="0" w:color="auto"/>
            <w:right w:val="none" w:sz="0" w:space="0" w:color="auto"/>
          </w:divBdr>
        </w:div>
        <w:div w:id="632640235">
          <w:marLeft w:val="0"/>
          <w:marRight w:val="0"/>
          <w:marTop w:val="0"/>
          <w:marBottom w:val="0"/>
          <w:divBdr>
            <w:top w:val="none" w:sz="0" w:space="0" w:color="auto"/>
            <w:left w:val="none" w:sz="0" w:space="0" w:color="auto"/>
            <w:bottom w:val="none" w:sz="0" w:space="0" w:color="auto"/>
            <w:right w:val="none" w:sz="0" w:space="0" w:color="auto"/>
          </w:divBdr>
        </w:div>
        <w:div w:id="355739007">
          <w:marLeft w:val="0"/>
          <w:marRight w:val="0"/>
          <w:marTop w:val="0"/>
          <w:marBottom w:val="0"/>
          <w:divBdr>
            <w:top w:val="none" w:sz="0" w:space="0" w:color="auto"/>
            <w:left w:val="none" w:sz="0" w:space="0" w:color="auto"/>
            <w:bottom w:val="none" w:sz="0" w:space="0" w:color="auto"/>
            <w:right w:val="none" w:sz="0" w:space="0" w:color="auto"/>
          </w:divBdr>
        </w:div>
        <w:div w:id="179467621">
          <w:marLeft w:val="0"/>
          <w:marRight w:val="0"/>
          <w:marTop w:val="0"/>
          <w:marBottom w:val="0"/>
          <w:divBdr>
            <w:top w:val="none" w:sz="0" w:space="0" w:color="auto"/>
            <w:left w:val="none" w:sz="0" w:space="0" w:color="auto"/>
            <w:bottom w:val="none" w:sz="0" w:space="0" w:color="auto"/>
            <w:right w:val="none" w:sz="0" w:space="0" w:color="auto"/>
          </w:divBdr>
        </w:div>
        <w:div w:id="1619527499">
          <w:marLeft w:val="0"/>
          <w:marRight w:val="0"/>
          <w:marTop w:val="0"/>
          <w:marBottom w:val="0"/>
          <w:divBdr>
            <w:top w:val="none" w:sz="0" w:space="0" w:color="auto"/>
            <w:left w:val="none" w:sz="0" w:space="0" w:color="auto"/>
            <w:bottom w:val="none" w:sz="0" w:space="0" w:color="auto"/>
            <w:right w:val="none" w:sz="0" w:space="0" w:color="auto"/>
          </w:divBdr>
        </w:div>
        <w:div w:id="1151796425">
          <w:marLeft w:val="0"/>
          <w:marRight w:val="0"/>
          <w:marTop w:val="0"/>
          <w:marBottom w:val="0"/>
          <w:divBdr>
            <w:top w:val="none" w:sz="0" w:space="0" w:color="auto"/>
            <w:left w:val="none" w:sz="0" w:space="0" w:color="auto"/>
            <w:bottom w:val="none" w:sz="0" w:space="0" w:color="auto"/>
            <w:right w:val="none" w:sz="0" w:space="0" w:color="auto"/>
          </w:divBdr>
        </w:div>
        <w:div w:id="163865803">
          <w:marLeft w:val="0"/>
          <w:marRight w:val="0"/>
          <w:marTop w:val="0"/>
          <w:marBottom w:val="0"/>
          <w:divBdr>
            <w:top w:val="none" w:sz="0" w:space="0" w:color="auto"/>
            <w:left w:val="none" w:sz="0" w:space="0" w:color="auto"/>
            <w:bottom w:val="none" w:sz="0" w:space="0" w:color="auto"/>
            <w:right w:val="none" w:sz="0" w:space="0" w:color="auto"/>
          </w:divBdr>
        </w:div>
        <w:div w:id="1651596255">
          <w:marLeft w:val="0"/>
          <w:marRight w:val="0"/>
          <w:marTop w:val="0"/>
          <w:marBottom w:val="0"/>
          <w:divBdr>
            <w:top w:val="none" w:sz="0" w:space="0" w:color="auto"/>
            <w:left w:val="none" w:sz="0" w:space="0" w:color="auto"/>
            <w:bottom w:val="none" w:sz="0" w:space="0" w:color="auto"/>
            <w:right w:val="none" w:sz="0" w:space="0" w:color="auto"/>
          </w:divBdr>
        </w:div>
        <w:div w:id="325013006">
          <w:marLeft w:val="0"/>
          <w:marRight w:val="0"/>
          <w:marTop w:val="0"/>
          <w:marBottom w:val="0"/>
          <w:divBdr>
            <w:top w:val="none" w:sz="0" w:space="0" w:color="auto"/>
            <w:left w:val="none" w:sz="0" w:space="0" w:color="auto"/>
            <w:bottom w:val="none" w:sz="0" w:space="0" w:color="auto"/>
            <w:right w:val="none" w:sz="0" w:space="0" w:color="auto"/>
          </w:divBdr>
        </w:div>
        <w:div w:id="2090227765">
          <w:marLeft w:val="0"/>
          <w:marRight w:val="0"/>
          <w:marTop w:val="0"/>
          <w:marBottom w:val="0"/>
          <w:divBdr>
            <w:top w:val="none" w:sz="0" w:space="0" w:color="auto"/>
            <w:left w:val="none" w:sz="0" w:space="0" w:color="auto"/>
            <w:bottom w:val="none" w:sz="0" w:space="0" w:color="auto"/>
            <w:right w:val="none" w:sz="0" w:space="0" w:color="auto"/>
          </w:divBdr>
        </w:div>
        <w:div w:id="2062751936">
          <w:marLeft w:val="0"/>
          <w:marRight w:val="0"/>
          <w:marTop w:val="0"/>
          <w:marBottom w:val="0"/>
          <w:divBdr>
            <w:top w:val="none" w:sz="0" w:space="0" w:color="auto"/>
            <w:left w:val="none" w:sz="0" w:space="0" w:color="auto"/>
            <w:bottom w:val="none" w:sz="0" w:space="0" w:color="auto"/>
            <w:right w:val="none" w:sz="0" w:space="0" w:color="auto"/>
          </w:divBdr>
        </w:div>
        <w:div w:id="530802311">
          <w:marLeft w:val="0"/>
          <w:marRight w:val="0"/>
          <w:marTop w:val="0"/>
          <w:marBottom w:val="0"/>
          <w:divBdr>
            <w:top w:val="none" w:sz="0" w:space="0" w:color="auto"/>
            <w:left w:val="none" w:sz="0" w:space="0" w:color="auto"/>
            <w:bottom w:val="none" w:sz="0" w:space="0" w:color="auto"/>
            <w:right w:val="none" w:sz="0" w:space="0" w:color="auto"/>
          </w:divBdr>
        </w:div>
        <w:div w:id="1933123584">
          <w:marLeft w:val="0"/>
          <w:marRight w:val="0"/>
          <w:marTop w:val="0"/>
          <w:marBottom w:val="0"/>
          <w:divBdr>
            <w:top w:val="none" w:sz="0" w:space="0" w:color="auto"/>
            <w:left w:val="none" w:sz="0" w:space="0" w:color="auto"/>
            <w:bottom w:val="none" w:sz="0" w:space="0" w:color="auto"/>
            <w:right w:val="none" w:sz="0" w:space="0" w:color="auto"/>
          </w:divBdr>
        </w:div>
        <w:div w:id="847527306">
          <w:marLeft w:val="0"/>
          <w:marRight w:val="0"/>
          <w:marTop w:val="0"/>
          <w:marBottom w:val="0"/>
          <w:divBdr>
            <w:top w:val="none" w:sz="0" w:space="0" w:color="auto"/>
            <w:left w:val="none" w:sz="0" w:space="0" w:color="auto"/>
            <w:bottom w:val="none" w:sz="0" w:space="0" w:color="auto"/>
            <w:right w:val="none" w:sz="0" w:space="0" w:color="auto"/>
          </w:divBdr>
        </w:div>
        <w:div w:id="1741247394">
          <w:marLeft w:val="0"/>
          <w:marRight w:val="0"/>
          <w:marTop w:val="0"/>
          <w:marBottom w:val="0"/>
          <w:divBdr>
            <w:top w:val="none" w:sz="0" w:space="0" w:color="auto"/>
            <w:left w:val="none" w:sz="0" w:space="0" w:color="auto"/>
            <w:bottom w:val="none" w:sz="0" w:space="0" w:color="auto"/>
            <w:right w:val="none" w:sz="0" w:space="0" w:color="auto"/>
          </w:divBdr>
        </w:div>
        <w:div w:id="64108507">
          <w:marLeft w:val="0"/>
          <w:marRight w:val="0"/>
          <w:marTop w:val="0"/>
          <w:marBottom w:val="0"/>
          <w:divBdr>
            <w:top w:val="none" w:sz="0" w:space="0" w:color="auto"/>
            <w:left w:val="none" w:sz="0" w:space="0" w:color="auto"/>
            <w:bottom w:val="none" w:sz="0" w:space="0" w:color="auto"/>
            <w:right w:val="none" w:sz="0" w:space="0" w:color="auto"/>
          </w:divBdr>
        </w:div>
        <w:div w:id="1754089335">
          <w:marLeft w:val="0"/>
          <w:marRight w:val="0"/>
          <w:marTop w:val="0"/>
          <w:marBottom w:val="0"/>
          <w:divBdr>
            <w:top w:val="none" w:sz="0" w:space="0" w:color="auto"/>
            <w:left w:val="none" w:sz="0" w:space="0" w:color="auto"/>
            <w:bottom w:val="none" w:sz="0" w:space="0" w:color="auto"/>
            <w:right w:val="none" w:sz="0" w:space="0" w:color="auto"/>
          </w:divBdr>
        </w:div>
        <w:div w:id="914124548">
          <w:marLeft w:val="0"/>
          <w:marRight w:val="0"/>
          <w:marTop w:val="0"/>
          <w:marBottom w:val="0"/>
          <w:divBdr>
            <w:top w:val="none" w:sz="0" w:space="0" w:color="auto"/>
            <w:left w:val="none" w:sz="0" w:space="0" w:color="auto"/>
            <w:bottom w:val="none" w:sz="0" w:space="0" w:color="auto"/>
            <w:right w:val="none" w:sz="0" w:space="0" w:color="auto"/>
          </w:divBdr>
        </w:div>
        <w:div w:id="546768868">
          <w:marLeft w:val="0"/>
          <w:marRight w:val="0"/>
          <w:marTop w:val="0"/>
          <w:marBottom w:val="0"/>
          <w:divBdr>
            <w:top w:val="none" w:sz="0" w:space="0" w:color="auto"/>
            <w:left w:val="none" w:sz="0" w:space="0" w:color="auto"/>
            <w:bottom w:val="none" w:sz="0" w:space="0" w:color="auto"/>
            <w:right w:val="none" w:sz="0" w:space="0" w:color="auto"/>
          </w:divBdr>
        </w:div>
        <w:div w:id="1384135956">
          <w:marLeft w:val="0"/>
          <w:marRight w:val="0"/>
          <w:marTop w:val="0"/>
          <w:marBottom w:val="0"/>
          <w:divBdr>
            <w:top w:val="none" w:sz="0" w:space="0" w:color="auto"/>
            <w:left w:val="none" w:sz="0" w:space="0" w:color="auto"/>
            <w:bottom w:val="none" w:sz="0" w:space="0" w:color="auto"/>
            <w:right w:val="none" w:sz="0" w:space="0" w:color="auto"/>
          </w:divBdr>
        </w:div>
        <w:div w:id="1342659934">
          <w:marLeft w:val="0"/>
          <w:marRight w:val="0"/>
          <w:marTop w:val="0"/>
          <w:marBottom w:val="0"/>
          <w:divBdr>
            <w:top w:val="none" w:sz="0" w:space="0" w:color="auto"/>
            <w:left w:val="none" w:sz="0" w:space="0" w:color="auto"/>
            <w:bottom w:val="none" w:sz="0" w:space="0" w:color="auto"/>
            <w:right w:val="none" w:sz="0" w:space="0" w:color="auto"/>
          </w:divBdr>
        </w:div>
        <w:div w:id="2146390333">
          <w:marLeft w:val="0"/>
          <w:marRight w:val="0"/>
          <w:marTop w:val="0"/>
          <w:marBottom w:val="0"/>
          <w:divBdr>
            <w:top w:val="none" w:sz="0" w:space="0" w:color="auto"/>
            <w:left w:val="none" w:sz="0" w:space="0" w:color="auto"/>
            <w:bottom w:val="none" w:sz="0" w:space="0" w:color="auto"/>
            <w:right w:val="none" w:sz="0" w:space="0" w:color="auto"/>
          </w:divBdr>
        </w:div>
        <w:div w:id="896818036">
          <w:marLeft w:val="0"/>
          <w:marRight w:val="0"/>
          <w:marTop w:val="0"/>
          <w:marBottom w:val="0"/>
          <w:divBdr>
            <w:top w:val="none" w:sz="0" w:space="0" w:color="auto"/>
            <w:left w:val="none" w:sz="0" w:space="0" w:color="auto"/>
            <w:bottom w:val="none" w:sz="0" w:space="0" w:color="auto"/>
            <w:right w:val="none" w:sz="0" w:space="0" w:color="auto"/>
          </w:divBdr>
        </w:div>
        <w:div w:id="585114775">
          <w:marLeft w:val="0"/>
          <w:marRight w:val="0"/>
          <w:marTop w:val="0"/>
          <w:marBottom w:val="0"/>
          <w:divBdr>
            <w:top w:val="none" w:sz="0" w:space="0" w:color="auto"/>
            <w:left w:val="none" w:sz="0" w:space="0" w:color="auto"/>
            <w:bottom w:val="none" w:sz="0" w:space="0" w:color="auto"/>
            <w:right w:val="none" w:sz="0" w:space="0" w:color="auto"/>
          </w:divBdr>
        </w:div>
        <w:div w:id="1437679464">
          <w:marLeft w:val="0"/>
          <w:marRight w:val="0"/>
          <w:marTop w:val="0"/>
          <w:marBottom w:val="0"/>
          <w:divBdr>
            <w:top w:val="none" w:sz="0" w:space="0" w:color="auto"/>
            <w:left w:val="none" w:sz="0" w:space="0" w:color="auto"/>
            <w:bottom w:val="none" w:sz="0" w:space="0" w:color="auto"/>
            <w:right w:val="none" w:sz="0" w:space="0" w:color="auto"/>
          </w:divBdr>
        </w:div>
        <w:div w:id="440078422">
          <w:marLeft w:val="0"/>
          <w:marRight w:val="0"/>
          <w:marTop w:val="0"/>
          <w:marBottom w:val="0"/>
          <w:divBdr>
            <w:top w:val="none" w:sz="0" w:space="0" w:color="auto"/>
            <w:left w:val="none" w:sz="0" w:space="0" w:color="auto"/>
            <w:bottom w:val="none" w:sz="0" w:space="0" w:color="auto"/>
            <w:right w:val="none" w:sz="0" w:space="0" w:color="auto"/>
          </w:divBdr>
        </w:div>
        <w:div w:id="1126657858">
          <w:marLeft w:val="0"/>
          <w:marRight w:val="0"/>
          <w:marTop w:val="0"/>
          <w:marBottom w:val="0"/>
          <w:divBdr>
            <w:top w:val="none" w:sz="0" w:space="0" w:color="auto"/>
            <w:left w:val="none" w:sz="0" w:space="0" w:color="auto"/>
            <w:bottom w:val="none" w:sz="0" w:space="0" w:color="auto"/>
            <w:right w:val="none" w:sz="0" w:space="0" w:color="auto"/>
          </w:divBdr>
        </w:div>
        <w:div w:id="1688291734">
          <w:marLeft w:val="0"/>
          <w:marRight w:val="0"/>
          <w:marTop w:val="0"/>
          <w:marBottom w:val="0"/>
          <w:divBdr>
            <w:top w:val="none" w:sz="0" w:space="0" w:color="auto"/>
            <w:left w:val="none" w:sz="0" w:space="0" w:color="auto"/>
            <w:bottom w:val="none" w:sz="0" w:space="0" w:color="auto"/>
            <w:right w:val="none" w:sz="0" w:space="0" w:color="auto"/>
          </w:divBdr>
        </w:div>
        <w:div w:id="806894309">
          <w:marLeft w:val="0"/>
          <w:marRight w:val="0"/>
          <w:marTop w:val="0"/>
          <w:marBottom w:val="0"/>
          <w:divBdr>
            <w:top w:val="none" w:sz="0" w:space="0" w:color="auto"/>
            <w:left w:val="none" w:sz="0" w:space="0" w:color="auto"/>
            <w:bottom w:val="none" w:sz="0" w:space="0" w:color="auto"/>
            <w:right w:val="none" w:sz="0" w:space="0" w:color="auto"/>
          </w:divBdr>
        </w:div>
        <w:div w:id="55011531">
          <w:marLeft w:val="0"/>
          <w:marRight w:val="0"/>
          <w:marTop w:val="0"/>
          <w:marBottom w:val="0"/>
          <w:divBdr>
            <w:top w:val="none" w:sz="0" w:space="0" w:color="auto"/>
            <w:left w:val="none" w:sz="0" w:space="0" w:color="auto"/>
            <w:bottom w:val="none" w:sz="0" w:space="0" w:color="auto"/>
            <w:right w:val="none" w:sz="0" w:space="0" w:color="auto"/>
          </w:divBdr>
        </w:div>
        <w:div w:id="1693458998">
          <w:marLeft w:val="0"/>
          <w:marRight w:val="0"/>
          <w:marTop w:val="0"/>
          <w:marBottom w:val="0"/>
          <w:divBdr>
            <w:top w:val="none" w:sz="0" w:space="0" w:color="auto"/>
            <w:left w:val="none" w:sz="0" w:space="0" w:color="auto"/>
            <w:bottom w:val="none" w:sz="0" w:space="0" w:color="auto"/>
            <w:right w:val="none" w:sz="0" w:space="0" w:color="auto"/>
          </w:divBdr>
        </w:div>
        <w:div w:id="1998340563">
          <w:marLeft w:val="0"/>
          <w:marRight w:val="0"/>
          <w:marTop w:val="0"/>
          <w:marBottom w:val="0"/>
          <w:divBdr>
            <w:top w:val="none" w:sz="0" w:space="0" w:color="auto"/>
            <w:left w:val="none" w:sz="0" w:space="0" w:color="auto"/>
            <w:bottom w:val="none" w:sz="0" w:space="0" w:color="auto"/>
            <w:right w:val="none" w:sz="0" w:space="0" w:color="auto"/>
          </w:divBdr>
        </w:div>
        <w:div w:id="1480029000">
          <w:marLeft w:val="0"/>
          <w:marRight w:val="0"/>
          <w:marTop w:val="0"/>
          <w:marBottom w:val="0"/>
          <w:divBdr>
            <w:top w:val="none" w:sz="0" w:space="0" w:color="auto"/>
            <w:left w:val="none" w:sz="0" w:space="0" w:color="auto"/>
            <w:bottom w:val="none" w:sz="0" w:space="0" w:color="auto"/>
            <w:right w:val="none" w:sz="0" w:space="0" w:color="auto"/>
          </w:divBdr>
        </w:div>
        <w:div w:id="813564084">
          <w:marLeft w:val="0"/>
          <w:marRight w:val="0"/>
          <w:marTop w:val="0"/>
          <w:marBottom w:val="0"/>
          <w:divBdr>
            <w:top w:val="none" w:sz="0" w:space="0" w:color="auto"/>
            <w:left w:val="none" w:sz="0" w:space="0" w:color="auto"/>
            <w:bottom w:val="none" w:sz="0" w:space="0" w:color="auto"/>
            <w:right w:val="none" w:sz="0" w:space="0" w:color="auto"/>
          </w:divBdr>
        </w:div>
        <w:div w:id="1880311505">
          <w:marLeft w:val="0"/>
          <w:marRight w:val="0"/>
          <w:marTop w:val="0"/>
          <w:marBottom w:val="0"/>
          <w:divBdr>
            <w:top w:val="none" w:sz="0" w:space="0" w:color="auto"/>
            <w:left w:val="none" w:sz="0" w:space="0" w:color="auto"/>
            <w:bottom w:val="none" w:sz="0" w:space="0" w:color="auto"/>
            <w:right w:val="none" w:sz="0" w:space="0" w:color="auto"/>
          </w:divBdr>
        </w:div>
        <w:div w:id="1484930727">
          <w:marLeft w:val="0"/>
          <w:marRight w:val="0"/>
          <w:marTop w:val="0"/>
          <w:marBottom w:val="0"/>
          <w:divBdr>
            <w:top w:val="none" w:sz="0" w:space="0" w:color="auto"/>
            <w:left w:val="none" w:sz="0" w:space="0" w:color="auto"/>
            <w:bottom w:val="none" w:sz="0" w:space="0" w:color="auto"/>
            <w:right w:val="none" w:sz="0" w:space="0" w:color="auto"/>
          </w:divBdr>
        </w:div>
        <w:div w:id="354577240">
          <w:marLeft w:val="0"/>
          <w:marRight w:val="0"/>
          <w:marTop w:val="0"/>
          <w:marBottom w:val="0"/>
          <w:divBdr>
            <w:top w:val="none" w:sz="0" w:space="0" w:color="auto"/>
            <w:left w:val="none" w:sz="0" w:space="0" w:color="auto"/>
            <w:bottom w:val="none" w:sz="0" w:space="0" w:color="auto"/>
            <w:right w:val="none" w:sz="0" w:space="0" w:color="auto"/>
          </w:divBdr>
        </w:div>
        <w:div w:id="618994436">
          <w:marLeft w:val="0"/>
          <w:marRight w:val="0"/>
          <w:marTop w:val="0"/>
          <w:marBottom w:val="0"/>
          <w:divBdr>
            <w:top w:val="none" w:sz="0" w:space="0" w:color="auto"/>
            <w:left w:val="none" w:sz="0" w:space="0" w:color="auto"/>
            <w:bottom w:val="none" w:sz="0" w:space="0" w:color="auto"/>
            <w:right w:val="none" w:sz="0" w:space="0" w:color="auto"/>
          </w:divBdr>
        </w:div>
        <w:div w:id="1990283759">
          <w:marLeft w:val="0"/>
          <w:marRight w:val="0"/>
          <w:marTop w:val="0"/>
          <w:marBottom w:val="0"/>
          <w:divBdr>
            <w:top w:val="none" w:sz="0" w:space="0" w:color="auto"/>
            <w:left w:val="none" w:sz="0" w:space="0" w:color="auto"/>
            <w:bottom w:val="none" w:sz="0" w:space="0" w:color="auto"/>
            <w:right w:val="none" w:sz="0" w:space="0" w:color="auto"/>
          </w:divBdr>
        </w:div>
        <w:div w:id="1382435161">
          <w:marLeft w:val="0"/>
          <w:marRight w:val="0"/>
          <w:marTop w:val="0"/>
          <w:marBottom w:val="0"/>
          <w:divBdr>
            <w:top w:val="none" w:sz="0" w:space="0" w:color="auto"/>
            <w:left w:val="none" w:sz="0" w:space="0" w:color="auto"/>
            <w:bottom w:val="none" w:sz="0" w:space="0" w:color="auto"/>
            <w:right w:val="none" w:sz="0" w:space="0" w:color="auto"/>
          </w:divBdr>
        </w:div>
        <w:div w:id="1720591552">
          <w:marLeft w:val="0"/>
          <w:marRight w:val="0"/>
          <w:marTop w:val="0"/>
          <w:marBottom w:val="0"/>
          <w:divBdr>
            <w:top w:val="none" w:sz="0" w:space="0" w:color="auto"/>
            <w:left w:val="none" w:sz="0" w:space="0" w:color="auto"/>
            <w:bottom w:val="none" w:sz="0" w:space="0" w:color="auto"/>
            <w:right w:val="none" w:sz="0" w:space="0" w:color="auto"/>
          </w:divBdr>
        </w:div>
        <w:div w:id="212121980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371732505">
          <w:marLeft w:val="0"/>
          <w:marRight w:val="0"/>
          <w:marTop w:val="0"/>
          <w:marBottom w:val="0"/>
          <w:divBdr>
            <w:top w:val="none" w:sz="0" w:space="0" w:color="auto"/>
            <w:left w:val="none" w:sz="0" w:space="0" w:color="auto"/>
            <w:bottom w:val="none" w:sz="0" w:space="0" w:color="auto"/>
            <w:right w:val="none" w:sz="0" w:space="0" w:color="auto"/>
          </w:divBdr>
        </w:div>
        <w:div w:id="1449356288">
          <w:marLeft w:val="0"/>
          <w:marRight w:val="0"/>
          <w:marTop w:val="0"/>
          <w:marBottom w:val="0"/>
          <w:divBdr>
            <w:top w:val="none" w:sz="0" w:space="0" w:color="auto"/>
            <w:left w:val="none" w:sz="0" w:space="0" w:color="auto"/>
            <w:bottom w:val="none" w:sz="0" w:space="0" w:color="auto"/>
            <w:right w:val="none" w:sz="0" w:space="0" w:color="auto"/>
          </w:divBdr>
        </w:div>
        <w:div w:id="1731880930">
          <w:marLeft w:val="0"/>
          <w:marRight w:val="0"/>
          <w:marTop w:val="0"/>
          <w:marBottom w:val="0"/>
          <w:divBdr>
            <w:top w:val="none" w:sz="0" w:space="0" w:color="auto"/>
            <w:left w:val="none" w:sz="0" w:space="0" w:color="auto"/>
            <w:bottom w:val="none" w:sz="0" w:space="0" w:color="auto"/>
            <w:right w:val="none" w:sz="0" w:space="0" w:color="auto"/>
          </w:divBdr>
        </w:div>
        <w:div w:id="1566144149">
          <w:marLeft w:val="0"/>
          <w:marRight w:val="0"/>
          <w:marTop w:val="0"/>
          <w:marBottom w:val="0"/>
          <w:divBdr>
            <w:top w:val="none" w:sz="0" w:space="0" w:color="auto"/>
            <w:left w:val="none" w:sz="0" w:space="0" w:color="auto"/>
            <w:bottom w:val="none" w:sz="0" w:space="0" w:color="auto"/>
            <w:right w:val="none" w:sz="0" w:space="0" w:color="auto"/>
          </w:divBdr>
        </w:div>
        <w:div w:id="1592934014">
          <w:marLeft w:val="0"/>
          <w:marRight w:val="0"/>
          <w:marTop w:val="0"/>
          <w:marBottom w:val="0"/>
          <w:divBdr>
            <w:top w:val="none" w:sz="0" w:space="0" w:color="auto"/>
            <w:left w:val="none" w:sz="0" w:space="0" w:color="auto"/>
            <w:bottom w:val="none" w:sz="0" w:space="0" w:color="auto"/>
            <w:right w:val="none" w:sz="0" w:space="0" w:color="auto"/>
          </w:divBdr>
        </w:div>
        <w:div w:id="2081249892">
          <w:marLeft w:val="0"/>
          <w:marRight w:val="0"/>
          <w:marTop w:val="0"/>
          <w:marBottom w:val="0"/>
          <w:divBdr>
            <w:top w:val="none" w:sz="0" w:space="0" w:color="auto"/>
            <w:left w:val="none" w:sz="0" w:space="0" w:color="auto"/>
            <w:bottom w:val="none" w:sz="0" w:space="0" w:color="auto"/>
            <w:right w:val="none" w:sz="0" w:space="0" w:color="auto"/>
          </w:divBdr>
        </w:div>
        <w:div w:id="1042246387">
          <w:marLeft w:val="0"/>
          <w:marRight w:val="0"/>
          <w:marTop w:val="0"/>
          <w:marBottom w:val="0"/>
          <w:divBdr>
            <w:top w:val="none" w:sz="0" w:space="0" w:color="auto"/>
            <w:left w:val="none" w:sz="0" w:space="0" w:color="auto"/>
            <w:bottom w:val="none" w:sz="0" w:space="0" w:color="auto"/>
            <w:right w:val="none" w:sz="0" w:space="0" w:color="auto"/>
          </w:divBdr>
        </w:div>
        <w:div w:id="144206273">
          <w:marLeft w:val="0"/>
          <w:marRight w:val="0"/>
          <w:marTop w:val="0"/>
          <w:marBottom w:val="0"/>
          <w:divBdr>
            <w:top w:val="none" w:sz="0" w:space="0" w:color="auto"/>
            <w:left w:val="none" w:sz="0" w:space="0" w:color="auto"/>
            <w:bottom w:val="none" w:sz="0" w:space="0" w:color="auto"/>
            <w:right w:val="none" w:sz="0" w:space="0" w:color="auto"/>
          </w:divBdr>
        </w:div>
        <w:div w:id="1046030386">
          <w:marLeft w:val="0"/>
          <w:marRight w:val="0"/>
          <w:marTop w:val="0"/>
          <w:marBottom w:val="0"/>
          <w:divBdr>
            <w:top w:val="none" w:sz="0" w:space="0" w:color="auto"/>
            <w:left w:val="none" w:sz="0" w:space="0" w:color="auto"/>
            <w:bottom w:val="none" w:sz="0" w:space="0" w:color="auto"/>
            <w:right w:val="none" w:sz="0" w:space="0" w:color="auto"/>
          </w:divBdr>
        </w:div>
        <w:div w:id="257098548">
          <w:marLeft w:val="0"/>
          <w:marRight w:val="0"/>
          <w:marTop w:val="0"/>
          <w:marBottom w:val="0"/>
          <w:divBdr>
            <w:top w:val="none" w:sz="0" w:space="0" w:color="auto"/>
            <w:left w:val="none" w:sz="0" w:space="0" w:color="auto"/>
            <w:bottom w:val="none" w:sz="0" w:space="0" w:color="auto"/>
            <w:right w:val="none" w:sz="0" w:space="0" w:color="auto"/>
          </w:divBdr>
        </w:div>
        <w:div w:id="1981224808">
          <w:marLeft w:val="0"/>
          <w:marRight w:val="0"/>
          <w:marTop w:val="0"/>
          <w:marBottom w:val="0"/>
          <w:divBdr>
            <w:top w:val="none" w:sz="0" w:space="0" w:color="auto"/>
            <w:left w:val="none" w:sz="0" w:space="0" w:color="auto"/>
            <w:bottom w:val="none" w:sz="0" w:space="0" w:color="auto"/>
            <w:right w:val="none" w:sz="0" w:space="0" w:color="auto"/>
          </w:divBdr>
        </w:div>
        <w:div w:id="297616378">
          <w:marLeft w:val="0"/>
          <w:marRight w:val="0"/>
          <w:marTop w:val="0"/>
          <w:marBottom w:val="0"/>
          <w:divBdr>
            <w:top w:val="none" w:sz="0" w:space="0" w:color="auto"/>
            <w:left w:val="none" w:sz="0" w:space="0" w:color="auto"/>
            <w:bottom w:val="none" w:sz="0" w:space="0" w:color="auto"/>
            <w:right w:val="none" w:sz="0" w:space="0" w:color="auto"/>
          </w:divBdr>
        </w:div>
        <w:div w:id="1470706573">
          <w:marLeft w:val="0"/>
          <w:marRight w:val="0"/>
          <w:marTop w:val="0"/>
          <w:marBottom w:val="0"/>
          <w:divBdr>
            <w:top w:val="none" w:sz="0" w:space="0" w:color="auto"/>
            <w:left w:val="none" w:sz="0" w:space="0" w:color="auto"/>
            <w:bottom w:val="none" w:sz="0" w:space="0" w:color="auto"/>
            <w:right w:val="none" w:sz="0" w:space="0" w:color="auto"/>
          </w:divBdr>
        </w:div>
        <w:div w:id="938097168">
          <w:marLeft w:val="0"/>
          <w:marRight w:val="0"/>
          <w:marTop w:val="0"/>
          <w:marBottom w:val="0"/>
          <w:divBdr>
            <w:top w:val="none" w:sz="0" w:space="0" w:color="auto"/>
            <w:left w:val="none" w:sz="0" w:space="0" w:color="auto"/>
            <w:bottom w:val="none" w:sz="0" w:space="0" w:color="auto"/>
            <w:right w:val="none" w:sz="0" w:space="0" w:color="auto"/>
          </w:divBdr>
        </w:div>
        <w:div w:id="285739137">
          <w:marLeft w:val="0"/>
          <w:marRight w:val="0"/>
          <w:marTop w:val="0"/>
          <w:marBottom w:val="0"/>
          <w:divBdr>
            <w:top w:val="none" w:sz="0" w:space="0" w:color="auto"/>
            <w:left w:val="none" w:sz="0" w:space="0" w:color="auto"/>
            <w:bottom w:val="none" w:sz="0" w:space="0" w:color="auto"/>
            <w:right w:val="none" w:sz="0" w:space="0" w:color="auto"/>
          </w:divBdr>
        </w:div>
        <w:div w:id="989208342">
          <w:marLeft w:val="0"/>
          <w:marRight w:val="0"/>
          <w:marTop w:val="0"/>
          <w:marBottom w:val="0"/>
          <w:divBdr>
            <w:top w:val="none" w:sz="0" w:space="0" w:color="auto"/>
            <w:left w:val="none" w:sz="0" w:space="0" w:color="auto"/>
            <w:bottom w:val="none" w:sz="0" w:space="0" w:color="auto"/>
            <w:right w:val="none" w:sz="0" w:space="0" w:color="auto"/>
          </w:divBdr>
        </w:div>
        <w:div w:id="229315030">
          <w:marLeft w:val="0"/>
          <w:marRight w:val="0"/>
          <w:marTop w:val="0"/>
          <w:marBottom w:val="0"/>
          <w:divBdr>
            <w:top w:val="none" w:sz="0" w:space="0" w:color="auto"/>
            <w:left w:val="none" w:sz="0" w:space="0" w:color="auto"/>
            <w:bottom w:val="none" w:sz="0" w:space="0" w:color="auto"/>
            <w:right w:val="none" w:sz="0" w:space="0" w:color="auto"/>
          </w:divBdr>
        </w:div>
        <w:div w:id="964772095">
          <w:marLeft w:val="0"/>
          <w:marRight w:val="0"/>
          <w:marTop w:val="0"/>
          <w:marBottom w:val="0"/>
          <w:divBdr>
            <w:top w:val="none" w:sz="0" w:space="0" w:color="auto"/>
            <w:left w:val="none" w:sz="0" w:space="0" w:color="auto"/>
            <w:bottom w:val="none" w:sz="0" w:space="0" w:color="auto"/>
            <w:right w:val="none" w:sz="0" w:space="0" w:color="auto"/>
          </w:divBdr>
        </w:div>
        <w:div w:id="571349621">
          <w:marLeft w:val="0"/>
          <w:marRight w:val="0"/>
          <w:marTop w:val="0"/>
          <w:marBottom w:val="0"/>
          <w:divBdr>
            <w:top w:val="none" w:sz="0" w:space="0" w:color="auto"/>
            <w:left w:val="none" w:sz="0" w:space="0" w:color="auto"/>
            <w:bottom w:val="none" w:sz="0" w:space="0" w:color="auto"/>
            <w:right w:val="none" w:sz="0" w:space="0" w:color="auto"/>
          </w:divBdr>
        </w:div>
        <w:div w:id="289671111">
          <w:marLeft w:val="0"/>
          <w:marRight w:val="0"/>
          <w:marTop w:val="0"/>
          <w:marBottom w:val="0"/>
          <w:divBdr>
            <w:top w:val="none" w:sz="0" w:space="0" w:color="auto"/>
            <w:left w:val="none" w:sz="0" w:space="0" w:color="auto"/>
            <w:bottom w:val="none" w:sz="0" w:space="0" w:color="auto"/>
            <w:right w:val="none" w:sz="0" w:space="0" w:color="auto"/>
          </w:divBdr>
        </w:div>
        <w:div w:id="1748573966">
          <w:marLeft w:val="0"/>
          <w:marRight w:val="0"/>
          <w:marTop w:val="0"/>
          <w:marBottom w:val="0"/>
          <w:divBdr>
            <w:top w:val="none" w:sz="0" w:space="0" w:color="auto"/>
            <w:left w:val="none" w:sz="0" w:space="0" w:color="auto"/>
            <w:bottom w:val="none" w:sz="0" w:space="0" w:color="auto"/>
            <w:right w:val="none" w:sz="0" w:space="0" w:color="auto"/>
          </w:divBdr>
        </w:div>
        <w:div w:id="1887796101">
          <w:marLeft w:val="0"/>
          <w:marRight w:val="0"/>
          <w:marTop w:val="0"/>
          <w:marBottom w:val="0"/>
          <w:divBdr>
            <w:top w:val="none" w:sz="0" w:space="0" w:color="auto"/>
            <w:left w:val="none" w:sz="0" w:space="0" w:color="auto"/>
            <w:bottom w:val="none" w:sz="0" w:space="0" w:color="auto"/>
            <w:right w:val="none" w:sz="0" w:space="0" w:color="auto"/>
          </w:divBdr>
        </w:div>
        <w:div w:id="1249845181">
          <w:marLeft w:val="0"/>
          <w:marRight w:val="0"/>
          <w:marTop w:val="0"/>
          <w:marBottom w:val="0"/>
          <w:divBdr>
            <w:top w:val="none" w:sz="0" w:space="0" w:color="auto"/>
            <w:left w:val="none" w:sz="0" w:space="0" w:color="auto"/>
            <w:bottom w:val="none" w:sz="0" w:space="0" w:color="auto"/>
            <w:right w:val="none" w:sz="0" w:space="0" w:color="auto"/>
          </w:divBdr>
        </w:div>
        <w:div w:id="543295412">
          <w:marLeft w:val="0"/>
          <w:marRight w:val="0"/>
          <w:marTop w:val="0"/>
          <w:marBottom w:val="0"/>
          <w:divBdr>
            <w:top w:val="none" w:sz="0" w:space="0" w:color="auto"/>
            <w:left w:val="none" w:sz="0" w:space="0" w:color="auto"/>
            <w:bottom w:val="none" w:sz="0" w:space="0" w:color="auto"/>
            <w:right w:val="none" w:sz="0" w:space="0" w:color="auto"/>
          </w:divBdr>
        </w:div>
        <w:div w:id="264464167">
          <w:marLeft w:val="0"/>
          <w:marRight w:val="0"/>
          <w:marTop w:val="0"/>
          <w:marBottom w:val="0"/>
          <w:divBdr>
            <w:top w:val="none" w:sz="0" w:space="0" w:color="auto"/>
            <w:left w:val="none" w:sz="0" w:space="0" w:color="auto"/>
            <w:bottom w:val="none" w:sz="0" w:space="0" w:color="auto"/>
            <w:right w:val="none" w:sz="0" w:space="0" w:color="auto"/>
          </w:divBdr>
        </w:div>
        <w:div w:id="2019303574">
          <w:marLeft w:val="0"/>
          <w:marRight w:val="0"/>
          <w:marTop w:val="0"/>
          <w:marBottom w:val="0"/>
          <w:divBdr>
            <w:top w:val="none" w:sz="0" w:space="0" w:color="auto"/>
            <w:left w:val="none" w:sz="0" w:space="0" w:color="auto"/>
            <w:bottom w:val="none" w:sz="0" w:space="0" w:color="auto"/>
            <w:right w:val="none" w:sz="0" w:space="0" w:color="auto"/>
          </w:divBdr>
        </w:div>
        <w:div w:id="739013938">
          <w:marLeft w:val="0"/>
          <w:marRight w:val="0"/>
          <w:marTop w:val="0"/>
          <w:marBottom w:val="0"/>
          <w:divBdr>
            <w:top w:val="none" w:sz="0" w:space="0" w:color="auto"/>
            <w:left w:val="none" w:sz="0" w:space="0" w:color="auto"/>
            <w:bottom w:val="none" w:sz="0" w:space="0" w:color="auto"/>
            <w:right w:val="none" w:sz="0" w:space="0" w:color="auto"/>
          </w:divBdr>
        </w:div>
        <w:div w:id="734085793">
          <w:marLeft w:val="0"/>
          <w:marRight w:val="0"/>
          <w:marTop w:val="0"/>
          <w:marBottom w:val="0"/>
          <w:divBdr>
            <w:top w:val="none" w:sz="0" w:space="0" w:color="auto"/>
            <w:left w:val="none" w:sz="0" w:space="0" w:color="auto"/>
            <w:bottom w:val="none" w:sz="0" w:space="0" w:color="auto"/>
            <w:right w:val="none" w:sz="0" w:space="0" w:color="auto"/>
          </w:divBdr>
        </w:div>
        <w:div w:id="971252905">
          <w:marLeft w:val="0"/>
          <w:marRight w:val="0"/>
          <w:marTop w:val="0"/>
          <w:marBottom w:val="0"/>
          <w:divBdr>
            <w:top w:val="none" w:sz="0" w:space="0" w:color="auto"/>
            <w:left w:val="none" w:sz="0" w:space="0" w:color="auto"/>
            <w:bottom w:val="none" w:sz="0" w:space="0" w:color="auto"/>
            <w:right w:val="none" w:sz="0" w:space="0" w:color="auto"/>
          </w:divBdr>
        </w:div>
        <w:div w:id="1930582519">
          <w:marLeft w:val="0"/>
          <w:marRight w:val="0"/>
          <w:marTop w:val="0"/>
          <w:marBottom w:val="0"/>
          <w:divBdr>
            <w:top w:val="none" w:sz="0" w:space="0" w:color="auto"/>
            <w:left w:val="none" w:sz="0" w:space="0" w:color="auto"/>
            <w:bottom w:val="none" w:sz="0" w:space="0" w:color="auto"/>
            <w:right w:val="none" w:sz="0" w:space="0" w:color="auto"/>
          </w:divBdr>
        </w:div>
        <w:div w:id="42220204">
          <w:marLeft w:val="0"/>
          <w:marRight w:val="0"/>
          <w:marTop w:val="0"/>
          <w:marBottom w:val="0"/>
          <w:divBdr>
            <w:top w:val="none" w:sz="0" w:space="0" w:color="auto"/>
            <w:left w:val="none" w:sz="0" w:space="0" w:color="auto"/>
            <w:bottom w:val="none" w:sz="0" w:space="0" w:color="auto"/>
            <w:right w:val="none" w:sz="0" w:space="0" w:color="auto"/>
          </w:divBdr>
        </w:div>
        <w:div w:id="1824856650">
          <w:marLeft w:val="0"/>
          <w:marRight w:val="0"/>
          <w:marTop w:val="0"/>
          <w:marBottom w:val="0"/>
          <w:divBdr>
            <w:top w:val="none" w:sz="0" w:space="0" w:color="auto"/>
            <w:left w:val="none" w:sz="0" w:space="0" w:color="auto"/>
            <w:bottom w:val="none" w:sz="0" w:space="0" w:color="auto"/>
            <w:right w:val="none" w:sz="0" w:space="0" w:color="auto"/>
          </w:divBdr>
        </w:div>
        <w:div w:id="668480705">
          <w:marLeft w:val="0"/>
          <w:marRight w:val="0"/>
          <w:marTop w:val="0"/>
          <w:marBottom w:val="0"/>
          <w:divBdr>
            <w:top w:val="none" w:sz="0" w:space="0" w:color="auto"/>
            <w:left w:val="none" w:sz="0" w:space="0" w:color="auto"/>
            <w:bottom w:val="none" w:sz="0" w:space="0" w:color="auto"/>
            <w:right w:val="none" w:sz="0" w:space="0" w:color="auto"/>
          </w:divBdr>
        </w:div>
        <w:div w:id="1579824633">
          <w:marLeft w:val="0"/>
          <w:marRight w:val="0"/>
          <w:marTop w:val="0"/>
          <w:marBottom w:val="0"/>
          <w:divBdr>
            <w:top w:val="none" w:sz="0" w:space="0" w:color="auto"/>
            <w:left w:val="none" w:sz="0" w:space="0" w:color="auto"/>
            <w:bottom w:val="none" w:sz="0" w:space="0" w:color="auto"/>
            <w:right w:val="none" w:sz="0" w:space="0" w:color="auto"/>
          </w:divBdr>
        </w:div>
        <w:div w:id="811558935">
          <w:marLeft w:val="0"/>
          <w:marRight w:val="0"/>
          <w:marTop w:val="0"/>
          <w:marBottom w:val="0"/>
          <w:divBdr>
            <w:top w:val="none" w:sz="0" w:space="0" w:color="auto"/>
            <w:left w:val="none" w:sz="0" w:space="0" w:color="auto"/>
            <w:bottom w:val="none" w:sz="0" w:space="0" w:color="auto"/>
            <w:right w:val="none" w:sz="0" w:space="0" w:color="auto"/>
          </w:divBdr>
        </w:div>
        <w:div w:id="1522939810">
          <w:marLeft w:val="0"/>
          <w:marRight w:val="0"/>
          <w:marTop w:val="0"/>
          <w:marBottom w:val="0"/>
          <w:divBdr>
            <w:top w:val="none" w:sz="0" w:space="0" w:color="auto"/>
            <w:left w:val="none" w:sz="0" w:space="0" w:color="auto"/>
            <w:bottom w:val="none" w:sz="0" w:space="0" w:color="auto"/>
            <w:right w:val="none" w:sz="0" w:space="0" w:color="auto"/>
          </w:divBdr>
        </w:div>
        <w:div w:id="1575630438">
          <w:marLeft w:val="0"/>
          <w:marRight w:val="0"/>
          <w:marTop w:val="0"/>
          <w:marBottom w:val="0"/>
          <w:divBdr>
            <w:top w:val="none" w:sz="0" w:space="0" w:color="auto"/>
            <w:left w:val="none" w:sz="0" w:space="0" w:color="auto"/>
            <w:bottom w:val="none" w:sz="0" w:space="0" w:color="auto"/>
            <w:right w:val="none" w:sz="0" w:space="0" w:color="auto"/>
          </w:divBdr>
        </w:div>
        <w:div w:id="125665043">
          <w:marLeft w:val="0"/>
          <w:marRight w:val="0"/>
          <w:marTop w:val="0"/>
          <w:marBottom w:val="0"/>
          <w:divBdr>
            <w:top w:val="none" w:sz="0" w:space="0" w:color="auto"/>
            <w:left w:val="none" w:sz="0" w:space="0" w:color="auto"/>
            <w:bottom w:val="none" w:sz="0" w:space="0" w:color="auto"/>
            <w:right w:val="none" w:sz="0" w:space="0" w:color="auto"/>
          </w:divBdr>
        </w:div>
        <w:div w:id="455218869">
          <w:marLeft w:val="0"/>
          <w:marRight w:val="0"/>
          <w:marTop w:val="0"/>
          <w:marBottom w:val="0"/>
          <w:divBdr>
            <w:top w:val="none" w:sz="0" w:space="0" w:color="auto"/>
            <w:left w:val="none" w:sz="0" w:space="0" w:color="auto"/>
            <w:bottom w:val="none" w:sz="0" w:space="0" w:color="auto"/>
            <w:right w:val="none" w:sz="0" w:space="0" w:color="auto"/>
          </w:divBdr>
        </w:div>
        <w:div w:id="878780124">
          <w:marLeft w:val="0"/>
          <w:marRight w:val="0"/>
          <w:marTop w:val="0"/>
          <w:marBottom w:val="0"/>
          <w:divBdr>
            <w:top w:val="none" w:sz="0" w:space="0" w:color="auto"/>
            <w:left w:val="none" w:sz="0" w:space="0" w:color="auto"/>
            <w:bottom w:val="none" w:sz="0" w:space="0" w:color="auto"/>
            <w:right w:val="none" w:sz="0" w:space="0" w:color="auto"/>
          </w:divBdr>
        </w:div>
        <w:div w:id="1563058604">
          <w:marLeft w:val="0"/>
          <w:marRight w:val="0"/>
          <w:marTop w:val="0"/>
          <w:marBottom w:val="0"/>
          <w:divBdr>
            <w:top w:val="none" w:sz="0" w:space="0" w:color="auto"/>
            <w:left w:val="none" w:sz="0" w:space="0" w:color="auto"/>
            <w:bottom w:val="none" w:sz="0" w:space="0" w:color="auto"/>
            <w:right w:val="none" w:sz="0" w:space="0" w:color="auto"/>
          </w:divBdr>
        </w:div>
        <w:div w:id="887188114">
          <w:marLeft w:val="0"/>
          <w:marRight w:val="0"/>
          <w:marTop w:val="0"/>
          <w:marBottom w:val="0"/>
          <w:divBdr>
            <w:top w:val="none" w:sz="0" w:space="0" w:color="auto"/>
            <w:left w:val="none" w:sz="0" w:space="0" w:color="auto"/>
            <w:bottom w:val="none" w:sz="0" w:space="0" w:color="auto"/>
            <w:right w:val="none" w:sz="0" w:space="0" w:color="auto"/>
          </w:divBdr>
        </w:div>
        <w:div w:id="106312675">
          <w:marLeft w:val="0"/>
          <w:marRight w:val="0"/>
          <w:marTop w:val="0"/>
          <w:marBottom w:val="0"/>
          <w:divBdr>
            <w:top w:val="none" w:sz="0" w:space="0" w:color="auto"/>
            <w:left w:val="none" w:sz="0" w:space="0" w:color="auto"/>
            <w:bottom w:val="none" w:sz="0" w:space="0" w:color="auto"/>
            <w:right w:val="none" w:sz="0" w:space="0" w:color="auto"/>
          </w:divBdr>
        </w:div>
        <w:div w:id="691299365">
          <w:marLeft w:val="0"/>
          <w:marRight w:val="0"/>
          <w:marTop w:val="0"/>
          <w:marBottom w:val="0"/>
          <w:divBdr>
            <w:top w:val="none" w:sz="0" w:space="0" w:color="auto"/>
            <w:left w:val="none" w:sz="0" w:space="0" w:color="auto"/>
            <w:bottom w:val="none" w:sz="0" w:space="0" w:color="auto"/>
            <w:right w:val="none" w:sz="0" w:space="0" w:color="auto"/>
          </w:divBdr>
        </w:div>
        <w:div w:id="2131703911">
          <w:marLeft w:val="0"/>
          <w:marRight w:val="0"/>
          <w:marTop w:val="0"/>
          <w:marBottom w:val="0"/>
          <w:divBdr>
            <w:top w:val="none" w:sz="0" w:space="0" w:color="auto"/>
            <w:left w:val="none" w:sz="0" w:space="0" w:color="auto"/>
            <w:bottom w:val="none" w:sz="0" w:space="0" w:color="auto"/>
            <w:right w:val="none" w:sz="0" w:space="0" w:color="auto"/>
          </w:divBdr>
        </w:div>
        <w:div w:id="1748067323">
          <w:marLeft w:val="0"/>
          <w:marRight w:val="0"/>
          <w:marTop w:val="0"/>
          <w:marBottom w:val="0"/>
          <w:divBdr>
            <w:top w:val="none" w:sz="0" w:space="0" w:color="auto"/>
            <w:left w:val="none" w:sz="0" w:space="0" w:color="auto"/>
            <w:bottom w:val="none" w:sz="0" w:space="0" w:color="auto"/>
            <w:right w:val="none" w:sz="0" w:space="0" w:color="auto"/>
          </w:divBdr>
        </w:div>
        <w:div w:id="1229540467">
          <w:marLeft w:val="0"/>
          <w:marRight w:val="0"/>
          <w:marTop w:val="0"/>
          <w:marBottom w:val="0"/>
          <w:divBdr>
            <w:top w:val="none" w:sz="0" w:space="0" w:color="auto"/>
            <w:left w:val="none" w:sz="0" w:space="0" w:color="auto"/>
            <w:bottom w:val="none" w:sz="0" w:space="0" w:color="auto"/>
            <w:right w:val="none" w:sz="0" w:space="0" w:color="auto"/>
          </w:divBdr>
        </w:div>
        <w:div w:id="104664356">
          <w:marLeft w:val="0"/>
          <w:marRight w:val="0"/>
          <w:marTop w:val="0"/>
          <w:marBottom w:val="0"/>
          <w:divBdr>
            <w:top w:val="none" w:sz="0" w:space="0" w:color="auto"/>
            <w:left w:val="none" w:sz="0" w:space="0" w:color="auto"/>
            <w:bottom w:val="none" w:sz="0" w:space="0" w:color="auto"/>
            <w:right w:val="none" w:sz="0" w:space="0" w:color="auto"/>
          </w:divBdr>
        </w:div>
        <w:div w:id="769005427">
          <w:marLeft w:val="0"/>
          <w:marRight w:val="0"/>
          <w:marTop w:val="0"/>
          <w:marBottom w:val="0"/>
          <w:divBdr>
            <w:top w:val="none" w:sz="0" w:space="0" w:color="auto"/>
            <w:left w:val="none" w:sz="0" w:space="0" w:color="auto"/>
            <w:bottom w:val="none" w:sz="0" w:space="0" w:color="auto"/>
            <w:right w:val="none" w:sz="0" w:space="0" w:color="auto"/>
          </w:divBdr>
        </w:div>
        <w:div w:id="463350318">
          <w:marLeft w:val="0"/>
          <w:marRight w:val="0"/>
          <w:marTop w:val="0"/>
          <w:marBottom w:val="0"/>
          <w:divBdr>
            <w:top w:val="none" w:sz="0" w:space="0" w:color="auto"/>
            <w:left w:val="none" w:sz="0" w:space="0" w:color="auto"/>
            <w:bottom w:val="none" w:sz="0" w:space="0" w:color="auto"/>
            <w:right w:val="none" w:sz="0" w:space="0" w:color="auto"/>
          </w:divBdr>
        </w:div>
        <w:div w:id="1283149885">
          <w:marLeft w:val="0"/>
          <w:marRight w:val="0"/>
          <w:marTop w:val="0"/>
          <w:marBottom w:val="0"/>
          <w:divBdr>
            <w:top w:val="none" w:sz="0" w:space="0" w:color="auto"/>
            <w:left w:val="none" w:sz="0" w:space="0" w:color="auto"/>
            <w:bottom w:val="none" w:sz="0" w:space="0" w:color="auto"/>
            <w:right w:val="none" w:sz="0" w:space="0" w:color="auto"/>
          </w:divBdr>
        </w:div>
        <w:div w:id="1212693746">
          <w:marLeft w:val="0"/>
          <w:marRight w:val="0"/>
          <w:marTop w:val="0"/>
          <w:marBottom w:val="0"/>
          <w:divBdr>
            <w:top w:val="none" w:sz="0" w:space="0" w:color="auto"/>
            <w:left w:val="none" w:sz="0" w:space="0" w:color="auto"/>
            <w:bottom w:val="none" w:sz="0" w:space="0" w:color="auto"/>
            <w:right w:val="none" w:sz="0" w:space="0" w:color="auto"/>
          </w:divBdr>
        </w:div>
        <w:div w:id="965818485">
          <w:marLeft w:val="0"/>
          <w:marRight w:val="0"/>
          <w:marTop w:val="0"/>
          <w:marBottom w:val="0"/>
          <w:divBdr>
            <w:top w:val="none" w:sz="0" w:space="0" w:color="auto"/>
            <w:left w:val="none" w:sz="0" w:space="0" w:color="auto"/>
            <w:bottom w:val="none" w:sz="0" w:space="0" w:color="auto"/>
            <w:right w:val="none" w:sz="0" w:space="0" w:color="auto"/>
          </w:divBdr>
        </w:div>
        <w:div w:id="1773552164">
          <w:marLeft w:val="0"/>
          <w:marRight w:val="0"/>
          <w:marTop w:val="0"/>
          <w:marBottom w:val="0"/>
          <w:divBdr>
            <w:top w:val="none" w:sz="0" w:space="0" w:color="auto"/>
            <w:left w:val="none" w:sz="0" w:space="0" w:color="auto"/>
            <w:bottom w:val="none" w:sz="0" w:space="0" w:color="auto"/>
            <w:right w:val="none" w:sz="0" w:space="0" w:color="auto"/>
          </w:divBdr>
        </w:div>
        <w:div w:id="1895307610">
          <w:marLeft w:val="0"/>
          <w:marRight w:val="0"/>
          <w:marTop w:val="0"/>
          <w:marBottom w:val="0"/>
          <w:divBdr>
            <w:top w:val="none" w:sz="0" w:space="0" w:color="auto"/>
            <w:left w:val="none" w:sz="0" w:space="0" w:color="auto"/>
            <w:bottom w:val="none" w:sz="0" w:space="0" w:color="auto"/>
            <w:right w:val="none" w:sz="0" w:space="0" w:color="auto"/>
          </w:divBdr>
        </w:div>
        <w:div w:id="553081911">
          <w:marLeft w:val="0"/>
          <w:marRight w:val="0"/>
          <w:marTop w:val="0"/>
          <w:marBottom w:val="0"/>
          <w:divBdr>
            <w:top w:val="none" w:sz="0" w:space="0" w:color="auto"/>
            <w:left w:val="none" w:sz="0" w:space="0" w:color="auto"/>
            <w:bottom w:val="none" w:sz="0" w:space="0" w:color="auto"/>
            <w:right w:val="none" w:sz="0" w:space="0" w:color="auto"/>
          </w:divBdr>
        </w:div>
        <w:div w:id="1087653998">
          <w:marLeft w:val="0"/>
          <w:marRight w:val="0"/>
          <w:marTop w:val="0"/>
          <w:marBottom w:val="0"/>
          <w:divBdr>
            <w:top w:val="none" w:sz="0" w:space="0" w:color="auto"/>
            <w:left w:val="none" w:sz="0" w:space="0" w:color="auto"/>
            <w:bottom w:val="none" w:sz="0" w:space="0" w:color="auto"/>
            <w:right w:val="none" w:sz="0" w:space="0" w:color="auto"/>
          </w:divBdr>
        </w:div>
        <w:div w:id="875580887">
          <w:marLeft w:val="0"/>
          <w:marRight w:val="0"/>
          <w:marTop w:val="0"/>
          <w:marBottom w:val="0"/>
          <w:divBdr>
            <w:top w:val="none" w:sz="0" w:space="0" w:color="auto"/>
            <w:left w:val="none" w:sz="0" w:space="0" w:color="auto"/>
            <w:bottom w:val="none" w:sz="0" w:space="0" w:color="auto"/>
            <w:right w:val="none" w:sz="0" w:space="0" w:color="auto"/>
          </w:divBdr>
        </w:div>
        <w:div w:id="1615677014">
          <w:marLeft w:val="0"/>
          <w:marRight w:val="0"/>
          <w:marTop w:val="0"/>
          <w:marBottom w:val="0"/>
          <w:divBdr>
            <w:top w:val="none" w:sz="0" w:space="0" w:color="auto"/>
            <w:left w:val="none" w:sz="0" w:space="0" w:color="auto"/>
            <w:bottom w:val="none" w:sz="0" w:space="0" w:color="auto"/>
            <w:right w:val="none" w:sz="0" w:space="0" w:color="auto"/>
          </w:divBdr>
        </w:div>
        <w:div w:id="1795320180">
          <w:marLeft w:val="0"/>
          <w:marRight w:val="0"/>
          <w:marTop w:val="0"/>
          <w:marBottom w:val="0"/>
          <w:divBdr>
            <w:top w:val="none" w:sz="0" w:space="0" w:color="auto"/>
            <w:left w:val="none" w:sz="0" w:space="0" w:color="auto"/>
            <w:bottom w:val="none" w:sz="0" w:space="0" w:color="auto"/>
            <w:right w:val="none" w:sz="0" w:space="0" w:color="auto"/>
          </w:divBdr>
        </w:div>
        <w:div w:id="512648469">
          <w:marLeft w:val="0"/>
          <w:marRight w:val="0"/>
          <w:marTop w:val="0"/>
          <w:marBottom w:val="0"/>
          <w:divBdr>
            <w:top w:val="none" w:sz="0" w:space="0" w:color="auto"/>
            <w:left w:val="none" w:sz="0" w:space="0" w:color="auto"/>
            <w:bottom w:val="none" w:sz="0" w:space="0" w:color="auto"/>
            <w:right w:val="none" w:sz="0" w:space="0" w:color="auto"/>
          </w:divBdr>
        </w:div>
        <w:div w:id="232548759">
          <w:marLeft w:val="0"/>
          <w:marRight w:val="0"/>
          <w:marTop w:val="0"/>
          <w:marBottom w:val="0"/>
          <w:divBdr>
            <w:top w:val="none" w:sz="0" w:space="0" w:color="auto"/>
            <w:left w:val="none" w:sz="0" w:space="0" w:color="auto"/>
            <w:bottom w:val="none" w:sz="0" w:space="0" w:color="auto"/>
            <w:right w:val="none" w:sz="0" w:space="0" w:color="auto"/>
          </w:divBdr>
        </w:div>
        <w:div w:id="1754550262">
          <w:marLeft w:val="0"/>
          <w:marRight w:val="0"/>
          <w:marTop w:val="0"/>
          <w:marBottom w:val="0"/>
          <w:divBdr>
            <w:top w:val="none" w:sz="0" w:space="0" w:color="auto"/>
            <w:left w:val="none" w:sz="0" w:space="0" w:color="auto"/>
            <w:bottom w:val="none" w:sz="0" w:space="0" w:color="auto"/>
            <w:right w:val="none" w:sz="0" w:space="0" w:color="auto"/>
          </w:divBdr>
        </w:div>
        <w:div w:id="675111112">
          <w:marLeft w:val="0"/>
          <w:marRight w:val="0"/>
          <w:marTop w:val="0"/>
          <w:marBottom w:val="0"/>
          <w:divBdr>
            <w:top w:val="none" w:sz="0" w:space="0" w:color="auto"/>
            <w:left w:val="none" w:sz="0" w:space="0" w:color="auto"/>
            <w:bottom w:val="none" w:sz="0" w:space="0" w:color="auto"/>
            <w:right w:val="none" w:sz="0" w:space="0" w:color="auto"/>
          </w:divBdr>
        </w:div>
        <w:div w:id="2052263941">
          <w:marLeft w:val="0"/>
          <w:marRight w:val="0"/>
          <w:marTop w:val="0"/>
          <w:marBottom w:val="0"/>
          <w:divBdr>
            <w:top w:val="none" w:sz="0" w:space="0" w:color="auto"/>
            <w:left w:val="none" w:sz="0" w:space="0" w:color="auto"/>
            <w:bottom w:val="none" w:sz="0" w:space="0" w:color="auto"/>
            <w:right w:val="none" w:sz="0" w:space="0" w:color="auto"/>
          </w:divBdr>
        </w:div>
        <w:div w:id="713047225">
          <w:marLeft w:val="0"/>
          <w:marRight w:val="0"/>
          <w:marTop w:val="0"/>
          <w:marBottom w:val="0"/>
          <w:divBdr>
            <w:top w:val="none" w:sz="0" w:space="0" w:color="auto"/>
            <w:left w:val="none" w:sz="0" w:space="0" w:color="auto"/>
            <w:bottom w:val="none" w:sz="0" w:space="0" w:color="auto"/>
            <w:right w:val="none" w:sz="0" w:space="0" w:color="auto"/>
          </w:divBdr>
        </w:div>
        <w:div w:id="312149658">
          <w:marLeft w:val="0"/>
          <w:marRight w:val="0"/>
          <w:marTop w:val="0"/>
          <w:marBottom w:val="0"/>
          <w:divBdr>
            <w:top w:val="none" w:sz="0" w:space="0" w:color="auto"/>
            <w:left w:val="none" w:sz="0" w:space="0" w:color="auto"/>
            <w:bottom w:val="none" w:sz="0" w:space="0" w:color="auto"/>
            <w:right w:val="none" w:sz="0" w:space="0" w:color="auto"/>
          </w:divBdr>
        </w:div>
        <w:div w:id="1528634968">
          <w:marLeft w:val="0"/>
          <w:marRight w:val="0"/>
          <w:marTop w:val="0"/>
          <w:marBottom w:val="0"/>
          <w:divBdr>
            <w:top w:val="none" w:sz="0" w:space="0" w:color="auto"/>
            <w:left w:val="none" w:sz="0" w:space="0" w:color="auto"/>
            <w:bottom w:val="none" w:sz="0" w:space="0" w:color="auto"/>
            <w:right w:val="none" w:sz="0" w:space="0" w:color="auto"/>
          </w:divBdr>
        </w:div>
        <w:div w:id="689649865">
          <w:marLeft w:val="0"/>
          <w:marRight w:val="0"/>
          <w:marTop w:val="0"/>
          <w:marBottom w:val="0"/>
          <w:divBdr>
            <w:top w:val="none" w:sz="0" w:space="0" w:color="auto"/>
            <w:left w:val="none" w:sz="0" w:space="0" w:color="auto"/>
            <w:bottom w:val="none" w:sz="0" w:space="0" w:color="auto"/>
            <w:right w:val="none" w:sz="0" w:space="0" w:color="auto"/>
          </w:divBdr>
        </w:div>
        <w:div w:id="115369645">
          <w:marLeft w:val="0"/>
          <w:marRight w:val="0"/>
          <w:marTop w:val="0"/>
          <w:marBottom w:val="0"/>
          <w:divBdr>
            <w:top w:val="none" w:sz="0" w:space="0" w:color="auto"/>
            <w:left w:val="none" w:sz="0" w:space="0" w:color="auto"/>
            <w:bottom w:val="none" w:sz="0" w:space="0" w:color="auto"/>
            <w:right w:val="none" w:sz="0" w:space="0" w:color="auto"/>
          </w:divBdr>
        </w:div>
        <w:div w:id="859203484">
          <w:marLeft w:val="0"/>
          <w:marRight w:val="0"/>
          <w:marTop w:val="0"/>
          <w:marBottom w:val="0"/>
          <w:divBdr>
            <w:top w:val="none" w:sz="0" w:space="0" w:color="auto"/>
            <w:left w:val="none" w:sz="0" w:space="0" w:color="auto"/>
            <w:bottom w:val="none" w:sz="0" w:space="0" w:color="auto"/>
            <w:right w:val="none" w:sz="0" w:space="0" w:color="auto"/>
          </w:divBdr>
        </w:div>
        <w:div w:id="1998150387">
          <w:marLeft w:val="0"/>
          <w:marRight w:val="0"/>
          <w:marTop w:val="0"/>
          <w:marBottom w:val="0"/>
          <w:divBdr>
            <w:top w:val="none" w:sz="0" w:space="0" w:color="auto"/>
            <w:left w:val="none" w:sz="0" w:space="0" w:color="auto"/>
            <w:bottom w:val="none" w:sz="0" w:space="0" w:color="auto"/>
            <w:right w:val="none" w:sz="0" w:space="0" w:color="auto"/>
          </w:divBdr>
        </w:div>
        <w:div w:id="1313946226">
          <w:marLeft w:val="0"/>
          <w:marRight w:val="0"/>
          <w:marTop w:val="0"/>
          <w:marBottom w:val="0"/>
          <w:divBdr>
            <w:top w:val="none" w:sz="0" w:space="0" w:color="auto"/>
            <w:left w:val="none" w:sz="0" w:space="0" w:color="auto"/>
            <w:bottom w:val="none" w:sz="0" w:space="0" w:color="auto"/>
            <w:right w:val="none" w:sz="0" w:space="0" w:color="auto"/>
          </w:divBdr>
        </w:div>
        <w:div w:id="1386754588">
          <w:marLeft w:val="0"/>
          <w:marRight w:val="0"/>
          <w:marTop w:val="0"/>
          <w:marBottom w:val="0"/>
          <w:divBdr>
            <w:top w:val="none" w:sz="0" w:space="0" w:color="auto"/>
            <w:left w:val="none" w:sz="0" w:space="0" w:color="auto"/>
            <w:bottom w:val="none" w:sz="0" w:space="0" w:color="auto"/>
            <w:right w:val="none" w:sz="0" w:space="0" w:color="auto"/>
          </w:divBdr>
        </w:div>
        <w:div w:id="1788694280">
          <w:marLeft w:val="0"/>
          <w:marRight w:val="0"/>
          <w:marTop w:val="0"/>
          <w:marBottom w:val="0"/>
          <w:divBdr>
            <w:top w:val="none" w:sz="0" w:space="0" w:color="auto"/>
            <w:left w:val="none" w:sz="0" w:space="0" w:color="auto"/>
            <w:bottom w:val="none" w:sz="0" w:space="0" w:color="auto"/>
            <w:right w:val="none" w:sz="0" w:space="0" w:color="auto"/>
          </w:divBdr>
        </w:div>
        <w:div w:id="1966276814">
          <w:marLeft w:val="0"/>
          <w:marRight w:val="0"/>
          <w:marTop w:val="0"/>
          <w:marBottom w:val="0"/>
          <w:divBdr>
            <w:top w:val="none" w:sz="0" w:space="0" w:color="auto"/>
            <w:left w:val="none" w:sz="0" w:space="0" w:color="auto"/>
            <w:bottom w:val="none" w:sz="0" w:space="0" w:color="auto"/>
            <w:right w:val="none" w:sz="0" w:space="0" w:color="auto"/>
          </w:divBdr>
        </w:div>
        <w:div w:id="1542398469">
          <w:marLeft w:val="0"/>
          <w:marRight w:val="0"/>
          <w:marTop w:val="0"/>
          <w:marBottom w:val="0"/>
          <w:divBdr>
            <w:top w:val="none" w:sz="0" w:space="0" w:color="auto"/>
            <w:left w:val="none" w:sz="0" w:space="0" w:color="auto"/>
            <w:bottom w:val="none" w:sz="0" w:space="0" w:color="auto"/>
            <w:right w:val="none" w:sz="0" w:space="0" w:color="auto"/>
          </w:divBdr>
        </w:div>
        <w:div w:id="747843577">
          <w:marLeft w:val="0"/>
          <w:marRight w:val="0"/>
          <w:marTop w:val="0"/>
          <w:marBottom w:val="0"/>
          <w:divBdr>
            <w:top w:val="none" w:sz="0" w:space="0" w:color="auto"/>
            <w:left w:val="none" w:sz="0" w:space="0" w:color="auto"/>
            <w:bottom w:val="none" w:sz="0" w:space="0" w:color="auto"/>
            <w:right w:val="none" w:sz="0" w:space="0" w:color="auto"/>
          </w:divBdr>
        </w:div>
        <w:div w:id="1953591382">
          <w:marLeft w:val="0"/>
          <w:marRight w:val="0"/>
          <w:marTop w:val="0"/>
          <w:marBottom w:val="0"/>
          <w:divBdr>
            <w:top w:val="none" w:sz="0" w:space="0" w:color="auto"/>
            <w:left w:val="none" w:sz="0" w:space="0" w:color="auto"/>
            <w:bottom w:val="none" w:sz="0" w:space="0" w:color="auto"/>
            <w:right w:val="none" w:sz="0" w:space="0" w:color="auto"/>
          </w:divBdr>
        </w:div>
        <w:div w:id="710888429">
          <w:marLeft w:val="0"/>
          <w:marRight w:val="0"/>
          <w:marTop w:val="0"/>
          <w:marBottom w:val="0"/>
          <w:divBdr>
            <w:top w:val="none" w:sz="0" w:space="0" w:color="auto"/>
            <w:left w:val="none" w:sz="0" w:space="0" w:color="auto"/>
            <w:bottom w:val="none" w:sz="0" w:space="0" w:color="auto"/>
            <w:right w:val="none" w:sz="0" w:space="0" w:color="auto"/>
          </w:divBdr>
        </w:div>
        <w:div w:id="1738166488">
          <w:marLeft w:val="0"/>
          <w:marRight w:val="0"/>
          <w:marTop w:val="0"/>
          <w:marBottom w:val="0"/>
          <w:divBdr>
            <w:top w:val="none" w:sz="0" w:space="0" w:color="auto"/>
            <w:left w:val="none" w:sz="0" w:space="0" w:color="auto"/>
            <w:bottom w:val="none" w:sz="0" w:space="0" w:color="auto"/>
            <w:right w:val="none" w:sz="0" w:space="0" w:color="auto"/>
          </w:divBdr>
        </w:div>
        <w:div w:id="392388782">
          <w:marLeft w:val="0"/>
          <w:marRight w:val="0"/>
          <w:marTop w:val="0"/>
          <w:marBottom w:val="0"/>
          <w:divBdr>
            <w:top w:val="none" w:sz="0" w:space="0" w:color="auto"/>
            <w:left w:val="none" w:sz="0" w:space="0" w:color="auto"/>
            <w:bottom w:val="none" w:sz="0" w:space="0" w:color="auto"/>
            <w:right w:val="none" w:sz="0" w:space="0" w:color="auto"/>
          </w:divBdr>
        </w:div>
        <w:div w:id="416097137">
          <w:marLeft w:val="0"/>
          <w:marRight w:val="0"/>
          <w:marTop w:val="0"/>
          <w:marBottom w:val="0"/>
          <w:divBdr>
            <w:top w:val="none" w:sz="0" w:space="0" w:color="auto"/>
            <w:left w:val="none" w:sz="0" w:space="0" w:color="auto"/>
            <w:bottom w:val="none" w:sz="0" w:space="0" w:color="auto"/>
            <w:right w:val="none" w:sz="0" w:space="0" w:color="auto"/>
          </w:divBdr>
        </w:div>
        <w:div w:id="723067570">
          <w:marLeft w:val="0"/>
          <w:marRight w:val="0"/>
          <w:marTop w:val="0"/>
          <w:marBottom w:val="0"/>
          <w:divBdr>
            <w:top w:val="none" w:sz="0" w:space="0" w:color="auto"/>
            <w:left w:val="none" w:sz="0" w:space="0" w:color="auto"/>
            <w:bottom w:val="none" w:sz="0" w:space="0" w:color="auto"/>
            <w:right w:val="none" w:sz="0" w:space="0" w:color="auto"/>
          </w:divBdr>
        </w:div>
        <w:div w:id="340091230">
          <w:marLeft w:val="0"/>
          <w:marRight w:val="0"/>
          <w:marTop w:val="0"/>
          <w:marBottom w:val="0"/>
          <w:divBdr>
            <w:top w:val="none" w:sz="0" w:space="0" w:color="auto"/>
            <w:left w:val="none" w:sz="0" w:space="0" w:color="auto"/>
            <w:bottom w:val="none" w:sz="0" w:space="0" w:color="auto"/>
            <w:right w:val="none" w:sz="0" w:space="0" w:color="auto"/>
          </w:divBdr>
        </w:div>
        <w:div w:id="131140296">
          <w:marLeft w:val="0"/>
          <w:marRight w:val="0"/>
          <w:marTop w:val="0"/>
          <w:marBottom w:val="0"/>
          <w:divBdr>
            <w:top w:val="none" w:sz="0" w:space="0" w:color="auto"/>
            <w:left w:val="none" w:sz="0" w:space="0" w:color="auto"/>
            <w:bottom w:val="none" w:sz="0" w:space="0" w:color="auto"/>
            <w:right w:val="none" w:sz="0" w:space="0" w:color="auto"/>
          </w:divBdr>
        </w:div>
        <w:div w:id="620839587">
          <w:marLeft w:val="0"/>
          <w:marRight w:val="0"/>
          <w:marTop w:val="0"/>
          <w:marBottom w:val="0"/>
          <w:divBdr>
            <w:top w:val="none" w:sz="0" w:space="0" w:color="auto"/>
            <w:left w:val="none" w:sz="0" w:space="0" w:color="auto"/>
            <w:bottom w:val="none" w:sz="0" w:space="0" w:color="auto"/>
            <w:right w:val="none" w:sz="0" w:space="0" w:color="auto"/>
          </w:divBdr>
        </w:div>
        <w:div w:id="2097898775">
          <w:marLeft w:val="0"/>
          <w:marRight w:val="0"/>
          <w:marTop w:val="0"/>
          <w:marBottom w:val="0"/>
          <w:divBdr>
            <w:top w:val="none" w:sz="0" w:space="0" w:color="auto"/>
            <w:left w:val="none" w:sz="0" w:space="0" w:color="auto"/>
            <w:bottom w:val="none" w:sz="0" w:space="0" w:color="auto"/>
            <w:right w:val="none" w:sz="0" w:space="0" w:color="auto"/>
          </w:divBdr>
        </w:div>
        <w:div w:id="1038774406">
          <w:marLeft w:val="0"/>
          <w:marRight w:val="0"/>
          <w:marTop w:val="0"/>
          <w:marBottom w:val="0"/>
          <w:divBdr>
            <w:top w:val="none" w:sz="0" w:space="0" w:color="auto"/>
            <w:left w:val="none" w:sz="0" w:space="0" w:color="auto"/>
            <w:bottom w:val="none" w:sz="0" w:space="0" w:color="auto"/>
            <w:right w:val="none" w:sz="0" w:space="0" w:color="auto"/>
          </w:divBdr>
        </w:div>
        <w:div w:id="7293090">
          <w:marLeft w:val="0"/>
          <w:marRight w:val="0"/>
          <w:marTop w:val="0"/>
          <w:marBottom w:val="0"/>
          <w:divBdr>
            <w:top w:val="none" w:sz="0" w:space="0" w:color="auto"/>
            <w:left w:val="none" w:sz="0" w:space="0" w:color="auto"/>
            <w:bottom w:val="none" w:sz="0" w:space="0" w:color="auto"/>
            <w:right w:val="none" w:sz="0" w:space="0" w:color="auto"/>
          </w:divBdr>
        </w:div>
        <w:div w:id="52780553">
          <w:marLeft w:val="0"/>
          <w:marRight w:val="0"/>
          <w:marTop w:val="0"/>
          <w:marBottom w:val="0"/>
          <w:divBdr>
            <w:top w:val="none" w:sz="0" w:space="0" w:color="auto"/>
            <w:left w:val="none" w:sz="0" w:space="0" w:color="auto"/>
            <w:bottom w:val="none" w:sz="0" w:space="0" w:color="auto"/>
            <w:right w:val="none" w:sz="0" w:space="0" w:color="auto"/>
          </w:divBdr>
        </w:div>
        <w:div w:id="467557084">
          <w:marLeft w:val="0"/>
          <w:marRight w:val="0"/>
          <w:marTop w:val="0"/>
          <w:marBottom w:val="0"/>
          <w:divBdr>
            <w:top w:val="none" w:sz="0" w:space="0" w:color="auto"/>
            <w:left w:val="none" w:sz="0" w:space="0" w:color="auto"/>
            <w:bottom w:val="none" w:sz="0" w:space="0" w:color="auto"/>
            <w:right w:val="none" w:sz="0" w:space="0" w:color="auto"/>
          </w:divBdr>
        </w:div>
        <w:div w:id="1299842737">
          <w:marLeft w:val="0"/>
          <w:marRight w:val="0"/>
          <w:marTop w:val="0"/>
          <w:marBottom w:val="0"/>
          <w:divBdr>
            <w:top w:val="none" w:sz="0" w:space="0" w:color="auto"/>
            <w:left w:val="none" w:sz="0" w:space="0" w:color="auto"/>
            <w:bottom w:val="none" w:sz="0" w:space="0" w:color="auto"/>
            <w:right w:val="none" w:sz="0" w:space="0" w:color="auto"/>
          </w:divBdr>
        </w:div>
        <w:div w:id="746997854">
          <w:marLeft w:val="0"/>
          <w:marRight w:val="0"/>
          <w:marTop w:val="0"/>
          <w:marBottom w:val="0"/>
          <w:divBdr>
            <w:top w:val="none" w:sz="0" w:space="0" w:color="auto"/>
            <w:left w:val="none" w:sz="0" w:space="0" w:color="auto"/>
            <w:bottom w:val="none" w:sz="0" w:space="0" w:color="auto"/>
            <w:right w:val="none" w:sz="0" w:space="0" w:color="auto"/>
          </w:divBdr>
        </w:div>
        <w:div w:id="1447386887">
          <w:marLeft w:val="0"/>
          <w:marRight w:val="0"/>
          <w:marTop w:val="0"/>
          <w:marBottom w:val="0"/>
          <w:divBdr>
            <w:top w:val="none" w:sz="0" w:space="0" w:color="auto"/>
            <w:left w:val="none" w:sz="0" w:space="0" w:color="auto"/>
            <w:bottom w:val="none" w:sz="0" w:space="0" w:color="auto"/>
            <w:right w:val="none" w:sz="0" w:space="0" w:color="auto"/>
          </w:divBdr>
        </w:div>
        <w:div w:id="955138942">
          <w:marLeft w:val="0"/>
          <w:marRight w:val="0"/>
          <w:marTop w:val="0"/>
          <w:marBottom w:val="0"/>
          <w:divBdr>
            <w:top w:val="none" w:sz="0" w:space="0" w:color="auto"/>
            <w:left w:val="none" w:sz="0" w:space="0" w:color="auto"/>
            <w:bottom w:val="none" w:sz="0" w:space="0" w:color="auto"/>
            <w:right w:val="none" w:sz="0" w:space="0" w:color="auto"/>
          </w:divBdr>
        </w:div>
        <w:div w:id="1165820058">
          <w:marLeft w:val="0"/>
          <w:marRight w:val="0"/>
          <w:marTop w:val="0"/>
          <w:marBottom w:val="0"/>
          <w:divBdr>
            <w:top w:val="none" w:sz="0" w:space="0" w:color="auto"/>
            <w:left w:val="none" w:sz="0" w:space="0" w:color="auto"/>
            <w:bottom w:val="none" w:sz="0" w:space="0" w:color="auto"/>
            <w:right w:val="none" w:sz="0" w:space="0" w:color="auto"/>
          </w:divBdr>
        </w:div>
        <w:div w:id="633752576">
          <w:marLeft w:val="0"/>
          <w:marRight w:val="0"/>
          <w:marTop w:val="0"/>
          <w:marBottom w:val="0"/>
          <w:divBdr>
            <w:top w:val="none" w:sz="0" w:space="0" w:color="auto"/>
            <w:left w:val="none" w:sz="0" w:space="0" w:color="auto"/>
            <w:bottom w:val="none" w:sz="0" w:space="0" w:color="auto"/>
            <w:right w:val="none" w:sz="0" w:space="0" w:color="auto"/>
          </w:divBdr>
        </w:div>
        <w:div w:id="1188790232">
          <w:marLeft w:val="0"/>
          <w:marRight w:val="0"/>
          <w:marTop w:val="0"/>
          <w:marBottom w:val="0"/>
          <w:divBdr>
            <w:top w:val="none" w:sz="0" w:space="0" w:color="auto"/>
            <w:left w:val="none" w:sz="0" w:space="0" w:color="auto"/>
            <w:bottom w:val="none" w:sz="0" w:space="0" w:color="auto"/>
            <w:right w:val="none" w:sz="0" w:space="0" w:color="auto"/>
          </w:divBdr>
        </w:div>
        <w:div w:id="638001321">
          <w:marLeft w:val="0"/>
          <w:marRight w:val="0"/>
          <w:marTop w:val="0"/>
          <w:marBottom w:val="0"/>
          <w:divBdr>
            <w:top w:val="none" w:sz="0" w:space="0" w:color="auto"/>
            <w:left w:val="none" w:sz="0" w:space="0" w:color="auto"/>
            <w:bottom w:val="none" w:sz="0" w:space="0" w:color="auto"/>
            <w:right w:val="none" w:sz="0" w:space="0" w:color="auto"/>
          </w:divBdr>
        </w:div>
        <w:div w:id="147748292">
          <w:marLeft w:val="0"/>
          <w:marRight w:val="0"/>
          <w:marTop w:val="0"/>
          <w:marBottom w:val="0"/>
          <w:divBdr>
            <w:top w:val="none" w:sz="0" w:space="0" w:color="auto"/>
            <w:left w:val="none" w:sz="0" w:space="0" w:color="auto"/>
            <w:bottom w:val="none" w:sz="0" w:space="0" w:color="auto"/>
            <w:right w:val="none" w:sz="0" w:space="0" w:color="auto"/>
          </w:divBdr>
        </w:div>
        <w:div w:id="197551073">
          <w:marLeft w:val="0"/>
          <w:marRight w:val="0"/>
          <w:marTop w:val="0"/>
          <w:marBottom w:val="0"/>
          <w:divBdr>
            <w:top w:val="none" w:sz="0" w:space="0" w:color="auto"/>
            <w:left w:val="none" w:sz="0" w:space="0" w:color="auto"/>
            <w:bottom w:val="none" w:sz="0" w:space="0" w:color="auto"/>
            <w:right w:val="none" w:sz="0" w:space="0" w:color="auto"/>
          </w:divBdr>
        </w:div>
        <w:div w:id="1340280513">
          <w:marLeft w:val="0"/>
          <w:marRight w:val="0"/>
          <w:marTop w:val="0"/>
          <w:marBottom w:val="0"/>
          <w:divBdr>
            <w:top w:val="none" w:sz="0" w:space="0" w:color="auto"/>
            <w:left w:val="none" w:sz="0" w:space="0" w:color="auto"/>
            <w:bottom w:val="none" w:sz="0" w:space="0" w:color="auto"/>
            <w:right w:val="none" w:sz="0" w:space="0" w:color="auto"/>
          </w:divBdr>
        </w:div>
        <w:div w:id="6055868">
          <w:marLeft w:val="0"/>
          <w:marRight w:val="0"/>
          <w:marTop w:val="0"/>
          <w:marBottom w:val="0"/>
          <w:divBdr>
            <w:top w:val="none" w:sz="0" w:space="0" w:color="auto"/>
            <w:left w:val="none" w:sz="0" w:space="0" w:color="auto"/>
            <w:bottom w:val="none" w:sz="0" w:space="0" w:color="auto"/>
            <w:right w:val="none" w:sz="0" w:space="0" w:color="auto"/>
          </w:divBdr>
        </w:div>
        <w:div w:id="1057363839">
          <w:marLeft w:val="0"/>
          <w:marRight w:val="0"/>
          <w:marTop w:val="0"/>
          <w:marBottom w:val="0"/>
          <w:divBdr>
            <w:top w:val="none" w:sz="0" w:space="0" w:color="auto"/>
            <w:left w:val="none" w:sz="0" w:space="0" w:color="auto"/>
            <w:bottom w:val="none" w:sz="0" w:space="0" w:color="auto"/>
            <w:right w:val="none" w:sz="0" w:space="0" w:color="auto"/>
          </w:divBdr>
        </w:div>
        <w:div w:id="1880704251">
          <w:marLeft w:val="0"/>
          <w:marRight w:val="0"/>
          <w:marTop w:val="0"/>
          <w:marBottom w:val="0"/>
          <w:divBdr>
            <w:top w:val="none" w:sz="0" w:space="0" w:color="auto"/>
            <w:left w:val="none" w:sz="0" w:space="0" w:color="auto"/>
            <w:bottom w:val="none" w:sz="0" w:space="0" w:color="auto"/>
            <w:right w:val="none" w:sz="0" w:space="0" w:color="auto"/>
          </w:divBdr>
        </w:div>
        <w:div w:id="2140996428">
          <w:marLeft w:val="0"/>
          <w:marRight w:val="0"/>
          <w:marTop w:val="0"/>
          <w:marBottom w:val="0"/>
          <w:divBdr>
            <w:top w:val="none" w:sz="0" w:space="0" w:color="auto"/>
            <w:left w:val="none" w:sz="0" w:space="0" w:color="auto"/>
            <w:bottom w:val="none" w:sz="0" w:space="0" w:color="auto"/>
            <w:right w:val="none" w:sz="0" w:space="0" w:color="auto"/>
          </w:divBdr>
        </w:div>
        <w:div w:id="138957450">
          <w:marLeft w:val="0"/>
          <w:marRight w:val="0"/>
          <w:marTop w:val="0"/>
          <w:marBottom w:val="0"/>
          <w:divBdr>
            <w:top w:val="none" w:sz="0" w:space="0" w:color="auto"/>
            <w:left w:val="none" w:sz="0" w:space="0" w:color="auto"/>
            <w:bottom w:val="none" w:sz="0" w:space="0" w:color="auto"/>
            <w:right w:val="none" w:sz="0" w:space="0" w:color="auto"/>
          </w:divBdr>
        </w:div>
        <w:div w:id="261957747">
          <w:marLeft w:val="0"/>
          <w:marRight w:val="0"/>
          <w:marTop w:val="0"/>
          <w:marBottom w:val="0"/>
          <w:divBdr>
            <w:top w:val="none" w:sz="0" w:space="0" w:color="auto"/>
            <w:left w:val="none" w:sz="0" w:space="0" w:color="auto"/>
            <w:bottom w:val="none" w:sz="0" w:space="0" w:color="auto"/>
            <w:right w:val="none" w:sz="0" w:space="0" w:color="auto"/>
          </w:divBdr>
        </w:div>
        <w:div w:id="1151365324">
          <w:marLeft w:val="0"/>
          <w:marRight w:val="0"/>
          <w:marTop w:val="0"/>
          <w:marBottom w:val="0"/>
          <w:divBdr>
            <w:top w:val="none" w:sz="0" w:space="0" w:color="auto"/>
            <w:left w:val="none" w:sz="0" w:space="0" w:color="auto"/>
            <w:bottom w:val="none" w:sz="0" w:space="0" w:color="auto"/>
            <w:right w:val="none" w:sz="0" w:space="0" w:color="auto"/>
          </w:divBdr>
        </w:div>
        <w:div w:id="1840778690">
          <w:marLeft w:val="0"/>
          <w:marRight w:val="0"/>
          <w:marTop w:val="0"/>
          <w:marBottom w:val="0"/>
          <w:divBdr>
            <w:top w:val="none" w:sz="0" w:space="0" w:color="auto"/>
            <w:left w:val="none" w:sz="0" w:space="0" w:color="auto"/>
            <w:bottom w:val="none" w:sz="0" w:space="0" w:color="auto"/>
            <w:right w:val="none" w:sz="0" w:space="0" w:color="auto"/>
          </w:divBdr>
        </w:div>
        <w:div w:id="1273169422">
          <w:marLeft w:val="0"/>
          <w:marRight w:val="0"/>
          <w:marTop w:val="0"/>
          <w:marBottom w:val="0"/>
          <w:divBdr>
            <w:top w:val="none" w:sz="0" w:space="0" w:color="auto"/>
            <w:left w:val="none" w:sz="0" w:space="0" w:color="auto"/>
            <w:bottom w:val="none" w:sz="0" w:space="0" w:color="auto"/>
            <w:right w:val="none" w:sz="0" w:space="0" w:color="auto"/>
          </w:divBdr>
        </w:div>
        <w:div w:id="1081414318">
          <w:marLeft w:val="0"/>
          <w:marRight w:val="0"/>
          <w:marTop w:val="0"/>
          <w:marBottom w:val="0"/>
          <w:divBdr>
            <w:top w:val="none" w:sz="0" w:space="0" w:color="auto"/>
            <w:left w:val="none" w:sz="0" w:space="0" w:color="auto"/>
            <w:bottom w:val="none" w:sz="0" w:space="0" w:color="auto"/>
            <w:right w:val="none" w:sz="0" w:space="0" w:color="auto"/>
          </w:divBdr>
        </w:div>
        <w:div w:id="798648116">
          <w:marLeft w:val="0"/>
          <w:marRight w:val="0"/>
          <w:marTop w:val="0"/>
          <w:marBottom w:val="0"/>
          <w:divBdr>
            <w:top w:val="none" w:sz="0" w:space="0" w:color="auto"/>
            <w:left w:val="none" w:sz="0" w:space="0" w:color="auto"/>
            <w:bottom w:val="none" w:sz="0" w:space="0" w:color="auto"/>
            <w:right w:val="none" w:sz="0" w:space="0" w:color="auto"/>
          </w:divBdr>
        </w:div>
        <w:div w:id="1338994039">
          <w:marLeft w:val="0"/>
          <w:marRight w:val="0"/>
          <w:marTop w:val="0"/>
          <w:marBottom w:val="0"/>
          <w:divBdr>
            <w:top w:val="none" w:sz="0" w:space="0" w:color="auto"/>
            <w:left w:val="none" w:sz="0" w:space="0" w:color="auto"/>
            <w:bottom w:val="none" w:sz="0" w:space="0" w:color="auto"/>
            <w:right w:val="none" w:sz="0" w:space="0" w:color="auto"/>
          </w:divBdr>
        </w:div>
        <w:div w:id="298614427">
          <w:marLeft w:val="0"/>
          <w:marRight w:val="0"/>
          <w:marTop w:val="0"/>
          <w:marBottom w:val="0"/>
          <w:divBdr>
            <w:top w:val="none" w:sz="0" w:space="0" w:color="auto"/>
            <w:left w:val="none" w:sz="0" w:space="0" w:color="auto"/>
            <w:bottom w:val="none" w:sz="0" w:space="0" w:color="auto"/>
            <w:right w:val="none" w:sz="0" w:space="0" w:color="auto"/>
          </w:divBdr>
        </w:div>
        <w:div w:id="654382283">
          <w:marLeft w:val="0"/>
          <w:marRight w:val="0"/>
          <w:marTop w:val="0"/>
          <w:marBottom w:val="0"/>
          <w:divBdr>
            <w:top w:val="none" w:sz="0" w:space="0" w:color="auto"/>
            <w:left w:val="none" w:sz="0" w:space="0" w:color="auto"/>
            <w:bottom w:val="none" w:sz="0" w:space="0" w:color="auto"/>
            <w:right w:val="none" w:sz="0" w:space="0" w:color="auto"/>
          </w:divBdr>
        </w:div>
        <w:div w:id="1080912096">
          <w:marLeft w:val="0"/>
          <w:marRight w:val="0"/>
          <w:marTop w:val="0"/>
          <w:marBottom w:val="0"/>
          <w:divBdr>
            <w:top w:val="none" w:sz="0" w:space="0" w:color="auto"/>
            <w:left w:val="none" w:sz="0" w:space="0" w:color="auto"/>
            <w:bottom w:val="none" w:sz="0" w:space="0" w:color="auto"/>
            <w:right w:val="none" w:sz="0" w:space="0" w:color="auto"/>
          </w:divBdr>
        </w:div>
        <w:div w:id="2098548714">
          <w:marLeft w:val="0"/>
          <w:marRight w:val="0"/>
          <w:marTop w:val="0"/>
          <w:marBottom w:val="0"/>
          <w:divBdr>
            <w:top w:val="none" w:sz="0" w:space="0" w:color="auto"/>
            <w:left w:val="none" w:sz="0" w:space="0" w:color="auto"/>
            <w:bottom w:val="none" w:sz="0" w:space="0" w:color="auto"/>
            <w:right w:val="none" w:sz="0" w:space="0" w:color="auto"/>
          </w:divBdr>
        </w:div>
        <w:div w:id="1892109876">
          <w:marLeft w:val="0"/>
          <w:marRight w:val="0"/>
          <w:marTop w:val="0"/>
          <w:marBottom w:val="0"/>
          <w:divBdr>
            <w:top w:val="none" w:sz="0" w:space="0" w:color="auto"/>
            <w:left w:val="none" w:sz="0" w:space="0" w:color="auto"/>
            <w:bottom w:val="none" w:sz="0" w:space="0" w:color="auto"/>
            <w:right w:val="none" w:sz="0" w:space="0" w:color="auto"/>
          </w:divBdr>
        </w:div>
        <w:div w:id="1198619231">
          <w:marLeft w:val="0"/>
          <w:marRight w:val="0"/>
          <w:marTop w:val="0"/>
          <w:marBottom w:val="0"/>
          <w:divBdr>
            <w:top w:val="none" w:sz="0" w:space="0" w:color="auto"/>
            <w:left w:val="none" w:sz="0" w:space="0" w:color="auto"/>
            <w:bottom w:val="none" w:sz="0" w:space="0" w:color="auto"/>
            <w:right w:val="none" w:sz="0" w:space="0" w:color="auto"/>
          </w:divBdr>
        </w:div>
        <w:div w:id="765421517">
          <w:marLeft w:val="0"/>
          <w:marRight w:val="0"/>
          <w:marTop w:val="0"/>
          <w:marBottom w:val="0"/>
          <w:divBdr>
            <w:top w:val="none" w:sz="0" w:space="0" w:color="auto"/>
            <w:left w:val="none" w:sz="0" w:space="0" w:color="auto"/>
            <w:bottom w:val="none" w:sz="0" w:space="0" w:color="auto"/>
            <w:right w:val="none" w:sz="0" w:space="0" w:color="auto"/>
          </w:divBdr>
        </w:div>
        <w:div w:id="1122844439">
          <w:marLeft w:val="0"/>
          <w:marRight w:val="0"/>
          <w:marTop w:val="0"/>
          <w:marBottom w:val="0"/>
          <w:divBdr>
            <w:top w:val="none" w:sz="0" w:space="0" w:color="auto"/>
            <w:left w:val="none" w:sz="0" w:space="0" w:color="auto"/>
            <w:bottom w:val="none" w:sz="0" w:space="0" w:color="auto"/>
            <w:right w:val="none" w:sz="0" w:space="0" w:color="auto"/>
          </w:divBdr>
        </w:div>
        <w:div w:id="1939945291">
          <w:marLeft w:val="0"/>
          <w:marRight w:val="0"/>
          <w:marTop w:val="0"/>
          <w:marBottom w:val="0"/>
          <w:divBdr>
            <w:top w:val="none" w:sz="0" w:space="0" w:color="auto"/>
            <w:left w:val="none" w:sz="0" w:space="0" w:color="auto"/>
            <w:bottom w:val="none" w:sz="0" w:space="0" w:color="auto"/>
            <w:right w:val="none" w:sz="0" w:space="0" w:color="auto"/>
          </w:divBdr>
        </w:div>
        <w:div w:id="1666593203">
          <w:marLeft w:val="0"/>
          <w:marRight w:val="0"/>
          <w:marTop w:val="0"/>
          <w:marBottom w:val="0"/>
          <w:divBdr>
            <w:top w:val="none" w:sz="0" w:space="0" w:color="auto"/>
            <w:left w:val="none" w:sz="0" w:space="0" w:color="auto"/>
            <w:bottom w:val="none" w:sz="0" w:space="0" w:color="auto"/>
            <w:right w:val="none" w:sz="0" w:space="0" w:color="auto"/>
          </w:divBdr>
        </w:div>
        <w:div w:id="803500983">
          <w:marLeft w:val="0"/>
          <w:marRight w:val="0"/>
          <w:marTop w:val="0"/>
          <w:marBottom w:val="0"/>
          <w:divBdr>
            <w:top w:val="none" w:sz="0" w:space="0" w:color="auto"/>
            <w:left w:val="none" w:sz="0" w:space="0" w:color="auto"/>
            <w:bottom w:val="none" w:sz="0" w:space="0" w:color="auto"/>
            <w:right w:val="none" w:sz="0" w:space="0" w:color="auto"/>
          </w:divBdr>
        </w:div>
        <w:div w:id="1417939147">
          <w:marLeft w:val="0"/>
          <w:marRight w:val="0"/>
          <w:marTop w:val="0"/>
          <w:marBottom w:val="0"/>
          <w:divBdr>
            <w:top w:val="none" w:sz="0" w:space="0" w:color="auto"/>
            <w:left w:val="none" w:sz="0" w:space="0" w:color="auto"/>
            <w:bottom w:val="none" w:sz="0" w:space="0" w:color="auto"/>
            <w:right w:val="none" w:sz="0" w:space="0" w:color="auto"/>
          </w:divBdr>
        </w:div>
        <w:div w:id="1291323514">
          <w:marLeft w:val="0"/>
          <w:marRight w:val="0"/>
          <w:marTop w:val="0"/>
          <w:marBottom w:val="0"/>
          <w:divBdr>
            <w:top w:val="none" w:sz="0" w:space="0" w:color="auto"/>
            <w:left w:val="none" w:sz="0" w:space="0" w:color="auto"/>
            <w:bottom w:val="none" w:sz="0" w:space="0" w:color="auto"/>
            <w:right w:val="none" w:sz="0" w:space="0" w:color="auto"/>
          </w:divBdr>
        </w:div>
        <w:div w:id="838277673">
          <w:marLeft w:val="0"/>
          <w:marRight w:val="0"/>
          <w:marTop w:val="0"/>
          <w:marBottom w:val="0"/>
          <w:divBdr>
            <w:top w:val="none" w:sz="0" w:space="0" w:color="auto"/>
            <w:left w:val="none" w:sz="0" w:space="0" w:color="auto"/>
            <w:bottom w:val="none" w:sz="0" w:space="0" w:color="auto"/>
            <w:right w:val="none" w:sz="0" w:space="0" w:color="auto"/>
          </w:divBdr>
        </w:div>
        <w:div w:id="532115101">
          <w:marLeft w:val="0"/>
          <w:marRight w:val="0"/>
          <w:marTop w:val="0"/>
          <w:marBottom w:val="0"/>
          <w:divBdr>
            <w:top w:val="none" w:sz="0" w:space="0" w:color="auto"/>
            <w:left w:val="none" w:sz="0" w:space="0" w:color="auto"/>
            <w:bottom w:val="none" w:sz="0" w:space="0" w:color="auto"/>
            <w:right w:val="none" w:sz="0" w:space="0" w:color="auto"/>
          </w:divBdr>
        </w:div>
        <w:div w:id="458569758">
          <w:marLeft w:val="0"/>
          <w:marRight w:val="0"/>
          <w:marTop w:val="0"/>
          <w:marBottom w:val="0"/>
          <w:divBdr>
            <w:top w:val="none" w:sz="0" w:space="0" w:color="auto"/>
            <w:left w:val="none" w:sz="0" w:space="0" w:color="auto"/>
            <w:bottom w:val="none" w:sz="0" w:space="0" w:color="auto"/>
            <w:right w:val="none" w:sz="0" w:space="0" w:color="auto"/>
          </w:divBdr>
        </w:div>
        <w:div w:id="2016612169">
          <w:marLeft w:val="0"/>
          <w:marRight w:val="0"/>
          <w:marTop w:val="0"/>
          <w:marBottom w:val="0"/>
          <w:divBdr>
            <w:top w:val="none" w:sz="0" w:space="0" w:color="auto"/>
            <w:left w:val="none" w:sz="0" w:space="0" w:color="auto"/>
            <w:bottom w:val="none" w:sz="0" w:space="0" w:color="auto"/>
            <w:right w:val="none" w:sz="0" w:space="0" w:color="auto"/>
          </w:divBdr>
        </w:div>
        <w:div w:id="1891183919">
          <w:marLeft w:val="0"/>
          <w:marRight w:val="0"/>
          <w:marTop w:val="0"/>
          <w:marBottom w:val="0"/>
          <w:divBdr>
            <w:top w:val="none" w:sz="0" w:space="0" w:color="auto"/>
            <w:left w:val="none" w:sz="0" w:space="0" w:color="auto"/>
            <w:bottom w:val="none" w:sz="0" w:space="0" w:color="auto"/>
            <w:right w:val="none" w:sz="0" w:space="0" w:color="auto"/>
          </w:divBdr>
        </w:div>
        <w:div w:id="97914471">
          <w:marLeft w:val="0"/>
          <w:marRight w:val="0"/>
          <w:marTop w:val="0"/>
          <w:marBottom w:val="0"/>
          <w:divBdr>
            <w:top w:val="none" w:sz="0" w:space="0" w:color="auto"/>
            <w:left w:val="none" w:sz="0" w:space="0" w:color="auto"/>
            <w:bottom w:val="none" w:sz="0" w:space="0" w:color="auto"/>
            <w:right w:val="none" w:sz="0" w:space="0" w:color="auto"/>
          </w:divBdr>
        </w:div>
        <w:div w:id="612709705">
          <w:marLeft w:val="0"/>
          <w:marRight w:val="0"/>
          <w:marTop w:val="0"/>
          <w:marBottom w:val="0"/>
          <w:divBdr>
            <w:top w:val="none" w:sz="0" w:space="0" w:color="auto"/>
            <w:left w:val="none" w:sz="0" w:space="0" w:color="auto"/>
            <w:bottom w:val="none" w:sz="0" w:space="0" w:color="auto"/>
            <w:right w:val="none" w:sz="0" w:space="0" w:color="auto"/>
          </w:divBdr>
        </w:div>
        <w:div w:id="1239291931">
          <w:marLeft w:val="0"/>
          <w:marRight w:val="0"/>
          <w:marTop w:val="0"/>
          <w:marBottom w:val="0"/>
          <w:divBdr>
            <w:top w:val="none" w:sz="0" w:space="0" w:color="auto"/>
            <w:left w:val="none" w:sz="0" w:space="0" w:color="auto"/>
            <w:bottom w:val="none" w:sz="0" w:space="0" w:color="auto"/>
            <w:right w:val="none" w:sz="0" w:space="0" w:color="auto"/>
          </w:divBdr>
        </w:div>
        <w:div w:id="1391221949">
          <w:marLeft w:val="0"/>
          <w:marRight w:val="0"/>
          <w:marTop w:val="0"/>
          <w:marBottom w:val="0"/>
          <w:divBdr>
            <w:top w:val="none" w:sz="0" w:space="0" w:color="auto"/>
            <w:left w:val="none" w:sz="0" w:space="0" w:color="auto"/>
            <w:bottom w:val="none" w:sz="0" w:space="0" w:color="auto"/>
            <w:right w:val="none" w:sz="0" w:space="0" w:color="auto"/>
          </w:divBdr>
        </w:div>
        <w:div w:id="1400127798">
          <w:marLeft w:val="0"/>
          <w:marRight w:val="0"/>
          <w:marTop w:val="0"/>
          <w:marBottom w:val="0"/>
          <w:divBdr>
            <w:top w:val="none" w:sz="0" w:space="0" w:color="auto"/>
            <w:left w:val="none" w:sz="0" w:space="0" w:color="auto"/>
            <w:bottom w:val="none" w:sz="0" w:space="0" w:color="auto"/>
            <w:right w:val="none" w:sz="0" w:space="0" w:color="auto"/>
          </w:divBdr>
        </w:div>
        <w:div w:id="1241142086">
          <w:marLeft w:val="0"/>
          <w:marRight w:val="0"/>
          <w:marTop w:val="0"/>
          <w:marBottom w:val="0"/>
          <w:divBdr>
            <w:top w:val="none" w:sz="0" w:space="0" w:color="auto"/>
            <w:left w:val="none" w:sz="0" w:space="0" w:color="auto"/>
            <w:bottom w:val="none" w:sz="0" w:space="0" w:color="auto"/>
            <w:right w:val="none" w:sz="0" w:space="0" w:color="auto"/>
          </w:divBdr>
        </w:div>
        <w:div w:id="1013872761">
          <w:marLeft w:val="0"/>
          <w:marRight w:val="0"/>
          <w:marTop w:val="0"/>
          <w:marBottom w:val="0"/>
          <w:divBdr>
            <w:top w:val="none" w:sz="0" w:space="0" w:color="auto"/>
            <w:left w:val="none" w:sz="0" w:space="0" w:color="auto"/>
            <w:bottom w:val="none" w:sz="0" w:space="0" w:color="auto"/>
            <w:right w:val="none" w:sz="0" w:space="0" w:color="auto"/>
          </w:divBdr>
        </w:div>
        <w:div w:id="1844202309">
          <w:marLeft w:val="0"/>
          <w:marRight w:val="0"/>
          <w:marTop w:val="0"/>
          <w:marBottom w:val="0"/>
          <w:divBdr>
            <w:top w:val="none" w:sz="0" w:space="0" w:color="auto"/>
            <w:left w:val="none" w:sz="0" w:space="0" w:color="auto"/>
            <w:bottom w:val="none" w:sz="0" w:space="0" w:color="auto"/>
            <w:right w:val="none" w:sz="0" w:space="0" w:color="auto"/>
          </w:divBdr>
        </w:div>
        <w:div w:id="1067731388">
          <w:marLeft w:val="0"/>
          <w:marRight w:val="0"/>
          <w:marTop w:val="0"/>
          <w:marBottom w:val="0"/>
          <w:divBdr>
            <w:top w:val="none" w:sz="0" w:space="0" w:color="auto"/>
            <w:left w:val="none" w:sz="0" w:space="0" w:color="auto"/>
            <w:bottom w:val="none" w:sz="0" w:space="0" w:color="auto"/>
            <w:right w:val="none" w:sz="0" w:space="0" w:color="auto"/>
          </w:divBdr>
        </w:div>
        <w:div w:id="1015769768">
          <w:marLeft w:val="0"/>
          <w:marRight w:val="0"/>
          <w:marTop w:val="0"/>
          <w:marBottom w:val="0"/>
          <w:divBdr>
            <w:top w:val="none" w:sz="0" w:space="0" w:color="auto"/>
            <w:left w:val="none" w:sz="0" w:space="0" w:color="auto"/>
            <w:bottom w:val="none" w:sz="0" w:space="0" w:color="auto"/>
            <w:right w:val="none" w:sz="0" w:space="0" w:color="auto"/>
          </w:divBdr>
        </w:div>
        <w:div w:id="1481195715">
          <w:marLeft w:val="0"/>
          <w:marRight w:val="0"/>
          <w:marTop w:val="0"/>
          <w:marBottom w:val="0"/>
          <w:divBdr>
            <w:top w:val="none" w:sz="0" w:space="0" w:color="auto"/>
            <w:left w:val="none" w:sz="0" w:space="0" w:color="auto"/>
            <w:bottom w:val="none" w:sz="0" w:space="0" w:color="auto"/>
            <w:right w:val="none" w:sz="0" w:space="0" w:color="auto"/>
          </w:divBdr>
        </w:div>
        <w:div w:id="585193181">
          <w:marLeft w:val="0"/>
          <w:marRight w:val="0"/>
          <w:marTop w:val="0"/>
          <w:marBottom w:val="0"/>
          <w:divBdr>
            <w:top w:val="none" w:sz="0" w:space="0" w:color="auto"/>
            <w:left w:val="none" w:sz="0" w:space="0" w:color="auto"/>
            <w:bottom w:val="none" w:sz="0" w:space="0" w:color="auto"/>
            <w:right w:val="none" w:sz="0" w:space="0" w:color="auto"/>
          </w:divBdr>
        </w:div>
        <w:div w:id="2050911671">
          <w:marLeft w:val="0"/>
          <w:marRight w:val="0"/>
          <w:marTop w:val="0"/>
          <w:marBottom w:val="0"/>
          <w:divBdr>
            <w:top w:val="none" w:sz="0" w:space="0" w:color="auto"/>
            <w:left w:val="none" w:sz="0" w:space="0" w:color="auto"/>
            <w:bottom w:val="none" w:sz="0" w:space="0" w:color="auto"/>
            <w:right w:val="none" w:sz="0" w:space="0" w:color="auto"/>
          </w:divBdr>
        </w:div>
        <w:div w:id="1051853043">
          <w:marLeft w:val="0"/>
          <w:marRight w:val="0"/>
          <w:marTop w:val="0"/>
          <w:marBottom w:val="0"/>
          <w:divBdr>
            <w:top w:val="none" w:sz="0" w:space="0" w:color="auto"/>
            <w:left w:val="none" w:sz="0" w:space="0" w:color="auto"/>
            <w:bottom w:val="none" w:sz="0" w:space="0" w:color="auto"/>
            <w:right w:val="none" w:sz="0" w:space="0" w:color="auto"/>
          </w:divBdr>
        </w:div>
        <w:div w:id="2025932401">
          <w:marLeft w:val="0"/>
          <w:marRight w:val="0"/>
          <w:marTop w:val="0"/>
          <w:marBottom w:val="0"/>
          <w:divBdr>
            <w:top w:val="none" w:sz="0" w:space="0" w:color="auto"/>
            <w:left w:val="none" w:sz="0" w:space="0" w:color="auto"/>
            <w:bottom w:val="none" w:sz="0" w:space="0" w:color="auto"/>
            <w:right w:val="none" w:sz="0" w:space="0" w:color="auto"/>
          </w:divBdr>
        </w:div>
        <w:div w:id="156848929">
          <w:marLeft w:val="0"/>
          <w:marRight w:val="0"/>
          <w:marTop w:val="0"/>
          <w:marBottom w:val="0"/>
          <w:divBdr>
            <w:top w:val="none" w:sz="0" w:space="0" w:color="auto"/>
            <w:left w:val="none" w:sz="0" w:space="0" w:color="auto"/>
            <w:bottom w:val="none" w:sz="0" w:space="0" w:color="auto"/>
            <w:right w:val="none" w:sz="0" w:space="0" w:color="auto"/>
          </w:divBdr>
        </w:div>
        <w:div w:id="905409777">
          <w:marLeft w:val="0"/>
          <w:marRight w:val="0"/>
          <w:marTop w:val="0"/>
          <w:marBottom w:val="0"/>
          <w:divBdr>
            <w:top w:val="none" w:sz="0" w:space="0" w:color="auto"/>
            <w:left w:val="none" w:sz="0" w:space="0" w:color="auto"/>
            <w:bottom w:val="none" w:sz="0" w:space="0" w:color="auto"/>
            <w:right w:val="none" w:sz="0" w:space="0" w:color="auto"/>
          </w:divBdr>
        </w:div>
        <w:div w:id="1872184642">
          <w:marLeft w:val="0"/>
          <w:marRight w:val="0"/>
          <w:marTop w:val="0"/>
          <w:marBottom w:val="0"/>
          <w:divBdr>
            <w:top w:val="none" w:sz="0" w:space="0" w:color="auto"/>
            <w:left w:val="none" w:sz="0" w:space="0" w:color="auto"/>
            <w:bottom w:val="none" w:sz="0" w:space="0" w:color="auto"/>
            <w:right w:val="none" w:sz="0" w:space="0" w:color="auto"/>
          </w:divBdr>
        </w:div>
        <w:div w:id="14430601">
          <w:marLeft w:val="0"/>
          <w:marRight w:val="0"/>
          <w:marTop w:val="0"/>
          <w:marBottom w:val="0"/>
          <w:divBdr>
            <w:top w:val="none" w:sz="0" w:space="0" w:color="auto"/>
            <w:left w:val="none" w:sz="0" w:space="0" w:color="auto"/>
            <w:bottom w:val="none" w:sz="0" w:space="0" w:color="auto"/>
            <w:right w:val="none" w:sz="0" w:space="0" w:color="auto"/>
          </w:divBdr>
        </w:div>
        <w:div w:id="1732919494">
          <w:marLeft w:val="0"/>
          <w:marRight w:val="0"/>
          <w:marTop w:val="0"/>
          <w:marBottom w:val="0"/>
          <w:divBdr>
            <w:top w:val="none" w:sz="0" w:space="0" w:color="auto"/>
            <w:left w:val="none" w:sz="0" w:space="0" w:color="auto"/>
            <w:bottom w:val="none" w:sz="0" w:space="0" w:color="auto"/>
            <w:right w:val="none" w:sz="0" w:space="0" w:color="auto"/>
          </w:divBdr>
        </w:div>
        <w:div w:id="32921126">
          <w:marLeft w:val="0"/>
          <w:marRight w:val="0"/>
          <w:marTop w:val="0"/>
          <w:marBottom w:val="0"/>
          <w:divBdr>
            <w:top w:val="none" w:sz="0" w:space="0" w:color="auto"/>
            <w:left w:val="none" w:sz="0" w:space="0" w:color="auto"/>
            <w:bottom w:val="none" w:sz="0" w:space="0" w:color="auto"/>
            <w:right w:val="none" w:sz="0" w:space="0" w:color="auto"/>
          </w:divBdr>
        </w:div>
        <w:div w:id="252278576">
          <w:marLeft w:val="0"/>
          <w:marRight w:val="0"/>
          <w:marTop w:val="0"/>
          <w:marBottom w:val="0"/>
          <w:divBdr>
            <w:top w:val="none" w:sz="0" w:space="0" w:color="auto"/>
            <w:left w:val="none" w:sz="0" w:space="0" w:color="auto"/>
            <w:bottom w:val="none" w:sz="0" w:space="0" w:color="auto"/>
            <w:right w:val="none" w:sz="0" w:space="0" w:color="auto"/>
          </w:divBdr>
        </w:div>
        <w:div w:id="478811081">
          <w:marLeft w:val="0"/>
          <w:marRight w:val="0"/>
          <w:marTop w:val="0"/>
          <w:marBottom w:val="0"/>
          <w:divBdr>
            <w:top w:val="none" w:sz="0" w:space="0" w:color="auto"/>
            <w:left w:val="none" w:sz="0" w:space="0" w:color="auto"/>
            <w:bottom w:val="none" w:sz="0" w:space="0" w:color="auto"/>
            <w:right w:val="none" w:sz="0" w:space="0" w:color="auto"/>
          </w:divBdr>
        </w:div>
        <w:div w:id="617641798">
          <w:marLeft w:val="0"/>
          <w:marRight w:val="0"/>
          <w:marTop w:val="0"/>
          <w:marBottom w:val="0"/>
          <w:divBdr>
            <w:top w:val="none" w:sz="0" w:space="0" w:color="auto"/>
            <w:left w:val="none" w:sz="0" w:space="0" w:color="auto"/>
            <w:bottom w:val="none" w:sz="0" w:space="0" w:color="auto"/>
            <w:right w:val="none" w:sz="0" w:space="0" w:color="auto"/>
          </w:divBdr>
        </w:div>
        <w:div w:id="1525942724">
          <w:marLeft w:val="0"/>
          <w:marRight w:val="0"/>
          <w:marTop w:val="0"/>
          <w:marBottom w:val="0"/>
          <w:divBdr>
            <w:top w:val="none" w:sz="0" w:space="0" w:color="auto"/>
            <w:left w:val="none" w:sz="0" w:space="0" w:color="auto"/>
            <w:bottom w:val="none" w:sz="0" w:space="0" w:color="auto"/>
            <w:right w:val="none" w:sz="0" w:space="0" w:color="auto"/>
          </w:divBdr>
        </w:div>
        <w:div w:id="1013847606">
          <w:marLeft w:val="0"/>
          <w:marRight w:val="0"/>
          <w:marTop w:val="0"/>
          <w:marBottom w:val="0"/>
          <w:divBdr>
            <w:top w:val="none" w:sz="0" w:space="0" w:color="auto"/>
            <w:left w:val="none" w:sz="0" w:space="0" w:color="auto"/>
            <w:bottom w:val="none" w:sz="0" w:space="0" w:color="auto"/>
            <w:right w:val="none" w:sz="0" w:space="0" w:color="auto"/>
          </w:divBdr>
        </w:div>
        <w:div w:id="706416808">
          <w:marLeft w:val="0"/>
          <w:marRight w:val="0"/>
          <w:marTop w:val="0"/>
          <w:marBottom w:val="0"/>
          <w:divBdr>
            <w:top w:val="none" w:sz="0" w:space="0" w:color="auto"/>
            <w:left w:val="none" w:sz="0" w:space="0" w:color="auto"/>
            <w:bottom w:val="none" w:sz="0" w:space="0" w:color="auto"/>
            <w:right w:val="none" w:sz="0" w:space="0" w:color="auto"/>
          </w:divBdr>
        </w:div>
        <w:div w:id="320044388">
          <w:marLeft w:val="0"/>
          <w:marRight w:val="0"/>
          <w:marTop w:val="0"/>
          <w:marBottom w:val="0"/>
          <w:divBdr>
            <w:top w:val="none" w:sz="0" w:space="0" w:color="auto"/>
            <w:left w:val="none" w:sz="0" w:space="0" w:color="auto"/>
            <w:bottom w:val="none" w:sz="0" w:space="0" w:color="auto"/>
            <w:right w:val="none" w:sz="0" w:space="0" w:color="auto"/>
          </w:divBdr>
        </w:div>
        <w:div w:id="594827034">
          <w:marLeft w:val="0"/>
          <w:marRight w:val="0"/>
          <w:marTop w:val="0"/>
          <w:marBottom w:val="0"/>
          <w:divBdr>
            <w:top w:val="none" w:sz="0" w:space="0" w:color="auto"/>
            <w:left w:val="none" w:sz="0" w:space="0" w:color="auto"/>
            <w:bottom w:val="none" w:sz="0" w:space="0" w:color="auto"/>
            <w:right w:val="none" w:sz="0" w:space="0" w:color="auto"/>
          </w:divBdr>
        </w:div>
        <w:div w:id="593367050">
          <w:marLeft w:val="0"/>
          <w:marRight w:val="0"/>
          <w:marTop w:val="0"/>
          <w:marBottom w:val="0"/>
          <w:divBdr>
            <w:top w:val="none" w:sz="0" w:space="0" w:color="auto"/>
            <w:left w:val="none" w:sz="0" w:space="0" w:color="auto"/>
            <w:bottom w:val="none" w:sz="0" w:space="0" w:color="auto"/>
            <w:right w:val="none" w:sz="0" w:space="0" w:color="auto"/>
          </w:divBdr>
        </w:div>
        <w:div w:id="1509759667">
          <w:marLeft w:val="0"/>
          <w:marRight w:val="0"/>
          <w:marTop w:val="0"/>
          <w:marBottom w:val="0"/>
          <w:divBdr>
            <w:top w:val="none" w:sz="0" w:space="0" w:color="auto"/>
            <w:left w:val="none" w:sz="0" w:space="0" w:color="auto"/>
            <w:bottom w:val="none" w:sz="0" w:space="0" w:color="auto"/>
            <w:right w:val="none" w:sz="0" w:space="0" w:color="auto"/>
          </w:divBdr>
        </w:div>
        <w:div w:id="1598517495">
          <w:marLeft w:val="0"/>
          <w:marRight w:val="0"/>
          <w:marTop w:val="0"/>
          <w:marBottom w:val="0"/>
          <w:divBdr>
            <w:top w:val="none" w:sz="0" w:space="0" w:color="auto"/>
            <w:left w:val="none" w:sz="0" w:space="0" w:color="auto"/>
            <w:bottom w:val="none" w:sz="0" w:space="0" w:color="auto"/>
            <w:right w:val="none" w:sz="0" w:space="0" w:color="auto"/>
          </w:divBdr>
        </w:div>
        <w:div w:id="1609239430">
          <w:marLeft w:val="0"/>
          <w:marRight w:val="0"/>
          <w:marTop w:val="0"/>
          <w:marBottom w:val="0"/>
          <w:divBdr>
            <w:top w:val="none" w:sz="0" w:space="0" w:color="auto"/>
            <w:left w:val="none" w:sz="0" w:space="0" w:color="auto"/>
            <w:bottom w:val="none" w:sz="0" w:space="0" w:color="auto"/>
            <w:right w:val="none" w:sz="0" w:space="0" w:color="auto"/>
          </w:divBdr>
        </w:div>
        <w:div w:id="212808916">
          <w:marLeft w:val="0"/>
          <w:marRight w:val="0"/>
          <w:marTop w:val="0"/>
          <w:marBottom w:val="0"/>
          <w:divBdr>
            <w:top w:val="none" w:sz="0" w:space="0" w:color="auto"/>
            <w:left w:val="none" w:sz="0" w:space="0" w:color="auto"/>
            <w:bottom w:val="none" w:sz="0" w:space="0" w:color="auto"/>
            <w:right w:val="none" w:sz="0" w:space="0" w:color="auto"/>
          </w:divBdr>
        </w:div>
        <w:div w:id="1028674593">
          <w:marLeft w:val="0"/>
          <w:marRight w:val="0"/>
          <w:marTop w:val="0"/>
          <w:marBottom w:val="0"/>
          <w:divBdr>
            <w:top w:val="none" w:sz="0" w:space="0" w:color="auto"/>
            <w:left w:val="none" w:sz="0" w:space="0" w:color="auto"/>
            <w:bottom w:val="none" w:sz="0" w:space="0" w:color="auto"/>
            <w:right w:val="none" w:sz="0" w:space="0" w:color="auto"/>
          </w:divBdr>
        </w:div>
        <w:div w:id="529294590">
          <w:marLeft w:val="0"/>
          <w:marRight w:val="0"/>
          <w:marTop w:val="0"/>
          <w:marBottom w:val="0"/>
          <w:divBdr>
            <w:top w:val="none" w:sz="0" w:space="0" w:color="auto"/>
            <w:left w:val="none" w:sz="0" w:space="0" w:color="auto"/>
            <w:bottom w:val="none" w:sz="0" w:space="0" w:color="auto"/>
            <w:right w:val="none" w:sz="0" w:space="0" w:color="auto"/>
          </w:divBdr>
        </w:div>
        <w:div w:id="2038044315">
          <w:marLeft w:val="0"/>
          <w:marRight w:val="0"/>
          <w:marTop w:val="0"/>
          <w:marBottom w:val="0"/>
          <w:divBdr>
            <w:top w:val="none" w:sz="0" w:space="0" w:color="auto"/>
            <w:left w:val="none" w:sz="0" w:space="0" w:color="auto"/>
            <w:bottom w:val="none" w:sz="0" w:space="0" w:color="auto"/>
            <w:right w:val="none" w:sz="0" w:space="0" w:color="auto"/>
          </w:divBdr>
        </w:div>
        <w:div w:id="1078596860">
          <w:marLeft w:val="0"/>
          <w:marRight w:val="0"/>
          <w:marTop w:val="0"/>
          <w:marBottom w:val="0"/>
          <w:divBdr>
            <w:top w:val="none" w:sz="0" w:space="0" w:color="auto"/>
            <w:left w:val="none" w:sz="0" w:space="0" w:color="auto"/>
            <w:bottom w:val="none" w:sz="0" w:space="0" w:color="auto"/>
            <w:right w:val="none" w:sz="0" w:space="0" w:color="auto"/>
          </w:divBdr>
        </w:div>
        <w:div w:id="480732832">
          <w:marLeft w:val="0"/>
          <w:marRight w:val="0"/>
          <w:marTop w:val="0"/>
          <w:marBottom w:val="0"/>
          <w:divBdr>
            <w:top w:val="none" w:sz="0" w:space="0" w:color="auto"/>
            <w:left w:val="none" w:sz="0" w:space="0" w:color="auto"/>
            <w:bottom w:val="none" w:sz="0" w:space="0" w:color="auto"/>
            <w:right w:val="none" w:sz="0" w:space="0" w:color="auto"/>
          </w:divBdr>
        </w:div>
        <w:div w:id="1045182298">
          <w:marLeft w:val="0"/>
          <w:marRight w:val="0"/>
          <w:marTop w:val="0"/>
          <w:marBottom w:val="0"/>
          <w:divBdr>
            <w:top w:val="none" w:sz="0" w:space="0" w:color="auto"/>
            <w:left w:val="none" w:sz="0" w:space="0" w:color="auto"/>
            <w:bottom w:val="none" w:sz="0" w:space="0" w:color="auto"/>
            <w:right w:val="none" w:sz="0" w:space="0" w:color="auto"/>
          </w:divBdr>
        </w:div>
        <w:div w:id="151528344">
          <w:marLeft w:val="0"/>
          <w:marRight w:val="0"/>
          <w:marTop w:val="0"/>
          <w:marBottom w:val="0"/>
          <w:divBdr>
            <w:top w:val="none" w:sz="0" w:space="0" w:color="auto"/>
            <w:left w:val="none" w:sz="0" w:space="0" w:color="auto"/>
            <w:bottom w:val="none" w:sz="0" w:space="0" w:color="auto"/>
            <w:right w:val="none" w:sz="0" w:space="0" w:color="auto"/>
          </w:divBdr>
        </w:div>
        <w:div w:id="529953535">
          <w:marLeft w:val="0"/>
          <w:marRight w:val="0"/>
          <w:marTop w:val="0"/>
          <w:marBottom w:val="0"/>
          <w:divBdr>
            <w:top w:val="none" w:sz="0" w:space="0" w:color="auto"/>
            <w:left w:val="none" w:sz="0" w:space="0" w:color="auto"/>
            <w:bottom w:val="none" w:sz="0" w:space="0" w:color="auto"/>
            <w:right w:val="none" w:sz="0" w:space="0" w:color="auto"/>
          </w:divBdr>
        </w:div>
        <w:div w:id="993802855">
          <w:marLeft w:val="0"/>
          <w:marRight w:val="0"/>
          <w:marTop w:val="0"/>
          <w:marBottom w:val="0"/>
          <w:divBdr>
            <w:top w:val="none" w:sz="0" w:space="0" w:color="auto"/>
            <w:left w:val="none" w:sz="0" w:space="0" w:color="auto"/>
            <w:bottom w:val="none" w:sz="0" w:space="0" w:color="auto"/>
            <w:right w:val="none" w:sz="0" w:space="0" w:color="auto"/>
          </w:divBdr>
        </w:div>
        <w:div w:id="351539469">
          <w:marLeft w:val="0"/>
          <w:marRight w:val="0"/>
          <w:marTop w:val="0"/>
          <w:marBottom w:val="0"/>
          <w:divBdr>
            <w:top w:val="none" w:sz="0" w:space="0" w:color="auto"/>
            <w:left w:val="none" w:sz="0" w:space="0" w:color="auto"/>
            <w:bottom w:val="none" w:sz="0" w:space="0" w:color="auto"/>
            <w:right w:val="none" w:sz="0" w:space="0" w:color="auto"/>
          </w:divBdr>
        </w:div>
        <w:div w:id="536889146">
          <w:marLeft w:val="0"/>
          <w:marRight w:val="0"/>
          <w:marTop w:val="0"/>
          <w:marBottom w:val="0"/>
          <w:divBdr>
            <w:top w:val="none" w:sz="0" w:space="0" w:color="auto"/>
            <w:left w:val="none" w:sz="0" w:space="0" w:color="auto"/>
            <w:bottom w:val="none" w:sz="0" w:space="0" w:color="auto"/>
            <w:right w:val="none" w:sz="0" w:space="0" w:color="auto"/>
          </w:divBdr>
        </w:div>
        <w:div w:id="492141080">
          <w:marLeft w:val="0"/>
          <w:marRight w:val="0"/>
          <w:marTop w:val="0"/>
          <w:marBottom w:val="0"/>
          <w:divBdr>
            <w:top w:val="none" w:sz="0" w:space="0" w:color="auto"/>
            <w:left w:val="none" w:sz="0" w:space="0" w:color="auto"/>
            <w:bottom w:val="none" w:sz="0" w:space="0" w:color="auto"/>
            <w:right w:val="none" w:sz="0" w:space="0" w:color="auto"/>
          </w:divBdr>
        </w:div>
        <w:div w:id="111677789">
          <w:marLeft w:val="0"/>
          <w:marRight w:val="0"/>
          <w:marTop w:val="0"/>
          <w:marBottom w:val="0"/>
          <w:divBdr>
            <w:top w:val="none" w:sz="0" w:space="0" w:color="auto"/>
            <w:left w:val="none" w:sz="0" w:space="0" w:color="auto"/>
            <w:bottom w:val="none" w:sz="0" w:space="0" w:color="auto"/>
            <w:right w:val="none" w:sz="0" w:space="0" w:color="auto"/>
          </w:divBdr>
        </w:div>
      </w:divsChild>
    </w:div>
    <w:div w:id="517740432">
      <w:bodyDiv w:val="1"/>
      <w:marLeft w:val="0"/>
      <w:marRight w:val="0"/>
      <w:marTop w:val="0"/>
      <w:marBottom w:val="0"/>
      <w:divBdr>
        <w:top w:val="none" w:sz="0" w:space="0" w:color="auto"/>
        <w:left w:val="none" w:sz="0" w:space="0" w:color="auto"/>
        <w:bottom w:val="none" w:sz="0" w:space="0" w:color="auto"/>
        <w:right w:val="none" w:sz="0" w:space="0" w:color="auto"/>
      </w:divBdr>
    </w:div>
    <w:div w:id="523859296">
      <w:bodyDiv w:val="1"/>
      <w:marLeft w:val="0"/>
      <w:marRight w:val="0"/>
      <w:marTop w:val="0"/>
      <w:marBottom w:val="0"/>
      <w:divBdr>
        <w:top w:val="none" w:sz="0" w:space="0" w:color="auto"/>
        <w:left w:val="none" w:sz="0" w:space="0" w:color="auto"/>
        <w:bottom w:val="none" w:sz="0" w:space="0" w:color="auto"/>
        <w:right w:val="none" w:sz="0" w:space="0" w:color="auto"/>
      </w:divBdr>
    </w:div>
    <w:div w:id="720861758">
      <w:bodyDiv w:val="1"/>
      <w:marLeft w:val="0"/>
      <w:marRight w:val="0"/>
      <w:marTop w:val="0"/>
      <w:marBottom w:val="0"/>
      <w:divBdr>
        <w:top w:val="none" w:sz="0" w:space="0" w:color="auto"/>
        <w:left w:val="none" w:sz="0" w:space="0" w:color="auto"/>
        <w:bottom w:val="none" w:sz="0" w:space="0" w:color="auto"/>
        <w:right w:val="none" w:sz="0" w:space="0" w:color="auto"/>
      </w:divBdr>
    </w:div>
    <w:div w:id="962033722">
      <w:bodyDiv w:val="1"/>
      <w:marLeft w:val="0"/>
      <w:marRight w:val="0"/>
      <w:marTop w:val="0"/>
      <w:marBottom w:val="0"/>
      <w:divBdr>
        <w:top w:val="none" w:sz="0" w:space="0" w:color="auto"/>
        <w:left w:val="none" w:sz="0" w:space="0" w:color="auto"/>
        <w:bottom w:val="none" w:sz="0" w:space="0" w:color="auto"/>
        <w:right w:val="none" w:sz="0" w:space="0" w:color="auto"/>
      </w:divBdr>
    </w:div>
    <w:div w:id="1010911695">
      <w:bodyDiv w:val="1"/>
      <w:marLeft w:val="0"/>
      <w:marRight w:val="0"/>
      <w:marTop w:val="0"/>
      <w:marBottom w:val="0"/>
      <w:divBdr>
        <w:top w:val="none" w:sz="0" w:space="0" w:color="auto"/>
        <w:left w:val="none" w:sz="0" w:space="0" w:color="auto"/>
        <w:bottom w:val="none" w:sz="0" w:space="0" w:color="auto"/>
        <w:right w:val="none" w:sz="0" w:space="0" w:color="auto"/>
      </w:divBdr>
    </w:div>
    <w:div w:id="1105883588">
      <w:bodyDiv w:val="1"/>
      <w:marLeft w:val="0"/>
      <w:marRight w:val="0"/>
      <w:marTop w:val="0"/>
      <w:marBottom w:val="0"/>
      <w:divBdr>
        <w:top w:val="none" w:sz="0" w:space="0" w:color="auto"/>
        <w:left w:val="none" w:sz="0" w:space="0" w:color="auto"/>
        <w:bottom w:val="none" w:sz="0" w:space="0" w:color="auto"/>
        <w:right w:val="none" w:sz="0" w:space="0" w:color="auto"/>
      </w:divBdr>
    </w:div>
    <w:div w:id="1216352666">
      <w:bodyDiv w:val="1"/>
      <w:marLeft w:val="0"/>
      <w:marRight w:val="0"/>
      <w:marTop w:val="0"/>
      <w:marBottom w:val="0"/>
      <w:divBdr>
        <w:top w:val="none" w:sz="0" w:space="0" w:color="auto"/>
        <w:left w:val="none" w:sz="0" w:space="0" w:color="auto"/>
        <w:bottom w:val="none" w:sz="0" w:space="0" w:color="auto"/>
        <w:right w:val="none" w:sz="0" w:space="0" w:color="auto"/>
      </w:divBdr>
    </w:div>
    <w:div w:id="1309096279">
      <w:bodyDiv w:val="1"/>
      <w:marLeft w:val="0"/>
      <w:marRight w:val="0"/>
      <w:marTop w:val="0"/>
      <w:marBottom w:val="0"/>
      <w:divBdr>
        <w:top w:val="none" w:sz="0" w:space="0" w:color="auto"/>
        <w:left w:val="none" w:sz="0" w:space="0" w:color="auto"/>
        <w:bottom w:val="none" w:sz="0" w:space="0" w:color="auto"/>
        <w:right w:val="none" w:sz="0" w:space="0" w:color="auto"/>
      </w:divBdr>
    </w:div>
    <w:div w:id="1337152662">
      <w:bodyDiv w:val="1"/>
      <w:marLeft w:val="0"/>
      <w:marRight w:val="0"/>
      <w:marTop w:val="0"/>
      <w:marBottom w:val="0"/>
      <w:divBdr>
        <w:top w:val="none" w:sz="0" w:space="0" w:color="auto"/>
        <w:left w:val="none" w:sz="0" w:space="0" w:color="auto"/>
        <w:bottom w:val="none" w:sz="0" w:space="0" w:color="auto"/>
        <w:right w:val="none" w:sz="0" w:space="0" w:color="auto"/>
      </w:divBdr>
    </w:div>
    <w:div w:id="1551109403">
      <w:bodyDiv w:val="1"/>
      <w:marLeft w:val="0"/>
      <w:marRight w:val="0"/>
      <w:marTop w:val="0"/>
      <w:marBottom w:val="0"/>
      <w:divBdr>
        <w:top w:val="none" w:sz="0" w:space="0" w:color="auto"/>
        <w:left w:val="none" w:sz="0" w:space="0" w:color="auto"/>
        <w:bottom w:val="none" w:sz="0" w:space="0" w:color="auto"/>
        <w:right w:val="none" w:sz="0" w:space="0" w:color="auto"/>
      </w:divBdr>
    </w:div>
    <w:div w:id="1568110589">
      <w:bodyDiv w:val="1"/>
      <w:marLeft w:val="0"/>
      <w:marRight w:val="0"/>
      <w:marTop w:val="0"/>
      <w:marBottom w:val="0"/>
      <w:divBdr>
        <w:top w:val="none" w:sz="0" w:space="0" w:color="auto"/>
        <w:left w:val="none" w:sz="0" w:space="0" w:color="auto"/>
        <w:bottom w:val="none" w:sz="0" w:space="0" w:color="auto"/>
        <w:right w:val="none" w:sz="0" w:space="0" w:color="auto"/>
      </w:divBdr>
    </w:div>
    <w:div w:id="1579943919">
      <w:bodyDiv w:val="1"/>
      <w:marLeft w:val="0"/>
      <w:marRight w:val="0"/>
      <w:marTop w:val="0"/>
      <w:marBottom w:val="0"/>
      <w:divBdr>
        <w:top w:val="none" w:sz="0" w:space="0" w:color="auto"/>
        <w:left w:val="none" w:sz="0" w:space="0" w:color="auto"/>
        <w:bottom w:val="none" w:sz="0" w:space="0" w:color="auto"/>
        <w:right w:val="none" w:sz="0" w:space="0" w:color="auto"/>
      </w:divBdr>
    </w:div>
    <w:div w:id="1592084767">
      <w:bodyDiv w:val="1"/>
      <w:marLeft w:val="0"/>
      <w:marRight w:val="0"/>
      <w:marTop w:val="0"/>
      <w:marBottom w:val="0"/>
      <w:divBdr>
        <w:top w:val="none" w:sz="0" w:space="0" w:color="auto"/>
        <w:left w:val="none" w:sz="0" w:space="0" w:color="auto"/>
        <w:bottom w:val="none" w:sz="0" w:space="0" w:color="auto"/>
        <w:right w:val="none" w:sz="0" w:space="0" w:color="auto"/>
      </w:divBdr>
    </w:div>
    <w:div w:id="1657807670">
      <w:bodyDiv w:val="1"/>
      <w:marLeft w:val="0"/>
      <w:marRight w:val="0"/>
      <w:marTop w:val="0"/>
      <w:marBottom w:val="0"/>
      <w:divBdr>
        <w:top w:val="none" w:sz="0" w:space="0" w:color="auto"/>
        <w:left w:val="none" w:sz="0" w:space="0" w:color="auto"/>
        <w:bottom w:val="none" w:sz="0" w:space="0" w:color="auto"/>
        <w:right w:val="none" w:sz="0" w:space="0" w:color="auto"/>
      </w:divBdr>
    </w:div>
    <w:div w:id="1699700839">
      <w:bodyDiv w:val="1"/>
      <w:marLeft w:val="0"/>
      <w:marRight w:val="0"/>
      <w:marTop w:val="0"/>
      <w:marBottom w:val="0"/>
      <w:divBdr>
        <w:top w:val="none" w:sz="0" w:space="0" w:color="auto"/>
        <w:left w:val="none" w:sz="0" w:space="0" w:color="auto"/>
        <w:bottom w:val="none" w:sz="0" w:space="0" w:color="auto"/>
        <w:right w:val="none" w:sz="0" w:space="0" w:color="auto"/>
      </w:divBdr>
    </w:div>
    <w:div w:id="1726565060">
      <w:bodyDiv w:val="1"/>
      <w:marLeft w:val="0"/>
      <w:marRight w:val="0"/>
      <w:marTop w:val="0"/>
      <w:marBottom w:val="0"/>
      <w:divBdr>
        <w:top w:val="none" w:sz="0" w:space="0" w:color="auto"/>
        <w:left w:val="none" w:sz="0" w:space="0" w:color="auto"/>
        <w:bottom w:val="none" w:sz="0" w:space="0" w:color="auto"/>
        <w:right w:val="none" w:sz="0" w:space="0" w:color="auto"/>
      </w:divBdr>
    </w:div>
    <w:div w:id="1743672102">
      <w:bodyDiv w:val="1"/>
      <w:marLeft w:val="0"/>
      <w:marRight w:val="0"/>
      <w:marTop w:val="0"/>
      <w:marBottom w:val="0"/>
      <w:divBdr>
        <w:top w:val="none" w:sz="0" w:space="0" w:color="auto"/>
        <w:left w:val="none" w:sz="0" w:space="0" w:color="auto"/>
        <w:bottom w:val="none" w:sz="0" w:space="0" w:color="auto"/>
        <w:right w:val="none" w:sz="0" w:space="0" w:color="auto"/>
      </w:divBdr>
    </w:div>
    <w:div w:id="1767848721">
      <w:bodyDiv w:val="1"/>
      <w:marLeft w:val="0"/>
      <w:marRight w:val="0"/>
      <w:marTop w:val="0"/>
      <w:marBottom w:val="0"/>
      <w:divBdr>
        <w:top w:val="none" w:sz="0" w:space="0" w:color="auto"/>
        <w:left w:val="none" w:sz="0" w:space="0" w:color="auto"/>
        <w:bottom w:val="none" w:sz="0" w:space="0" w:color="auto"/>
        <w:right w:val="none" w:sz="0" w:space="0" w:color="auto"/>
      </w:divBdr>
      <w:divsChild>
        <w:div w:id="1076854292">
          <w:marLeft w:val="0"/>
          <w:marRight w:val="0"/>
          <w:marTop w:val="0"/>
          <w:marBottom w:val="0"/>
          <w:divBdr>
            <w:top w:val="none" w:sz="0" w:space="0" w:color="auto"/>
            <w:left w:val="none" w:sz="0" w:space="0" w:color="auto"/>
            <w:bottom w:val="none" w:sz="0" w:space="0" w:color="auto"/>
            <w:right w:val="none" w:sz="0" w:space="0" w:color="auto"/>
          </w:divBdr>
        </w:div>
        <w:div w:id="35735683">
          <w:marLeft w:val="0"/>
          <w:marRight w:val="0"/>
          <w:marTop w:val="0"/>
          <w:marBottom w:val="0"/>
          <w:divBdr>
            <w:top w:val="none" w:sz="0" w:space="0" w:color="auto"/>
            <w:left w:val="none" w:sz="0" w:space="0" w:color="auto"/>
            <w:bottom w:val="none" w:sz="0" w:space="0" w:color="auto"/>
            <w:right w:val="none" w:sz="0" w:space="0" w:color="auto"/>
          </w:divBdr>
        </w:div>
        <w:div w:id="1499343228">
          <w:marLeft w:val="0"/>
          <w:marRight w:val="0"/>
          <w:marTop w:val="0"/>
          <w:marBottom w:val="0"/>
          <w:divBdr>
            <w:top w:val="none" w:sz="0" w:space="0" w:color="auto"/>
            <w:left w:val="none" w:sz="0" w:space="0" w:color="auto"/>
            <w:bottom w:val="none" w:sz="0" w:space="0" w:color="auto"/>
            <w:right w:val="none" w:sz="0" w:space="0" w:color="auto"/>
          </w:divBdr>
        </w:div>
        <w:div w:id="8219038">
          <w:marLeft w:val="0"/>
          <w:marRight w:val="0"/>
          <w:marTop w:val="0"/>
          <w:marBottom w:val="0"/>
          <w:divBdr>
            <w:top w:val="none" w:sz="0" w:space="0" w:color="auto"/>
            <w:left w:val="none" w:sz="0" w:space="0" w:color="auto"/>
            <w:bottom w:val="none" w:sz="0" w:space="0" w:color="auto"/>
            <w:right w:val="none" w:sz="0" w:space="0" w:color="auto"/>
          </w:divBdr>
        </w:div>
        <w:div w:id="1901986432">
          <w:marLeft w:val="0"/>
          <w:marRight w:val="0"/>
          <w:marTop w:val="0"/>
          <w:marBottom w:val="0"/>
          <w:divBdr>
            <w:top w:val="none" w:sz="0" w:space="0" w:color="auto"/>
            <w:left w:val="none" w:sz="0" w:space="0" w:color="auto"/>
            <w:bottom w:val="none" w:sz="0" w:space="0" w:color="auto"/>
            <w:right w:val="none" w:sz="0" w:space="0" w:color="auto"/>
          </w:divBdr>
        </w:div>
        <w:div w:id="1667396310">
          <w:marLeft w:val="0"/>
          <w:marRight w:val="0"/>
          <w:marTop w:val="0"/>
          <w:marBottom w:val="0"/>
          <w:divBdr>
            <w:top w:val="none" w:sz="0" w:space="0" w:color="auto"/>
            <w:left w:val="none" w:sz="0" w:space="0" w:color="auto"/>
            <w:bottom w:val="none" w:sz="0" w:space="0" w:color="auto"/>
            <w:right w:val="none" w:sz="0" w:space="0" w:color="auto"/>
          </w:divBdr>
        </w:div>
        <w:div w:id="846674420">
          <w:marLeft w:val="0"/>
          <w:marRight w:val="0"/>
          <w:marTop w:val="0"/>
          <w:marBottom w:val="0"/>
          <w:divBdr>
            <w:top w:val="none" w:sz="0" w:space="0" w:color="auto"/>
            <w:left w:val="none" w:sz="0" w:space="0" w:color="auto"/>
            <w:bottom w:val="none" w:sz="0" w:space="0" w:color="auto"/>
            <w:right w:val="none" w:sz="0" w:space="0" w:color="auto"/>
          </w:divBdr>
        </w:div>
        <w:div w:id="1855536298">
          <w:marLeft w:val="0"/>
          <w:marRight w:val="0"/>
          <w:marTop w:val="0"/>
          <w:marBottom w:val="0"/>
          <w:divBdr>
            <w:top w:val="none" w:sz="0" w:space="0" w:color="auto"/>
            <w:left w:val="none" w:sz="0" w:space="0" w:color="auto"/>
            <w:bottom w:val="none" w:sz="0" w:space="0" w:color="auto"/>
            <w:right w:val="none" w:sz="0" w:space="0" w:color="auto"/>
          </w:divBdr>
        </w:div>
        <w:div w:id="1562138713">
          <w:marLeft w:val="0"/>
          <w:marRight w:val="0"/>
          <w:marTop w:val="0"/>
          <w:marBottom w:val="0"/>
          <w:divBdr>
            <w:top w:val="none" w:sz="0" w:space="0" w:color="auto"/>
            <w:left w:val="none" w:sz="0" w:space="0" w:color="auto"/>
            <w:bottom w:val="none" w:sz="0" w:space="0" w:color="auto"/>
            <w:right w:val="none" w:sz="0" w:space="0" w:color="auto"/>
          </w:divBdr>
        </w:div>
        <w:div w:id="2028865851">
          <w:marLeft w:val="0"/>
          <w:marRight w:val="0"/>
          <w:marTop w:val="0"/>
          <w:marBottom w:val="0"/>
          <w:divBdr>
            <w:top w:val="none" w:sz="0" w:space="0" w:color="auto"/>
            <w:left w:val="none" w:sz="0" w:space="0" w:color="auto"/>
            <w:bottom w:val="none" w:sz="0" w:space="0" w:color="auto"/>
            <w:right w:val="none" w:sz="0" w:space="0" w:color="auto"/>
          </w:divBdr>
        </w:div>
        <w:div w:id="406147084">
          <w:marLeft w:val="0"/>
          <w:marRight w:val="0"/>
          <w:marTop w:val="0"/>
          <w:marBottom w:val="0"/>
          <w:divBdr>
            <w:top w:val="none" w:sz="0" w:space="0" w:color="auto"/>
            <w:left w:val="none" w:sz="0" w:space="0" w:color="auto"/>
            <w:bottom w:val="none" w:sz="0" w:space="0" w:color="auto"/>
            <w:right w:val="none" w:sz="0" w:space="0" w:color="auto"/>
          </w:divBdr>
        </w:div>
        <w:div w:id="1764641922">
          <w:marLeft w:val="0"/>
          <w:marRight w:val="0"/>
          <w:marTop w:val="0"/>
          <w:marBottom w:val="0"/>
          <w:divBdr>
            <w:top w:val="none" w:sz="0" w:space="0" w:color="auto"/>
            <w:left w:val="none" w:sz="0" w:space="0" w:color="auto"/>
            <w:bottom w:val="none" w:sz="0" w:space="0" w:color="auto"/>
            <w:right w:val="none" w:sz="0" w:space="0" w:color="auto"/>
          </w:divBdr>
        </w:div>
        <w:div w:id="763454406">
          <w:marLeft w:val="0"/>
          <w:marRight w:val="0"/>
          <w:marTop w:val="0"/>
          <w:marBottom w:val="0"/>
          <w:divBdr>
            <w:top w:val="none" w:sz="0" w:space="0" w:color="auto"/>
            <w:left w:val="none" w:sz="0" w:space="0" w:color="auto"/>
            <w:bottom w:val="none" w:sz="0" w:space="0" w:color="auto"/>
            <w:right w:val="none" w:sz="0" w:space="0" w:color="auto"/>
          </w:divBdr>
        </w:div>
        <w:div w:id="361248987">
          <w:marLeft w:val="0"/>
          <w:marRight w:val="0"/>
          <w:marTop w:val="0"/>
          <w:marBottom w:val="0"/>
          <w:divBdr>
            <w:top w:val="none" w:sz="0" w:space="0" w:color="auto"/>
            <w:left w:val="none" w:sz="0" w:space="0" w:color="auto"/>
            <w:bottom w:val="none" w:sz="0" w:space="0" w:color="auto"/>
            <w:right w:val="none" w:sz="0" w:space="0" w:color="auto"/>
          </w:divBdr>
        </w:div>
        <w:div w:id="1090925082">
          <w:marLeft w:val="0"/>
          <w:marRight w:val="0"/>
          <w:marTop w:val="0"/>
          <w:marBottom w:val="0"/>
          <w:divBdr>
            <w:top w:val="none" w:sz="0" w:space="0" w:color="auto"/>
            <w:left w:val="none" w:sz="0" w:space="0" w:color="auto"/>
            <w:bottom w:val="none" w:sz="0" w:space="0" w:color="auto"/>
            <w:right w:val="none" w:sz="0" w:space="0" w:color="auto"/>
          </w:divBdr>
        </w:div>
        <w:div w:id="855463289">
          <w:marLeft w:val="0"/>
          <w:marRight w:val="0"/>
          <w:marTop w:val="0"/>
          <w:marBottom w:val="0"/>
          <w:divBdr>
            <w:top w:val="none" w:sz="0" w:space="0" w:color="auto"/>
            <w:left w:val="none" w:sz="0" w:space="0" w:color="auto"/>
            <w:bottom w:val="none" w:sz="0" w:space="0" w:color="auto"/>
            <w:right w:val="none" w:sz="0" w:space="0" w:color="auto"/>
          </w:divBdr>
        </w:div>
        <w:div w:id="673335209">
          <w:marLeft w:val="0"/>
          <w:marRight w:val="0"/>
          <w:marTop w:val="0"/>
          <w:marBottom w:val="0"/>
          <w:divBdr>
            <w:top w:val="none" w:sz="0" w:space="0" w:color="auto"/>
            <w:left w:val="none" w:sz="0" w:space="0" w:color="auto"/>
            <w:bottom w:val="none" w:sz="0" w:space="0" w:color="auto"/>
            <w:right w:val="none" w:sz="0" w:space="0" w:color="auto"/>
          </w:divBdr>
        </w:div>
        <w:div w:id="2008432750">
          <w:marLeft w:val="0"/>
          <w:marRight w:val="0"/>
          <w:marTop w:val="0"/>
          <w:marBottom w:val="0"/>
          <w:divBdr>
            <w:top w:val="none" w:sz="0" w:space="0" w:color="auto"/>
            <w:left w:val="none" w:sz="0" w:space="0" w:color="auto"/>
            <w:bottom w:val="none" w:sz="0" w:space="0" w:color="auto"/>
            <w:right w:val="none" w:sz="0" w:space="0" w:color="auto"/>
          </w:divBdr>
        </w:div>
        <w:div w:id="1287665582">
          <w:marLeft w:val="0"/>
          <w:marRight w:val="0"/>
          <w:marTop w:val="0"/>
          <w:marBottom w:val="0"/>
          <w:divBdr>
            <w:top w:val="none" w:sz="0" w:space="0" w:color="auto"/>
            <w:left w:val="none" w:sz="0" w:space="0" w:color="auto"/>
            <w:bottom w:val="none" w:sz="0" w:space="0" w:color="auto"/>
            <w:right w:val="none" w:sz="0" w:space="0" w:color="auto"/>
          </w:divBdr>
        </w:div>
        <w:div w:id="791021559">
          <w:marLeft w:val="0"/>
          <w:marRight w:val="0"/>
          <w:marTop w:val="0"/>
          <w:marBottom w:val="0"/>
          <w:divBdr>
            <w:top w:val="none" w:sz="0" w:space="0" w:color="auto"/>
            <w:left w:val="none" w:sz="0" w:space="0" w:color="auto"/>
            <w:bottom w:val="none" w:sz="0" w:space="0" w:color="auto"/>
            <w:right w:val="none" w:sz="0" w:space="0" w:color="auto"/>
          </w:divBdr>
        </w:div>
        <w:div w:id="368528786">
          <w:marLeft w:val="0"/>
          <w:marRight w:val="0"/>
          <w:marTop w:val="0"/>
          <w:marBottom w:val="0"/>
          <w:divBdr>
            <w:top w:val="none" w:sz="0" w:space="0" w:color="auto"/>
            <w:left w:val="none" w:sz="0" w:space="0" w:color="auto"/>
            <w:bottom w:val="none" w:sz="0" w:space="0" w:color="auto"/>
            <w:right w:val="none" w:sz="0" w:space="0" w:color="auto"/>
          </w:divBdr>
        </w:div>
        <w:div w:id="117333966">
          <w:marLeft w:val="0"/>
          <w:marRight w:val="0"/>
          <w:marTop w:val="0"/>
          <w:marBottom w:val="0"/>
          <w:divBdr>
            <w:top w:val="none" w:sz="0" w:space="0" w:color="auto"/>
            <w:left w:val="none" w:sz="0" w:space="0" w:color="auto"/>
            <w:bottom w:val="none" w:sz="0" w:space="0" w:color="auto"/>
            <w:right w:val="none" w:sz="0" w:space="0" w:color="auto"/>
          </w:divBdr>
        </w:div>
        <w:div w:id="163205679">
          <w:marLeft w:val="0"/>
          <w:marRight w:val="0"/>
          <w:marTop w:val="0"/>
          <w:marBottom w:val="0"/>
          <w:divBdr>
            <w:top w:val="none" w:sz="0" w:space="0" w:color="auto"/>
            <w:left w:val="none" w:sz="0" w:space="0" w:color="auto"/>
            <w:bottom w:val="none" w:sz="0" w:space="0" w:color="auto"/>
            <w:right w:val="none" w:sz="0" w:space="0" w:color="auto"/>
          </w:divBdr>
        </w:div>
        <w:div w:id="1827237544">
          <w:marLeft w:val="0"/>
          <w:marRight w:val="0"/>
          <w:marTop w:val="0"/>
          <w:marBottom w:val="0"/>
          <w:divBdr>
            <w:top w:val="none" w:sz="0" w:space="0" w:color="auto"/>
            <w:left w:val="none" w:sz="0" w:space="0" w:color="auto"/>
            <w:bottom w:val="none" w:sz="0" w:space="0" w:color="auto"/>
            <w:right w:val="none" w:sz="0" w:space="0" w:color="auto"/>
          </w:divBdr>
        </w:div>
        <w:div w:id="1168790400">
          <w:marLeft w:val="0"/>
          <w:marRight w:val="0"/>
          <w:marTop w:val="0"/>
          <w:marBottom w:val="0"/>
          <w:divBdr>
            <w:top w:val="none" w:sz="0" w:space="0" w:color="auto"/>
            <w:left w:val="none" w:sz="0" w:space="0" w:color="auto"/>
            <w:bottom w:val="none" w:sz="0" w:space="0" w:color="auto"/>
            <w:right w:val="none" w:sz="0" w:space="0" w:color="auto"/>
          </w:divBdr>
        </w:div>
        <w:div w:id="1392197595">
          <w:marLeft w:val="0"/>
          <w:marRight w:val="0"/>
          <w:marTop w:val="0"/>
          <w:marBottom w:val="0"/>
          <w:divBdr>
            <w:top w:val="none" w:sz="0" w:space="0" w:color="auto"/>
            <w:left w:val="none" w:sz="0" w:space="0" w:color="auto"/>
            <w:bottom w:val="none" w:sz="0" w:space="0" w:color="auto"/>
            <w:right w:val="none" w:sz="0" w:space="0" w:color="auto"/>
          </w:divBdr>
        </w:div>
        <w:div w:id="1093549022">
          <w:marLeft w:val="0"/>
          <w:marRight w:val="0"/>
          <w:marTop w:val="0"/>
          <w:marBottom w:val="0"/>
          <w:divBdr>
            <w:top w:val="none" w:sz="0" w:space="0" w:color="auto"/>
            <w:left w:val="none" w:sz="0" w:space="0" w:color="auto"/>
            <w:bottom w:val="none" w:sz="0" w:space="0" w:color="auto"/>
            <w:right w:val="none" w:sz="0" w:space="0" w:color="auto"/>
          </w:divBdr>
        </w:div>
        <w:div w:id="1507012791">
          <w:marLeft w:val="0"/>
          <w:marRight w:val="0"/>
          <w:marTop w:val="0"/>
          <w:marBottom w:val="0"/>
          <w:divBdr>
            <w:top w:val="none" w:sz="0" w:space="0" w:color="auto"/>
            <w:left w:val="none" w:sz="0" w:space="0" w:color="auto"/>
            <w:bottom w:val="none" w:sz="0" w:space="0" w:color="auto"/>
            <w:right w:val="none" w:sz="0" w:space="0" w:color="auto"/>
          </w:divBdr>
        </w:div>
        <w:div w:id="1650162822">
          <w:marLeft w:val="0"/>
          <w:marRight w:val="0"/>
          <w:marTop w:val="0"/>
          <w:marBottom w:val="0"/>
          <w:divBdr>
            <w:top w:val="none" w:sz="0" w:space="0" w:color="auto"/>
            <w:left w:val="none" w:sz="0" w:space="0" w:color="auto"/>
            <w:bottom w:val="none" w:sz="0" w:space="0" w:color="auto"/>
            <w:right w:val="none" w:sz="0" w:space="0" w:color="auto"/>
          </w:divBdr>
        </w:div>
        <w:div w:id="1224214173">
          <w:marLeft w:val="0"/>
          <w:marRight w:val="0"/>
          <w:marTop w:val="0"/>
          <w:marBottom w:val="0"/>
          <w:divBdr>
            <w:top w:val="none" w:sz="0" w:space="0" w:color="auto"/>
            <w:left w:val="none" w:sz="0" w:space="0" w:color="auto"/>
            <w:bottom w:val="none" w:sz="0" w:space="0" w:color="auto"/>
            <w:right w:val="none" w:sz="0" w:space="0" w:color="auto"/>
          </w:divBdr>
        </w:div>
        <w:div w:id="1066339650">
          <w:marLeft w:val="0"/>
          <w:marRight w:val="0"/>
          <w:marTop w:val="0"/>
          <w:marBottom w:val="0"/>
          <w:divBdr>
            <w:top w:val="none" w:sz="0" w:space="0" w:color="auto"/>
            <w:left w:val="none" w:sz="0" w:space="0" w:color="auto"/>
            <w:bottom w:val="none" w:sz="0" w:space="0" w:color="auto"/>
            <w:right w:val="none" w:sz="0" w:space="0" w:color="auto"/>
          </w:divBdr>
        </w:div>
        <w:div w:id="571702526">
          <w:marLeft w:val="0"/>
          <w:marRight w:val="0"/>
          <w:marTop w:val="0"/>
          <w:marBottom w:val="0"/>
          <w:divBdr>
            <w:top w:val="none" w:sz="0" w:space="0" w:color="auto"/>
            <w:left w:val="none" w:sz="0" w:space="0" w:color="auto"/>
            <w:bottom w:val="none" w:sz="0" w:space="0" w:color="auto"/>
            <w:right w:val="none" w:sz="0" w:space="0" w:color="auto"/>
          </w:divBdr>
        </w:div>
        <w:div w:id="1549295060">
          <w:marLeft w:val="0"/>
          <w:marRight w:val="0"/>
          <w:marTop w:val="0"/>
          <w:marBottom w:val="0"/>
          <w:divBdr>
            <w:top w:val="none" w:sz="0" w:space="0" w:color="auto"/>
            <w:left w:val="none" w:sz="0" w:space="0" w:color="auto"/>
            <w:bottom w:val="none" w:sz="0" w:space="0" w:color="auto"/>
            <w:right w:val="none" w:sz="0" w:space="0" w:color="auto"/>
          </w:divBdr>
        </w:div>
        <w:div w:id="518348293">
          <w:marLeft w:val="0"/>
          <w:marRight w:val="0"/>
          <w:marTop w:val="0"/>
          <w:marBottom w:val="0"/>
          <w:divBdr>
            <w:top w:val="none" w:sz="0" w:space="0" w:color="auto"/>
            <w:left w:val="none" w:sz="0" w:space="0" w:color="auto"/>
            <w:bottom w:val="none" w:sz="0" w:space="0" w:color="auto"/>
            <w:right w:val="none" w:sz="0" w:space="0" w:color="auto"/>
          </w:divBdr>
        </w:div>
        <w:div w:id="143157737">
          <w:marLeft w:val="0"/>
          <w:marRight w:val="0"/>
          <w:marTop w:val="0"/>
          <w:marBottom w:val="0"/>
          <w:divBdr>
            <w:top w:val="none" w:sz="0" w:space="0" w:color="auto"/>
            <w:left w:val="none" w:sz="0" w:space="0" w:color="auto"/>
            <w:bottom w:val="none" w:sz="0" w:space="0" w:color="auto"/>
            <w:right w:val="none" w:sz="0" w:space="0" w:color="auto"/>
          </w:divBdr>
        </w:div>
        <w:div w:id="934901515">
          <w:marLeft w:val="0"/>
          <w:marRight w:val="0"/>
          <w:marTop w:val="0"/>
          <w:marBottom w:val="0"/>
          <w:divBdr>
            <w:top w:val="none" w:sz="0" w:space="0" w:color="auto"/>
            <w:left w:val="none" w:sz="0" w:space="0" w:color="auto"/>
            <w:bottom w:val="none" w:sz="0" w:space="0" w:color="auto"/>
            <w:right w:val="none" w:sz="0" w:space="0" w:color="auto"/>
          </w:divBdr>
        </w:div>
        <w:div w:id="418597080">
          <w:marLeft w:val="0"/>
          <w:marRight w:val="0"/>
          <w:marTop w:val="0"/>
          <w:marBottom w:val="0"/>
          <w:divBdr>
            <w:top w:val="none" w:sz="0" w:space="0" w:color="auto"/>
            <w:left w:val="none" w:sz="0" w:space="0" w:color="auto"/>
            <w:bottom w:val="none" w:sz="0" w:space="0" w:color="auto"/>
            <w:right w:val="none" w:sz="0" w:space="0" w:color="auto"/>
          </w:divBdr>
        </w:div>
        <w:div w:id="774981598">
          <w:marLeft w:val="0"/>
          <w:marRight w:val="0"/>
          <w:marTop w:val="0"/>
          <w:marBottom w:val="0"/>
          <w:divBdr>
            <w:top w:val="none" w:sz="0" w:space="0" w:color="auto"/>
            <w:left w:val="none" w:sz="0" w:space="0" w:color="auto"/>
            <w:bottom w:val="none" w:sz="0" w:space="0" w:color="auto"/>
            <w:right w:val="none" w:sz="0" w:space="0" w:color="auto"/>
          </w:divBdr>
        </w:div>
        <w:div w:id="532110324">
          <w:marLeft w:val="0"/>
          <w:marRight w:val="0"/>
          <w:marTop w:val="0"/>
          <w:marBottom w:val="0"/>
          <w:divBdr>
            <w:top w:val="none" w:sz="0" w:space="0" w:color="auto"/>
            <w:left w:val="none" w:sz="0" w:space="0" w:color="auto"/>
            <w:bottom w:val="none" w:sz="0" w:space="0" w:color="auto"/>
            <w:right w:val="none" w:sz="0" w:space="0" w:color="auto"/>
          </w:divBdr>
        </w:div>
        <w:div w:id="1436942647">
          <w:marLeft w:val="0"/>
          <w:marRight w:val="0"/>
          <w:marTop w:val="0"/>
          <w:marBottom w:val="0"/>
          <w:divBdr>
            <w:top w:val="none" w:sz="0" w:space="0" w:color="auto"/>
            <w:left w:val="none" w:sz="0" w:space="0" w:color="auto"/>
            <w:bottom w:val="none" w:sz="0" w:space="0" w:color="auto"/>
            <w:right w:val="none" w:sz="0" w:space="0" w:color="auto"/>
          </w:divBdr>
        </w:div>
        <w:div w:id="897328802">
          <w:marLeft w:val="0"/>
          <w:marRight w:val="0"/>
          <w:marTop w:val="0"/>
          <w:marBottom w:val="0"/>
          <w:divBdr>
            <w:top w:val="none" w:sz="0" w:space="0" w:color="auto"/>
            <w:left w:val="none" w:sz="0" w:space="0" w:color="auto"/>
            <w:bottom w:val="none" w:sz="0" w:space="0" w:color="auto"/>
            <w:right w:val="none" w:sz="0" w:space="0" w:color="auto"/>
          </w:divBdr>
        </w:div>
        <w:div w:id="622611635">
          <w:marLeft w:val="0"/>
          <w:marRight w:val="0"/>
          <w:marTop w:val="0"/>
          <w:marBottom w:val="0"/>
          <w:divBdr>
            <w:top w:val="none" w:sz="0" w:space="0" w:color="auto"/>
            <w:left w:val="none" w:sz="0" w:space="0" w:color="auto"/>
            <w:bottom w:val="none" w:sz="0" w:space="0" w:color="auto"/>
            <w:right w:val="none" w:sz="0" w:space="0" w:color="auto"/>
          </w:divBdr>
        </w:div>
        <w:div w:id="417868734">
          <w:marLeft w:val="0"/>
          <w:marRight w:val="0"/>
          <w:marTop w:val="0"/>
          <w:marBottom w:val="0"/>
          <w:divBdr>
            <w:top w:val="none" w:sz="0" w:space="0" w:color="auto"/>
            <w:left w:val="none" w:sz="0" w:space="0" w:color="auto"/>
            <w:bottom w:val="none" w:sz="0" w:space="0" w:color="auto"/>
            <w:right w:val="none" w:sz="0" w:space="0" w:color="auto"/>
          </w:divBdr>
        </w:div>
        <w:div w:id="899559845">
          <w:marLeft w:val="0"/>
          <w:marRight w:val="0"/>
          <w:marTop w:val="0"/>
          <w:marBottom w:val="0"/>
          <w:divBdr>
            <w:top w:val="none" w:sz="0" w:space="0" w:color="auto"/>
            <w:left w:val="none" w:sz="0" w:space="0" w:color="auto"/>
            <w:bottom w:val="none" w:sz="0" w:space="0" w:color="auto"/>
            <w:right w:val="none" w:sz="0" w:space="0" w:color="auto"/>
          </w:divBdr>
        </w:div>
        <w:div w:id="687096908">
          <w:marLeft w:val="0"/>
          <w:marRight w:val="0"/>
          <w:marTop w:val="0"/>
          <w:marBottom w:val="0"/>
          <w:divBdr>
            <w:top w:val="none" w:sz="0" w:space="0" w:color="auto"/>
            <w:left w:val="none" w:sz="0" w:space="0" w:color="auto"/>
            <w:bottom w:val="none" w:sz="0" w:space="0" w:color="auto"/>
            <w:right w:val="none" w:sz="0" w:space="0" w:color="auto"/>
          </w:divBdr>
        </w:div>
        <w:div w:id="780493952">
          <w:marLeft w:val="0"/>
          <w:marRight w:val="0"/>
          <w:marTop w:val="0"/>
          <w:marBottom w:val="0"/>
          <w:divBdr>
            <w:top w:val="none" w:sz="0" w:space="0" w:color="auto"/>
            <w:left w:val="none" w:sz="0" w:space="0" w:color="auto"/>
            <w:bottom w:val="none" w:sz="0" w:space="0" w:color="auto"/>
            <w:right w:val="none" w:sz="0" w:space="0" w:color="auto"/>
          </w:divBdr>
        </w:div>
        <w:div w:id="494029313">
          <w:marLeft w:val="0"/>
          <w:marRight w:val="0"/>
          <w:marTop w:val="0"/>
          <w:marBottom w:val="0"/>
          <w:divBdr>
            <w:top w:val="none" w:sz="0" w:space="0" w:color="auto"/>
            <w:left w:val="none" w:sz="0" w:space="0" w:color="auto"/>
            <w:bottom w:val="none" w:sz="0" w:space="0" w:color="auto"/>
            <w:right w:val="none" w:sz="0" w:space="0" w:color="auto"/>
          </w:divBdr>
        </w:div>
        <w:div w:id="414329379">
          <w:marLeft w:val="0"/>
          <w:marRight w:val="0"/>
          <w:marTop w:val="0"/>
          <w:marBottom w:val="0"/>
          <w:divBdr>
            <w:top w:val="none" w:sz="0" w:space="0" w:color="auto"/>
            <w:left w:val="none" w:sz="0" w:space="0" w:color="auto"/>
            <w:bottom w:val="none" w:sz="0" w:space="0" w:color="auto"/>
            <w:right w:val="none" w:sz="0" w:space="0" w:color="auto"/>
          </w:divBdr>
        </w:div>
        <w:div w:id="359933530">
          <w:marLeft w:val="0"/>
          <w:marRight w:val="0"/>
          <w:marTop w:val="0"/>
          <w:marBottom w:val="0"/>
          <w:divBdr>
            <w:top w:val="none" w:sz="0" w:space="0" w:color="auto"/>
            <w:left w:val="none" w:sz="0" w:space="0" w:color="auto"/>
            <w:bottom w:val="none" w:sz="0" w:space="0" w:color="auto"/>
            <w:right w:val="none" w:sz="0" w:space="0" w:color="auto"/>
          </w:divBdr>
        </w:div>
        <w:div w:id="1838375684">
          <w:marLeft w:val="0"/>
          <w:marRight w:val="0"/>
          <w:marTop w:val="0"/>
          <w:marBottom w:val="0"/>
          <w:divBdr>
            <w:top w:val="none" w:sz="0" w:space="0" w:color="auto"/>
            <w:left w:val="none" w:sz="0" w:space="0" w:color="auto"/>
            <w:bottom w:val="none" w:sz="0" w:space="0" w:color="auto"/>
            <w:right w:val="none" w:sz="0" w:space="0" w:color="auto"/>
          </w:divBdr>
        </w:div>
        <w:div w:id="1011879519">
          <w:marLeft w:val="0"/>
          <w:marRight w:val="0"/>
          <w:marTop w:val="0"/>
          <w:marBottom w:val="0"/>
          <w:divBdr>
            <w:top w:val="none" w:sz="0" w:space="0" w:color="auto"/>
            <w:left w:val="none" w:sz="0" w:space="0" w:color="auto"/>
            <w:bottom w:val="none" w:sz="0" w:space="0" w:color="auto"/>
            <w:right w:val="none" w:sz="0" w:space="0" w:color="auto"/>
          </w:divBdr>
        </w:div>
        <w:div w:id="1679691362">
          <w:marLeft w:val="0"/>
          <w:marRight w:val="0"/>
          <w:marTop w:val="0"/>
          <w:marBottom w:val="0"/>
          <w:divBdr>
            <w:top w:val="none" w:sz="0" w:space="0" w:color="auto"/>
            <w:left w:val="none" w:sz="0" w:space="0" w:color="auto"/>
            <w:bottom w:val="none" w:sz="0" w:space="0" w:color="auto"/>
            <w:right w:val="none" w:sz="0" w:space="0" w:color="auto"/>
          </w:divBdr>
        </w:div>
        <w:div w:id="1209878478">
          <w:marLeft w:val="0"/>
          <w:marRight w:val="0"/>
          <w:marTop w:val="0"/>
          <w:marBottom w:val="0"/>
          <w:divBdr>
            <w:top w:val="none" w:sz="0" w:space="0" w:color="auto"/>
            <w:left w:val="none" w:sz="0" w:space="0" w:color="auto"/>
            <w:bottom w:val="none" w:sz="0" w:space="0" w:color="auto"/>
            <w:right w:val="none" w:sz="0" w:space="0" w:color="auto"/>
          </w:divBdr>
        </w:div>
        <w:div w:id="1043748416">
          <w:marLeft w:val="0"/>
          <w:marRight w:val="0"/>
          <w:marTop w:val="0"/>
          <w:marBottom w:val="0"/>
          <w:divBdr>
            <w:top w:val="none" w:sz="0" w:space="0" w:color="auto"/>
            <w:left w:val="none" w:sz="0" w:space="0" w:color="auto"/>
            <w:bottom w:val="none" w:sz="0" w:space="0" w:color="auto"/>
            <w:right w:val="none" w:sz="0" w:space="0" w:color="auto"/>
          </w:divBdr>
        </w:div>
        <w:div w:id="2050059850">
          <w:marLeft w:val="0"/>
          <w:marRight w:val="0"/>
          <w:marTop w:val="0"/>
          <w:marBottom w:val="0"/>
          <w:divBdr>
            <w:top w:val="none" w:sz="0" w:space="0" w:color="auto"/>
            <w:left w:val="none" w:sz="0" w:space="0" w:color="auto"/>
            <w:bottom w:val="none" w:sz="0" w:space="0" w:color="auto"/>
            <w:right w:val="none" w:sz="0" w:space="0" w:color="auto"/>
          </w:divBdr>
        </w:div>
        <w:div w:id="1009987769">
          <w:marLeft w:val="0"/>
          <w:marRight w:val="0"/>
          <w:marTop w:val="0"/>
          <w:marBottom w:val="0"/>
          <w:divBdr>
            <w:top w:val="none" w:sz="0" w:space="0" w:color="auto"/>
            <w:left w:val="none" w:sz="0" w:space="0" w:color="auto"/>
            <w:bottom w:val="none" w:sz="0" w:space="0" w:color="auto"/>
            <w:right w:val="none" w:sz="0" w:space="0" w:color="auto"/>
          </w:divBdr>
        </w:div>
        <w:div w:id="1131171281">
          <w:marLeft w:val="0"/>
          <w:marRight w:val="0"/>
          <w:marTop w:val="0"/>
          <w:marBottom w:val="0"/>
          <w:divBdr>
            <w:top w:val="none" w:sz="0" w:space="0" w:color="auto"/>
            <w:left w:val="none" w:sz="0" w:space="0" w:color="auto"/>
            <w:bottom w:val="none" w:sz="0" w:space="0" w:color="auto"/>
            <w:right w:val="none" w:sz="0" w:space="0" w:color="auto"/>
          </w:divBdr>
        </w:div>
        <w:div w:id="2095272273">
          <w:marLeft w:val="0"/>
          <w:marRight w:val="0"/>
          <w:marTop w:val="0"/>
          <w:marBottom w:val="0"/>
          <w:divBdr>
            <w:top w:val="none" w:sz="0" w:space="0" w:color="auto"/>
            <w:left w:val="none" w:sz="0" w:space="0" w:color="auto"/>
            <w:bottom w:val="none" w:sz="0" w:space="0" w:color="auto"/>
            <w:right w:val="none" w:sz="0" w:space="0" w:color="auto"/>
          </w:divBdr>
        </w:div>
        <w:div w:id="938296372">
          <w:marLeft w:val="0"/>
          <w:marRight w:val="0"/>
          <w:marTop w:val="0"/>
          <w:marBottom w:val="0"/>
          <w:divBdr>
            <w:top w:val="none" w:sz="0" w:space="0" w:color="auto"/>
            <w:left w:val="none" w:sz="0" w:space="0" w:color="auto"/>
            <w:bottom w:val="none" w:sz="0" w:space="0" w:color="auto"/>
            <w:right w:val="none" w:sz="0" w:space="0" w:color="auto"/>
          </w:divBdr>
        </w:div>
        <w:div w:id="418327609">
          <w:marLeft w:val="0"/>
          <w:marRight w:val="0"/>
          <w:marTop w:val="0"/>
          <w:marBottom w:val="0"/>
          <w:divBdr>
            <w:top w:val="none" w:sz="0" w:space="0" w:color="auto"/>
            <w:left w:val="none" w:sz="0" w:space="0" w:color="auto"/>
            <w:bottom w:val="none" w:sz="0" w:space="0" w:color="auto"/>
            <w:right w:val="none" w:sz="0" w:space="0" w:color="auto"/>
          </w:divBdr>
        </w:div>
        <w:div w:id="755594437">
          <w:marLeft w:val="0"/>
          <w:marRight w:val="0"/>
          <w:marTop w:val="0"/>
          <w:marBottom w:val="0"/>
          <w:divBdr>
            <w:top w:val="none" w:sz="0" w:space="0" w:color="auto"/>
            <w:left w:val="none" w:sz="0" w:space="0" w:color="auto"/>
            <w:bottom w:val="none" w:sz="0" w:space="0" w:color="auto"/>
            <w:right w:val="none" w:sz="0" w:space="0" w:color="auto"/>
          </w:divBdr>
        </w:div>
        <w:div w:id="1401829675">
          <w:marLeft w:val="0"/>
          <w:marRight w:val="0"/>
          <w:marTop w:val="0"/>
          <w:marBottom w:val="0"/>
          <w:divBdr>
            <w:top w:val="none" w:sz="0" w:space="0" w:color="auto"/>
            <w:left w:val="none" w:sz="0" w:space="0" w:color="auto"/>
            <w:bottom w:val="none" w:sz="0" w:space="0" w:color="auto"/>
            <w:right w:val="none" w:sz="0" w:space="0" w:color="auto"/>
          </w:divBdr>
        </w:div>
        <w:div w:id="791947813">
          <w:marLeft w:val="0"/>
          <w:marRight w:val="0"/>
          <w:marTop w:val="0"/>
          <w:marBottom w:val="0"/>
          <w:divBdr>
            <w:top w:val="none" w:sz="0" w:space="0" w:color="auto"/>
            <w:left w:val="none" w:sz="0" w:space="0" w:color="auto"/>
            <w:bottom w:val="none" w:sz="0" w:space="0" w:color="auto"/>
            <w:right w:val="none" w:sz="0" w:space="0" w:color="auto"/>
          </w:divBdr>
        </w:div>
        <w:div w:id="1933270928">
          <w:marLeft w:val="0"/>
          <w:marRight w:val="0"/>
          <w:marTop w:val="0"/>
          <w:marBottom w:val="0"/>
          <w:divBdr>
            <w:top w:val="none" w:sz="0" w:space="0" w:color="auto"/>
            <w:left w:val="none" w:sz="0" w:space="0" w:color="auto"/>
            <w:bottom w:val="none" w:sz="0" w:space="0" w:color="auto"/>
            <w:right w:val="none" w:sz="0" w:space="0" w:color="auto"/>
          </w:divBdr>
        </w:div>
        <w:div w:id="1014503573">
          <w:marLeft w:val="0"/>
          <w:marRight w:val="0"/>
          <w:marTop w:val="0"/>
          <w:marBottom w:val="0"/>
          <w:divBdr>
            <w:top w:val="none" w:sz="0" w:space="0" w:color="auto"/>
            <w:left w:val="none" w:sz="0" w:space="0" w:color="auto"/>
            <w:bottom w:val="none" w:sz="0" w:space="0" w:color="auto"/>
            <w:right w:val="none" w:sz="0" w:space="0" w:color="auto"/>
          </w:divBdr>
        </w:div>
        <w:div w:id="519781744">
          <w:marLeft w:val="0"/>
          <w:marRight w:val="0"/>
          <w:marTop w:val="0"/>
          <w:marBottom w:val="0"/>
          <w:divBdr>
            <w:top w:val="none" w:sz="0" w:space="0" w:color="auto"/>
            <w:left w:val="none" w:sz="0" w:space="0" w:color="auto"/>
            <w:bottom w:val="none" w:sz="0" w:space="0" w:color="auto"/>
            <w:right w:val="none" w:sz="0" w:space="0" w:color="auto"/>
          </w:divBdr>
        </w:div>
        <w:div w:id="2086487497">
          <w:marLeft w:val="0"/>
          <w:marRight w:val="0"/>
          <w:marTop w:val="0"/>
          <w:marBottom w:val="0"/>
          <w:divBdr>
            <w:top w:val="none" w:sz="0" w:space="0" w:color="auto"/>
            <w:left w:val="none" w:sz="0" w:space="0" w:color="auto"/>
            <w:bottom w:val="none" w:sz="0" w:space="0" w:color="auto"/>
            <w:right w:val="none" w:sz="0" w:space="0" w:color="auto"/>
          </w:divBdr>
        </w:div>
        <w:div w:id="1338507702">
          <w:marLeft w:val="0"/>
          <w:marRight w:val="0"/>
          <w:marTop w:val="0"/>
          <w:marBottom w:val="0"/>
          <w:divBdr>
            <w:top w:val="none" w:sz="0" w:space="0" w:color="auto"/>
            <w:left w:val="none" w:sz="0" w:space="0" w:color="auto"/>
            <w:bottom w:val="none" w:sz="0" w:space="0" w:color="auto"/>
            <w:right w:val="none" w:sz="0" w:space="0" w:color="auto"/>
          </w:divBdr>
        </w:div>
        <w:div w:id="661934696">
          <w:marLeft w:val="0"/>
          <w:marRight w:val="0"/>
          <w:marTop w:val="0"/>
          <w:marBottom w:val="0"/>
          <w:divBdr>
            <w:top w:val="none" w:sz="0" w:space="0" w:color="auto"/>
            <w:left w:val="none" w:sz="0" w:space="0" w:color="auto"/>
            <w:bottom w:val="none" w:sz="0" w:space="0" w:color="auto"/>
            <w:right w:val="none" w:sz="0" w:space="0" w:color="auto"/>
          </w:divBdr>
        </w:div>
        <w:div w:id="2142065241">
          <w:marLeft w:val="0"/>
          <w:marRight w:val="0"/>
          <w:marTop w:val="0"/>
          <w:marBottom w:val="0"/>
          <w:divBdr>
            <w:top w:val="none" w:sz="0" w:space="0" w:color="auto"/>
            <w:left w:val="none" w:sz="0" w:space="0" w:color="auto"/>
            <w:bottom w:val="none" w:sz="0" w:space="0" w:color="auto"/>
            <w:right w:val="none" w:sz="0" w:space="0" w:color="auto"/>
          </w:divBdr>
        </w:div>
        <w:div w:id="821771158">
          <w:marLeft w:val="0"/>
          <w:marRight w:val="0"/>
          <w:marTop w:val="0"/>
          <w:marBottom w:val="0"/>
          <w:divBdr>
            <w:top w:val="none" w:sz="0" w:space="0" w:color="auto"/>
            <w:left w:val="none" w:sz="0" w:space="0" w:color="auto"/>
            <w:bottom w:val="none" w:sz="0" w:space="0" w:color="auto"/>
            <w:right w:val="none" w:sz="0" w:space="0" w:color="auto"/>
          </w:divBdr>
        </w:div>
        <w:div w:id="2106343668">
          <w:marLeft w:val="0"/>
          <w:marRight w:val="0"/>
          <w:marTop w:val="0"/>
          <w:marBottom w:val="0"/>
          <w:divBdr>
            <w:top w:val="none" w:sz="0" w:space="0" w:color="auto"/>
            <w:left w:val="none" w:sz="0" w:space="0" w:color="auto"/>
            <w:bottom w:val="none" w:sz="0" w:space="0" w:color="auto"/>
            <w:right w:val="none" w:sz="0" w:space="0" w:color="auto"/>
          </w:divBdr>
        </w:div>
        <w:div w:id="1413357320">
          <w:marLeft w:val="0"/>
          <w:marRight w:val="0"/>
          <w:marTop w:val="0"/>
          <w:marBottom w:val="0"/>
          <w:divBdr>
            <w:top w:val="none" w:sz="0" w:space="0" w:color="auto"/>
            <w:left w:val="none" w:sz="0" w:space="0" w:color="auto"/>
            <w:bottom w:val="none" w:sz="0" w:space="0" w:color="auto"/>
            <w:right w:val="none" w:sz="0" w:space="0" w:color="auto"/>
          </w:divBdr>
        </w:div>
        <w:div w:id="24454294">
          <w:marLeft w:val="0"/>
          <w:marRight w:val="0"/>
          <w:marTop w:val="0"/>
          <w:marBottom w:val="0"/>
          <w:divBdr>
            <w:top w:val="none" w:sz="0" w:space="0" w:color="auto"/>
            <w:left w:val="none" w:sz="0" w:space="0" w:color="auto"/>
            <w:bottom w:val="none" w:sz="0" w:space="0" w:color="auto"/>
            <w:right w:val="none" w:sz="0" w:space="0" w:color="auto"/>
          </w:divBdr>
        </w:div>
        <w:div w:id="84425121">
          <w:marLeft w:val="0"/>
          <w:marRight w:val="0"/>
          <w:marTop w:val="0"/>
          <w:marBottom w:val="0"/>
          <w:divBdr>
            <w:top w:val="none" w:sz="0" w:space="0" w:color="auto"/>
            <w:left w:val="none" w:sz="0" w:space="0" w:color="auto"/>
            <w:bottom w:val="none" w:sz="0" w:space="0" w:color="auto"/>
            <w:right w:val="none" w:sz="0" w:space="0" w:color="auto"/>
          </w:divBdr>
        </w:div>
        <w:div w:id="1927877276">
          <w:marLeft w:val="0"/>
          <w:marRight w:val="0"/>
          <w:marTop w:val="0"/>
          <w:marBottom w:val="0"/>
          <w:divBdr>
            <w:top w:val="none" w:sz="0" w:space="0" w:color="auto"/>
            <w:left w:val="none" w:sz="0" w:space="0" w:color="auto"/>
            <w:bottom w:val="none" w:sz="0" w:space="0" w:color="auto"/>
            <w:right w:val="none" w:sz="0" w:space="0" w:color="auto"/>
          </w:divBdr>
        </w:div>
        <w:div w:id="1781877060">
          <w:marLeft w:val="0"/>
          <w:marRight w:val="0"/>
          <w:marTop w:val="0"/>
          <w:marBottom w:val="0"/>
          <w:divBdr>
            <w:top w:val="none" w:sz="0" w:space="0" w:color="auto"/>
            <w:left w:val="none" w:sz="0" w:space="0" w:color="auto"/>
            <w:bottom w:val="none" w:sz="0" w:space="0" w:color="auto"/>
            <w:right w:val="none" w:sz="0" w:space="0" w:color="auto"/>
          </w:divBdr>
        </w:div>
        <w:div w:id="1220282689">
          <w:marLeft w:val="0"/>
          <w:marRight w:val="0"/>
          <w:marTop w:val="0"/>
          <w:marBottom w:val="0"/>
          <w:divBdr>
            <w:top w:val="none" w:sz="0" w:space="0" w:color="auto"/>
            <w:left w:val="none" w:sz="0" w:space="0" w:color="auto"/>
            <w:bottom w:val="none" w:sz="0" w:space="0" w:color="auto"/>
            <w:right w:val="none" w:sz="0" w:space="0" w:color="auto"/>
          </w:divBdr>
        </w:div>
        <w:div w:id="1607233307">
          <w:marLeft w:val="0"/>
          <w:marRight w:val="0"/>
          <w:marTop w:val="0"/>
          <w:marBottom w:val="0"/>
          <w:divBdr>
            <w:top w:val="none" w:sz="0" w:space="0" w:color="auto"/>
            <w:left w:val="none" w:sz="0" w:space="0" w:color="auto"/>
            <w:bottom w:val="none" w:sz="0" w:space="0" w:color="auto"/>
            <w:right w:val="none" w:sz="0" w:space="0" w:color="auto"/>
          </w:divBdr>
        </w:div>
        <w:div w:id="105589829">
          <w:marLeft w:val="0"/>
          <w:marRight w:val="0"/>
          <w:marTop w:val="0"/>
          <w:marBottom w:val="0"/>
          <w:divBdr>
            <w:top w:val="none" w:sz="0" w:space="0" w:color="auto"/>
            <w:left w:val="none" w:sz="0" w:space="0" w:color="auto"/>
            <w:bottom w:val="none" w:sz="0" w:space="0" w:color="auto"/>
            <w:right w:val="none" w:sz="0" w:space="0" w:color="auto"/>
          </w:divBdr>
        </w:div>
        <w:div w:id="1726181910">
          <w:marLeft w:val="0"/>
          <w:marRight w:val="0"/>
          <w:marTop w:val="0"/>
          <w:marBottom w:val="0"/>
          <w:divBdr>
            <w:top w:val="none" w:sz="0" w:space="0" w:color="auto"/>
            <w:left w:val="none" w:sz="0" w:space="0" w:color="auto"/>
            <w:bottom w:val="none" w:sz="0" w:space="0" w:color="auto"/>
            <w:right w:val="none" w:sz="0" w:space="0" w:color="auto"/>
          </w:divBdr>
        </w:div>
        <w:div w:id="1501310906">
          <w:marLeft w:val="0"/>
          <w:marRight w:val="0"/>
          <w:marTop w:val="0"/>
          <w:marBottom w:val="0"/>
          <w:divBdr>
            <w:top w:val="none" w:sz="0" w:space="0" w:color="auto"/>
            <w:left w:val="none" w:sz="0" w:space="0" w:color="auto"/>
            <w:bottom w:val="none" w:sz="0" w:space="0" w:color="auto"/>
            <w:right w:val="none" w:sz="0" w:space="0" w:color="auto"/>
          </w:divBdr>
        </w:div>
        <w:div w:id="2018576320">
          <w:marLeft w:val="0"/>
          <w:marRight w:val="0"/>
          <w:marTop w:val="0"/>
          <w:marBottom w:val="0"/>
          <w:divBdr>
            <w:top w:val="none" w:sz="0" w:space="0" w:color="auto"/>
            <w:left w:val="none" w:sz="0" w:space="0" w:color="auto"/>
            <w:bottom w:val="none" w:sz="0" w:space="0" w:color="auto"/>
            <w:right w:val="none" w:sz="0" w:space="0" w:color="auto"/>
          </w:divBdr>
        </w:div>
        <w:div w:id="1229070170">
          <w:marLeft w:val="0"/>
          <w:marRight w:val="0"/>
          <w:marTop w:val="0"/>
          <w:marBottom w:val="0"/>
          <w:divBdr>
            <w:top w:val="none" w:sz="0" w:space="0" w:color="auto"/>
            <w:left w:val="none" w:sz="0" w:space="0" w:color="auto"/>
            <w:bottom w:val="none" w:sz="0" w:space="0" w:color="auto"/>
            <w:right w:val="none" w:sz="0" w:space="0" w:color="auto"/>
          </w:divBdr>
        </w:div>
        <w:div w:id="1624770363">
          <w:marLeft w:val="0"/>
          <w:marRight w:val="0"/>
          <w:marTop w:val="0"/>
          <w:marBottom w:val="0"/>
          <w:divBdr>
            <w:top w:val="none" w:sz="0" w:space="0" w:color="auto"/>
            <w:left w:val="none" w:sz="0" w:space="0" w:color="auto"/>
            <w:bottom w:val="none" w:sz="0" w:space="0" w:color="auto"/>
            <w:right w:val="none" w:sz="0" w:space="0" w:color="auto"/>
          </w:divBdr>
        </w:div>
        <w:div w:id="1575773613">
          <w:marLeft w:val="0"/>
          <w:marRight w:val="0"/>
          <w:marTop w:val="0"/>
          <w:marBottom w:val="0"/>
          <w:divBdr>
            <w:top w:val="none" w:sz="0" w:space="0" w:color="auto"/>
            <w:left w:val="none" w:sz="0" w:space="0" w:color="auto"/>
            <w:bottom w:val="none" w:sz="0" w:space="0" w:color="auto"/>
            <w:right w:val="none" w:sz="0" w:space="0" w:color="auto"/>
          </w:divBdr>
        </w:div>
        <w:div w:id="1060906829">
          <w:marLeft w:val="0"/>
          <w:marRight w:val="0"/>
          <w:marTop w:val="0"/>
          <w:marBottom w:val="0"/>
          <w:divBdr>
            <w:top w:val="none" w:sz="0" w:space="0" w:color="auto"/>
            <w:left w:val="none" w:sz="0" w:space="0" w:color="auto"/>
            <w:bottom w:val="none" w:sz="0" w:space="0" w:color="auto"/>
            <w:right w:val="none" w:sz="0" w:space="0" w:color="auto"/>
          </w:divBdr>
        </w:div>
        <w:div w:id="769085835">
          <w:marLeft w:val="0"/>
          <w:marRight w:val="0"/>
          <w:marTop w:val="0"/>
          <w:marBottom w:val="0"/>
          <w:divBdr>
            <w:top w:val="none" w:sz="0" w:space="0" w:color="auto"/>
            <w:left w:val="none" w:sz="0" w:space="0" w:color="auto"/>
            <w:bottom w:val="none" w:sz="0" w:space="0" w:color="auto"/>
            <w:right w:val="none" w:sz="0" w:space="0" w:color="auto"/>
          </w:divBdr>
        </w:div>
        <w:div w:id="1706129101">
          <w:marLeft w:val="0"/>
          <w:marRight w:val="0"/>
          <w:marTop w:val="0"/>
          <w:marBottom w:val="0"/>
          <w:divBdr>
            <w:top w:val="none" w:sz="0" w:space="0" w:color="auto"/>
            <w:left w:val="none" w:sz="0" w:space="0" w:color="auto"/>
            <w:bottom w:val="none" w:sz="0" w:space="0" w:color="auto"/>
            <w:right w:val="none" w:sz="0" w:space="0" w:color="auto"/>
          </w:divBdr>
        </w:div>
        <w:div w:id="1019353586">
          <w:marLeft w:val="0"/>
          <w:marRight w:val="0"/>
          <w:marTop w:val="0"/>
          <w:marBottom w:val="0"/>
          <w:divBdr>
            <w:top w:val="none" w:sz="0" w:space="0" w:color="auto"/>
            <w:left w:val="none" w:sz="0" w:space="0" w:color="auto"/>
            <w:bottom w:val="none" w:sz="0" w:space="0" w:color="auto"/>
            <w:right w:val="none" w:sz="0" w:space="0" w:color="auto"/>
          </w:divBdr>
        </w:div>
        <w:div w:id="1828012925">
          <w:marLeft w:val="0"/>
          <w:marRight w:val="0"/>
          <w:marTop w:val="0"/>
          <w:marBottom w:val="0"/>
          <w:divBdr>
            <w:top w:val="none" w:sz="0" w:space="0" w:color="auto"/>
            <w:left w:val="none" w:sz="0" w:space="0" w:color="auto"/>
            <w:bottom w:val="none" w:sz="0" w:space="0" w:color="auto"/>
            <w:right w:val="none" w:sz="0" w:space="0" w:color="auto"/>
          </w:divBdr>
        </w:div>
        <w:div w:id="614361775">
          <w:marLeft w:val="0"/>
          <w:marRight w:val="0"/>
          <w:marTop w:val="0"/>
          <w:marBottom w:val="0"/>
          <w:divBdr>
            <w:top w:val="none" w:sz="0" w:space="0" w:color="auto"/>
            <w:left w:val="none" w:sz="0" w:space="0" w:color="auto"/>
            <w:bottom w:val="none" w:sz="0" w:space="0" w:color="auto"/>
            <w:right w:val="none" w:sz="0" w:space="0" w:color="auto"/>
          </w:divBdr>
        </w:div>
        <w:div w:id="1695181528">
          <w:marLeft w:val="0"/>
          <w:marRight w:val="0"/>
          <w:marTop w:val="0"/>
          <w:marBottom w:val="0"/>
          <w:divBdr>
            <w:top w:val="none" w:sz="0" w:space="0" w:color="auto"/>
            <w:left w:val="none" w:sz="0" w:space="0" w:color="auto"/>
            <w:bottom w:val="none" w:sz="0" w:space="0" w:color="auto"/>
            <w:right w:val="none" w:sz="0" w:space="0" w:color="auto"/>
          </w:divBdr>
        </w:div>
        <w:div w:id="1199971166">
          <w:marLeft w:val="0"/>
          <w:marRight w:val="0"/>
          <w:marTop w:val="0"/>
          <w:marBottom w:val="0"/>
          <w:divBdr>
            <w:top w:val="none" w:sz="0" w:space="0" w:color="auto"/>
            <w:left w:val="none" w:sz="0" w:space="0" w:color="auto"/>
            <w:bottom w:val="none" w:sz="0" w:space="0" w:color="auto"/>
            <w:right w:val="none" w:sz="0" w:space="0" w:color="auto"/>
          </w:divBdr>
        </w:div>
        <w:div w:id="2019771252">
          <w:marLeft w:val="0"/>
          <w:marRight w:val="0"/>
          <w:marTop w:val="0"/>
          <w:marBottom w:val="0"/>
          <w:divBdr>
            <w:top w:val="none" w:sz="0" w:space="0" w:color="auto"/>
            <w:left w:val="none" w:sz="0" w:space="0" w:color="auto"/>
            <w:bottom w:val="none" w:sz="0" w:space="0" w:color="auto"/>
            <w:right w:val="none" w:sz="0" w:space="0" w:color="auto"/>
          </w:divBdr>
        </w:div>
        <w:div w:id="473058862">
          <w:marLeft w:val="0"/>
          <w:marRight w:val="0"/>
          <w:marTop w:val="0"/>
          <w:marBottom w:val="0"/>
          <w:divBdr>
            <w:top w:val="none" w:sz="0" w:space="0" w:color="auto"/>
            <w:left w:val="none" w:sz="0" w:space="0" w:color="auto"/>
            <w:bottom w:val="none" w:sz="0" w:space="0" w:color="auto"/>
            <w:right w:val="none" w:sz="0" w:space="0" w:color="auto"/>
          </w:divBdr>
        </w:div>
        <w:div w:id="1297837821">
          <w:marLeft w:val="0"/>
          <w:marRight w:val="0"/>
          <w:marTop w:val="0"/>
          <w:marBottom w:val="0"/>
          <w:divBdr>
            <w:top w:val="none" w:sz="0" w:space="0" w:color="auto"/>
            <w:left w:val="none" w:sz="0" w:space="0" w:color="auto"/>
            <w:bottom w:val="none" w:sz="0" w:space="0" w:color="auto"/>
            <w:right w:val="none" w:sz="0" w:space="0" w:color="auto"/>
          </w:divBdr>
        </w:div>
        <w:div w:id="1897543564">
          <w:marLeft w:val="0"/>
          <w:marRight w:val="0"/>
          <w:marTop w:val="0"/>
          <w:marBottom w:val="0"/>
          <w:divBdr>
            <w:top w:val="none" w:sz="0" w:space="0" w:color="auto"/>
            <w:left w:val="none" w:sz="0" w:space="0" w:color="auto"/>
            <w:bottom w:val="none" w:sz="0" w:space="0" w:color="auto"/>
            <w:right w:val="none" w:sz="0" w:space="0" w:color="auto"/>
          </w:divBdr>
        </w:div>
        <w:div w:id="93596031">
          <w:marLeft w:val="0"/>
          <w:marRight w:val="0"/>
          <w:marTop w:val="0"/>
          <w:marBottom w:val="0"/>
          <w:divBdr>
            <w:top w:val="none" w:sz="0" w:space="0" w:color="auto"/>
            <w:left w:val="none" w:sz="0" w:space="0" w:color="auto"/>
            <w:bottom w:val="none" w:sz="0" w:space="0" w:color="auto"/>
            <w:right w:val="none" w:sz="0" w:space="0" w:color="auto"/>
          </w:divBdr>
        </w:div>
        <w:div w:id="1975792071">
          <w:marLeft w:val="0"/>
          <w:marRight w:val="0"/>
          <w:marTop w:val="0"/>
          <w:marBottom w:val="0"/>
          <w:divBdr>
            <w:top w:val="none" w:sz="0" w:space="0" w:color="auto"/>
            <w:left w:val="none" w:sz="0" w:space="0" w:color="auto"/>
            <w:bottom w:val="none" w:sz="0" w:space="0" w:color="auto"/>
            <w:right w:val="none" w:sz="0" w:space="0" w:color="auto"/>
          </w:divBdr>
        </w:div>
        <w:div w:id="1109929522">
          <w:marLeft w:val="0"/>
          <w:marRight w:val="0"/>
          <w:marTop w:val="0"/>
          <w:marBottom w:val="0"/>
          <w:divBdr>
            <w:top w:val="none" w:sz="0" w:space="0" w:color="auto"/>
            <w:left w:val="none" w:sz="0" w:space="0" w:color="auto"/>
            <w:bottom w:val="none" w:sz="0" w:space="0" w:color="auto"/>
            <w:right w:val="none" w:sz="0" w:space="0" w:color="auto"/>
          </w:divBdr>
        </w:div>
        <w:div w:id="958877571">
          <w:marLeft w:val="0"/>
          <w:marRight w:val="0"/>
          <w:marTop w:val="0"/>
          <w:marBottom w:val="0"/>
          <w:divBdr>
            <w:top w:val="none" w:sz="0" w:space="0" w:color="auto"/>
            <w:left w:val="none" w:sz="0" w:space="0" w:color="auto"/>
            <w:bottom w:val="none" w:sz="0" w:space="0" w:color="auto"/>
            <w:right w:val="none" w:sz="0" w:space="0" w:color="auto"/>
          </w:divBdr>
        </w:div>
        <w:div w:id="1883665780">
          <w:marLeft w:val="0"/>
          <w:marRight w:val="0"/>
          <w:marTop w:val="0"/>
          <w:marBottom w:val="0"/>
          <w:divBdr>
            <w:top w:val="none" w:sz="0" w:space="0" w:color="auto"/>
            <w:left w:val="none" w:sz="0" w:space="0" w:color="auto"/>
            <w:bottom w:val="none" w:sz="0" w:space="0" w:color="auto"/>
            <w:right w:val="none" w:sz="0" w:space="0" w:color="auto"/>
          </w:divBdr>
        </w:div>
        <w:div w:id="1866020973">
          <w:marLeft w:val="0"/>
          <w:marRight w:val="0"/>
          <w:marTop w:val="0"/>
          <w:marBottom w:val="0"/>
          <w:divBdr>
            <w:top w:val="none" w:sz="0" w:space="0" w:color="auto"/>
            <w:left w:val="none" w:sz="0" w:space="0" w:color="auto"/>
            <w:bottom w:val="none" w:sz="0" w:space="0" w:color="auto"/>
            <w:right w:val="none" w:sz="0" w:space="0" w:color="auto"/>
          </w:divBdr>
        </w:div>
        <w:div w:id="1081949223">
          <w:marLeft w:val="0"/>
          <w:marRight w:val="0"/>
          <w:marTop w:val="0"/>
          <w:marBottom w:val="0"/>
          <w:divBdr>
            <w:top w:val="none" w:sz="0" w:space="0" w:color="auto"/>
            <w:left w:val="none" w:sz="0" w:space="0" w:color="auto"/>
            <w:bottom w:val="none" w:sz="0" w:space="0" w:color="auto"/>
            <w:right w:val="none" w:sz="0" w:space="0" w:color="auto"/>
          </w:divBdr>
        </w:div>
        <w:div w:id="1074350662">
          <w:marLeft w:val="0"/>
          <w:marRight w:val="0"/>
          <w:marTop w:val="0"/>
          <w:marBottom w:val="0"/>
          <w:divBdr>
            <w:top w:val="none" w:sz="0" w:space="0" w:color="auto"/>
            <w:left w:val="none" w:sz="0" w:space="0" w:color="auto"/>
            <w:bottom w:val="none" w:sz="0" w:space="0" w:color="auto"/>
            <w:right w:val="none" w:sz="0" w:space="0" w:color="auto"/>
          </w:divBdr>
        </w:div>
        <w:div w:id="2146309270">
          <w:marLeft w:val="0"/>
          <w:marRight w:val="0"/>
          <w:marTop w:val="0"/>
          <w:marBottom w:val="0"/>
          <w:divBdr>
            <w:top w:val="none" w:sz="0" w:space="0" w:color="auto"/>
            <w:left w:val="none" w:sz="0" w:space="0" w:color="auto"/>
            <w:bottom w:val="none" w:sz="0" w:space="0" w:color="auto"/>
            <w:right w:val="none" w:sz="0" w:space="0" w:color="auto"/>
          </w:divBdr>
        </w:div>
        <w:div w:id="1416319163">
          <w:marLeft w:val="0"/>
          <w:marRight w:val="0"/>
          <w:marTop w:val="0"/>
          <w:marBottom w:val="0"/>
          <w:divBdr>
            <w:top w:val="none" w:sz="0" w:space="0" w:color="auto"/>
            <w:left w:val="none" w:sz="0" w:space="0" w:color="auto"/>
            <w:bottom w:val="none" w:sz="0" w:space="0" w:color="auto"/>
            <w:right w:val="none" w:sz="0" w:space="0" w:color="auto"/>
          </w:divBdr>
        </w:div>
        <w:div w:id="681974758">
          <w:marLeft w:val="0"/>
          <w:marRight w:val="0"/>
          <w:marTop w:val="0"/>
          <w:marBottom w:val="0"/>
          <w:divBdr>
            <w:top w:val="none" w:sz="0" w:space="0" w:color="auto"/>
            <w:left w:val="none" w:sz="0" w:space="0" w:color="auto"/>
            <w:bottom w:val="none" w:sz="0" w:space="0" w:color="auto"/>
            <w:right w:val="none" w:sz="0" w:space="0" w:color="auto"/>
          </w:divBdr>
        </w:div>
        <w:div w:id="1658531094">
          <w:marLeft w:val="0"/>
          <w:marRight w:val="0"/>
          <w:marTop w:val="0"/>
          <w:marBottom w:val="0"/>
          <w:divBdr>
            <w:top w:val="none" w:sz="0" w:space="0" w:color="auto"/>
            <w:left w:val="none" w:sz="0" w:space="0" w:color="auto"/>
            <w:bottom w:val="none" w:sz="0" w:space="0" w:color="auto"/>
            <w:right w:val="none" w:sz="0" w:space="0" w:color="auto"/>
          </w:divBdr>
        </w:div>
        <w:div w:id="793405671">
          <w:marLeft w:val="0"/>
          <w:marRight w:val="0"/>
          <w:marTop w:val="0"/>
          <w:marBottom w:val="0"/>
          <w:divBdr>
            <w:top w:val="none" w:sz="0" w:space="0" w:color="auto"/>
            <w:left w:val="none" w:sz="0" w:space="0" w:color="auto"/>
            <w:bottom w:val="none" w:sz="0" w:space="0" w:color="auto"/>
            <w:right w:val="none" w:sz="0" w:space="0" w:color="auto"/>
          </w:divBdr>
        </w:div>
        <w:div w:id="362756549">
          <w:marLeft w:val="0"/>
          <w:marRight w:val="0"/>
          <w:marTop w:val="0"/>
          <w:marBottom w:val="0"/>
          <w:divBdr>
            <w:top w:val="none" w:sz="0" w:space="0" w:color="auto"/>
            <w:left w:val="none" w:sz="0" w:space="0" w:color="auto"/>
            <w:bottom w:val="none" w:sz="0" w:space="0" w:color="auto"/>
            <w:right w:val="none" w:sz="0" w:space="0" w:color="auto"/>
          </w:divBdr>
        </w:div>
        <w:div w:id="1364284015">
          <w:marLeft w:val="0"/>
          <w:marRight w:val="0"/>
          <w:marTop w:val="0"/>
          <w:marBottom w:val="0"/>
          <w:divBdr>
            <w:top w:val="none" w:sz="0" w:space="0" w:color="auto"/>
            <w:left w:val="none" w:sz="0" w:space="0" w:color="auto"/>
            <w:bottom w:val="none" w:sz="0" w:space="0" w:color="auto"/>
            <w:right w:val="none" w:sz="0" w:space="0" w:color="auto"/>
          </w:divBdr>
        </w:div>
        <w:div w:id="401099110">
          <w:marLeft w:val="0"/>
          <w:marRight w:val="0"/>
          <w:marTop w:val="0"/>
          <w:marBottom w:val="0"/>
          <w:divBdr>
            <w:top w:val="none" w:sz="0" w:space="0" w:color="auto"/>
            <w:left w:val="none" w:sz="0" w:space="0" w:color="auto"/>
            <w:bottom w:val="none" w:sz="0" w:space="0" w:color="auto"/>
            <w:right w:val="none" w:sz="0" w:space="0" w:color="auto"/>
          </w:divBdr>
        </w:div>
        <w:div w:id="2099785608">
          <w:marLeft w:val="0"/>
          <w:marRight w:val="0"/>
          <w:marTop w:val="0"/>
          <w:marBottom w:val="0"/>
          <w:divBdr>
            <w:top w:val="none" w:sz="0" w:space="0" w:color="auto"/>
            <w:left w:val="none" w:sz="0" w:space="0" w:color="auto"/>
            <w:bottom w:val="none" w:sz="0" w:space="0" w:color="auto"/>
            <w:right w:val="none" w:sz="0" w:space="0" w:color="auto"/>
          </w:divBdr>
        </w:div>
        <w:div w:id="134876658">
          <w:marLeft w:val="0"/>
          <w:marRight w:val="0"/>
          <w:marTop w:val="0"/>
          <w:marBottom w:val="0"/>
          <w:divBdr>
            <w:top w:val="none" w:sz="0" w:space="0" w:color="auto"/>
            <w:left w:val="none" w:sz="0" w:space="0" w:color="auto"/>
            <w:bottom w:val="none" w:sz="0" w:space="0" w:color="auto"/>
            <w:right w:val="none" w:sz="0" w:space="0" w:color="auto"/>
          </w:divBdr>
        </w:div>
        <w:div w:id="2080521886">
          <w:marLeft w:val="0"/>
          <w:marRight w:val="0"/>
          <w:marTop w:val="0"/>
          <w:marBottom w:val="0"/>
          <w:divBdr>
            <w:top w:val="none" w:sz="0" w:space="0" w:color="auto"/>
            <w:left w:val="none" w:sz="0" w:space="0" w:color="auto"/>
            <w:bottom w:val="none" w:sz="0" w:space="0" w:color="auto"/>
            <w:right w:val="none" w:sz="0" w:space="0" w:color="auto"/>
          </w:divBdr>
        </w:div>
        <w:div w:id="1601988588">
          <w:marLeft w:val="0"/>
          <w:marRight w:val="0"/>
          <w:marTop w:val="0"/>
          <w:marBottom w:val="0"/>
          <w:divBdr>
            <w:top w:val="none" w:sz="0" w:space="0" w:color="auto"/>
            <w:left w:val="none" w:sz="0" w:space="0" w:color="auto"/>
            <w:bottom w:val="none" w:sz="0" w:space="0" w:color="auto"/>
            <w:right w:val="none" w:sz="0" w:space="0" w:color="auto"/>
          </w:divBdr>
        </w:div>
        <w:div w:id="1783915973">
          <w:marLeft w:val="0"/>
          <w:marRight w:val="0"/>
          <w:marTop w:val="0"/>
          <w:marBottom w:val="0"/>
          <w:divBdr>
            <w:top w:val="none" w:sz="0" w:space="0" w:color="auto"/>
            <w:left w:val="none" w:sz="0" w:space="0" w:color="auto"/>
            <w:bottom w:val="none" w:sz="0" w:space="0" w:color="auto"/>
            <w:right w:val="none" w:sz="0" w:space="0" w:color="auto"/>
          </w:divBdr>
        </w:div>
        <w:div w:id="1409157021">
          <w:marLeft w:val="0"/>
          <w:marRight w:val="0"/>
          <w:marTop w:val="0"/>
          <w:marBottom w:val="0"/>
          <w:divBdr>
            <w:top w:val="none" w:sz="0" w:space="0" w:color="auto"/>
            <w:left w:val="none" w:sz="0" w:space="0" w:color="auto"/>
            <w:bottom w:val="none" w:sz="0" w:space="0" w:color="auto"/>
            <w:right w:val="none" w:sz="0" w:space="0" w:color="auto"/>
          </w:divBdr>
        </w:div>
        <w:div w:id="312492469">
          <w:marLeft w:val="0"/>
          <w:marRight w:val="0"/>
          <w:marTop w:val="0"/>
          <w:marBottom w:val="0"/>
          <w:divBdr>
            <w:top w:val="none" w:sz="0" w:space="0" w:color="auto"/>
            <w:left w:val="none" w:sz="0" w:space="0" w:color="auto"/>
            <w:bottom w:val="none" w:sz="0" w:space="0" w:color="auto"/>
            <w:right w:val="none" w:sz="0" w:space="0" w:color="auto"/>
          </w:divBdr>
        </w:div>
        <w:div w:id="1602761451">
          <w:marLeft w:val="0"/>
          <w:marRight w:val="0"/>
          <w:marTop w:val="0"/>
          <w:marBottom w:val="0"/>
          <w:divBdr>
            <w:top w:val="none" w:sz="0" w:space="0" w:color="auto"/>
            <w:left w:val="none" w:sz="0" w:space="0" w:color="auto"/>
            <w:bottom w:val="none" w:sz="0" w:space="0" w:color="auto"/>
            <w:right w:val="none" w:sz="0" w:space="0" w:color="auto"/>
          </w:divBdr>
        </w:div>
        <w:div w:id="119420906">
          <w:marLeft w:val="0"/>
          <w:marRight w:val="0"/>
          <w:marTop w:val="0"/>
          <w:marBottom w:val="0"/>
          <w:divBdr>
            <w:top w:val="none" w:sz="0" w:space="0" w:color="auto"/>
            <w:left w:val="none" w:sz="0" w:space="0" w:color="auto"/>
            <w:bottom w:val="none" w:sz="0" w:space="0" w:color="auto"/>
            <w:right w:val="none" w:sz="0" w:space="0" w:color="auto"/>
          </w:divBdr>
        </w:div>
        <w:div w:id="484396648">
          <w:marLeft w:val="0"/>
          <w:marRight w:val="0"/>
          <w:marTop w:val="0"/>
          <w:marBottom w:val="0"/>
          <w:divBdr>
            <w:top w:val="none" w:sz="0" w:space="0" w:color="auto"/>
            <w:left w:val="none" w:sz="0" w:space="0" w:color="auto"/>
            <w:bottom w:val="none" w:sz="0" w:space="0" w:color="auto"/>
            <w:right w:val="none" w:sz="0" w:space="0" w:color="auto"/>
          </w:divBdr>
        </w:div>
        <w:div w:id="264847552">
          <w:marLeft w:val="0"/>
          <w:marRight w:val="0"/>
          <w:marTop w:val="0"/>
          <w:marBottom w:val="0"/>
          <w:divBdr>
            <w:top w:val="none" w:sz="0" w:space="0" w:color="auto"/>
            <w:left w:val="none" w:sz="0" w:space="0" w:color="auto"/>
            <w:bottom w:val="none" w:sz="0" w:space="0" w:color="auto"/>
            <w:right w:val="none" w:sz="0" w:space="0" w:color="auto"/>
          </w:divBdr>
        </w:div>
        <w:div w:id="547841381">
          <w:marLeft w:val="0"/>
          <w:marRight w:val="0"/>
          <w:marTop w:val="0"/>
          <w:marBottom w:val="0"/>
          <w:divBdr>
            <w:top w:val="none" w:sz="0" w:space="0" w:color="auto"/>
            <w:left w:val="none" w:sz="0" w:space="0" w:color="auto"/>
            <w:bottom w:val="none" w:sz="0" w:space="0" w:color="auto"/>
            <w:right w:val="none" w:sz="0" w:space="0" w:color="auto"/>
          </w:divBdr>
        </w:div>
        <w:div w:id="93716787">
          <w:marLeft w:val="0"/>
          <w:marRight w:val="0"/>
          <w:marTop w:val="0"/>
          <w:marBottom w:val="0"/>
          <w:divBdr>
            <w:top w:val="none" w:sz="0" w:space="0" w:color="auto"/>
            <w:left w:val="none" w:sz="0" w:space="0" w:color="auto"/>
            <w:bottom w:val="none" w:sz="0" w:space="0" w:color="auto"/>
            <w:right w:val="none" w:sz="0" w:space="0" w:color="auto"/>
          </w:divBdr>
        </w:div>
        <w:div w:id="185367765">
          <w:marLeft w:val="0"/>
          <w:marRight w:val="0"/>
          <w:marTop w:val="0"/>
          <w:marBottom w:val="0"/>
          <w:divBdr>
            <w:top w:val="none" w:sz="0" w:space="0" w:color="auto"/>
            <w:left w:val="none" w:sz="0" w:space="0" w:color="auto"/>
            <w:bottom w:val="none" w:sz="0" w:space="0" w:color="auto"/>
            <w:right w:val="none" w:sz="0" w:space="0" w:color="auto"/>
          </w:divBdr>
        </w:div>
        <w:div w:id="547959321">
          <w:marLeft w:val="0"/>
          <w:marRight w:val="0"/>
          <w:marTop w:val="0"/>
          <w:marBottom w:val="0"/>
          <w:divBdr>
            <w:top w:val="none" w:sz="0" w:space="0" w:color="auto"/>
            <w:left w:val="none" w:sz="0" w:space="0" w:color="auto"/>
            <w:bottom w:val="none" w:sz="0" w:space="0" w:color="auto"/>
            <w:right w:val="none" w:sz="0" w:space="0" w:color="auto"/>
          </w:divBdr>
        </w:div>
        <w:div w:id="2069331409">
          <w:marLeft w:val="0"/>
          <w:marRight w:val="0"/>
          <w:marTop w:val="0"/>
          <w:marBottom w:val="0"/>
          <w:divBdr>
            <w:top w:val="none" w:sz="0" w:space="0" w:color="auto"/>
            <w:left w:val="none" w:sz="0" w:space="0" w:color="auto"/>
            <w:bottom w:val="none" w:sz="0" w:space="0" w:color="auto"/>
            <w:right w:val="none" w:sz="0" w:space="0" w:color="auto"/>
          </w:divBdr>
        </w:div>
        <w:div w:id="1961377522">
          <w:marLeft w:val="0"/>
          <w:marRight w:val="0"/>
          <w:marTop w:val="0"/>
          <w:marBottom w:val="0"/>
          <w:divBdr>
            <w:top w:val="none" w:sz="0" w:space="0" w:color="auto"/>
            <w:left w:val="none" w:sz="0" w:space="0" w:color="auto"/>
            <w:bottom w:val="none" w:sz="0" w:space="0" w:color="auto"/>
            <w:right w:val="none" w:sz="0" w:space="0" w:color="auto"/>
          </w:divBdr>
        </w:div>
        <w:div w:id="1693992733">
          <w:marLeft w:val="0"/>
          <w:marRight w:val="0"/>
          <w:marTop w:val="0"/>
          <w:marBottom w:val="0"/>
          <w:divBdr>
            <w:top w:val="none" w:sz="0" w:space="0" w:color="auto"/>
            <w:left w:val="none" w:sz="0" w:space="0" w:color="auto"/>
            <w:bottom w:val="none" w:sz="0" w:space="0" w:color="auto"/>
            <w:right w:val="none" w:sz="0" w:space="0" w:color="auto"/>
          </w:divBdr>
        </w:div>
        <w:div w:id="1255087141">
          <w:marLeft w:val="0"/>
          <w:marRight w:val="0"/>
          <w:marTop w:val="0"/>
          <w:marBottom w:val="0"/>
          <w:divBdr>
            <w:top w:val="none" w:sz="0" w:space="0" w:color="auto"/>
            <w:left w:val="none" w:sz="0" w:space="0" w:color="auto"/>
            <w:bottom w:val="none" w:sz="0" w:space="0" w:color="auto"/>
            <w:right w:val="none" w:sz="0" w:space="0" w:color="auto"/>
          </w:divBdr>
        </w:div>
        <w:div w:id="1421633703">
          <w:marLeft w:val="0"/>
          <w:marRight w:val="0"/>
          <w:marTop w:val="0"/>
          <w:marBottom w:val="0"/>
          <w:divBdr>
            <w:top w:val="none" w:sz="0" w:space="0" w:color="auto"/>
            <w:left w:val="none" w:sz="0" w:space="0" w:color="auto"/>
            <w:bottom w:val="none" w:sz="0" w:space="0" w:color="auto"/>
            <w:right w:val="none" w:sz="0" w:space="0" w:color="auto"/>
          </w:divBdr>
        </w:div>
        <w:div w:id="2142384383">
          <w:marLeft w:val="0"/>
          <w:marRight w:val="0"/>
          <w:marTop w:val="0"/>
          <w:marBottom w:val="0"/>
          <w:divBdr>
            <w:top w:val="none" w:sz="0" w:space="0" w:color="auto"/>
            <w:left w:val="none" w:sz="0" w:space="0" w:color="auto"/>
            <w:bottom w:val="none" w:sz="0" w:space="0" w:color="auto"/>
            <w:right w:val="none" w:sz="0" w:space="0" w:color="auto"/>
          </w:divBdr>
        </w:div>
        <w:div w:id="941886046">
          <w:marLeft w:val="0"/>
          <w:marRight w:val="0"/>
          <w:marTop w:val="0"/>
          <w:marBottom w:val="0"/>
          <w:divBdr>
            <w:top w:val="none" w:sz="0" w:space="0" w:color="auto"/>
            <w:left w:val="none" w:sz="0" w:space="0" w:color="auto"/>
            <w:bottom w:val="none" w:sz="0" w:space="0" w:color="auto"/>
            <w:right w:val="none" w:sz="0" w:space="0" w:color="auto"/>
          </w:divBdr>
        </w:div>
        <w:div w:id="871459456">
          <w:marLeft w:val="0"/>
          <w:marRight w:val="0"/>
          <w:marTop w:val="0"/>
          <w:marBottom w:val="0"/>
          <w:divBdr>
            <w:top w:val="none" w:sz="0" w:space="0" w:color="auto"/>
            <w:left w:val="none" w:sz="0" w:space="0" w:color="auto"/>
            <w:bottom w:val="none" w:sz="0" w:space="0" w:color="auto"/>
            <w:right w:val="none" w:sz="0" w:space="0" w:color="auto"/>
          </w:divBdr>
        </w:div>
        <w:div w:id="677346787">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 w:id="371226303">
          <w:marLeft w:val="0"/>
          <w:marRight w:val="0"/>
          <w:marTop w:val="0"/>
          <w:marBottom w:val="0"/>
          <w:divBdr>
            <w:top w:val="none" w:sz="0" w:space="0" w:color="auto"/>
            <w:left w:val="none" w:sz="0" w:space="0" w:color="auto"/>
            <w:bottom w:val="none" w:sz="0" w:space="0" w:color="auto"/>
            <w:right w:val="none" w:sz="0" w:space="0" w:color="auto"/>
          </w:divBdr>
        </w:div>
        <w:div w:id="910387075">
          <w:marLeft w:val="0"/>
          <w:marRight w:val="0"/>
          <w:marTop w:val="0"/>
          <w:marBottom w:val="0"/>
          <w:divBdr>
            <w:top w:val="none" w:sz="0" w:space="0" w:color="auto"/>
            <w:left w:val="none" w:sz="0" w:space="0" w:color="auto"/>
            <w:bottom w:val="none" w:sz="0" w:space="0" w:color="auto"/>
            <w:right w:val="none" w:sz="0" w:space="0" w:color="auto"/>
          </w:divBdr>
        </w:div>
        <w:div w:id="834802344">
          <w:marLeft w:val="0"/>
          <w:marRight w:val="0"/>
          <w:marTop w:val="0"/>
          <w:marBottom w:val="0"/>
          <w:divBdr>
            <w:top w:val="none" w:sz="0" w:space="0" w:color="auto"/>
            <w:left w:val="none" w:sz="0" w:space="0" w:color="auto"/>
            <w:bottom w:val="none" w:sz="0" w:space="0" w:color="auto"/>
            <w:right w:val="none" w:sz="0" w:space="0" w:color="auto"/>
          </w:divBdr>
        </w:div>
        <w:div w:id="1103190242">
          <w:marLeft w:val="0"/>
          <w:marRight w:val="0"/>
          <w:marTop w:val="0"/>
          <w:marBottom w:val="0"/>
          <w:divBdr>
            <w:top w:val="none" w:sz="0" w:space="0" w:color="auto"/>
            <w:left w:val="none" w:sz="0" w:space="0" w:color="auto"/>
            <w:bottom w:val="none" w:sz="0" w:space="0" w:color="auto"/>
            <w:right w:val="none" w:sz="0" w:space="0" w:color="auto"/>
          </w:divBdr>
        </w:div>
        <w:div w:id="1915317863">
          <w:marLeft w:val="0"/>
          <w:marRight w:val="0"/>
          <w:marTop w:val="0"/>
          <w:marBottom w:val="0"/>
          <w:divBdr>
            <w:top w:val="none" w:sz="0" w:space="0" w:color="auto"/>
            <w:left w:val="none" w:sz="0" w:space="0" w:color="auto"/>
            <w:bottom w:val="none" w:sz="0" w:space="0" w:color="auto"/>
            <w:right w:val="none" w:sz="0" w:space="0" w:color="auto"/>
          </w:divBdr>
        </w:div>
        <w:div w:id="72971162">
          <w:marLeft w:val="0"/>
          <w:marRight w:val="0"/>
          <w:marTop w:val="0"/>
          <w:marBottom w:val="0"/>
          <w:divBdr>
            <w:top w:val="none" w:sz="0" w:space="0" w:color="auto"/>
            <w:left w:val="none" w:sz="0" w:space="0" w:color="auto"/>
            <w:bottom w:val="none" w:sz="0" w:space="0" w:color="auto"/>
            <w:right w:val="none" w:sz="0" w:space="0" w:color="auto"/>
          </w:divBdr>
        </w:div>
        <w:div w:id="192547234">
          <w:marLeft w:val="0"/>
          <w:marRight w:val="0"/>
          <w:marTop w:val="0"/>
          <w:marBottom w:val="0"/>
          <w:divBdr>
            <w:top w:val="none" w:sz="0" w:space="0" w:color="auto"/>
            <w:left w:val="none" w:sz="0" w:space="0" w:color="auto"/>
            <w:bottom w:val="none" w:sz="0" w:space="0" w:color="auto"/>
            <w:right w:val="none" w:sz="0" w:space="0" w:color="auto"/>
          </w:divBdr>
        </w:div>
        <w:div w:id="1146625619">
          <w:marLeft w:val="0"/>
          <w:marRight w:val="0"/>
          <w:marTop w:val="0"/>
          <w:marBottom w:val="0"/>
          <w:divBdr>
            <w:top w:val="none" w:sz="0" w:space="0" w:color="auto"/>
            <w:left w:val="none" w:sz="0" w:space="0" w:color="auto"/>
            <w:bottom w:val="none" w:sz="0" w:space="0" w:color="auto"/>
            <w:right w:val="none" w:sz="0" w:space="0" w:color="auto"/>
          </w:divBdr>
        </w:div>
        <w:div w:id="1784884788">
          <w:marLeft w:val="0"/>
          <w:marRight w:val="0"/>
          <w:marTop w:val="0"/>
          <w:marBottom w:val="0"/>
          <w:divBdr>
            <w:top w:val="none" w:sz="0" w:space="0" w:color="auto"/>
            <w:left w:val="none" w:sz="0" w:space="0" w:color="auto"/>
            <w:bottom w:val="none" w:sz="0" w:space="0" w:color="auto"/>
            <w:right w:val="none" w:sz="0" w:space="0" w:color="auto"/>
          </w:divBdr>
        </w:div>
        <w:div w:id="1001008539">
          <w:marLeft w:val="0"/>
          <w:marRight w:val="0"/>
          <w:marTop w:val="0"/>
          <w:marBottom w:val="0"/>
          <w:divBdr>
            <w:top w:val="none" w:sz="0" w:space="0" w:color="auto"/>
            <w:left w:val="none" w:sz="0" w:space="0" w:color="auto"/>
            <w:bottom w:val="none" w:sz="0" w:space="0" w:color="auto"/>
            <w:right w:val="none" w:sz="0" w:space="0" w:color="auto"/>
          </w:divBdr>
        </w:div>
        <w:div w:id="780152278">
          <w:marLeft w:val="0"/>
          <w:marRight w:val="0"/>
          <w:marTop w:val="0"/>
          <w:marBottom w:val="0"/>
          <w:divBdr>
            <w:top w:val="none" w:sz="0" w:space="0" w:color="auto"/>
            <w:left w:val="none" w:sz="0" w:space="0" w:color="auto"/>
            <w:bottom w:val="none" w:sz="0" w:space="0" w:color="auto"/>
            <w:right w:val="none" w:sz="0" w:space="0" w:color="auto"/>
          </w:divBdr>
        </w:div>
        <w:div w:id="2096391530">
          <w:marLeft w:val="0"/>
          <w:marRight w:val="0"/>
          <w:marTop w:val="0"/>
          <w:marBottom w:val="0"/>
          <w:divBdr>
            <w:top w:val="none" w:sz="0" w:space="0" w:color="auto"/>
            <w:left w:val="none" w:sz="0" w:space="0" w:color="auto"/>
            <w:bottom w:val="none" w:sz="0" w:space="0" w:color="auto"/>
            <w:right w:val="none" w:sz="0" w:space="0" w:color="auto"/>
          </w:divBdr>
        </w:div>
        <w:div w:id="1172451838">
          <w:marLeft w:val="0"/>
          <w:marRight w:val="0"/>
          <w:marTop w:val="0"/>
          <w:marBottom w:val="0"/>
          <w:divBdr>
            <w:top w:val="none" w:sz="0" w:space="0" w:color="auto"/>
            <w:left w:val="none" w:sz="0" w:space="0" w:color="auto"/>
            <w:bottom w:val="none" w:sz="0" w:space="0" w:color="auto"/>
            <w:right w:val="none" w:sz="0" w:space="0" w:color="auto"/>
          </w:divBdr>
        </w:div>
        <w:div w:id="1794978693">
          <w:marLeft w:val="0"/>
          <w:marRight w:val="0"/>
          <w:marTop w:val="0"/>
          <w:marBottom w:val="0"/>
          <w:divBdr>
            <w:top w:val="none" w:sz="0" w:space="0" w:color="auto"/>
            <w:left w:val="none" w:sz="0" w:space="0" w:color="auto"/>
            <w:bottom w:val="none" w:sz="0" w:space="0" w:color="auto"/>
            <w:right w:val="none" w:sz="0" w:space="0" w:color="auto"/>
          </w:divBdr>
        </w:div>
        <w:div w:id="53285645">
          <w:marLeft w:val="0"/>
          <w:marRight w:val="0"/>
          <w:marTop w:val="0"/>
          <w:marBottom w:val="0"/>
          <w:divBdr>
            <w:top w:val="none" w:sz="0" w:space="0" w:color="auto"/>
            <w:left w:val="none" w:sz="0" w:space="0" w:color="auto"/>
            <w:bottom w:val="none" w:sz="0" w:space="0" w:color="auto"/>
            <w:right w:val="none" w:sz="0" w:space="0" w:color="auto"/>
          </w:divBdr>
        </w:div>
        <w:div w:id="1813983868">
          <w:marLeft w:val="0"/>
          <w:marRight w:val="0"/>
          <w:marTop w:val="0"/>
          <w:marBottom w:val="0"/>
          <w:divBdr>
            <w:top w:val="none" w:sz="0" w:space="0" w:color="auto"/>
            <w:left w:val="none" w:sz="0" w:space="0" w:color="auto"/>
            <w:bottom w:val="none" w:sz="0" w:space="0" w:color="auto"/>
            <w:right w:val="none" w:sz="0" w:space="0" w:color="auto"/>
          </w:divBdr>
        </w:div>
        <w:div w:id="1687512628">
          <w:marLeft w:val="0"/>
          <w:marRight w:val="0"/>
          <w:marTop w:val="0"/>
          <w:marBottom w:val="0"/>
          <w:divBdr>
            <w:top w:val="none" w:sz="0" w:space="0" w:color="auto"/>
            <w:left w:val="none" w:sz="0" w:space="0" w:color="auto"/>
            <w:bottom w:val="none" w:sz="0" w:space="0" w:color="auto"/>
            <w:right w:val="none" w:sz="0" w:space="0" w:color="auto"/>
          </w:divBdr>
        </w:div>
        <w:div w:id="1640108039">
          <w:marLeft w:val="0"/>
          <w:marRight w:val="0"/>
          <w:marTop w:val="0"/>
          <w:marBottom w:val="0"/>
          <w:divBdr>
            <w:top w:val="none" w:sz="0" w:space="0" w:color="auto"/>
            <w:left w:val="none" w:sz="0" w:space="0" w:color="auto"/>
            <w:bottom w:val="none" w:sz="0" w:space="0" w:color="auto"/>
            <w:right w:val="none" w:sz="0" w:space="0" w:color="auto"/>
          </w:divBdr>
        </w:div>
        <w:div w:id="2015456832">
          <w:marLeft w:val="0"/>
          <w:marRight w:val="0"/>
          <w:marTop w:val="0"/>
          <w:marBottom w:val="0"/>
          <w:divBdr>
            <w:top w:val="none" w:sz="0" w:space="0" w:color="auto"/>
            <w:left w:val="none" w:sz="0" w:space="0" w:color="auto"/>
            <w:bottom w:val="none" w:sz="0" w:space="0" w:color="auto"/>
            <w:right w:val="none" w:sz="0" w:space="0" w:color="auto"/>
          </w:divBdr>
        </w:div>
        <w:div w:id="1228032637">
          <w:marLeft w:val="0"/>
          <w:marRight w:val="0"/>
          <w:marTop w:val="0"/>
          <w:marBottom w:val="0"/>
          <w:divBdr>
            <w:top w:val="none" w:sz="0" w:space="0" w:color="auto"/>
            <w:left w:val="none" w:sz="0" w:space="0" w:color="auto"/>
            <w:bottom w:val="none" w:sz="0" w:space="0" w:color="auto"/>
            <w:right w:val="none" w:sz="0" w:space="0" w:color="auto"/>
          </w:divBdr>
        </w:div>
        <w:div w:id="1278414134">
          <w:marLeft w:val="0"/>
          <w:marRight w:val="0"/>
          <w:marTop w:val="0"/>
          <w:marBottom w:val="0"/>
          <w:divBdr>
            <w:top w:val="none" w:sz="0" w:space="0" w:color="auto"/>
            <w:left w:val="none" w:sz="0" w:space="0" w:color="auto"/>
            <w:bottom w:val="none" w:sz="0" w:space="0" w:color="auto"/>
            <w:right w:val="none" w:sz="0" w:space="0" w:color="auto"/>
          </w:divBdr>
        </w:div>
        <w:div w:id="1517042503">
          <w:marLeft w:val="0"/>
          <w:marRight w:val="0"/>
          <w:marTop w:val="0"/>
          <w:marBottom w:val="0"/>
          <w:divBdr>
            <w:top w:val="none" w:sz="0" w:space="0" w:color="auto"/>
            <w:left w:val="none" w:sz="0" w:space="0" w:color="auto"/>
            <w:bottom w:val="none" w:sz="0" w:space="0" w:color="auto"/>
            <w:right w:val="none" w:sz="0" w:space="0" w:color="auto"/>
          </w:divBdr>
        </w:div>
        <w:div w:id="1041398085">
          <w:marLeft w:val="0"/>
          <w:marRight w:val="0"/>
          <w:marTop w:val="0"/>
          <w:marBottom w:val="0"/>
          <w:divBdr>
            <w:top w:val="none" w:sz="0" w:space="0" w:color="auto"/>
            <w:left w:val="none" w:sz="0" w:space="0" w:color="auto"/>
            <w:bottom w:val="none" w:sz="0" w:space="0" w:color="auto"/>
            <w:right w:val="none" w:sz="0" w:space="0" w:color="auto"/>
          </w:divBdr>
        </w:div>
        <w:div w:id="318047224">
          <w:marLeft w:val="0"/>
          <w:marRight w:val="0"/>
          <w:marTop w:val="0"/>
          <w:marBottom w:val="0"/>
          <w:divBdr>
            <w:top w:val="none" w:sz="0" w:space="0" w:color="auto"/>
            <w:left w:val="none" w:sz="0" w:space="0" w:color="auto"/>
            <w:bottom w:val="none" w:sz="0" w:space="0" w:color="auto"/>
            <w:right w:val="none" w:sz="0" w:space="0" w:color="auto"/>
          </w:divBdr>
        </w:div>
        <w:div w:id="1482042750">
          <w:marLeft w:val="0"/>
          <w:marRight w:val="0"/>
          <w:marTop w:val="0"/>
          <w:marBottom w:val="0"/>
          <w:divBdr>
            <w:top w:val="none" w:sz="0" w:space="0" w:color="auto"/>
            <w:left w:val="none" w:sz="0" w:space="0" w:color="auto"/>
            <w:bottom w:val="none" w:sz="0" w:space="0" w:color="auto"/>
            <w:right w:val="none" w:sz="0" w:space="0" w:color="auto"/>
          </w:divBdr>
        </w:div>
        <w:div w:id="1423337112">
          <w:marLeft w:val="0"/>
          <w:marRight w:val="0"/>
          <w:marTop w:val="0"/>
          <w:marBottom w:val="0"/>
          <w:divBdr>
            <w:top w:val="none" w:sz="0" w:space="0" w:color="auto"/>
            <w:left w:val="none" w:sz="0" w:space="0" w:color="auto"/>
            <w:bottom w:val="none" w:sz="0" w:space="0" w:color="auto"/>
            <w:right w:val="none" w:sz="0" w:space="0" w:color="auto"/>
          </w:divBdr>
        </w:div>
        <w:div w:id="1966420977">
          <w:marLeft w:val="0"/>
          <w:marRight w:val="0"/>
          <w:marTop w:val="0"/>
          <w:marBottom w:val="0"/>
          <w:divBdr>
            <w:top w:val="none" w:sz="0" w:space="0" w:color="auto"/>
            <w:left w:val="none" w:sz="0" w:space="0" w:color="auto"/>
            <w:bottom w:val="none" w:sz="0" w:space="0" w:color="auto"/>
            <w:right w:val="none" w:sz="0" w:space="0" w:color="auto"/>
          </w:divBdr>
        </w:div>
        <w:div w:id="804159184">
          <w:marLeft w:val="0"/>
          <w:marRight w:val="0"/>
          <w:marTop w:val="0"/>
          <w:marBottom w:val="0"/>
          <w:divBdr>
            <w:top w:val="none" w:sz="0" w:space="0" w:color="auto"/>
            <w:left w:val="none" w:sz="0" w:space="0" w:color="auto"/>
            <w:bottom w:val="none" w:sz="0" w:space="0" w:color="auto"/>
            <w:right w:val="none" w:sz="0" w:space="0" w:color="auto"/>
          </w:divBdr>
        </w:div>
        <w:div w:id="586694572">
          <w:marLeft w:val="0"/>
          <w:marRight w:val="0"/>
          <w:marTop w:val="0"/>
          <w:marBottom w:val="0"/>
          <w:divBdr>
            <w:top w:val="none" w:sz="0" w:space="0" w:color="auto"/>
            <w:left w:val="none" w:sz="0" w:space="0" w:color="auto"/>
            <w:bottom w:val="none" w:sz="0" w:space="0" w:color="auto"/>
            <w:right w:val="none" w:sz="0" w:space="0" w:color="auto"/>
          </w:divBdr>
        </w:div>
        <w:div w:id="1168137683">
          <w:marLeft w:val="0"/>
          <w:marRight w:val="0"/>
          <w:marTop w:val="0"/>
          <w:marBottom w:val="0"/>
          <w:divBdr>
            <w:top w:val="none" w:sz="0" w:space="0" w:color="auto"/>
            <w:left w:val="none" w:sz="0" w:space="0" w:color="auto"/>
            <w:bottom w:val="none" w:sz="0" w:space="0" w:color="auto"/>
            <w:right w:val="none" w:sz="0" w:space="0" w:color="auto"/>
          </w:divBdr>
        </w:div>
        <w:div w:id="323046571">
          <w:marLeft w:val="0"/>
          <w:marRight w:val="0"/>
          <w:marTop w:val="0"/>
          <w:marBottom w:val="0"/>
          <w:divBdr>
            <w:top w:val="none" w:sz="0" w:space="0" w:color="auto"/>
            <w:left w:val="none" w:sz="0" w:space="0" w:color="auto"/>
            <w:bottom w:val="none" w:sz="0" w:space="0" w:color="auto"/>
            <w:right w:val="none" w:sz="0" w:space="0" w:color="auto"/>
          </w:divBdr>
        </w:div>
        <w:div w:id="302387412">
          <w:marLeft w:val="0"/>
          <w:marRight w:val="0"/>
          <w:marTop w:val="0"/>
          <w:marBottom w:val="0"/>
          <w:divBdr>
            <w:top w:val="none" w:sz="0" w:space="0" w:color="auto"/>
            <w:left w:val="none" w:sz="0" w:space="0" w:color="auto"/>
            <w:bottom w:val="none" w:sz="0" w:space="0" w:color="auto"/>
            <w:right w:val="none" w:sz="0" w:space="0" w:color="auto"/>
          </w:divBdr>
        </w:div>
        <w:div w:id="306127741">
          <w:marLeft w:val="0"/>
          <w:marRight w:val="0"/>
          <w:marTop w:val="0"/>
          <w:marBottom w:val="0"/>
          <w:divBdr>
            <w:top w:val="none" w:sz="0" w:space="0" w:color="auto"/>
            <w:left w:val="none" w:sz="0" w:space="0" w:color="auto"/>
            <w:bottom w:val="none" w:sz="0" w:space="0" w:color="auto"/>
            <w:right w:val="none" w:sz="0" w:space="0" w:color="auto"/>
          </w:divBdr>
        </w:div>
        <w:div w:id="2132893986">
          <w:marLeft w:val="0"/>
          <w:marRight w:val="0"/>
          <w:marTop w:val="0"/>
          <w:marBottom w:val="0"/>
          <w:divBdr>
            <w:top w:val="none" w:sz="0" w:space="0" w:color="auto"/>
            <w:left w:val="none" w:sz="0" w:space="0" w:color="auto"/>
            <w:bottom w:val="none" w:sz="0" w:space="0" w:color="auto"/>
            <w:right w:val="none" w:sz="0" w:space="0" w:color="auto"/>
          </w:divBdr>
        </w:div>
        <w:div w:id="2018264229">
          <w:marLeft w:val="0"/>
          <w:marRight w:val="0"/>
          <w:marTop w:val="0"/>
          <w:marBottom w:val="0"/>
          <w:divBdr>
            <w:top w:val="none" w:sz="0" w:space="0" w:color="auto"/>
            <w:left w:val="none" w:sz="0" w:space="0" w:color="auto"/>
            <w:bottom w:val="none" w:sz="0" w:space="0" w:color="auto"/>
            <w:right w:val="none" w:sz="0" w:space="0" w:color="auto"/>
          </w:divBdr>
        </w:div>
        <w:div w:id="187837009">
          <w:marLeft w:val="0"/>
          <w:marRight w:val="0"/>
          <w:marTop w:val="0"/>
          <w:marBottom w:val="0"/>
          <w:divBdr>
            <w:top w:val="none" w:sz="0" w:space="0" w:color="auto"/>
            <w:left w:val="none" w:sz="0" w:space="0" w:color="auto"/>
            <w:bottom w:val="none" w:sz="0" w:space="0" w:color="auto"/>
            <w:right w:val="none" w:sz="0" w:space="0" w:color="auto"/>
          </w:divBdr>
        </w:div>
        <w:div w:id="2050571046">
          <w:marLeft w:val="0"/>
          <w:marRight w:val="0"/>
          <w:marTop w:val="0"/>
          <w:marBottom w:val="0"/>
          <w:divBdr>
            <w:top w:val="none" w:sz="0" w:space="0" w:color="auto"/>
            <w:left w:val="none" w:sz="0" w:space="0" w:color="auto"/>
            <w:bottom w:val="none" w:sz="0" w:space="0" w:color="auto"/>
            <w:right w:val="none" w:sz="0" w:space="0" w:color="auto"/>
          </w:divBdr>
        </w:div>
        <w:div w:id="1100300367">
          <w:marLeft w:val="0"/>
          <w:marRight w:val="0"/>
          <w:marTop w:val="0"/>
          <w:marBottom w:val="0"/>
          <w:divBdr>
            <w:top w:val="none" w:sz="0" w:space="0" w:color="auto"/>
            <w:left w:val="none" w:sz="0" w:space="0" w:color="auto"/>
            <w:bottom w:val="none" w:sz="0" w:space="0" w:color="auto"/>
            <w:right w:val="none" w:sz="0" w:space="0" w:color="auto"/>
          </w:divBdr>
        </w:div>
        <w:div w:id="807863764">
          <w:marLeft w:val="0"/>
          <w:marRight w:val="0"/>
          <w:marTop w:val="0"/>
          <w:marBottom w:val="0"/>
          <w:divBdr>
            <w:top w:val="none" w:sz="0" w:space="0" w:color="auto"/>
            <w:left w:val="none" w:sz="0" w:space="0" w:color="auto"/>
            <w:bottom w:val="none" w:sz="0" w:space="0" w:color="auto"/>
            <w:right w:val="none" w:sz="0" w:space="0" w:color="auto"/>
          </w:divBdr>
        </w:div>
        <w:div w:id="654458320">
          <w:marLeft w:val="0"/>
          <w:marRight w:val="0"/>
          <w:marTop w:val="0"/>
          <w:marBottom w:val="0"/>
          <w:divBdr>
            <w:top w:val="none" w:sz="0" w:space="0" w:color="auto"/>
            <w:left w:val="none" w:sz="0" w:space="0" w:color="auto"/>
            <w:bottom w:val="none" w:sz="0" w:space="0" w:color="auto"/>
            <w:right w:val="none" w:sz="0" w:space="0" w:color="auto"/>
          </w:divBdr>
        </w:div>
        <w:div w:id="1624533695">
          <w:marLeft w:val="0"/>
          <w:marRight w:val="0"/>
          <w:marTop w:val="0"/>
          <w:marBottom w:val="0"/>
          <w:divBdr>
            <w:top w:val="none" w:sz="0" w:space="0" w:color="auto"/>
            <w:left w:val="none" w:sz="0" w:space="0" w:color="auto"/>
            <w:bottom w:val="none" w:sz="0" w:space="0" w:color="auto"/>
            <w:right w:val="none" w:sz="0" w:space="0" w:color="auto"/>
          </w:divBdr>
        </w:div>
        <w:div w:id="1931161348">
          <w:marLeft w:val="0"/>
          <w:marRight w:val="0"/>
          <w:marTop w:val="0"/>
          <w:marBottom w:val="0"/>
          <w:divBdr>
            <w:top w:val="none" w:sz="0" w:space="0" w:color="auto"/>
            <w:left w:val="none" w:sz="0" w:space="0" w:color="auto"/>
            <w:bottom w:val="none" w:sz="0" w:space="0" w:color="auto"/>
            <w:right w:val="none" w:sz="0" w:space="0" w:color="auto"/>
          </w:divBdr>
        </w:div>
        <w:div w:id="913974271">
          <w:marLeft w:val="0"/>
          <w:marRight w:val="0"/>
          <w:marTop w:val="0"/>
          <w:marBottom w:val="0"/>
          <w:divBdr>
            <w:top w:val="none" w:sz="0" w:space="0" w:color="auto"/>
            <w:left w:val="none" w:sz="0" w:space="0" w:color="auto"/>
            <w:bottom w:val="none" w:sz="0" w:space="0" w:color="auto"/>
            <w:right w:val="none" w:sz="0" w:space="0" w:color="auto"/>
          </w:divBdr>
        </w:div>
        <w:div w:id="1760521805">
          <w:marLeft w:val="0"/>
          <w:marRight w:val="0"/>
          <w:marTop w:val="0"/>
          <w:marBottom w:val="0"/>
          <w:divBdr>
            <w:top w:val="none" w:sz="0" w:space="0" w:color="auto"/>
            <w:left w:val="none" w:sz="0" w:space="0" w:color="auto"/>
            <w:bottom w:val="none" w:sz="0" w:space="0" w:color="auto"/>
            <w:right w:val="none" w:sz="0" w:space="0" w:color="auto"/>
          </w:divBdr>
        </w:div>
        <w:div w:id="1005551148">
          <w:marLeft w:val="0"/>
          <w:marRight w:val="0"/>
          <w:marTop w:val="0"/>
          <w:marBottom w:val="0"/>
          <w:divBdr>
            <w:top w:val="none" w:sz="0" w:space="0" w:color="auto"/>
            <w:left w:val="none" w:sz="0" w:space="0" w:color="auto"/>
            <w:bottom w:val="none" w:sz="0" w:space="0" w:color="auto"/>
            <w:right w:val="none" w:sz="0" w:space="0" w:color="auto"/>
          </w:divBdr>
        </w:div>
        <w:div w:id="294913469">
          <w:marLeft w:val="0"/>
          <w:marRight w:val="0"/>
          <w:marTop w:val="0"/>
          <w:marBottom w:val="0"/>
          <w:divBdr>
            <w:top w:val="none" w:sz="0" w:space="0" w:color="auto"/>
            <w:left w:val="none" w:sz="0" w:space="0" w:color="auto"/>
            <w:bottom w:val="none" w:sz="0" w:space="0" w:color="auto"/>
            <w:right w:val="none" w:sz="0" w:space="0" w:color="auto"/>
          </w:divBdr>
        </w:div>
        <w:div w:id="468786063">
          <w:marLeft w:val="0"/>
          <w:marRight w:val="0"/>
          <w:marTop w:val="0"/>
          <w:marBottom w:val="0"/>
          <w:divBdr>
            <w:top w:val="none" w:sz="0" w:space="0" w:color="auto"/>
            <w:left w:val="none" w:sz="0" w:space="0" w:color="auto"/>
            <w:bottom w:val="none" w:sz="0" w:space="0" w:color="auto"/>
            <w:right w:val="none" w:sz="0" w:space="0" w:color="auto"/>
          </w:divBdr>
        </w:div>
        <w:div w:id="1427650217">
          <w:marLeft w:val="0"/>
          <w:marRight w:val="0"/>
          <w:marTop w:val="0"/>
          <w:marBottom w:val="0"/>
          <w:divBdr>
            <w:top w:val="none" w:sz="0" w:space="0" w:color="auto"/>
            <w:left w:val="none" w:sz="0" w:space="0" w:color="auto"/>
            <w:bottom w:val="none" w:sz="0" w:space="0" w:color="auto"/>
            <w:right w:val="none" w:sz="0" w:space="0" w:color="auto"/>
          </w:divBdr>
        </w:div>
        <w:div w:id="275451578">
          <w:marLeft w:val="0"/>
          <w:marRight w:val="0"/>
          <w:marTop w:val="0"/>
          <w:marBottom w:val="0"/>
          <w:divBdr>
            <w:top w:val="none" w:sz="0" w:space="0" w:color="auto"/>
            <w:left w:val="none" w:sz="0" w:space="0" w:color="auto"/>
            <w:bottom w:val="none" w:sz="0" w:space="0" w:color="auto"/>
            <w:right w:val="none" w:sz="0" w:space="0" w:color="auto"/>
          </w:divBdr>
        </w:div>
        <w:div w:id="133135843">
          <w:marLeft w:val="0"/>
          <w:marRight w:val="0"/>
          <w:marTop w:val="0"/>
          <w:marBottom w:val="0"/>
          <w:divBdr>
            <w:top w:val="none" w:sz="0" w:space="0" w:color="auto"/>
            <w:left w:val="none" w:sz="0" w:space="0" w:color="auto"/>
            <w:bottom w:val="none" w:sz="0" w:space="0" w:color="auto"/>
            <w:right w:val="none" w:sz="0" w:space="0" w:color="auto"/>
          </w:divBdr>
        </w:div>
        <w:div w:id="267197304">
          <w:marLeft w:val="0"/>
          <w:marRight w:val="0"/>
          <w:marTop w:val="0"/>
          <w:marBottom w:val="0"/>
          <w:divBdr>
            <w:top w:val="none" w:sz="0" w:space="0" w:color="auto"/>
            <w:left w:val="none" w:sz="0" w:space="0" w:color="auto"/>
            <w:bottom w:val="none" w:sz="0" w:space="0" w:color="auto"/>
            <w:right w:val="none" w:sz="0" w:space="0" w:color="auto"/>
          </w:divBdr>
        </w:div>
        <w:div w:id="1210192801">
          <w:marLeft w:val="0"/>
          <w:marRight w:val="0"/>
          <w:marTop w:val="0"/>
          <w:marBottom w:val="0"/>
          <w:divBdr>
            <w:top w:val="none" w:sz="0" w:space="0" w:color="auto"/>
            <w:left w:val="none" w:sz="0" w:space="0" w:color="auto"/>
            <w:bottom w:val="none" w:sz="0" w:space="0" w:color="auto"/>
            <w:right w:val="none" w:sz="0" w:space="0" w:color="auto"/>
          </w:divBdr>
        </w:div>
        <w:div w:id="163010110">
          <w:marLeft w:val="0"/>
          <w:marRight w:val="0"/>
          <w:marTop w:val="0"/>
          <w:marBottom w:val="0"/>
          <w:divBdr>
            <w:top w:val="none" w:sz="0" w:space="0" w:color="auto"/>
            <w:left w:val="none" w:sz="0" w:space="0" w:color="auto"/>
            <w:bottom w:val="none" w:sz="0" w:space="0" w:color="auto"/>
            <w:right w:val="none" w:sz="0" w:space="0" w:color="auto"/>
          </w:divBdr>
        </w:div>
        <w:div w:id="44960275">
          <w:marLeft w:val="0"/>
          <w:marRight w:val="0"/>
          <w:marTop w:val="0"/>
          <w:marBottom w:val="0"/>
          <w:divBdr>
            <w:top w:val="none" w:sz="0" w:space="0" w:color="auto"/>
            <w:left w:val="none" w:sz="0" w:space="0" w:color="auto"/>
            <w:bottom w:val="none" w:sz="0" w:space="0" w:color="auto"/>
            <w:right w:val="none" w:sz="0" w:space="0" w:color="auto"/>
          </w:divBdr>
        </w:div>
        <w:div w:id="8458495">
          <w:marLeft w:val="0"/>
          <w:marRight w:val="0"/>
          <w:marTop w:val="0"/>
          <w:marBottom w:val="0"/>
          <w:divBdr>
            <w:top w:val="none" w:sz="0" w:space="0" w:color="auto"/>
            <w:left w:val="none" w:sz="0" w:space="0" w:color="auto"/>
            <w:bottom w:val="none" w:sz="0" w:space="0" w:color="auto"/>
            <w:right w:val="none" w:sz="0" w:space="0" w:color="auto"/>
          </w:divBdr>
        </w:div>
        <w:div w:id="423309296">
          <w:marLeft w:val="0"/>
          <w:marRight w:val="0"/>
          <w:marTop w:val="0"/>
          <w:marBottom w:val="0"/>
          <w:divBdr>
            <w:top w:val="none" w:sz="0" w:space="0" w:color="auto"/>
            <w:left w:val="none" w:sz="0" w:space="0" w:color="auto"/>
            <w:bottom w:val="none" w:sz="0" w:space="0" w:color="auto"/>
            <w:right w:val="none" w:sz="0" w:space="0" w:color="auto"/>
          </w:divBdr>
        </w:div>
        <w:div w:id="1216350189">
          <w:marLeft w:val="0"/>
          <w:marRight w:val="0"/>
          <w:marTop w:val="0"/>
          <w:marBottom w:val="0"/>
          <w:divBdr>
            <w:top w:val="none" w:sz="0" w:space="0" w:color="auto"/>
            <w:left w:val="none" w:sz="0" w:space="0" w:color="auto"/>
            <w:bottom w:val="none" w:sz="0" w:space="0" w:color="auto"/>
            <w:right w:val="none" w:sz="0" w:space="0" w:color="auto"/>
          </w:divBdr>
        </w:div>
        <w:div w:id="565191385">
          <w:marLeft w:val="0"/>
          <w:marRight w:val="0"/>
          <w:marTop w:val="0"/>
          <w:marBottom w:val="0"/>
          <w:divBdr>
            <w:top w:val="none" w:sz="0" w:space="0" w:color="auto"/>
            <w:left w:val="none" w:sz="0" w:space="0" w:color="auto"/>
            <w:bottom w:val="none" w:sz="0" w:space="0" w:color="auto"/>
            <w:right w:val="none" w:sz="0" w:space="0" w:color="auto"/>
          </w:divBdr>
        </w:div>
        <w:div w:id="1366173724">
          <w:marLeft w:val="0"/>
          <w:marRight w:val="0"/>
          <w:marTop w:val="0"/>
          <w:marBottom w:val="0"/>
          <w:divBdr>
            <w:top w:val="none" w:sz="0" w:space="0" w:color="auto"/>
            <w:left w:val="none" w:sz="0" w:space="0" w:color="auto"/>
            <w:bottom w:val="none" w:sz="0" w:space="0" w:color="auto"/>
            <w:right w:val="none" w:sz="0" w:space="0" w:color="auto"/>
          </w:divBdr>
        </w:div>
        <w:div w:id="1412772179">
          <w:marLeft w:val="0"/>
          <w:marRight w:val="0"/>
          <w:marTop w:val="0"/>
          <w:marBottom w:val="0"/>
          <w:divBdr>
            <w:top w:val="none" w:sz="0" w:space="0" w:color="auto"/>
            <w:left w:val="none" w:sz="0" w:space="0" w:color="auto"/>
            <w:bottom w:val="none" w:sz="0" w:space="0" w:color="auto"/>
            <w:right w:val="none" w:sz="0" w:space="0" w:color="auto"/>
          </w:divBdr>
        </w:div>
        <w:div w:id="1567302449">
          <w:marLeft w:val="0"/>
          <w:marRight w:val="0"/>
          <w:marTop w:val="0"/>
          <w:marBottom w:val="0"/>
          <w:divBdr>
            <w:top w:val="none" w:sz="0" w:space="0" w:color="auto"/>
            <w:left w:val="none" w:sz="0" w:space="0" w:color="auto"/>
            <w:bottom w:val="none" w:sz="0" w:space="0" w:color="auto"/>
            <w:right w:val="none" w:sz="0" w:space="0" w:color="auto"/>
          </w:divBdr>
        </w:div>
        <w:div w:id="681205487">
          <w:marLeft w:val="0"/>
          <w:marRight w:val="0"/>
          <w:marTop w:val="0"/>
          <w:marBottom w:val="0"/>
          <w:divBdr>
            <w:top w:val="none" w:sz="0" w:space="0" w:color="auto"/>
            <w:left w:val="none" w:sz="0" w:space="0" w:color="auto"/>
            <w:bottom w:val="none" w:sz="0" w:space="0" w:color="auto"/>
            <w:right w:val="none" w:sz="0" w:space="0" w:color="auto"/>
          </w:divBdr>
        </w:div>
        <w:div w:id="225575144">
          <w:marLeft w:val="0"/>
          <w:marRight w:val="0"/>
          <w:marTop w:val="0"/>
          <w:marBottom w:val="0"/>
          <w:divBdr>
            <w:top w:val="none" w:sz="0" w:space="0" w:color="auto"/>
            <w:left w:val="none" w:sz="0" w:space="0" w:color="auto"/>
            <w:bottom w:val="none" w:sz="0" w:space="0" w:color="auto"/>
            <w:right w:val="none" w:sz="0" w:space="0" w:color="auto"/>
          </w:divBdr>
        </w:div>
        <w:div w:id="1172646573">
          <w:marLeft w:val="0"/>
          <w:marRight w:val="0"/>
          <w:marTop w:val="0"/>
          <w:marBottom w:val="0"/>
          <w:divBdr>
            <w:top w:val="none" w:sz="0" w:space="0" w:color="auto"/>
            <w:left w:val="none" w:sz="0" w:space="0" w:color="auto"/>
            <w:bottom w:val="none" w:sz="0" w:space="0" w:color="auto"/>
            <w:right w:val="none" w:sz="0" w:space="0" w:color="auto"/>
          </w:divBdr>
        </w:div>
        <w:div w:id="918178857">
          <w:marLeft w:val="0"/>
          <w:marRight w:val="0"/>
          <w:marTop w:val="0"/>
          <w:marBottom w:val="0"/>
          <w:divBdr>
            <w:top w:val="none" w:sz="0" w:space="0" w:color="auto"/>
            <w:left w:val="none" w:sz="0" w:space="0" w:color="auto"/>
            <w:bottom w:val="none" w:sz="0" w:space="0" w:color="auto"/>
            <w:right w:val="none" w:sz="0" w:space="0" w:color="auto"/>
          </w:divBdr>
        </w:div>
        <w:div w:id="1770390405">
          <w:marLeft w:val="0"/>
          <w:marRight w:val="0"/>
          <w:marTop w:val="0"/>
          <w:marBottom w:val="0"/>
          <w:divBdr>
            <w:top w:val="none" w:sz="0" w:space="0" w:color="auto"/>
            <w:left w:val="none" w:sz="0" w:space="0" w:color="auto"/>
            <w:bottom w:val="none" w:sz="0" w:space="0" w:color="auto"/>
            <w:right w:val="none" w:sz="0" w:space="0" w:color="auto"/>
          </w:divBdr>
        </w:div>
        <w:div w:id="2113280637">
          <w:marLeft w:val="0"/>
          <w:marRight w:val="0"/>
          <w:marTop w:val="0"/>
          <w:marBottom w:val="0"/>
          <w:divBdr>
            <w:top w:val="none" w:sz="0" w:space="0" w:color="auto"/>
            <w:left w:val="none" w:sz="0" w:space="0" w:color="auto"/>
            <w:bottom w:val="none" w:sz="0" w:space="0" w:color="auto"/>
            <w:right w:val="none" w:sz="0" w:space="0" w:color="auto"/>
          </w:divBdr>
        </w:div>
        <w:div w:id="802621902">
          <w:marLeft w:val="0"/>
          <w:marRight w:val="0"/>
          <w:marTop w:val="0"/>
          <w:marBottom w:val="0"/>
          <w:divBdr>
            <w:top w:val="none" w:sz="0" w:space="0" w:color="auto"/>
            <w:left w:val="none" w:sz="0" w:space="0" w:color="auto"/>
            <w:bottom w:val="none" w:sz="0" w:space="0" w:color="auto"/>
            <w:right w:val="none" w:sz="0" w:space="0" w:color="auto"/>
          </w:divBdr>
        </w:div>
        <w:div w:id="1506704793">
          <w:marLeft w:val="0"/>
          <w:marRight w:val="0"/>
          <w:marTop w:val="0"/>
          <w:marBottom w:val="0"/>
          <w:divBdr>
            <w:top w:val="none" w:sz="0" w:space="0" w:color="auto"/>
            <w:left w:val="none" w:sz="0" w:space="0" w:color="auto"/>
            <w:bottom w:val="none" w:sz="0" w:space="0" w:color="auto"/>
            <w:right w:val="none" w:sz="0" w:space="0" w:color="auto"/>
          </w:divBdr>
        </w:div>
        <w:div w:id="248151815">
          <w:marLeft w:val="0"/>
          <w:marRight w:val="0"/>
          <w:marTop w:val="0"/>
          <w:marBottom w:val="0"/>
          <w:divBdr>
            <w:top w:val="none" w:sz="0" w:space="0" w:color="auto"/>
            <w:left w:val="none" w:sz="0" w:space="0" w:color="auto"/>
            <w:bottom w:val="none" w:sz="0" w:space="0" w:color="auto"/>
            <w:right w:val="none" w:sz="0" w:space="0" w:color="auto"/>
          </w:divBdr>
        </w:div>
        <w:div w:id="1133642222">
          <w:marLeft w:val="0"/>
          <w:marRight w:val="0"/>
          <w:marTop w:val="0"/>
          <w:marBottom w:val="0"/>
          <w:divBdr>
            <w:top w:val="none" w:sz="0" w:space="0" w:color="auto"/>
            <w:left w:val="none" w:sz="0" w:space="0" w:color="auto"/>
            <w:bottom w:val="none" w:sz="0" w:space="0" w:color="auto"/>
            <w:right w:val="none" w:sz="0" w:space="0" w:color="auto"/>
          </w:divBdr>
        </w:div>
        <w:div w:id="346103625">
          <w:marLeft w:val="0"/>
          <w:marRight w:val="0"/>
          <w:marTop w:val="0"/>
          <w:marBottom w:val="0"/>
          <w:divBdr>
            <w:top w:val="none" w:sz="0" w:space="0" w:color="auto"/>
            <w:left w:val="none" w:sz="0" w:space="0" w:color="auto"/>
            <w:bottom w:val="none" w:sz="0" w:space="0" w:color="auto"/>
            <w:right w:val="none" w:sz="0" w:space="0" w:color="auto"/>
          </w:divBdr>
        </w:div>
        <w:div w:id="462424726">
          <w:marLeft w:val="0"/>
          <w:marRight w:val="0"/>
          <w:marTop w:val="0"/>
          <w:marBottom w:val="0"/>
          <w:divBdr>
            <w:top w:val="none" w:sz="0" w:space="0" w:color="auto"/>
            <w:left w:val="none" w:sz="0" w:space="0" w:color="auto"/>
            <w:bottom w:val="none" w:sz="0" w:space="0" w:color="auto"/>
            <w:right w:val="none" w:sz="0" w:space="0" w:color="auto"/>
          </w:divBdr>
        </w:div>
        <w:div w:id="944654186">
          <w:marLeft w:val="0"/>
          <w:marRight w:val="0"/>
          <w:marTop w:val="0"/>
          <w:marBottom w:val="0"/>
          <w:divBdr>
            <w:top w:val="none" w:sz="0" w:space="0" w:color="auto"/>
            <w:left w:val="none" w:sz="0" w:space="0" w:color="auto"/>
            <w:bottom w:val="none" w:sz="0" w:space="0" w:color="auto"/>
            <w:right w:val="none" w:sz="0" w:space="0" w:color="auto"/>
          </w:divBdr>
        </w:div>
        <w:div w:id="2074426363">
          <w:marLeft w:val="0"/>
          <w:marRight w:val="0"/>
          <w:marTop w:val="0"/>
          <w:marBottom w:val="0"/>
          <w:divBdr>
            <w:top w:val="none" w:sz="0" w:space="0" w:color="auto"/>
            <w:left w:val="none" w:sz="0" w:space="0" w:color="auto"/>
            <w:bottom w:val="none" w:sz="0" w:space="0" w:color="auto"/>
            <w:right w:val="none" w:sz="0" w:space="0" w:color="auto"/>
          </w:divBdr>
        </w:div>
        <w:div w:id="694892263">
          <w:marLeft w:val="0"/>
          <w:marRight w:val="0"/>
          <w:marTop w:val="0"/>
          <w:marBottom w:val="0"/>
          <w:divBdr>
            <w:top w:val="none" w:sz="0" w:space="0" w:color="auto"/>
            <w:left w:val="none" w:sz="0" w:space="0" w:color="auto"/>
            <w:bottom w:val="none" w:sz="0" w:space="0" w:color="auto"/>
            <w:right w:val="none" w:sz="0" w:space="0" w:color="auto"/>
          </w:divBdr>
        </w:div>
        <w:div w:id="214322412">
          <w:marLeft w:val="0"/>
          <w:marRight w:val="0"/>
          <w:marTop w:val="0"/>
          <w:marBottom w:val="0"/>
          <w:divBdr>
            <w:top w:val="none" w:sz="0" w:space="0" w:color="auto"/>
            <w:left w:val="none" w:sz="0" w:space="0" w:color="auto"/>
            <w:bottom w:val="none" w:sz="0" w:space="0" w:color="auto"/>
            <w:right w:val="none" w:sz="0" w:space="0" w:color="auto"/>
          </w:divBdr>
        </w:div>
        <w:div w:id="166675120">
          <w:marLeft w:val="0"/>
          <w:marRight w:val="0"/>
          <w:marTop w:val="0"/>
          <w:marBottom w:val="0"/>
          <w:divBdr>
            <w:top w:val="none" w:sz="0" w:space="0" w:color="auto"/>
            <w:left w:val="none" w:sz="0" w:space="0" w:color="auto"/>
            <w:bottom w:val="none" w:sz="0" w:space="0" w:color="auto"/>
            <w:right w:val="none" w:sz="0" w:space="0" w:color="auto"/>
          </w:divBdr>
        </w:div>
        <w:div w:id="2044086125">
          <w:marLeft w:val="0"/>
          <w:marRight w:val="0"/>
          <w:marTop w:val="0"/>
          <w:marBottom w:val="0"/>
          <w:divBdr>
            <w:top w:val="none" w:sz="0" w:space="0" w:color="auto"/>
            <w:left w:val="none" w:sz="0" w:space="0" w:color="auto"/>
            <w:bottom w:val="none" w:sz="0" w:space="0" w:color="auto"/>
            <w:right w:val="none" w:sz="0" w:space="0" w:color="auto"/>
          </w:divBdr>
        </w:div>
        <w:div w:id="1135562155">
          <w:marLeft w:val="0"/>
          <w:marRight w:val="0"/>
          <w:marTop w:val="0"/>
          <w:marBottom w:val="0"/>
          <w:divBdr>
            <w:top w:val="none" w:sz="0" w:space="0" w:color="auto"/>
            <w:left w:val="none" w:sz="0" w:space="0" w:color="auto"/>
            <w:bottom w:val="none" w:sz="0" w:space="0" w:color="auto"/>
            <w:right w:val="none" w:sz="0" w:space="0" w:color="auto"/>
          </w:divBdr>
        </w:div>
        <w:div w:id="687948013">
          <w:marLeft w:val="0"/>
          <w:marRight w:val="0"/>
          <w:marTop w:val="0"/>
          <w:marBottom w:val="0"/>
          <w:divBdr>
            <w:top w:val="none" w:sz="0" w:space="0" w:color="auto"/>
            <w:left w:val="none" w:sz="0" w:space="0" w:color="auto"/>
            <w:bottom w:val="none" w:sz="0" w:space="0" w:color="auto"/>
            <w:right w:val="none" w:sz="0" w:space="0" w:color="auto"/>
          </w:divBdr>
        </w:div>
        <w:div w:id="1461607433">
          <w:marLeft w:val="0"/>
          <w:marRight w:val="0"/>
          <w:marTop w:val="0"/>
          <w:marBottom w:val="0"/>
          <w:divBdr>
            <w:top w:val="none" w:sz="0" w:space="0" w:color="auto"/>
            <w:left w:val="none" w:sz="0" w:space="0" w:color="auto"/>
            <w:bottom w:val="none" w:sz="0" w:space="0" w:color="auto"/>
            <w:right w:val="none" w:sz="0" w:space="0" w:color="auto"/>
          </w:divBdr>
        </w:div>
        <w:div w:id="1616404936">
          <w:marLeft w:val="0"/>
          <w:marRight w:val="0"/>
          <w:marTop w:val="0"/>
          <w:marBottom w:val="0"/>
          <w:divBdr>
            <w:top w:val="none" w:sz="0" w:space="0" w:color="auto"/>
            <w:left w:val="none" w:sz="0" w:space="0" w:color="auto"/>
            <w:bottom w:val="none" w:sz="0" w:space="0" w:color="auto"/>
            <w:right w:val="none" w:sz="0" w:space="0" w:color="auto"/>
          </w:divBdr>
        </w:div>
        <w:div w:id="1381779649">
          <w:marLeft w:val="0"/>
          <w:marRight w:val="0"/>
          <w:marTop w:val="0"/>
          <w:marBottom w:val="0"/>
          <w:divBdr>
            <w:top w:val="none" w:sz="0" w:space="0" w:color="auto"/>
            <w:left w:val="none" w:sz="0" w:space="0" w:color="auto"/>
            <w:bottom w:val="none" w:sz="0" w:space="0" w:color="auto"/>
            <w:right w:val="none" w:sz="0" w:space="0" w:color="auto"/>
          </w:divBdr>
        </w:div>
        <w:div w:id="1006444704">
          <w:marLeft w:val="0"/>
          <w:marRight w:val="0"/>
          <w:marTop w:val="0"/>
          <w:marBottom w:val="0"/>
          <w:divBdr>
            <w:top w:val="none" w:sz="0" w:space="0" w:color="auto"/>
            <w:left w:val="none" w:sz="0" w:space="0" w:color="auto"/>
            <w:bottom w:val="none" w:sz="0" w:space="0" w:color="auto"/>
            <w:right w:val="none" w:sz="0" w:space="0" w:color="auto"/>
          </w:divBdr>
        </w:div>
        <w:div w:id="834689136">
          <w:marLeft w:val="0"/>
          <w:marRight w:val="0"/>
          <w:marTop w:val="0"/>
          <w:marBottom w:val="0"/>
          <w:divBdr>
            <w:top w:val="none" w:sz="0" w:space="0" w:color="auto"/>
            <w:left w:val="none" w:sz="0" w:space="0" w:color="auto"/>
            <w:bottom w:val="none" w:sz="0" w:space="0" w:color="auto"/>
            <w:right w:val="none" w:sz="0" w:space="0" w:color="auto"/>
          </w:divBdr>
        </w:div>
        <w:div w:id="1469929304">
          <w:marLeft w:val="0"/>
          <w:marRight w:val="0"/>
          <w:marTop w:val="0"/>
          <w:marBottom w:val="0"/>
          <w:divBdr>
            <w:top w:val="none" w:sz="0" w:space="0" w:color="auto"/>
            <w:left w:val="none" w:sz="0" w:space="0" w:color="auto"/>
            <w:bottom w:val="none" w:sz="0" w:space="0" w:color="auto"/>
            <w:right w:val="none" w:sz="0" w:space="0" w:color="auto"/>
          </w:divBdr>
        </w:div>
        <w:div w:id="1925533351">
          <w:marLeft w:val="0"/>
          <w:marRight w:val="0"/>
          <w:marTop w:val="0"/>
          <w:marBottom w:val="0"/>
          <w:divBdr>
            <w:top w:val="none" w:sz="0" w:space="0" w:color="auto"/>
            <w:left w:val="none" w:sz="0" w:space="0" w:color="auto"/>
            <w:bottom w:val="none" w:sz="0" w:space="0" w:color="auto"/>
            <w:right w:val="none" w:sz="0" w:space="0" w:color="auto"/>
          </w:divBdr>
        </w:div>
        <w:div w:id="1946157568">
          <w:marLeft w:val="0"/>
          <w:marRight w:val="0"/>
          <w:marTop w:val="0"/>
          <w:marBottom w:val="0"/>
          <w:divBdr>
            <w:top w:val="none" w:sz="0" w:space="0" w:color="auto"/>
            <w:left w:val="none" w:sz="0" w:space="0" w:color="auto"/>
            <w:bottom w:val="none" w:sz="0" w:space="0" w:color="auto"/>
            <w:right w:val="none" w:sz="0" w:space="0" w:color="auto"/>
          </w:divBdr>
        </w:div>
        <w:div w:id="943152932">
          <w:marLeft w:val="0"/>
          <w:marRight w:val="0"/>
          <w:marTop w:val="0"/>
          <w:marBottom w:val="0"/>
          <w:divBdr>
            <w:top w:val="none" w:sz="0" w:space="0" w:color="auto"/>
            <w:left w:val="none" w:sz="0" w:space="0" w:color="auto"/>
            <w:bottom w:val="none" w:sz="0" w:space="0" w:color="auto"/>
            <w:right w:val="none" w:sz="0" w:space="0" w:color="auto"/>
          </w:divBdr>
        </w:div>
        <w:div w:id="2094207229">
          <w:marLeft w:val="0"/>
          <w:marRight w:val="0"/>
          <w:marTop w:val="0"/>
          <w:marBottom w:val="0"/>
          <w:divBdr>
            <w:top w:val="none" w:sz="0" w:space="0" w:color="auto"/>
            <w:left w:val="none" w:sz="0" w:space="0" w:color="auto"/>
            <w:bottom w:val="none" w:sz="0" w:space="0" w:color="auto"/>
            <w:right w:val="none" w:sz="0" w:space="0" w:color="auto"/>
          </w:divBdr>
        </w:div>
        <w:div w:id="229852995">
          <w:marLeft w:val="0"/>
          <w:marRight w:val="0"/>
          <w:marTop w:val="0"/>
          <w:marBottom w:val="0"/>
          <w:divBdr>
            <w:top w:val="none" w:sz="0" w:space="0" w:color="auto"/>
            <w:left w:val="none" w:sz="0" w:space="0" w:color="auto"/>
            <w:bottom w:val="none" w:sz="0" w:space="0" w:color="auto"/>
            <w:right w:val="none" w:sz="0" w:space="0" w:color="auto"/>
          </w:divBdr>
        </w:div>
        <w:div w:id="1615669980">
          <w:marLeft w:val="0"/>
          <w:marRight w:val="0"/>
          <w:marTop w:val="0"/>
          <w:marBottom w:val="0"/>
          <w:divBdr>
            <w:top w:val="none" w:sz="0" w:space="0" w:color="auto"/>
            <w:left w:val="none" w:sz="0" w:space="0" w:color="auto"/>
            <w:bottom w:val="none" w:sz="0" w:space="0" w:color="auto"/>
            <w:right w:val="none" w:sz="0" w:space="0" w:color="auto"/>
          </w:divBdr>
        </w:div>
        <w:div w:id="1126510421">
          <w:marLeft w:val="0"/>
          <w:marRight w:val="0"/>
          <w:marTop w:val="0"/>
          <w:marBottom w:val="0"/>
          <w:divBdr>
            <w:top w:val="none" w:sz="0" w:space="0" w:color="auto"/>
            <w:left w:val="none" w:sz="0" w:space="0" w:color="auto"/>
            <w:bottom w:val="none" w:sz="0" w:space="0" w:color="auto"/>
            <w:right w:val="none" w:sz="0" w:space="0" w:color="auto"/>
          </w:divBdr>
        </w:div>
        <w:div w:id="1673683295">
          <w:marLeft w:val="0"/>
          <w:marRight w:val="0"/>
          <w:marTop w:val="0"/>
          <w:marBottom w:val="0"/>
          <w:divBdr>
            <w:top w:val="none" w:sz="0" w:space="0" w:color="auto"/>
            <w:left w:val="none" w:sz="0" w:space="0" w:color="auto"/>
            <w:bottom w:val="none" w:sz="0" w:space="0" w:color="auto"/>
            <w:right w:val="none" w:sz="0" w:space="0" w:color="auto"/>
          </w:divBdr>
        </w:div>
        <w:div w:id="700711670">
          <w:marLeft w:val="0"/>
          <w:marRight w:val="0"/>
          <w:marTop w:val="0"/>
          <w:marBottom w:val="0"/>
          <w:divBdr>
            <w:top w:val="none" w:sz="0" w:space="0" w:color="auto"/>
            <w:left w:val="none" w:sz="0" w:space="0" w:color="auto"/>
            <w:bottom w:val="none" w:sz="0" w:space="0" w:color="auto"/>
            <w:right w:val="none" w:sz="0" w:space="0" w:color="auto"/>
          </w:divBdr>
        </w:div>
        <w:div w:id="1623924622">
          <w:marLeft w:val="0"/>
          <w:marRight w:val="0"/>
          <w:marTop w:val="0"/>
          <w:marBottom w:val="0"/>
          <w:divBdr>
            <w:top w:val="none" w:sz="0" w:space="0" w:color="auto"/>
            <w:left w:val="none" w:sz="0" w:space="0" w:color="auto"/>
            <w:bottom w:val="none" w:sz="0" w:space="0" w:color="auto"/>
            <w:right w:val="none" w:sz="0" w:space="0" w:color="auto"/>
          </w:divBdr>
        </w:div>
        <w:div w:id="277375049">
          <w:marLeft w:val="0"/>
          <w:marRight w:val="0"/>
          <w:marTop w:val="0"/>
          <w:marBottom w:val="0"/>
          <w:divBdr>
            <w:top w:val="none" w:sz="0" w:space="0" w:color="auto"/>
            <w:left w:val="none" w:sz="0" w:space="0" w:color="auto"/>
            <w:bottom w:val="none" w:sz="0" w:space="0" w:color="auto"/>
            <w:right w:val="none" w:sz="0" w:space="0" w:color="auto"/>
          </w:divBdr>
        </w:div>
        <w:div w:id="341324478">
          <w:marLeft w:val="0"/>
          <w:marRight w:val="0"/>
          <w:marTop w:val="0"/>
          <w:marBottom w:val="0"/>
          <w:divBdr>
            <w:top w:val="none" w:sz="0" w:space="0" w:color="auto"/>
            <w:left w:val="none" w:sz="0" w:space="0" w:color="auto"/>
            <w:bottom w:val="none" w:sz="0" w:space="0" w:color="auto"/>
            <w:right w:val="none" w:sz="0" w:space="0" w:color="auto"/>
          </w:divBdr>
        </w:div>
        <w:div w:id="1165434903">
          <w:marLeft w:val="0"/>
          <w:marRight w:val="0"/>
          <w:marTop w:val="0"/>
          <w:marBottom w:val="0"/>
          <w:divBdr>
            <w:top w:val="none" w:sz="0" w:space="0" w:color="auto"/>
            <w:left w:val="none" w:sz="0" w:space="0" w:color="auto"/>
            <w:bottom w:val="none" w:sz="0" w:space="0" w:color="auto"/>
            <w:right w:val="none" w:sz="0" w:space="0" w:color="auto"/>
          </w:divBdr>
        </w:div>
        <w:div w:id="773749832">
          <w:marLeft w:val="0"/>
          <w:marRight w:val="0"/>
          <w:marTop w:val="0"/>
          <w:marBottom w:val="0"/>
          <w:divBdr>
            <w:top w:val="none" w:sz="0" w:space="0" w:color="auto"/>
            <w:left w:val="none" w:sz="0" w:space="0" w:color="auto"/>
            <w:bottom w:val="none" w:sz="0" w:space="0" w:color="auto"/>
            <w:right w:val="none" w:sz="0" w:space="0" w:color="auto"/>
          </w:divBdr>
        </w:div>
        <w:div w:id="145782173">
          <w:marLeft w:val="0"/>
          <w:marRight w:val="0"/>
          <w:marTop w:val="0"/>
          <w:marBottom w:val="0"/>
          <w:divBdr>
            <w:top w:val="none" w:sz="0" w:space="0" w:color="auto"/>
            <w:left w:val="none" w:sz="0" w:space="0" w:color="auto"/>
            <w:bottom w:val="none" w:sz="0" w:space="0" w:color="auto"/>
            <w:right w:val="none" w:sz="0" w:space="0" w:color="auto"/>
          </w:divBdr>
        </w:div>
        <w:div w:id="1033963015">
          <w:marLeft w:val="0"/>
          <w:marRight w:val="0"/>
          <w:marTop w:val="0"/>
          <w:marBottom w:val="0"/>
          <w:divBdr>
            <w:top w:val="none" w:sz="0" w:space="0" w:color="auto"/>
            <w:left w:val="none" w:sz="0" w:space="0" w:color="auto"/>
            <w:bottom w:val="none" w:sz="0" w:space="0" w:color="auto"/>
            <w:right w:val="none" w:sz="0" w:space="0" w:color="auto"/>
          </w:divBdr>
        </w:div>
        <w:div w:id="1174491204">
          <w:marLeft w:val="0"/>
          <w:marRight w:val="0"/>
          <w:marTop w:val="0"/>
          <w:marBottom w:val="0"/>
          <w:divBdr>
            <w:top w:val="none" w:sz="0" w:space="0" w:color="auto"/>
            <w:left w:val="none" w:sz="0" w:space="0" w:color="auto"/>
            <w:bottom w:val="none" w:sz="0" w:space="0" w:color="auto"/>
            <w:right w:val="none" w:sz="0" w:space="0" w:color="auto"/>
          </w:divBdr>
        </w:div>
        <w:div w:id="1350907404">
          <w:marLeft w:val="0"/>
          <w:marRight w:val="0"/>
          <w:marTop w:val="0"/>
          <w:marBottom w:val="0"/>
          <w:divBdr>
            <w:top w:val="none" w:sz="0" w:space="0" w:color="auto"/>
            <w:left w:val="none" w:sz="0" w:space="0" w:color="auto"/>
            <w:bottom w:val="none" w:sz="0" w:space="0" w:color="auto"/>
            <w:right w:val="none" w:sz="0" w:space="0" w:color="auto"/>
          </w:divBdr>
        </w:div>
        <w:div w:id="193740366">
          <w:marLeft w:val="0"/>
          <w:marRight w:val="0"/>
          <w:marTop w:val="0"/>
          <w:marBottom w:val="0"/>
          <w:divBdr>
            <w:top w:val="none" w:sz="0" w:space="0" w:color="auto"/>
            <w:left w:val="none" w:sz="0" w:space="0" w:color="auto"/>
            <w:bottom w:val="none" w:sz="0" w:space="0" w:color="auto"/>
            <w:right w:val="none" w:sz="0" w:space="0" w:color="auto"/>
          </w:divBdr>
        </w:div>
        <w:div w:id="1260410489">
          <w:marLeft w:val="0"/>
          <w:marRight w:val="0"/>
          <w:marTop w:val="0"/>
          <w:marBottom w:val="0"/>
          <w:divBdr>
            <w:top w:val="none" w:sz="0" w:space="0" w:color="auto"/>
            <w:left w:val="none" w:sz="0" w:space="0" w:color="auto"/>
            <w:bottom w:val="none" w:sz="0" w:space="0" w:color="auto"/>
            <w:right w:val="none" w:sz="0" w:space="0" w:color="auto"/>
          </w:divBdr>
        </w:div>
        <w:div w:id="278495052">
          <w:marLeft w:val="0"/>
          <w:marRight w:val="0"/>
          <w:marTop w:val="0"/>
          <w:marBottom w:val="0"/>
          <w:divBdr>
            <w:top w:val="none" w:sz="0" w:space="0" w:color="auto"/>
            <w:left w:val="none" w:sz="0" w:space="0" w:color="auto"/>
            <w:bottom w:val="none" w:sz="0" w:space="0" w:color="auto"/>
            <w:right w:val="none" w:sz="0" w:space="0" w:color="auto"/>
          </w:divBdr>
        </w:div>
        <w:div w:id="836387464">
          <w:marLeft w:val="0"/>
          <w:marRight w:val="0"/>
          <w:marTop w:val="0"/>
          <w:marBottom w:val="0"/>
          <w:divBdr>
            <w:top w:val="none" w:sz="0" w:space="0" w:color="auto"/>
            <w:left w:val="none" w:sz="0" w:space="0" w:color="auto"/>
            <w:bottom w:val="none" w:sz="0" w:space="0" w:color="auto"/>
            <w:right w:val="none" w:sz="0" w:space="0" w:color="auto"/>
          </w:divBdr>
        </w:div>
        <w:div w:id="2058042655">
          <w:marLeft w:val="0"/>
          <w:marRight w:val="0"/>
          <w:marTop w:val="0"/>
          <w:marBottom w:val="0"/>
          <w:divBdr>
            <w:top w:val="none" w:sz="0" w:space="0" w:color="auto"/>
            <w:left w:val="none" w:sz="0" w:space="0" w:color="auto"/>
            <w:bottom w:val="none" w:sz="0" w:space="0" w:color="auto"/>
            <w:right w:val="none" w:sz="0" w:space="0" w:color="auto"/>
          </w:divBdr>
        </w:div>
        <w:div w:id="382565859">
          <w:marLeft w:val="0"/>
          <w:marRight w:val="0"/>
          <w:marTop w:val="0"/>
          <w:marBottom w:val="0"/>
          <w:divBdr>
            <w:top w:val="none" w:sz="0" w:space="0" w:color="auto"/>
            <w:left w:val="none" w:sz="0" w:space="0" w:color="auto"/>
            <w:bottom w:val="none" w:sz="0" w:space="0" w:color="auto"/>
            <w:right w:val="none" w:sz="0" w:space="0" w:color="auto"/>
          </w:divBdr>
        </w:div>
        <w:div w:id="579409722">
          <w:marLeft w:val="0"/>
          <w:marRight w:val="0"/>
          <w:marTop w:val="0"/>
          <w:marBottom w:val="0"/>
          <w:divBdr>
            <w:top w:val="none" w:sz="0" w:space="0" w:color="auto"/>
            <w:left w:val="none" w:sz="0" w:space="0" w:color="auto"/>
            <w:bottom w:val="none" w:sz="0" w:space="0" w:color="auto"/>
            <w:right w:val="none" w:sz="0" w:space="0" w:color="auto"/>
          </w:divBdr>
        </w:div>
        <w:div w:id="350380536">
          <w:marLeft w:val="0"/>
          <w:marRight w:val="0"/>
          <w:marTop w:val="0"/>
          <w:marBottom w:val="0"/>
          <w:divBdr>
            <w:top w:val="none" w:sz="0" w:space="0" w:color="auto"/>
            <w:left w:val="none" w:sz="0" w:space="0" w:color="auto"/>
            <w:bottom w:val="none" w:sz="0" w:space="0" w:color="auto"/>
            <w:right w:val="none" w:sz="0" w:space="0" w:color="auto"/>
          </w:divBdr>
        </w:div>
        <w:div w:id="359667583">
          <w:marLeft w:val="0"/>
          <w:marRight w:val="0"/>
          <w:marTop w:val="0"/>
          <w:marBottom w:val="0"/>
          <w:divBdr>
            <w:top w:val="none" w:sz="0" w:space="0" w:color="auto"/>
            <w:left w:val="none" w:sz="0" w:space="0" w:color="auto"/>
            <w:bottom w:val="none" w:sz="0" w:space="0" w:color="auto"/>
            <w:right w:val="none" w:sz="0" w:space="0" w:color="auto"/>
          </w:divBdr>
        </w:div>
        <w:div w:id="2086801109">
          <w:marLeft w:val="0"/>
          <w:marRight w:val="0"/>
          <w:marTop w:val="0"/>
          <w:marBottom w:val="0"/>
          <w:divBdr>
            <w:top w:val="none" w:sz="0" w:space="0" w:color="auto"/>
            <w:left w:val="none" w:sz="0" w:space="0" w:color="auto"/>
            <w:bottom w:val="none" w:sz="0" w:space="0" w:color="auto"/>
            <w:right w:val="none" w:sz="0" w:space="0" w:color="auto"/>
          </w:divBdr>
        </w:div>
        <w:div w:id="2058164206">
          <w:marLeft w:val="0"/>
          <w:marRight w:val="0"/>
          <w:marTop w:val="0"/>
          <w:marBottom w:val="0"/>
          <w:divBdr>
            <w:top w:val="none" w:sz="0" w:space="0" w:color="auto"/>
            <w:left w:val="none" w:sz="0" w:space="0" w:color="auto"/>
            <w:bottom w:val="none" w:sz="0" w:space="0" w:color="auto"/>
            <w:right w:val="none" w:sz="0" w:space="0" w:color="auto"/>
          </w:divBdr>
        </w:div>
        <w:div w:id="81877092">
          <w:marLeft w:val="0"/>
          <w:marRight w:val="0"/>
          <w:marTop w:val="0"/>
          <w:marBottom w:val="0"/>
          <w:divBdr>
            <w:top w:val="none" w:sz="0" w:space="0" w:color="auto"/>
            <w:left w:val="none" w:sz="0" w:space="0" w:color="auto"/>
            <w:bottom w:val="none" w:sz="0" w:space="0" w:color="auto"/>
            <w:right w:val="none" w:sz="0" w:space="0" w:color="auto"/>
          </w:divBdr>
        </w:div>
        <w:div w:id="411974610">
          <w:marLeft w:val="0"/>
          <w:marRight w:val="0"/>
          <w:marTop w:val="0"/>
          <w:marBottom w:val="0"/>
          <w:divBdr>
            <w:top w:val="none" w:sz="0" w:space="0" w:color="auto"/>
            <w:left w:val="none" w:sz="0" w:space="0" w:color="auto"/>
            <w:bottom w:val="none" w:sz="0" w:space="0" w:color="auto"/>
            <w:right w:val="none" w:sz="0" w:space="0" w:color="auto"/>
          </w:divBdr>
        </w:div>
        <w:div w:id="180629948">
          <w:marLeft w:val="0"/>
          <w:marRight w:val="0"/>
          <w:marTop w:val="0"/>
          <w:marBottom w:val="0"/>
          <w:divBdr>
            <w:top w:val="none" w:sz="0" w:space="0" w:color="auto"/>
            <w:left w:val="none" w:sz="0" w:space="0" w:color="auto"/>
            <w:bottom w:val="none" w:sz="0" w:space="0" w:color="auto"/>
            <w:right w:val="none" w:sz="0" w:space="0" w:color="auto"/>
          </w:divBdr>
        </w:div>
        <w:div w:id="452334426">
          <w:marLeft w:val="0"/>
          <w:marRight w:val="0"/>
          <w:marTop w:val="0"/>
          <w:marBottom w:val="0"/>
          <w:divBdr>
            <w:top w:val="none" w:sz="0" w:space="0" w:color="auto"/>
            <w:left w:val="none" w:sz="0" w:space="0" w:color="auto"/>
            <w:bottom w:val="none" w:sz="0" w:space="0" w:color="auto"/>
            <w:right w:val="none" w:sz="0" w:space="0" w:color="auto"/>
          </w:divBdr>
        </w:div>
        <w:div w:id="1667048441">
          <w:marLeft w:val="0"/>
          <w:marRight w:val="0"/>
          <w:marTop w:val="0"/>
          <w:marBottom w:val="0"/>
          <w:divBdr>
            <w:top w:val="none" w:sz="0" w:space="0" w:color="auto"/>
            <w:left w:val="none" w:sz="0" w:space="0" w:color="auto"/>
            <w:bottom w:val="none" w:sz="0" w:space="0" w:color="auto"/>
            <w:right w:val="none" w:sz="0" w:space="0" w:color="auto"/>
          </w:divBdr>
        </w:div>
        <w:div w:id="372534108">
          <w:marLeft w:val="0"/>
          <w:marRight w:val="0"/>
          <w:marTop w:val="0"/>
          <w:marBottom w:val="0"/>
          <w:divBdr>
            <w:top w:val="none" w:sz="0" w:space="0" w:color="auto"/>
            <w:left w:val="none" w:sz="0" w:space="0" w:color="auto"/>
            <w:bottom w:val="none" w:sz="0" w:space="0" w:color="auto"/>
            <w:right w:val="none" w:sz="0" w:space="0" w:color="auto"/>
          </w:divBdr>
        </w:div>
        <w:div w:id="1318218977">
          <w:marLeft w:val="0"/>
          <w:marRight w:val="0"/>
          <w:marTop w:val="0"/>
          <w:marBottom w:val="0"/>
          <w:divBdr>
            <w:top w:val="none" w:sz="0" w:space="0" w:color="auto"/>
            <w:left w:val="none" w:sz="0" w:space="0" w:color="auto"/>
            <w:bottom w:val="none" w:sz="0" w:space="0" w:color="auto"/>
            <w:right w:val="none" w:sz="0" w:space="0" w:color="auto"/>
          </w:divBdr>
        </w:div>
        <w:div w:id="717819491">
          <w:marLeft w:val="0"/>
          <w:marRight w:val="0"/>
          <w:marTop w:val="0"/>
          <w:marBottom w:val="0"/>
          <w:divBdr>
            <w:top w:val="none" w:sz="0" w:space="0" w:color="auto"/>
            <w:left w:val="none" w:sz="0" w:space="0" w:color="auto"/>
            <w:bottom w:val="none" w:sz="0" w:space="0" w:color="auto"/>
            <w:right w:val="none" w:sz="0" w:space="0" w:color="auto"/>
          </w:divBdr>
        </w:div>
        <w:div w:id="2014869027">
          <w:marLeft w:val="0"/>
          <w:marRight w:val="0"/>
          <w:marTop w:val="0"/>
          <w:marBottom w:val="0"/>
          <w:divBdr>
            <w:top w:val="none" w:sz="0" w:space="0" w:color="auto"/>
            <w:left w:val="none" w:sz="0" w:space="0" w:color="auto"/>
            <w:bottom w:val="none" w:sz="0" w:space="0" w:color="auto"/>
            <w:right w:val="none" w:sz="0" w:space="0" w:color="auto"/>
          </w:divBdr>
        </w:div>
        <w:div w:id="1218005988">
          <w:marLeft w:val="0"/>
          <w:marRight w:val="0"/>
          <w:marTop w:val="0"/>
          <w:marBottom w:val="0"/>
          <w:divBdr>
            <w:top w:val="none" w:sz="0" w:space="0" w:color="auto"/>
            <w:left w:val="none" w:sz="0" w:space="0" w:color="auto"/>
            <w:bottom w:val="none" w:sz="0" w:space="0" w:color="auto"/>
            <w:right w:val="none" w:sz="0" w:space="0" w:color="auto"/>
          </w:divBdr>
        </w:div>
        <w:div w:id="1854343500">
          <w:marLeft w:val="0"/>
          <w:marRight w:val="0"/>
          <w:marTop w:val="0"/>
          <w:marBottom w:val="0"/>
          <w:divBdr>
            <w:top w:val="none" w:sz="0" w:space="0" w:color="auto"/>
            <w:left w:val="none" w:sz="0" w:space="0" w:color="auto"/>
            <w:bottom w:val="none" w:sz="0" w:space="0" w:color="auto"/>
            <w:right w:val="none" w:sz="0" w:space="0" w:color="auto"/>
          </w:divBdr>
        </w:div>
        <w:div w:id="1005398192">
          <w:marLeft w:val="0"/>
          <w:marRight w:val="0"/>
          <w:marTop w:val="0"/>
          <w:marBottom w:val="0"/>
          <w:divBdr>
            <w:top w:val="none" w:sz="0" w:space="0" w:color="auto"/>
            <w:left w:val="none" w:sz="0" w:space="0" w:color="auto"/>
            <w:bottom w:val="none" w:sz="0" w:space="0" w:color="auto"/>
            <w:right w:val="none" w:sz="0" w:space="0" w:color="auto"/>
          </w:divBdr>
        </w:div>
        <w:div w:id="1804734463">
          <w:marLeft w:val="0"/>
          <w:marRight w:val="0"/>
          <w:marTop w:val="0"/>
          <w:marBottom w:val="0"/>
          <w:divBdr>
            <w:top w:val="none" w:sz="0" w:space="0" w:color="auto"/>
            <w:left w:val="none" w:sz="0" w:space="0" w:color="auto"/>
            <w:bottom w:val="none" w:sz="0" w:space="0" w:color="auto"/>
            <w:right w:val="none" w:sz="0" w:space="0" w:color="auto"/>
          </w:divBdr>
        </w:div>
        <w:div w:id="1039431579">
          <w:marLeft w:val="0"/>
          <w:marRight w:val="0"/>
          <w:marTop w:val="0"/>
          <w:marBottom w:val="0"/>
          <w:divBdr>
            <w:top w:val="none" w:sz="0" w:space="0" w:color="auto"/>
            <w:left w:val="none" w:sz="0" w:space="0" w:color="auto"/>
            <w:bottom w:val="none" w:sz="0" w:space="0" w:color="auto"/>
            <w:right w:val="none" w:sz="0" w:space="0" w:color="auto"/>
          </w:divBdr>
        </w:div>
        <w:div w:id="261572452">
          <w:marLeft w:val="0"/>
          <w:marRight w:val="0"/>
          <w:marTop w:val="0"/>
          <w:marBottom w:val="0"/>
          <w:divBdr>
            <w:top w:val="none" w:sz="0" w:space="0" w:color="auto"/>
            <w:left w:val="none" w:sz="0" w:space="0" w:color="auto"/>
            <w:bottom w:val="none" w:sz="0" w:space="0" w:color="auto"/>
            <w:right w:val="none" w:sz="0" w:space="0" w:color="auto"/>
          </w:divBdr>
        </w:div>
        <w:div w:id="1912425313">
          <w:marLeft w:val="0"/>
          <w:marRight w:val="0"/>
          <w:marTop w:val="0"/>
          <w:marBottom w:val="0"/>
          <w:divBdr>
            <w:top w:val="none" w:sz="0" w:space="0" w:color="auto"/>
            <w:left w:val="none" w:sz="0" w:space="0" w:color="auto"/>
            <w:bottom w:val="none" w:sz="0" w:space="0" w:color="auto"/>
            <w:right w:val="none" w:sz="0" w:space="0" w:color="auto"/>
          </w:divBdr>
        </w:div>
        <w:div w:id="698822534">
          <w:marLeft w:val="0"/>
          <w:marRight w:val="0"/>
          <w:marTop w:val="0"/>
          <w:marBottom w:val="0"/>
          <w:divBdr>
            <w:top w:val="none" w:sz="0" w:space="0" w:color="auto"/>
            <w:left w:val="none" w:sz="0" w:space="0" w:color="auto"/>
            <w:bottom w:val="none" w:sz="0" w:space="0" w:color="auto"/>
            <w:right w:val="none" w:sz="0" w:space="0" w:color="auto"/>
          </w:divBdr>
        </w:div>
        <w:div w:id="861161780">
          <w:marLeft w:val="0"/>
          <w:marRight w:val="0"/>
          <w:marTop w:val="0"/>
          <w:marBottom w:val="0"/>
          <w:divBdr>
            <w:top w:val="none" w:sz="0" w:space="0" w:color="auto"/>
            <w:left w:val="none" w:sz="0" w:space="0" w:color="auto"/>
            <w:bottom w:val="none" w:sz="0" w:space="0" w:color="auto"/>
            <w:right w:val="none" w:sz="0" w:space="0" w:color="auto"/>
          </w:divBdr>
        </w:div>
        <w:div w:id="2092655509">
          <w:marLeft w:val="0"/>
          <w:marRight w:val="0"/>
          <w:marTop w:val="0"/>
          <w:marBottom w:val="0"/>
          <w:divBdr>
            <w:top w:val="none" w:sz="0" w:space="0" w:color="auto"/>
            <w:left w:val="none" w:sz="0" w:space="0" w:color="auto"/>
            <w:bottom w:val="none" w:sz="0" w:space="0" w:color="auto"/>
            <w:right w:val="none" w:sz="0" w:space="0" w:color="auto"/>
          </w:divBdr>
        </w:div>
        <w:div w:id="32581855">
          <w:marLeft w:val="0"/>
          <w:marRight w:val="0"/>
          <w:marTop w:val="0"/>
          <w:marBottom w:val="0"/>
          <w:divBdr>
            <w:top w:val="none" w:sz="0" w:space="0" w:color="auto"/>
            <w:left w:val="none" w:sz="0" w:space="0" w:color="auto"/>
            <w:bottom w:val="none" w:sz="0" w:space="0" w:color="auto"/>
            <w:right w:val="none" w:sz="0" w:space="0" w:color="auto"/>
          </w:divBdr>
        </w:div>
        <w:div w:id="2124180441">
          <w:marLeft w:val="0"/>
          <w:marRight w:val="0"/>
          <w:marTop w:val="0"/>
          <w:marBottom w:val="0"/>
          <w:divBdr>
            <w:top w:val="none" w:sz="0" w:space="0" w:color="auto"/>
            <w:left w:val="none" w:sz="0" w:space="0" w:color="auto"/>
            <w:bottom w:val="none" w:sz="0" w:space="0" w:color="auto"/>
            <w:right w:val="none" w:sz="0" w:space="0" w:color="auto"/>
          </w:divBdr>
        </w:div>
        <w:div w:id="42338567">
          <w:marLeft w:val="0"/>
          <w:marRight w:val="0"/>
          <w:marTop w:val="0"/>
          <w:marBottom w:val="0"/>
          <w:divBdr>
            <w:top w:val="none" w:sz="0" w:space="0" w:color="auto"/>
            <w:left w:val="none" w:sz="0" w:space="0" w:color="auto"/>
            <w:bottom w:val="none" w:sz="0" w:space="0" w:color="auto"/>
            <w:right w:val="none" w:sz="0" w:space="0" w:color="auto"/>
          </w:divBdr>
        </w:div>
        <w:div w:id="1549951857">
          <w:marLeft w:val="0"/>
          <w:marRight w:val="0"/>
          <w:marTop w:val="0"/>
          <w:marBottom w:val="0"/>
          <w:divBdr>
            <w:top w:val="none" w:sz="0" w:space="0" w:color="auto"/>
            <w:left w:val="none" w:sz="0" w:space="0" w:color="auto"/>
            <w:bottom w:val="none" w:sz="0" w:space="0" w:color="auto"/>
            <w:right w:val="none" w:sz="0" w:space="0" w:color="auto"/>
          </w:divBdr>
        </w:div>
        <w:div w:id="464544688">
          <w:marLeft w:val="0"/>
          <w:marRight w:val="0"/>
          <w:marTop w:val="0"/>
          <w:marBottom w:val="0"/>
          <w:divBdr>
            <w:top w:val="none" w:sz="0" w:space="0" w:color="auto"/>
            <w:left w:val="none" w:sz="0" w:space="0" w:color="auto"/>
            <w:bottom w:val="none" w:sz="0" w:space="0" w:color="auto"/>
            <w:right w:val="none" w:sz="0" w:space="0" w:color="auto"/>
          </w:divBdr>
        </w:div>
        <w:div w:id="1804544348">
          <w:marLeft w:val="0"/>
          <w:marRight w:val="0"/>
          <w:marTop w:val="0"/>
          <w:marBottom w:val="0"/>
          <w:divBdr>
            <w:top w:val="none" w:sz="0" w:space="0" w:color="auto"/>
            <w:left w:val="none" w:sz="0" w:space="0" w:color="auto"/>
            <w:bottom w:val="none" w:sz="0" w:space="0" w:color="auto"/>
            <w:right w:val="none" w:sz="0" w:space="0" w:color="auto"/>
          </w:divBdr>
        </w:div>
        <w:div w:id="1175075358">
          <w:marLeft w:val="0"/>
          <w:marRight w:val="0"/>
          <w:marTop w:val="0"/>
          <w:marBottom w:val="0"/>
          <w:divBdr>
            <w:top w:val="none" w:sz="0" w:space="0" w:color="auto"/>
            <w:left w:val="none" w:sz="0" w:space="0" w:color="auto"/>
            <w:bottom w:val="none" w:sz="0" w:space="0" w:color="auto"/>
            <w:right w:val="none" w:sz="0" w:space="0" w:color="auto"/>
          </w:divBdr>
        </w:div>
        <w:div w:id="440492101">
          <w:marLeft w:val="0"/>
          <w:marRight w:val="0"/>
          <w:marTop w:val="0"/>
          <w:marBottom w:val="0"/>
          <w:divBdr>
            <w:top w:val="none" w:sz="0" w:space="0" w:color="auto"/>
            <w:left w:val="none" w:sz="0" w:space="0" w:color="auto"/>
            <w:bottom w:val="none" w:sz="0" w:space="0" w:color="auto"/>
            <w:right w:val="none" w:sz="0" w:space="0" w:color="auto"/>
          </w:divBdr>
        </w:div>
        <w:div w:id="1473909040">
          <w:marLeft w:val="0"/>
          <w:marRight w:val="0"/>
          <w:marTop w:val="0"/>
          <w:marBottom w:val="0"/>
          <w:divBdr>
            <w:top w:val="none" w:sz="0" w:space="0" w:color="auto"/>
            <w:left w:val="none" w:sz="0" w:space="0" w:color="auto"/>
            <w:bottom w:val="none" w:sz="0" w:space="0" w:color="auto"/>
            <w:right w:val="none" w:sz="0" w:space="0" w:color="auto"/>
          </w:divBdr>
        </w:div>
        <w:div w:id="1520043739">
          <w:marLeft w:val="0"/>
          <w:marRight w:val="0"/>
          <w:marTop w:val="0"/>
          <w:marBottom w:val="0"/>
          <w:divBdr>
            <w:top w:val="none" w:sz="0" w:space="0" w:color="auto"/>
            <w:left w:val="none" w:sz="0" w:space="0" w:color="auto"/>
            <w:bottom w:val="none" w:sz="0" w:space="0" w:color="auto"/>
            <w:right w:val="none" w:sz="0" w:space="0" w:color="auto"/>
          </w:divBdr>
        </w:div>
        <w:div w:id="191890007">
          <w:marLeft w:val="0"/>
          <w:marRight w:val="0"/>
          <w:marTop w:val="0"/>
          <w:marBottom w:val="0"/>
          <w:divBdr>
            <w:top w:val="none" w:sz="0" w:space="0" w:color="auto"/>
            <w:left w:val="none" w:sz="0" w:space="0" w:color="auto"/>
            <w:bottom w:val="none" w:sz="0" w:space="0" w:color="auto"/>
            <w:right w:val="none" w:sz="0" w:space="0" w:color="auto"/>
          </w:divBdr>
        </w:div>
        <w:div w:id="1560283854">
          <w:marLeft w:val="0"/>
          <w:marRight w:val="0"/>
          <w:marTop w:val="0"/>
          <w:marBottom w:val="0"/>
          <w:divBdr>
            <w:top w:val="none" w:sz="0" w:space="0" w:color="auto"/>
            <w:left w:val="none" w:sz="0" w:space="0" w:color="auto"/>
            <w:bottom w:val="none" w:sz="0" w:space="0" w:color="auto"/>
            <w:right w:val="none" w:sz="0" w:space="0" w:color="auto"/>
          </w:divBdr>
        </w:div>
        <w:div w:id="796264459">
          <w:marLeft w:val="0"/>
          <w:marRight w:val="0"/>
          <w:marTop w:val="0"/>
          <w:marBottom w:val="0"/>
          <w:divBdr>
            <w:top w:val="none" w:sz="0" w:space="0" w:color="auto"/>
            <w:left w:val="none" w:sz="0" w:space="0" w:color="auto"/>
            <w:bottom w:val="none" w:sz="0" w:space="0" w:color="auto"/>
            <w:right w:val="none" w:sz="0" w:space="0" w:color="auto"/>
          </w:divBdr>
        </w:div>
        <w:div w:id="221985257">
          <w:marLeft w:val="0"/>
          <w:marRight w:val="0"/>
          <w:marTop w:val="0"/>
          <w:marBottom w:val="0"/>
          <w:divBdr>
            <w:top w:val="none" w:sz="0" w:space="0" w:color="auto"/>
            <w:left w:val="none" w:sz="0" w:space="0" w:color="auto"/>
            <w:bottom w:val="none" w:sz="0" w:space="0" w:color="auto"/>
            <w:right w:val="none" w:sz="0" w:space="0" w:color="auto"/>
          </w:divBdr>
        </w:div>
        <w:div w:id="398525146">
          <w:marLeft w:val="0"/>
          <w:marRight w:val="0"/>
          <w:marTop w:val="0"/>
          <w:marBottom w:val="0"/>
          <w:divBdr>
            <w:top w:val="none" w:sz="0" w:space="0" w:color="auto"/>
            <w:left w:val="none" w:sz="0" w:space="0" w:color="auto"/>
            <w:bottom w:val="none" w:sz="0" w:space="0" w:color="auto"/>
            <w:right w:val="none" w:sz="0" w:space="0" w:color="auto"/>
          </w:divBdr>
        </w:div>
        <w:div w:id="1618634344">
          <w:marLeft w:val="0"/>
          <w:marRight w:val="0"/>
          <w:marTop w:val="0"/>
          <w:marBottom w:val="0"/>
          <w:divBdr>
            <w:top w:val="none" w:sz="0" w:space="0" w:color="auto"/>
            <w:left w:val="none" w:sz="0" w:space="0" w:color="auto"/>
            <w:bottom w:val="none" w:sz="0" w:space="0" w:color="auto"/>
            <w:right w:val="none" w:sz="0" w:space="0" w:color="auto"/>
          </w:divBdr>
        </w:div>
        <w:div w:id="1170944556">
          <w:marLeft w:val="0"/>
          <w:marRight w:val="0"/>
          <w:marTop w:val="0"/>
          <w:marBottom w:val="0"/>
          <w:divBdr>
            <w:top w:val="none" w:sz="0" w:space="0" w:color="auto"/>
            <w:left w:val="none" w:sz="0" w:space="0" w:color="auto"/>
            <w:bottom w:val="none" w:sz="0" w:space="0" w:color="auto"/>
            <w:right w:val="none" w:sz="0" w:space="0" w:color="auto"/>
          </w:divBdr>
        </w:div>
        <w:div w:id="1647736843">
          <w:marLeft w:val="0"/>
          <w:marRight w:val="0"/>
          <w:marTop w:val="0"/>
          <w:marBottom w:val="0"/>
          <w:divBdr>
            <w:top w:val="none" w:sz="0" w:space="0" w:color="auto"/>
            <w:left w:val="none" w:sz="0" w:space="0" w:color="auto"/>
            <w:bottom w:val="none" w:sz="0" w:space="0" w:color="auto"/>
            <w:right w:val="none" w:sz="0" w:space="0" w:color="auto"/>
          </w:divBdr>
        </w:div>
        <w:div w:id="1818373781">
          <w:marLeft w:val="0"/>
          <w:marRight w:val="0"/>
          <w:marTop w:val="0"/>
          <w:marBottom w:val="0"/>
          <w:divBdr>
            <w:top w:val="none" w:sz="0" w:space="0" w:color="auto"/>
            <w:left w:val="none" w:sz="0" w:space="0" w:color="auto"/>
            <w:bottom w:val="none" w:sz="0" w:space="0" w:color="auto"/>
            <w:right w:val="none" w:sz="0" w:space="0" w:color="auto"/>
          </w:divBdr>
        </w:div>
        <w:div w:id="311374519">
          <w:marLeft w:val="0"/>
          <w:marRight w:val="0"/>
          <w:marTop w:val="0"/>
          <w:marBottom w:val="0"/>
          <w:divBdr>
            <w:top w:val="none" w:sz="0" w:space="0" w:color="auto"/>
            <w:left w:val="none" w:sz="0" w:space="0" w:color="auto"/>
            <w:bottom w:val="none" w:sz="0" w:space="0" w:color="auto"/>
            <w:right w:val="none" w:sz="0" w:space="0" w:color="auto"/>
          </w:divBdr>
        </w:div>
        <w:div w:id="834611429">
          <w:marLeft w:val="0"/>
          <w:marRight w:val="0"/>
          <w:marTop w:val="0"/>
          <w:marBottom w:val="0"/>
          <w:divBdr>
            <w:top w:val="none" w:sz="0" w:space="0" w:color="auto"/>
            <w:left w:val="none" w:sz="0" w:space="0" w:color="auto"/>
            <w:bottom w:val="none" w:sz="0" w:space="0" w:color="auto"/>
            <w:right w:val="none" w:sz="0" w:space="0" w:color="auto"/>
          </w:divBdr>
        </w:div>
        <w:div w:id="148061100">
          <w:marLeft w:val="0"/>
          <w:marRight w:val="0"/>
          <w:marTop w:val="0"/>
          <w:marBottom w:val="0"/>
          <w:divBdr>
            <w:top w:val="none" w:sz="0" w:space="0" w:color="auto"/>
            <w:left w:val="none" w:sz="0" w:space="0" w:color="auto"/>
            <w:bottom w:val="none" w:sz="0" w:space="0" w:color="auto"/>
            <w:right w:val="none" w:sz="0" w:space="0" w:color="auto"/>
          </w:divBdr>
        </w:div>
        <w:div w:id="1238394962">
          <w:marLeft w:val="0"/>
          <w:marRight w:val="0"/>
          <w:marTop w:val="0"/>
          <w:marBottom w:val="0"/>
          <w:divBdr>
            <w:top w:val="none" w:sz="0" w:space="0" w:color="auto"/>
            <w:left w:val="none" w:sz="0" w:space="0" w:color="auto"/>
            <w:bottom w:val="none" w:sz="0" w:space="0" w:color="auto"/>
            <w:right w:val="none" w:sz="0" w:space="0" w:color="auto"/>
          </w:divBdr>
        </w:div>
        <w:div w:id="1160389768">
          <w:marLeft w:val="0"/>
          <w:marRight w:val="0"/>
          <w:marTop w:val="0"/>
          <w:marBottom w:val="0"/>
          <w:divBdr>
            <w:top w:val="none" w:sz="0" w:space="0" w:color="auto"/>
            <w:left w:val="none" w:sz="0" w:space="0" w:color="auto"/>
            <w:bottom w:val="none" w:sz="0" w:space="0" w:color="auto"/>
            <w:right w:val="none" w:sz="0" w:space="0" w:color="auto"/>
          </w:divBdr>
        </w:div>
        <w:div w:id="200096254">
          <w:marLeft w:val="0"/>
          <w:marRight w:val="0"/>
          <w:marTop w:val="0"/>
          <w:marBottom w:val="0"/>
          <w:divBdr>
            <w:top w:val="none" w:sz="0" w:space="0" w:color="auto"/>
            <w:left w:val="none" w:sz="0" w:space="0" w:color="auto"/>
            <w:bottom w:val="none" w:sz="0" w:space="0" w:color="auto"/>
            <w:right w:val="none" w:sz="0" w:space="0" w:color="auto"/>
          </w:divBdr>
        </w:div>
        <w:div w:id="1459494546">
          <w:marLeft w:val="0"/>
          <w:marRight w:val="0"/>
          <w:marTop w:val="0"/>
          <w:marBottom w:val="0"/>
          <w:divBdr>
            <w:top w:val="none" w:sz="0" w:space="0" w:color="auto"/>
            <w:left w:val="none" w:sz="0" w:space="0" w:color="auto"/>
            <w:bottom w:val="none" w:sz="0" w:space="0" w:color="auto"/>
            <w:right w:val="none" w:sz="0" w:space="0" w:color="auto"/>
          </w:divBdr>
        </w:div>
        <w:div w:id="1320696631">
          <w:marLeft w:val="0"/>
          <w:marRight w:val="0"/>
          <w:marTop w:val="0"/>
          <w:marBottom w:val="0"/>
          <w:divBdr>
            <w:top w:val="none" w:sz="0" w:space="0" w:color="auto"/>
            <w:left w:val="none" w:sz="0" w:space="0" w:color="auto"/>
            <w:bottom w:val="none" w:sz="0" w:space="0" w:color="auto"/>
            <w:right w:val="none" w:sz="0" w:space="0" w:color="auto"/>
          </w:divBdr>
        </w:div>
        <w:div w:id="1182547997">
          <w:marLeft w:val="0"/>
          <w:marRight w:val="0"/>
          <w:marTop w:val="0"/>
          <w:marBottom w:val="0"/>
          <w:divBdr>
            <w:top w:val="none" w:sz="0" w:space="0" w:color="auto"/>
            <w:left w:val="none" w:sz="0" w:space="0" w:color="auto"/>
            <w:bottom w:val="none" w:sz="0" w:space="0" w:color="auto"/>
            <w:right w:val="none" w:sz="0" w:space="0" w:color="auto"/>
          </w:divBdr>
        </w:div>
        <w:div w:id="834303686">
          <w:marLeft w:val="0"/>
          <w:marRight w:val="0"/>
          <w:marTop w:val="0"/>
          <w:marBottom w:val="0"/>
          <w:divBdr>
            <w:top w:val="none" w:sz="0" w:space="0" w:color="auto"/>
            <w:left w:val="none" w:sz="0" w:space="0" w:color="auto"/>
            <w:bottom w:val="none" w:sz="0" w:space="0" w:color="auto"/>
            <w:right w:val="none" w:sz="0" w:space="0" w:color="auto"/>
          </w:divBdr>
        </w:div>
        <w:div w:id="742800531">
          <w:marLeft w:val="0"/>
          <w:marRight w:val="0"/>
          <w:marTop w:val="0"/>
          <w:marBottom w:val="0"/>
          <w:divBdr>
            <w:top w:val="none" w:sz="0" w:space="0" w:color="auto"/>
            <w:left w:val="none" w:sz="0" w:space="0" w:color="auto"/>
            <w:bottom w:val="none" w:sz="0" w:space="0" w:color="auto"/>
            <w:right w:val="none" w:sz="0" w:space="0" w:color="auto"/>
          </w:divBdr>
        </w:div>
        <w:div w:id="2014411579">
          <w:marLeft w:val="0"/>
          <w:marRight w:val="0"/>
          <w:marTop w:val="0"/>
          <w:marBottom w:val="0"/>
          <w:divBdr>
            <w:top w:val="none" w:sz="0" w:space="0" w:color="auto"/>
            <w:left w:val="none" w:sz="0" w:space="0" w:color="auto"/>
            <w:bottom w:val="none" w:sz="0" w:space="0" w:color="auto"/>
            <w:right w:val="none" w:sz="0" w:space="0" w:color="auto"/>
          </w:divBdr>
        </w:div>
        <w:div w:id="1117601029">
          <w:marLeft w:val="0"/>
          <w:marRight w:val="0"/>
          <w:marTop w:val="0"/>
          <w:marBottom w:val="0"/>
          <w:divBdr>
            <w:top w:val="none" w:sz="0" w:space="0" w:color="auto"/>
            <w:left w:val="none" w:sz="0" w:space="0" w:color="auto"/>
            <w:bottom w:val="none" w:sz="0" w:space="0" w:color="auto"/>
            <w:right w:val="none" w:sz="0" w:space="0" w:color="auto"/>
          </w:divBdr>
        </w:div>
        <w:div w:id="203366684">
          <w:marLeft w:val="0"/>
          <w:marRight w:val="0"/>
          <w:marTop w:val="0"/>
          <w:marBottom w:val="0"/>
          <w:divBdr>
            <w:top w:val="none" w:sz="0" w:space="0" w:color="auto"/>
            <w:left w:val="none" w:sz="0" w:space="0" w:color="auto"/>
            <w:bottom w:val="none" w:sz="0" w:space="0" w:color="auto"/>
            <w:right w:val="none" w:sz="0" w:space="0" w:color="auto"/>
          </w:divBdr>
        </w:div>
        <w:div w:id="1080445879">
          <w:marLeft w:val="0"/>
          <w:marRight w:val="0"/>
          <w:marTop w:val="0"/>
          <w:marBottom w:val="0"/>
          <w:divBdr>
            <w:top w:val="none" w:sz="0" w:space="0" w:color="auto"/>
            <w:left w:val="none" w:sz="0" w:space="0" w:color="auto"/>
            <w:bottom w:val="none" w:sz="0" w:space="0" w:color="auto"/>
            <w:right w:val="none" w:sz="0" w:space="0" w:color="auto"/>
          </w:divBdr>
        </w:div>
        <w:div w:id="2053111878">
          <w:marLeft w:val="0"/>
          <w:marRight w:val="0"/>
          <w:marTop w:val="0"/>
          <w:marBottom w:val="0"/>
          <w:divBdr>
            <w:top w:val="none" w:sz="0" w:space="0" w:color="auto"/>
            <w:left w:val="none" w:sz="0" w:space="0" w:color="auto"/>
            <w:bottom w:val="none" w:sz="0" w:space="0" w:color="auto"/>
            <w:right w:val="none" w:sz="0" w:space="0" w:color="auto"/>
          </w:divBdr>
        </w:div>
        <w:div w:id="1943294453">
          <w:marLeft w:val="0"/>
          <w:marRight w:val="0"/>
          <w:marTop w:val="0"/>
          <w:marBottom w:val="0"/>
          <w:divBdr>
            <w:top w:val="none" w:sz="0" w:space="0" w:color="auto"/>
            <w:left w:val="none" w:sz="0" w:space="0" w:color="auto"/>
            <w:bottom w:val="none" w:sz="0" w:space="0" w:color="auto"/>
            <w:right w:val="none" w:sz="0" w:space="0" w:color="auto"/>
          </w:divBdr>
        </w:div>
        <w:div w:id="1031343441">
          <w:marLeft w:val="0"/>
          <w:marRight w:val="0"/>
          <w:marTop w:val="0"/>
          <w:marBottom w:val="0"/>
          <w:divBdr>
            <w:top w:val="none" w:sz="0" w:space="0" w:color="auto"/>
            <w:left w:val="none" w:sz="0" w:space="0" w:color="auto"/>
            <w:bottom w:val="none" w:sz="0" w:space="0" w:color="auto"/>
            <w:right w:val="none" w:sz="0" w:space="0" w:color="auto"/>
          </w:divBdr>
        </w:div>
        <w:div w:id="1533149786">
          <w:marLeft w:val="0"/>
          <w:marRight w:val="0"/>
          <w:marTop w:val="0"/>
          <w:marBottom w:val="0"/>
          <w:divBdr>
            <w:top w:val="none" w:sz="0" w:space="0" w:color="auto"/>
            <w:left w:val="none" w:sz="0" w:space="0" w:color="auto"/>
            <w:bottom w:val="none" w:sz="0" w:space="0" w:color="auto"/>
            <w:right w:val="none" w:sz="0" w:space="0" w:color="auto"/>
          </w:divBdr>
        </w:div>
        <w:div w:id="818108930">
          <w:marLeft w:val="0"/>
          <w:marRight w:val="0"/>
          <w:marTop w:val="0"/>
          <w:marBottom w:val="0"/>
          <w:divBdr>
            <w:top w:val="none" w:sz="0" w:space="0" w:color="auto"/>
            <w:left w:val="none" w:sz="0" w:space="0" w:color="auto"/>
            <w:bottom w:val="none" w:sz="0" w:space="0" w:color="auto"/>
            <w:right w:val="none" w:sz="0" w:space="0" w:color="auto"/>
          </w:divBdr>
        </w:div>
        <w:div w:id="865026843">
          <w:marLeft w:val="0"/>
          <w:marRight w:val="0"/>
          <w:marTop w:val="0"/>
          <w:marBottom w:val="0"/>
          <w:divBdr>
            <w:top w:val="none" w:sz="0" w:space="0" w:color="auto"/>
            <w:left w:val="none" w:sz="0" w:space="0" w:color="auto"/>
            <w:bottom w:val="none" w:sz="0" w:space="0" w:color="auto"/>
            <w:right w:val="none" w:sz="0" w:space="0" w:color="auto"/>
          </w:divBdr>
        </w:div>
        <w:div w:id="675887490">
          <w:marLeft w:val="0"/>
          <w:marRight w:val="0"/>
          <w:marTop w:val="0"/>
          <w:marBottom w:val="0"/>
          <w:divBdr>
            <w:top w:val="none" w:sz="0" w:space="0" w:color="auto"/>
            <w:left w:val="none" w:sz="0" w:space="0" w:color="auto"/>
            <w:bottom w:val="none" w:sz="0" w:space="0" w:color="auto"/>
            <w:right w:val="none" w:sz="0" w:space="0" w:color="auto"/>
          </w:divBdr>
        </w:div>
        <w:div w:id="1134636540">
          <w:marLeft w:val="0"/>
          <w:marRight w:val="0"/>
          <w:marTop w:val="0"/>
          <w:marBottom w:val="0"/>
          <w:divBdr>
            <w:top w:val="none" w:sz="0" w:space="0" w:color="auto"/>
            <w:left w:val="none" w:sz="0" w:space="0" w:color="auto"/>
            <w:bottom w:val="none" w:sz="0" w:space="0" w:color="auto"/>
            <w:right w:val="none" w:sz="0" w:space="0" w:color="auto"/>
          </w:divBdr>
        </w:div>
        <w:div w:id="692653779">
          <w:marLeft w:val="0"/>
          <w:marRight w:val="0"/>
          <w:marTop w:val="0"/>
          <w:marBottom w:val="0"/>
          <w:divBdr>
            <w:top w:val="none" w:sz="0" w:space="0" w:color="auto"/>
            <w:left w:val="none" w:sz="0" w:space="0" w:color="auto"/>
            <w:bottom w:val="none" w:sz="0" w:space="0" w:color="auto"/>
            <w:right w:val="none" w:sz="0" w:space="0" w:color="auto"/>
          </w:divBdr>
        </w:div>
        <w:div w:id="1207527047">
          <w:marLeft w:val="0"/>
          <w:marRight w:val="0"/>
          <w:marTop w:val="0"/>
          <w:marBottom w:val="0"/>
          <w:divBdr>
            <w:top w:val="none" w:sz="0" w:space="0" w:color="auto"/>
            <w:left w:val="none" w:sz="0" w:space="0" w:color="auto"/>
            <w:bottom w:val="none" w:sz="0" w:space="0" w:color="auto"/>
            <w:right w:val="none" w:sz="0" w:space="0" w:color="auto"/>
          </w:divBdr>
        </w:div>
        <w:div w:id="1967001364">
          <w:marLeft w:val="0"/>
          <w:marRight w:val="0"/>
          <w:marTop w:val="0"/>
          <w:marBottom w:val="0"/>
          <w:divBdr>
            <w:top w:val="none" w:sz="0" w:space="0" w:color="auto"/>
            <w:left w:val="none" w:sz="0" w:space="0" w:color="auto"/>
            <w:bottom w:val="none" w:sz="0" w:space="0" w:color="auto"/>
            <w:right w:val="none" w:sz="0" w:space="0" w:color="auto"/>
          </w:divBdr>
        </w:div>
        <w:div w:id="11735790">
          <w:marLeft w:val="0"/>
          <w:marRight w:val="0"/>
          <w:marTop w:val="0"/>
          <w:marBottom w:val="0"/>
          <w:divBdr>
            <w:top w:val="none" w:sz="0" w:space="0" w:color="auto"/>
            <w:left w:val="none" w:sz="0" w:space="0" w:color="auto"/>
            <w:bottom w:val="none" w:sz="0" w:space="0" w:color="auto"/>
            <w:right w:val="none" w:sz="0" w:space="0" w:color="auto"/>
          </w:divBdr>
        </w:div>
        <w:div w:id="960571519">
          <w:marLeft w:val="0"/>
          <w:marRight w:val="0"/>
          <w:marTop w:val="0"/>
          <w:marBottom w:val="0"/>
          <w:divBdr>
            <w:top w:val="none" w:sz="0" w:space="0" w:color="auto"/>
            <w:left w:val="none" w:sz="0" w:space="0" w:color="auto"/>
            <w:bottom w:val="none" w:sz="0" w:space="0" w:color="auto"/>
            <w:right w:val="none" w:sz="0" w:space="0" w:color="auto"/>
          </w:divBdr>
        </w:div>
        <w:div w:id="352539404">
          <w:marLeft w:val="0"/>
          <w:marRight w:val="0"/>
          <w:marTop w:val="0"/>
          <w:marBottom w:val="0"/>
          <w:divBdr>
            <w:top w:val="none" w:sz="0" w:space="0" w:color="auto"/>
            <w:left w:val="none" w:sz="0" w:space="0" w:color="auto"/>
            <w:bottom w:val="none" w:sz="0" w:space="0" w:color="auto"/>
            <w:right w:val="none" w:sz="0" w:space="0" w:color="auto"/>
          </w:divBdr>
        </w:div>
        <w:div w:id="304704093">
          <w:marLeft w:val="0"/>
          <w:marRight w:val="0"/>
          <w:marTop w:val="0"/>
          <w:marBottom w:val="0"/>
          <w:divBdr>
            <w:top w:val="none" w:sz="0" w:space="0" w:color="auto"/>
            <w:left w:val="none" w:sz="0" w:space="0" w:color="auto"/>
            <w:bottom w:val="none" w:sz="0" w:space="0" w:color="auto"/>
            <w:right w:val="none" w:sz="0" w:space="0" w:color="auto"/>
          </w:divBdr>
        </w:div>
        <w:div w:id="584613180">
          <w:marLeft w:val="0"/>
          <w:marRight w:val="0"/>
          <w:marTop w:val="0"/>
          <w:marBottom w:val="0"/>
          <w:divBdr>
            <w:top w:val="none" w:sz="0" w:space="0" w:color="auto"/>
            <w:left w:val="none" w:sz="0" w:space="0" w:color="auto"/>
            <w:bottom w:val="none" w:sz="0" w:space="0" w:color="auto"/>
            <w:right w:val="none" w:sz="0" w:space="0" w:color="auto"/>
          </w:divBdr>
        </w:div>
        <w:div w:id="419300998">
          <w:marLeft w:val="0"/>
          <w:marRight w:val="0"/>
          <w:marTop w:val="0"/>
          <w:marBottom w:val="0"/>
          <w:divBdr>
            <w:top w:val="none" w:sz="0" w:space="0" w:color="auto"/>
            <w:left w:val="none" w:sz="0" w:space="0" w:color="auto"/>
            <w:bottom w:val="none" w:sz="0" w:space="0" w:color="auto"/>
            <w:right w:val="none" w:sz="0" w:space="0" w:color="auto"/>
          </w:divBdr>
        </w:div>
        <w:div w:id="415249624">
          <w:marLeft w:val="0"/>
          <w:marRight w:val="0"/>
          <w:marTop w:val="0"/>
          <w:marBottom w:val="0"/>
          <w:divBdr>
            <w:top w:val="none" w:sz="0" w:space="0" w:color="auto"/>
            <w:left w:val="none" w:sz="0" w:space="0" w:color="auto"/>
            <w:bottom w:val="none" w:sz="0" w:space="0" w:color="auto"/>
            <w:right w:val="none" w:sz="0" w:space="0" w:color="auto"/>
          </w:divBdr>
        </w:div>
        <w:div w:id="1757824529">
          <w:marLeft w:val="0"/>
          <w:marRight w:val="0"/>
          <w:marTop w:val="0"/>
          <w:marBottom w:val="0"/>
          <w:divBdr>
            <w:top w:val="none" w:sz="0" w:space="0" w:color="auto"/>
            <w:left w:val="none" w:sz="0" w:space="0" w:color="auto"/>
            <w:bottom w:val="none" w:sz="0" w:space="0" w:color="auto"/>
            <w:right w:val="none" w:sz="0" w:space="0" w:color="auto"/>
          </w:divBdr>
        </w:div>
        <w:div w:id="1480071671">
          <w:marLeft w:val="0"/>
          <w:marRight w:val="0"/>
          <w:marTop w:val="0"/>
          <w:marBottom w:val="0"/>
          <w:divBdr>
            <w:top w:val="none" w:sz="0" w:space="0" w:color="auto"/>
            <w:left w:val="none" w:sz="0" w:space="0" w:color="auto"/>
            <w:bottom w:val="none" w:sz="0" w:space="0" w:color="auto"/>
            <w:right w:val="none" w:sz="0" w:space="0" w:color="auto"/>
          </w:divBdr>
        </w:div>
        <w:div w:id="874657190">
          <w:marLeft w:val="0"/>
          <w:marRight w:val="0"/>
          <w:marTop w:val="0"/>
          <w:marBottom w:val="0"/>
          <w:divBdr>
            <w:top w:val="none" w:sz="0" w:space="0" w:color="auto"/>
            <w:left w:val="none" w:sz="0" w:space="0" w:color="auto"/>
            <w:bottom w:val="none" w:sz="0" w:space="0" w:color="auto"/>
            <w:right w:val="none" w:sz="0" w:space="0" w:color="auto"/>
          </w:divBdr>
        </w:div>
        <w:div w:id="875847904">
          <w:marLeft w:val="0"/>
          <w:marRight w:val="0"/>
          <w:marTop w:val="0"/>
          <w:marBottom w:val="0"/>
          <w:divBdr>
            <w:top w:val="none" w:sz="0" w:space="0" w:color="auto"/>
            <w:left w:val="none" w:sz="0" w:space="0" w:color="auto"/>
            <w:bottom w:val="none" w:sz="0" w:space="0" w:color="auto"/>
            <w:right w:val="none" w:sz="0" w:space="0" w:color="auto"/>
          </w:divBdr>
        </w:div>
        <w:div w:id="439029509">
          <w:marLeft w:val="0"/>
          <w:marRight w:val="0"/>
          <w:marTop w:val="0"/>
          <w:marBottom w:val="0"/>
          <w:divBdr>
            <w:top w:val="none" w:sz="0" w:space="0" w:color="auto"/>
            <w:left w:val="none" w:sz="0" w:space="0" w:color="auto"/>
            <w:bottom w:val="none" w:sz="0" w:space="0" w:color="auto"/>
            <w:right w:val="none" w:sz="0" w:space="0" w:color="auto"/>
          </w:divBdr>
        </w:div>
        <w:div w:id="792097731">
          <w:marLeft w:val="0"/>
          <w:marRight w:val="0"/>
          <w:marTop w:val="0"/>
          <w:marBottom w:val="0"/>
          <w:divBdr>
            <w:top w:val="none" w:sz="0" w:space="0" w:color="auto"/>
            <w:left w:val="none" w:sz="0" w:space="0" w:color="auto"/>
            <w:bottom w:val="none" w:sz="0" w:space="0" w:color="auto"/>
            <w:right w:val="none" w:sz="0" w:space="0" w:color="auto"/>
          </w:divBdr>
        </w:div>
        <w:div w:id="628318335">
          <w:marLeft w:val="0"/>
          <w:marRight w:val="0"/>
          <w:marTop w:val="0"/>
          <w:marBottom w:val="0"/>
          <w:divBdr>
            <w:top w:val="none" w:sz="0" w:space="0" w:color="auto"/>
            <w:left w:val="none" w:sz="0" w:space="0" w:color="auto"/>
            <w:bottom w:val="none" w:sz="0" w:space="0" w:color="auto"/>
            <w:right w:val="none" w:sz="0" w:space="0" w:color="auto"/>
          </w:divBdr>
        </w:div>
        <w:div w:id="195774239">
          <w:marLeft w:val="0"/>
          <w:marRight w:val="0"/>
          <w:marTop w:val="0"/>
          <w:marBottom w:val="0"/>
          <w:divBdr>
            <w:top w:val="none" w:sz="0" w:space="0" w:color="auto"/>
            <w:left w:val="none" w:sz="0" w:space="0" w:color="auto"/>
            <w:bottom w:val="none" w:sz="0" w:space="0" w:color="auto"/>
            <w:right w:val="none" w:sz="0" w:space="0" w:color="auto"/>
          </w:divBdr>
        </w:div>
        <w:div w:id="229459397">
          <w:marLeft w:val="0"/>
          <w:marRight w:val="0"/>
          <w:marTop w:val="0"/>
          <w:marBottom w:val="0"/>
          <w:divBdr>
            <w:top w:val="none" w:sz="0" w:space="0" w:color="auto"/>
            <w:left w:val="none" w:sz="0" w:space="0" w:color="auto"/>
            <w:bottom w:val="none" w:sz="0" w:space="0" w:color="auto"/>
            <w:right w:val="none" w:sz="0" w:space="0" w:color="auto"/>
          </w:divBdr>
        </w:div>
        <w:div w:id="813520855">
          <w:marLeft w:val="0"/>
          <w:marRight w:val="0"/>
          <w:marTop w:val="0"/>
          <w:marBottom w:val="0"/>
          <w:divBdr>
            <w:top w:val="none" w:sz="0" w:space="0" w:color="auto"/>
            <w:left w:val="none" w:sz="0" w:space="0" w:color="auto"/>
            <w:bottom w:val="none" w:sz="0" w:space="0" w:color="auto"/>
            <w:right w:val="none" w:sz="0" w:space="0" w:color="auto"/>
          </w:divBdr>
        </w:div>
        <w:div w:id="1747923789">
          <w:marLeft w:val="0"/>
          <w:marRight w:val="0"/>
          <w:marTop w:val="0"/>
          <w:marBottom w:val="0"/>
          <w:divBdr>
            <w:top w:val="none" w:sz="0" w:space="0" w:color="auto"/>
            <w:left w:val="none" w:sz="0" w:space="0" w:color="auto"/>
            <w:bottom w:val="none" w:sz="0" w:space="0" w:color="auto"/>
            <w:right w:val="none" w:sz="0" w:space="0" w:color="auto"/>
          </w:divBdr>
        </w:div>
        <w:div w:id="447354091">
          <w:marLeft w:val="0"/>
          <w:marRight w:val="0"/>
          <w:marTop w:val="0"/>
          <w:marBottom w:val="0"/>
          <w:divBdr>
            <w:top w:val="none" w:sz="0" w:space="0" w:color="auto"/>
            <w:left w:val="none" w:sz="0" w:space="0" w:color="auto"/>
            <w:bottom w:val="none" w:sz="0" w:space="0" w:color="auto"/>
            <w:right w:val="none" w:sz="0" w:space="0" w:color="auto"/>
          </w:divBdr>
        </w:div>
        <w:div w:id="409157683">
          <w:marLeft w:val="0"/>
          <w:marRight w:val="0"/>
          <w:marTop w:val="0"/>
          <w:marBottom w:val="0"/>
          <w:divBdr>
            <w:top w:val="none" w:sz="0" w:space="0" w:color="auto"/>
            <w:left w:val="none" w:sz="0" w:space="0" w:color="auto"/>
            <w:bottom w:val="none" w:sz="0" w:space="0" w:color="auto"/>
            <w:right w:val="none" w:sz="0" w:space="0" w:color="auto"/>
          </w:divBdr>
        </w:div>
        <w:div w:id="2072264108">
          <w:marLeft w:val="0"/>
          <w:marRight w:val="0"/>
          <w:marTop w:val="0"/>
          <w:marBottom w:val="0"/>
          <w:divBdr>
            <w:top w:val="none" w:sz="0" w:space="0" w:color="auto"/>
            <w:left w:val="none" w:sz="0" w:space="0" w:color="auto"/>
            <w:bottom w:val="none" w:sz="0" w:space="0" w:color="auto"/>
            <w:right w:val="none" w:sz="0" w:space="0" w:color="auto"/>
          </w:divBdr>
        </w:div>
        <w:div w:id="133838790">
          <w:marLeft w:val="0"/>
          <w:marRight w:val="0"/>
          <w:marTop w:val="0"/>
          <w:marBottom w:val="0"/>
          <w:divBdr>
            <w:top w:val="none" w:sz="0" w:space="0" w:color="auto"/>
            <w:left w:val="none" w:sz="0" w:space="0" w:color="auto"/>
            <w:bottom w:val="none" w:sz="0" w:space="0" w:color="auto"/>
            <w:right w:val="none" w:sz="0" w:space="0" w:color="auto"/>
          </w:divBdr>
        </w:div>
        <w:div w:id="1061489657">
          <w:marLeft w:val="0"/>
          <w:marRight w:val="0"/>
          <w:marTop w:val="0"/>
          <w:marBottom w:val="0"/>
          <w:divBdr>
            <w:top w:val="none" w:sz="0" w:space="0" w:color="auto"/>
            <w:left w:val="none" w:sz="0" w:space="0" w:color="auto"/>
            <w:bottom w:val="none" w:sz="0" w:space="0" w:color="auto"/>
            <w:right w:val="none" w:sz="0" w:space="0" w:color="auto"/>
          </w:divBdr>
        </w:div>
        <w:div w:id="1616714854">
          <w:marLeft w:val="0"/>
          <w:marRight w:val="0"/>
          <w:marTop w:val="0"/>
          <w:marBottom w:val="0"/>
          <w:divBdr>
            <w:top w:val="none" w:sz="0" w:space="0" w:color="auto"/>
            <w:left w:val="none" w:sz="0" w:space="0" w:color="auto"/>
            <w:bottom w:val="none" w:sz="0" w:space="0" w:color="auto"/>
            <w:right w:val="none" w:sz="0" w:space="0" w:color="auto"/>
          </w:divBdr>
        </w:div>
        <w:div w:id="1962569869">
          <w:marLeft w:val="0"/>
          <w:marRight w:val="0"/>
          <w:marTop w:val="0"/>
          <w:marBottom w:val="0"/>
          <w:divBdr>
            <w:top w:val="none" w:sz="0" w:space="0" w:color="auto"/>
            <w:left w:val="none" w:sz="0" w:space="0" w:color="auto"/>
            <w:bottom w:val="none" w:sz="0" w:space="0" w:color="auto"/>
            <w:right w:val="none" w:sz="0" w:space="0" w:color="auto"/>
          </w:divBdr>
        </w:div>
        <w:div w:id="1983996488">
          <w:marLeft w:val="0"/>
          <w:marRight w:val="0"/>
          <w:marTop w:val="0"/>
          <w:marBottom w:val="0"/>
          <w:divBdr>
            <w:top w:val="none" w:sz="0" w:space="0" w:color="auto"/>
            <w:left w:val="none" w:sz="0" w:space="0" w:color="auto"/>
            <w:bottom w:val="none" w:sz="0" w:space="0" w:color="auto"/>
            <w:right w:val="none" w:sz="0" w:space="0" w:color="auto"/>
          </w:divBdr>
        </w:div>
        <w:div w:id="458257889">
          <w:marLeft w:val="0"/>
          <w:marRight w:val="0"/>
          <w:marTop w:val="0"/>
          <w:marBottom w:val="0"/>
          <w:divBdr>
            <w:top w:val="none" w:sz="0" w:space="0" w:color="auto"/>
            <w:left w:val="none" w:sz="0" w:space="0" w:color="auto"/>
            <w:bottom w:val="none" w:sz="0" w:space="0" w:color="auto"/>
            <w:right w:val="none" w:sz="0" w:space="0" w:color="auto"/>
          </w:divBdr>
        </w:div>
        <w:div w:id="1670983713">
          <w:marLeft w:val="0"/>
          <w:marRight w:val="0"/>
          <w:marTop w:val="0"/>
          <w:marBottom w:val="0"/>
          <w:divBdr>
            <w:top w:val="none" w:sz="0" w:space="0" w:color="auto"/>
            <w:left w:val="none" w:sz="0" w:space="0" w:color="auto"/>
            <w:bottom w:val="none" w:sz="0" w:space="0" w:color="auto"/>
            <w:right w:val="none" w:sz="0" w:space="0" w:color="auto"/>
          </w:divBdr>
        </w:div>
        <w:div w:id="667062">
          <w:marLeft w:val="0"/>
          <w:marRight w:val="0"/>
          <w:marTop w:val="0"/>
          <w:marBottom w:val="0"/>
          <w:divBdr>
            <w:top w:val="none" w:sz="0" w:space="0" w:color="auto"/>
            <w:left w:val="none" w:sz="0" w:space="0" w:color="auto"/>
            <w:bottom w:val="none" w:sz="0" w:space="0" w:color="auto"/>
            <w:right w:val="none" w:sz="0" w:space="0" w:color="auto"/>
          </w:divBdr>
        </w:div>
        <w:div w:id="1019238864">
          <w:marLeft w:val="0"/>
          <w:marRight w:val="0"/>
          <w:marTop w:val="0"/>
          <w:marBottom w:val="0"/>
          <w:divBdr>
            <w:top w:val="none" w:sz="0" w:space="0" w:color="auto"/>
            <w:left w:val="none" w:sz="0" w:space="0" w:color="auto"/>
            <w:bottom w:val="none" w:sz="0" w:space="0" w:color="auto"/>
            <w:right w:val="none" w:sz="0" w:space="0" w:color="auto"/>
          </w:divBdr>
        </w:div>
        <w:div w:id="709771150">
          <w:marLeft w:val="0"/>
          <w:marRight w:val="0"/>
          <w:marTop w:val="0"/>
          <w:marBottom w:val="0"/>
          <w:divBdr>
            <w:top w:val="none" w:sz="0" w:space="0" w:color="auto"/>
            <w:left w:val="none" w:sz="0" w:space="0" w:color="auto"/>
            <w:bottom w:val="none" w:sz="0" w:space="0" w:color="auto"/>
            <w:right w:val="none" w:sz="0" w:space="0" w:color="auto"/>
          </w:divBdr>
        </w:div>
        <w:div w:id="854466389">
          <w:marLeft w:val="0"/>
          <w:marRight w:val="0"/>
          <w:marTop w:val="0"/>
          <w:marBottom w:val="0"/>
          <w:divBdr>
            <w:top w:val="none" w:sz="0" w:space="0" w:color="auto"/>
            <w:left w:val="none" w:sz="0" w:space="0" w:color="auto"/>
            <w:bottom w:val="none" w:sz="0" w:space="0" w:color="auto"/>
            <w:right w:val="none" w:sz="0" w:space="0" w:color="auto"/>
          </w:divBdr>
        </w:div>
        <w:div w:id="212422414">
          <w:marLeft w:val="0"/>
          <w:marRight w:val="0"/>
          <w:marTop w:val="0"/>
          <w:marBottom w:val="0"/>
          <w:divBdr>
            <w:top w:val="none" w:sz="0" w:space="0" w:color="auto"/>
            <w:left w:val="none" w:sz="0" w:space="0" w:color="auto"/>
            <w:bottom w:val="none" w:sz="0" w:space="0" w:color="auto"/>
            <w:right w:val="none" w:sz="0" w:space="0" w:color="auto"/>
          </w:divBdr>
        </w:div>
        <w:div w:id="2110849736">
          <w:marLeft w:val="0"/>
          <w:marRight w:val="0"/>
          <w:marTop w:val="0"/>
          <w:marBottom w:val="0"/>
          <w:divBdr>
            <w:top w:val="none" w:sz="0" w:space="0" w:color="auto"/>
            <w:left w:val="none" w:sz="0" w:space="0" w:color="auto"/>
            <w:bottom w:val="none" w:sz="0" w:space="0" w:color="auto"/>
            <w:right w:val="none" w:sz="0" w:space="0" w:color="auto"/>
          </w:divBdr>
        </w:div>
        <w:div w:id="881089859">
          <w:marLeft w:val="0"/>
          <w:marRight w:val="0"/>
          <w:marTop w:val="0"/>
          <w:marBottom w:val="0"/>
          <w:divBdr>
            <w:top w:val="none" w:sz="0" w:space="0" w:color="auto"/>
            <w:left w:val="none" w:sz="0" w:space="0" w:color="auto"/>
            <w:bottom w:val="none" w:sz="0" w:space="0" w:color="auto"/>
            <w:right w:val="none" w:sz="0" w:space="0" w:color="auto"/>
          </w:divBdr>
        </w:div>
        <w:div w:id="1887595792">
          <w:marLeft w:val="0"/>
          <w:marRight w:val="0"/>
          <w:marTop w:val="0"/>
          <w:marBottom w:val="0"/>
          <w:divBdr>
            <w:top w:val="none" w:sz="0" w:space="0" w:color="auto"/>
            <w:left w:val="none" w:sz="0" w:space="0" w:color="auto"/>
            <w:bottom w:val="none" w:sz="0" w:space="0" w:color="auto"/>
            <w:right w:val="none" w:sz="0" w:space="0" w:color="auto"/>
          </w:divBdr>
        </w:div>
        <w:div w:id="1622228348">
          <w:marLeft w:val="0"/>
          <w:marRight w:val="0"/>
          <w:marTop w:val="0"/>
          <w:marBottom w:val="0"/>
          <w:divBdr>
            <w:top w:val="none" w:sz="0" w:space="0" w:color="auto"/>
            <w:left w:val="none" w:sz="0" w:space="0" w:color="auto"/>
            <w:bottom w:val="none" w:sz="0" w:space="0" w:color="auto"/>
            <w:right w:val="none" w:sz="0" w:space="0" w:color="auto"/>
          </w:divBdr>
        </w:div>
        <w:div w:id="1209338740">
          <w:marLeft w:val="0"/>
          <w:marRight w:val="0"/>
          <w:marTop w:val="0"/>
          <w:marBottom w:val="0"/>
          <w:divBdr>
            <w:top w:val="none" w:sz="0" w:space="0" w:color="auto"/>
            <w:left w:val="none" w:sz="0" w:space="0" w:color="auto"/>
            <w:bottom w:val="none" w:sz="0" w:space="0" w:color="auto"/>
            <w:right w:val="none" w:sz="0" w:space="0" w:color="auto"/>
          </w:divBdr>
        </w:div>
        <w:div w:id="1542552697">
          <w:marLeft w:val="0"/>
          <w:marRight w:val="0"/>
          <w:marTop w:val="0"/>
          <w:marBottom w:val="0"/>
          <w:divBdr>
            <w:top w:val="none" w:sz="0" w:space="0" w:color="auto"/>
            <w:left w:val="none" w:sz="0" w:space="0" w:color="auto"/>
            <w:bottom w:val="none" w:sz="0" w:space="0" w:color="auto"/>
            <w:right w:val="none" w:sz="0" w:space="0" w:color="auto"/>
          </w:divBdr>
        </w:div>
        <w:div w:id="1792555422">
          <w:marLeft w:val="0"/>
          <w:marRight w:val="0"/>
          <w:marTop w:val="0"/>
          <w:marBottom w:val="0"/>
          <w:divBdr>
            <w:top w:val="none" w:sz="0" w:space="0" w:color="auto"/>
            <w:left w:val="none" w:sz="0" w:space="0" w:color="auto"/>
            <w:bottom w:val="none" w:sz="0" w:space="0" w:color="auto"/>
            <w:right w:val="none" w:sz="0" w:space="0" w:color="auto"/>
          </w:divBdr>
        </w:div>
        <w:div w:id="116724912">
          <w:marLeft w:val="0"/>
          <w:marRight w:val="0"/>
          <w:marTop w:val="0"/>
          <w:marBottom w:val="0"/>
          <w:divBdr>
            <w:top w:val="none" w:sz="0" w:space="0" w:color="auto"/>
            <w:left w:val="none" w:sz="0" w:space="0" w:color="auto"/>
            <w:bottom w:val="none" w:sz="0" w:space="0" w:color="auto"/>
            <w:right w:val="none" w:sz="0" w:space="0" w:color="auto"/>
          </w:divBdr>
        </w:div>
        <w:div w:id="807018122">
          <w:marLeft w:val="0"/>
          <w:marRight w:val="0"/>
          <w:marTop w:val="0"/>
          <w:marBottom w:val="0"/>
          <w:divBdr>
            <w:top w:val="none" w:sz="0" w:space="0" w:color="auto"/>
            <w:left w:val="none" w:sz="0" w:space="0" w:color="auto"/>
            <w:bottom w:val="none" w:sz="0" w:space="0" w:color="auto"/>
            <w:right w:val="none" w:sz="0" w:space="0" w:color="auto"/>
          </w:divBdr>
        </w:div>
        <w:div w:id="829903736">
          <w:marLeft w:val="0"/>
          <w:marRight w:val="0"/>
          <w:marTop w:val="0"/>
          <w:marBottom w:val="0"/>
          <w:divBdr>
            <w:top w:val="none" w:sz="0" w:space="0" w:color="auto"/>
            <w:left w:val="none" w:sz="0" w:space="0" w:color="auto"/>
            <w:bottom w:val="none" w:sz="0" w:space="0" w:color="auto"/>
            <w:right w:val="none" w:sz="0" w:space="0" w:color="auto"/>
          </w:divBdr>
        </w:div>
        <w:div w:id="1120028749">
          <w:marLeft w:val="0"/>
          <w:marRight w:val="0"/>
          <w:marTop w:val="0"/>
          <w:marBottom w:val="0"/>
          <w:divBdr>
            <w:top w:val="none" w:sz="0" w:space="0" w:color="auto"/>
            <w:left w:val="none" w:sz="0" w:space="0" w:color="auto"/>
            <w:bottom w:val="none" w:sz="0" w:space="0" w:color="auto"/>
            <w:right w:val="none" w:sz="0" w:space="0" w:color="auto"/>
          </w:divBdr>
        </w:div>
        <w:div w:id="1331103966">
          <w:marLeft w:val="0"/>
          <w:marRight w:val="0"/>
          <w:marTop w:val="0"/>
          <w:marBottom w:val="0"/>
          <w:divBdr>
            <w:top w:val="none" w:sz="0" w:space="0" w:color="auto"/>
            <w:left w:val="none" w:sz="0" w:space="0" w:color="auto"/>
            <w:bottom w:val="none" w:sz="0" w:space="0" w:color="auto"/>
            <w:right w:val="none" w:sz="0" w:space="0" w:color="auto"/>
          </w:divBdr>
        </w:div>
        <w:div w:id="1127972163">
          <w:marLeft w:val="0"/>
          <w:marRight w:val="0"/>
          <w:marTop w:val="0"/>
          <w:marBottom w:val="0"/>
          <w:divBdr>
            <w:top w:val="none" w:sz="0" w:space="0" w:color="auto"/>
            <w:left w:val="none" w:sz="0" w:space="0" w:color="auto"/>
            <w:bottom w:val="none" w:sz="0" w:space="0" w:color="auto"/>
            <w:right w:val="none" w:sz="0" w:space="0" w:color="auto"/>
          </w:divBdr>
        </w:div>
        <w:div w:id="609511770">
          <w:marLeft w:val="0"/>
          <w:marRight w:val="0"/>
          <w:marTop w:val="0"/>
          <w:marBottom w:val="0"/>
          <w:divBdr>
            <w:top w:val="none" w:sz="0" w:space="0" w:color="auto"/>
            <w:left w:val="none" w:sz="0" w:space="0" w:color="auto"/>
            <w:bottom w:val="none" w:sz="0" w:space="0" w:color="auto"/>
            <w:right w:val="none" w:sz="0" w:space="0" w:color="auto"/>
          </w:divBdr>
        </w:div>
        <w:div w:id="1220825445">
          <w:marLeft w:val="0"/>
          <w:marRight w:val="0"/>
          <w:marTop w:val="0"/>
          <w:marBottom w:val="0"/>
          <w:divBdr>
            <w:top w:val="none" w:sz="0" w:space="0" w:color="auto"/>
            <w:left w:val="none" w:sz="0" w:space="0" w:color="auto"/>
            <w:bottom w:val="none" w:sz="0" w:space="0" w:color="auto"/>
            <w:right w:val="none" w:sz="0" w:space="0" w:color="auto"/>
          </w:divBdr>
        </w:div>
        <w:div w:id="864708949">
          <w:marLeft w:val="0"/>
          <w:marRight w:val="0"/>
          <w:marTop w:val="0"/>
          <w:marBottom w:val="0"/>
          <w:divBdr>
            <w:top w:val="none" w:sz="0" w:space="0" w:color="auto"/>
            <w:left w:val="none" w:sz="0" w:space="0" w:color="auto"/>
            <w:bottom w:val="none" w:sz="0" w:space="0" w:color="auto"/>
            <w:right w:val="none" w:sz="0" w:space="0" w:color="auto"/>
          </w:divBdr>
        </w:div>
        <w:div w:id="2041199551">
          <w:marLeft w:val="0"/>
          <w:marRight w:val="0"/>
          <w:marTop w:val="0"/>
          <w:marBottom w:val="0"/>
          <w:divBdr>
            <w:top w:val="none" w:sz="0" w:space="0" w:color="auto"/>
            <w:left w:val="none" w:sz="0" w:space="0" w:color="auto"/>
            <w:bottom w:val="none" w:sz="0" w:space="0" w:color="auto"/>
            <w:right w:val="none" w:sz="0" w:space="0" w:color="auto"/>
          </w:divBdr>
        </w:div>
        <w:div w:id="967513822">
          <w:marLeft w:val="0"/>
          <w:marRight w:val="0"/>
          <w:marTop w:val="0"/>
          <w:marBottom w:val="0"/>
          <w:divBdr>
            <w:top w:val="none" w:sz="0" w:space="0" w:color="auto"/>
            <w:left w:val="none" w:sz="0" w:space="0" w:color="auto"/>
            <w:bottom w:val="none" w:sz="0" w:space="0" w:color="auto"/>
            <w:right w:val="none" w:sz="0" w:space="0" w:color="auto"/>
          </w:divBdr>
        </w:div>
        <w:div w:id="1643654095">
          <w:marLeft w:val="0"/>
          <w:marRight w:val="0"/>
          <w:marTop w:val="0"/>
          <w:marBottom w:val="0"/>
          <w:divBdr>
            <w:top w:val="none" w:sz="0" w:space="0" w:color="auto"/>
            <w:left w:val="none" w:sz="0" w:space="0" w:color="auto"/>
            <w:bottom w:val="none" w:sz="0" w:space="0" w:color="auto"/>
            <w:right w:val="none" w:sz="0" w:space="0" w:color="auto"/>
          </w:divBdr>
        </w:div>
        <w:div w:id="884485759">
          <w:marLeft w:val="0"/>
          <w:marRight w:val="0"/>
          <w:marTop w:val="0"/>
          <w:marBottom w:val="0"/>
          <w:divBdr>
            <w:top w:val="none" w:sz="0" w:space="0" w:color="auto"/>
            <w:left w:val="none" w:sz="0" w:space="0" w:color="auto"/>
            <w:bottom w:val="none" w:sz="0" w:space="0" w:color="auto"/>
            <w:right w:val="none" w:sz="0" w:space="0" w:color="auto"/>
          </w:divBdr>
        </w:div>
        <w:div w:id="1405834209">
          <w:marLeft w:val="0"/>
          <w:marRight w:val="0"/>
          <w:marTop w:val="0"/>
          <w:marBottom w:val="0"/>
          <w:divBdr>
            <w:top w:val="none" w:sz="0" w:space="0" w:color="auto"/>
            <w:left w:val="none" w:sz="0" w:space="0" w:color="auto"/>
            <w:bottom w:val="none" w:sz="0" w:space="0" w:color="auto"/>
            <w:right w:val="none" w:sz="0" w:space="0" w:color="auto"/>
          </w:divBdr>
        </w:div>
        <w:div w:id="216939106">
          <w:marLeft w:val="0"/>
          <w:marRight w:val="0"/>
          <w:marTop w:val="0"/>
          <w:marBottom w:val="0"/>
          <w:divBdr>
            <w:top w:val="none" w:sz="0" w:space="0" w:color="auto"/>
            <w:left w:val="none" w:sz="0" w:space="0" w:color="auto"/>
            <w:bottom w:val="none" w:sz="0" w:space="0" w:color="auto"/>
            <w:right w:val="none" w:sz="0" w:space="0" w:color="auto"/>
          </w:divBdr>
        </w:div>
        <w:div w:id="1468737907">
          <w:marLeft w:val="0"/>
          <w:marRight w:val="0"/>
          <w:marTop w:val="0"/>
          <w:marBottom w:val="0"/>
          <w:divBdr>
            <w:top w:val="none" w:sz="0" w:space="0" w:color="auto"/>
            <w:left w:val="none" w:sz="0" w:space="0" w:color="auto"/>
            <w:bottom w:val="none" w:sz="0" w:space="0" w:color="auto"/>
            <w:right w:val="none" w:sz="0" w:space="0" w:color="auto"/>
          </w:divBdr>
        </w:div>
        <w:div w:id="423767295">
          <w:marLeft w:val="0"/>
          <w:marRight w:val="0"/>
          <w:marTop w:val="0"/>
          <w:marBottom w:val="0"/>
          <w:divBdr>
            <w:top w:val="none" w:sz="0" w:space="0" w:color="auto"/>
            <w:left w:val="none" w:sz="0" w:space="0" w:color="auto"/>
            <w:bottom w:val="none" w:sz="0" w:space="0" w:color="auto"/>
            <w:right w:val="none" w:sz="0" w:space="0" w:color="auto"/>
          </w:divBdr>
        </w:div>
        <w:div w:id="1229917860">
          <w:marLeft w:val="0"/>
          <w:marRight w:val="0"/>
          <w:marTop w:val="0"/>
          <w:marBottom w:val="0"/>
          <w:divBdr>
            <w:top w:val="none" w:sz="0" w:space="0" w:color="auto"/>
            <w:left w:val="none" w:sz="0" w:space="0" w:color="auto"/>
            <w:bottom w:val="none" w:sz="0" w:space="0" w:color="auto"/>
            <w:right w:val="none" w:sz="0" w:space="0" w:color="auto"/>
          </w:divBdr>
        </w:div>
        <w:div w:id="607812893">
          <w:marLeft w:val="0"/>
          <w:marRight w:val="0"/>
          <w:marTop w:val="0"/>
          <w:marBottom w:val="0"/>
          <w:divBdr>
            <w:top w:val="none" w:sz="0" w:space="0" w:color="auto"/>
            <w:left w:val="none" w:sz="0" w:space="0" w:color="auto"/>
            <w:bottom w:val="none" w:sz="0" w:space="0" w:color="auto"/>
            <w:right w:val="none" w:sz="0" w:space="0" w:color="auto"/>
          </w:divBdr>
        </w:div>
        <w:div w:id="2079204376">
          <w:marLeft w:val="0"/>
          <w:marRight w:val="0"/>
          <w:marTop w:val="0"/>
          <w:marBottom w:val="0"/>
          <w:divBdr>
            <w:top w:val="none" w:sz="0" w:space="0" w:color="auto"/>
            <w:left w:val="none" w:sz="0" w:space="0" w:color="auto"/>
            <w:bottom w:val="none" w:sz="0" w:space="0" w:color="auto"/>
            <w:right w:val="none" w:sz="0" w:space="0" w:color="auto"/>
          </w:divBdr>
        </w:div>
        <w:div w:id="937639951">
          <w:marLeft w:val="0"/>
          <w:marRight w:val="0"/>
          <w:marTop w:val="0"/>
          <w:marBottom w:val="0"/>
          <w:divBdr>
            <w:top w:val="none" w:sz="0" w:space="0" w:color="auto"/>
            <w:left w:val="none" w:sz="0" w:space="0" w:color="auto"/>
            <w:bottom w:val="none" w:sz="0" w:space="0" w:color="auto"/>
            <w:right w:val="none" w:sz="0" w:space="0" w:color="auto"/>
          </w:divBdr>
        </w:div>
        <w:div w:id="650983989">
          <w:marLeft w:val="0"/>
          <w:marRight w:val="0"/>
          <w:marTop w:val="0"/>
          <w:marBottom w:val="0"/>
          <w:divBdr>
            <w:top w:val="none" w:sz="0" w:space="0" w:color="auto"/>
            <w:left w:val="none" w:sz="0" w:space="0" w:color="auto"/>
            <w:bottom w:val="none" w:sz="0" w:space="0" w:color="auto"/>
            <w:right w:val="none" w:sz="0" w:space="0" w:color="auto"/>
          </w:divBdr>
        </w:div>
        <w:div w:id="246576567">
          <w:marLeft w:val="0"/>
          <w:marRight w:val="0"/>
          <w:marTop w:val="0"/>
          <w:marBottom w:val="0"/>
          <w:divBdr>
            <w:top w:val="none" w:sz="0" w:space="0" w:color="auto"/>
            <w:left w:val="none" w:sz="0" w:space="0" w:color="auto"/>
            <w:bottom w:val="none" w:sz="0" w:space="0" w:color="auto"/>
            <w:right w:val="none" w:sz="0" w:space="0" w:color="auto"/>
          </w:divBdr>
        </w:div>
        <w:div w:id="535893320">
          <w:marLeft w:val="0"/>
          <w:marRight w:val="0"/>
          <w:marTop w:val="0"/>
          <w:marBottom w:val="0"/>
          <w:divBdr>
            <w:top w:val="none" w:sz="0" w:space="0" w:color="auto"/>
            <w:left w:val="none" w:sz="0" w:space="0" w:color="auto"/>
            <w:bottom w:val="none" w:sz="0" w:space="0" w:color="auto"/>
            <w:right w:val="none" w:sz="0" w:space="0" w:color="auto"/>
          </w:divBdr>
        </w:div>
        <w:div w:id="1420710324">
          <w:marLeft w:val="0"/>
          <w:marRight w:val="0"/>
          <w:marTop w:val="0"/>
          <w:marBottom w:val="0"/>
          <w:divBdr>
            <w:top w:val="none" w:sz="0" w:space="0" w:color="auto"/>
            <w:left w:val="none" w:sz="0" w:space="0" w:color="auto"/>
            <w:bottom w:val="none" w:sz="0" w:space="0" w:color="auto"/>
            <w:right w:val="none" w:sz="0" w:space="0" w:color="auto"/>
          </w:divBdr>
        </w:div>
        <w:div w:id="246380613">
          <w:marLeft w:val="0"/>
          <w:marRight w:val="0"/>
          <w:marTop w:val="0"/>
          <w:marBottom w:val="0"/>
          <w:divBdr>
            <w:top w:val="none" w:sz="0" w:space="0" w:color="auto"/>
            <w:left w:val="none" w:sz="0" w:space="0" w:color="auto"/>
            <w:bottom w:val="none" w:sz="0" w:space="0" w:color="auto"/>
            <w:right w:val="none" w:sz="0" w:space="0" w:color="auto"/>
          </w:divBdr>
        </w:div>
        <w:div w:id="1503817745">
          <w:marLeft w:val="0"/>
          <w:marRight w:val="0"/>
          <w:marTop w:val="0"/>
          <w:marBottom w:val="0"/>
          <w:divBdr>
            <w:top w:val="none" w:sz="0" w:space="0" w:color="auto"/>
            <w:left w:val="none" w:sz="0" w:space="0" w:color="auto"/>
            <w:bottom w:val="none" w:sz="0" w:space="0" w:color="auto"/>
            <w:right w:val="none" w:sz="0" w:space="0" w:color="auto"/>
          </w:divBdr>
        </w:div>
        <w:div w:id="1808474895">
          <w:marLeft w:val="0"/>
          <w:marRight w:val="0"/>
          <w:marTop w:val="0"/>
          <w:marBottom w:val="0"/>
          <w:divBdr>
            <w:top w:val="none" w:sz="0" w:space="0" w:color="auto"/>
            <w:left w:val="none" w:sz="0" w:space="0" w:color="auto"/>
            <w:bottom w:val="none" w:sz="0" w:space="0" w:color="auto"/>
            <w:right w:val="none" w:sz="0" w:space="0" w:color="auto"/>
          </w:divBdr>
        </w:div>
        <w:div w:id="127289305">
          <w:marLeft w:val="0"/>
          <w:marRight w:val="0"/>
          <w:marTop w:val="0"/>
          <w:marBottom w:val="0"/>
          <w:divBdr>
            <w:top w:val="none" w:sz="0" w:space="0" w:color="auto"/>
            <w:left w:val="none" w:sz="0" w:space="0" w:color="auto"/>
            <w:bottom w:val="none" w:sz="0" w:space="0" w:color="auto"/>
            <w:right w:val="none" w:sz="0" w:space="0" w:color="auto"/>
          </w:divBdr>
        </w:div>
        <w:div w:id="1581210574">
          <w:marLeft w:val="0"/>
          <w:marRight w:val="0"/>
          <w:marTop w:val="0"/>
          <w:marBottom w:val="0"/>
          <w:divBdr>
            <w:top w:val="none" w:sz="0" w:space="0" w:color="auto"/>
            <w:left w:val="none" w:sz="0" w:space="0" w:color="auto"/>
            <w:bottom w:val="none" w:sz="0" w:space="0" w:color="auto"/>
            <w:right w:val="none" w:sz="0" w:space="0" w:color="auto"/>
          </w:divBdr>
        </w:div>
        <w:div w:id="357658919">
          <w:marLeft w:val="0"/>
          <w:marRight w:val="0"/>
          <w:marTop w:val="0"/>
          <w:marBottom w:val="0"/>
          <w:divBdr>
            <w:top w:val="none" w:sz="0" w:space="0" w:color="auto"/>
            <w:left w:val="none" w:sz="0" w:space="0" w:color="auto"/>
            <w:bottom w:val="none" w:sz="0" w:space="0" w:color="auto"/>
            <w:right w:val="none" w:sz="0" w:space="0" w:color="auto"/>
          </w:divBdr>
        </w:div>
        <w:div w:id="293566894">
          <w:marLeft w:val="0"/>
          <w:marRight w:val="0"/>
          <w:marTop w:val="0"/>
          <w:marBottom w:val="0"/>
          <w:divBdr>
            <w:top w:val="none" w:sz="0" w:space="0" w:color="auto"/>
            <w:left w:val="none" w:sz="0" w:space="0" w:color="auto"/>
            <w:bottom w:val="none" w:sz="0" w:space="0" w:color="auto"/>
            <w:right w:val="none" w:sz="0" w:space="0" w:color="auto"/>
          </w:divBdr>
        </w:div>
        <w:div w:id="700399125">
          <w:marLeft w:val="0"/>
          <w:marRight w:val="0"/>
          <w:marTop w:val="0"/>
          <w:marBottom w:val="0"/>
          <w:divBdr>
            <w:top w:val="none" w:sz="0" w:space="0" w:color="auto"/>
            <w:left w:val="none" w:sz="0" w:space="0" w:color="auto"/>
            <w:bottom w:val="none" w:sz="0" w:space="0" w:color="auto"/>
            <w:right w:val="none" w:sz="0" w:space="0" w:color="auto"/>
          </w:divBdr>
        </w:div>
        <w:div w:id="997539837">
          <w:marLeft w:val="0"/>
          <w:marRight w:val="0"/>
          <w:marTop w:val="0"/>
          <w:marBottom w:val="0"/>
          <w:divBdr>
            <w:top w:val="none" w:sz="0" w:space="0" w:color="auto"/>
            <w:left w:val="none" w:sz="0" w:space="0" w:color="auto"/>
            <w:bottom w:val="none" w:sz="0" w:space="0" w:color="auto"/>
            <w:right w:val="none" w:sz="0" w:space="0" w:color="auto"/>
          </w:divBdr>
        </w:div>
        <w:div w:id="2051949365">
          <w:marLeft w:val="0"/>
          <w:marRight w:val="0"/>
          <w:marTop w:val="0"/>
          <w:marBottom w:val="0"/>
          <w:divBdr>
            <w:top w:val="none" w:sz="0" w:space="0" w:color="auto"/>
            <w:left w:val="none" w:sz="0" w:space="0" w:color="auto"/>
            <w:bottom w:val="none" w:sz="0" w:space="0" w:color="auto"/>
            <w:right w:val="none" w:sz="0" w:space="0" w:color="auto"/>
          </w:divBdr>
        </w:div>
        <w:div w:id="1995645526">
          <w:marLeft w:val="0"/>
          <w:marRight w:val="0"/>
          <w:marTop w:val="0"/>
          <w:marBottom w:val="0"/>
          <w:divBdr>
            <w:top w:val="none" w:sz="0" w:space="0" w:color="auto"/>
            <w:left w:val="none" w:sz="0" w:space="0" w:color="auto"/>
            <w:bottom w:val="none" w:sz="0" w:space="0" w:color="auto"/>
            <w:right w:val="none" w:sz="0" w:space="0" w:color="auto"/>
          </w:divBdr>
        </w:div>
        <w:div w:id="1640645645">
          <w:marLeft w:val="0"/>
          <w:marRight w:val="0"/>
          <w:marTop w:val="0"/>
          <w:marBottom w:val="0"/>
          <w:divBdr>
            <w:top w:val="none" w:sz="0" w:space="0" w:color="auto"/>
            <w:left w:val="none" w:sz="0" w:space="0" w:color="auto"/>
            <w:bottom w:val="none" w:sz="0" w:space="0" w:color="auto"/>
            <w:right w:val="none" w:sz="0" w:space="0" w:color="auto"/>
          </w:divBdr>
        </w:div>
        <w:div w:id="1091123917">
          <w:marLeft w:val="0"/>
          <w:marRight w:val="0"/>
          <w:marTop w:val="0"/>
          <w:marBottom w:val="0"/>
          <w:divBdr>
            <w:top w:val="none" w:sz="0" w:space="0" w:color="auto"/>
            <w:left w:val="none" w:sz="0" w:space="0" w:color="auto"/>
            <w:bottom w:val="none" w:sz="0" w:space="0" w:color="auto"/>
            <w:right w:val="none" w:sz="0" w:space="0" w:color="auto"/>
          </w:divBdr>
        </w:div>
        <w:div w:id="1516457708">
          <w:marLeft w:val="0"/>
          <w:marRight w:val="0"/>
          <w:marTop w:val="0"/>
          <w:marBottom w:val="0"/>
          <w:divBdr>
            <w:top w:val="none" w:sz="0" w:space="0" w:color="auto"/>
            <w:left w:val="none" w:sz="0" w:space="0" w:color="auto"/>
            <w:bottom w:val="none" w:sz="0" w:space="0" w:color="auto"/>
            <w:right w:val="none" w:sz="0" w:space="0" w:color="auto"/>
          </w:divBdr>
        </w:div>
        <w:div w:id="1289697916">
          <w:marLeft w:val="0"/>
          <w:marRight w:val="0"/>
          <w:marTop w:val="0"/>
          <w:marBottom w:val="0"/>
          <w:divBdr>
            <w:top w:val="none" w:sz="0" w:space="0" w:color="auto"/>
            <w:left w:val="none" w:sz="0" w:space="0" w:color="auto"/>
            <w:bottom w:val="none" w:sz="0" w:space="0" w:color="auto"/>
            <w:right w:val="none" w:sz="0" w:space="0" w:color="auto"/>
          </w:divBdr>
        </w:div>
        <w:div w:id="788351810">
          <w:marLeft w:val="0"/>
          <w:marRight w:val="0"/>
          <w:marTop w:val="0"/>
          <w:marBottom w:val="0"/>
          <w:divBdr>
            <w:top w:val="none" w:sz="0" w:space="0" w:color="auto"/>
            <w:left w:val="none" w:sz="0" w:space="0" w:color="auto"/>
            <w:bottom w:val="none" w:sz="0" w:space="0" w:color="auto"/>
            <w:right w:val="none" w:sz="0" w:space="0" w:color="auto"/>
          </w:divBdr>
        </w:div>
        <w:div w:id="1329334695">
          <w:marLeft w:val="0"/>
          <w:marRight w:val="0"/>
          <w:marTop w:val="0"/>
          <w:marBottom w:val="0"/>
          <w:divBdr>
            <w:top w:val="none" w:sz="0" w:space="0" w:color="auto"/>
            <w:left w:val="none" w:sz="0" w:space="0" w:color="auto"/>
            <w:bottom w:val="none" w:sz="0" w:space="0" w:color="auto"/>
            <w:right w:val="none" w:sz="0" w:space="0" w:color="auto"/>
          </w:divBdr>
        </w:div>
        <w:div w:id="1345984741">
          <w:marLeft w:val="0"/>
          <w:marRight w:val="0"/>
          <w:marTop w:val="0"/>
          <w:marBottom w:val="0"/>
          <w:divBdr>
            <w:top w:val="none" w:sz="0" w:space="0" w:color="auto"/>
            <w:left w:val="none" w:sz="0" w:space="0" w:color="auto"/>
            <w:bottom w:val="none" w:sz="0" w:space="0" w:color="auto"/>
            <w:right w:val="none" w:sz="0" w:space="0" w:color="auto"/>
          </w:divBdr>
        </w:div>
        <w:div w:id="367147702">
          <w:marLeft w:val="0"/>
          <w:marRight w:val="0"/>
          <w:marTop w:val="0"/>
          <w:marBottom w:val="0"/>
          <w:divBdr>
            <w:top w:val="none" w:sz="0" w:space="0" w:color="auto"/>
            <w:left w:val="none" w:sz="0" w:space="0" w:color="auto"/>
            <w:bottom w:val="none" w:sz="0" w:space="0" w:color="auto"/>
            <w:right w:val="none" w:sz="0" w:space="0" w:color="auto"/>
          </w:divBdr>
        </w:div>
        <w:div w:id="1711300380">
          <w:marLeft w:val="0"/>
          <w:marRight w:val="0"/>
          <w:marTop w:val="0"/>
          <w:marBottom w:val="0"/>
          <w:divBdr>
            <w:top w:val="none" w:sz="0" w:space="0" w:color="auto"/>
            <w:left w:val="none" w:sz="0" w:space="0" w:color="auto"/>
            <w:bottom w:val="none" w:sz="0" w:space="0" w:color="auto"/>
            <w:right w:val="none" w:sz="0" w:space="0" w:color="auto"/>
          </w:divBdr>
        </w:div>
        <w:div w:id="622200626">
          <w:marLeft w:val="0"/>
          <w:marRight w:val="0"/>
          <w:marTop w:val="0"/>
          <w:marBottom w:val="0"/>
          <w:divBdr>
            <w:top w:val="none" w:sz="0" w:space="0" w:color="auto"/>
            <w:left w:val="none" w:sz="0" w:space="0" w:color="auto"/>
            <w:bottom w:val="none" w:sz="0" w:space="0" w:color="auto"/>
            <w:right w:val="none" w:sz="0" w:space="0" w:color="auto"/>
          </w:divBdr>
        </w:div>
        <w:div w:id="140509883">
          <w:marLeft w:val="0"/>
          <w:marRight w:val="0"/>
          <w:marTop w:val="0"/>
          <w:marBottom w:val="0"/>
          <w:divBdr>
            <w:top w:val="none" w:sz="0" w:space="0" w:color="auto"/>
            <w:left w:val="none" w:sz="0" w:space="0" w:color="auto"/>
            <w:bottom w:val="none" w:sz="0" w:space="0" w:color="auto"/>
            <w:right w:val="none" w:sz="0" w:space="0" w:color="auto"/>
          </w:divBdr>
        </w:div>
        <w:div w:id="1517114239">
          <w:marLeft w:val="0"/>
          <w:marRight w:val="0"/>
          <w:marTop w:val="0"/>
          <w:marBottom w:val="0"/>
          <w:divBdr>
            <w:top w:val="none" w:sz="0" w:space="0" w:color="auto"/>
            <w:left w:val="none" w:sz="0" w:space="0" w:color="auto"/>
            <w:bottom w:val="none" w:sz="0" w:space="0" w:color="auto"/>
            <w:right w:val="none" w:sz="0" w:space="0" w:color="auto"/>
          </w:divBdr>
        </w:div>
        <w:div w:id="1555118688">
          <w:marLeft w:val="0"/>
          <w:marRight w:val="0"/>
          <w:marTop w:val="0"/>
          <w:marBottom w:val="0"/>
          <w:divBdr>
            <w:top w:val="none" w:sz="0" w:space="0" w:color="auto"/>
            <w:left w:val="none" w:sz="0" w:space="0" w:color="auto"/>
            <w:bottom w:val="none" w:sz="0" w:space="0" w:color="auto"/>
            <w:right w:val="none" w:sz="0" w:space="0" w:color="auto"/>
          </w:divBdr>
        </w:div>
        <w:div w:id="378163332">
          <w:marLeft w:val="0"/>
          <w:marRight w:val="0"/>
          <w:marTop w:val="0"/>
          <w:marBottom w:val="0"/>
          <w:divBdr>
            <w:top w:val="none" w:sz="0" w:space="0" w:color="auto"/>
            <w:left w:val="none" w:sz="0" w:space="0" w:color="auto"/>
            <w:bottom w:val="none" w:sz="0" w:space="0" w:color="auto"/>
            <w:right w:val="none" w:sz="0" w:space="0" w:color="auto"/>
          </w:divBdr>
        </w:div>
        <w:div w:id="837690807">
          <w:marLeft w:val="0"/>
          <w:marRight w:val="0"/>
          <w:marTop w:val="0"/>
          <w:marBottom w:val="0"/>
          <w:divBdr>
            <w:top w:val="none" w:sz="0" w:space="0" w:color="auto"/>
            <w:left w:val="none" w:sz="0" w:space="0" w:color="auto"/>
            <w:bottom w:val="none" w:sz="0" w:space="0" w:color="auto"/>
            <w:right w:val="none" w:sz="0" w:space="0" w:color="auto"/>
          </w:divBdr>
        </w:div>
        <w:div w:id="1974868885">
          <w:marLeft w:val="0"/>
          <w:marRight w:val="0"/>
          <w:marTop w:val="0"/>
          <w:marBottom w:val="0"/>
          <w:divBdr>
            <w:top w:val="none" w:sz="0" w:space="0" w:color="auto"/>
            <w:left w:val="none" w:sz="0" w:space="0" w:color="auto"/>
            <w:bottom w:val="none" w:sz="0" w:space="0" w:color="auto"/>
            <w:right w:val="none" w:sz="0" w:space="0" w:color="auto"/>
          </w:divBdr>
        </w:div>
        <w:div w:id="768625793">
          <w:marLeft w:val="0"/>
          <w:marRight w:val="0"/>
          <w:marTop w:val="0"/>
          <w:marBottom w:val="0"/>
          <w:divBdr>
            <w:top w:val="none" w:sz="0" w:space="0" w:color="auto"/>
            <w:left w:val="none" w:sz="0" w:space="0" w:color="auto"/>
            <w:bottom w:val="none" w:sz="0" w:space="0" w:color="auto"/>
            <w:right w:val="none" w:sz="0" w:space="0" w:color="auto"/>
          </w:divBdr>
        </w:div>
        <w:div w:id="530345285">
          <w:marLeft w:val="0"/>
          <w:marRight w:val="0"/>
          <w:marTop w:val="0"/>
          <w:marBottom w:val="0"/>
          <w:divBdr>
            <w:top w:val="none" w:sz="0" w:space="0" w:color="auto"/>
            <w:left w:val="none" w:sz="0" w:space="0" w:color="auto"/>
            <w:bottom w:val="none" w:sz="0" w:space="0" w:color="auto"/>
            <w:right w:val="none" w:sz="0" w:space="0" w:color="auto"/>
          </w:divBdr>
        </w:div>
        <w:div w:id="701514859">
          <w:marLeft w:val="0"/>
          <w:marRight w:val="0"/>
          <w:marTop w:val="0"/>
          <w:marBottom w:val="0"/>
          <w:divBdr>
            <w:top w:val="none" w:sz="0" w:space="0" w:color="auto"/>
            <w:left w:val="none" w:sz="0" w:space="0" w:color="auto"/>
            <w:bottom w:val="none" w:sz="0" w:space="0" w:color="auto"/>
            <w:right w:val="none" w:sz="0" w:space="0" w:color="auto"/>
          </w:divBdr>
        </w:div>
        <w:div w:id="1556119459">
          <w:marLeft w:val="0"/>
          <w:marRight w:val="0"/>
          <w:marTop w:val="0"/>
          <w:marBottom w:val="0"/>
          <w:divBdr>
            <w:top w:val="none" w:sz="0" w:space="0" w:color="auto"/>
            <w:left w:val="none" w:sz="0" w:space="0" w:color="auto"/>
            <w:bottom w:val="none" w:sz="0" w:space="0" w:color="auto"/>
            <w:right w:val="none" w:sz="0" w:space="0" w:color="auto"/>
          </w:divBdr>
        </w:div>
        <w:div w:id="1444227998">
          <w:marLeft w:val="0"/>
          <w:marRight w:val="0"/>
          <w:marTop w:val="0"/>
          <w:marBottom w:val="0"/>
          <w:divBdr>
            <w:top w:val="none" w:sz="0" w:space="0" w:color="auto"/>
            <w:left w:val="none" w:sz="0" w:space="0" w:color="auto"/>
            <w:bottom w:val="none" w:sz="0" w:space="0" w:color="auto"/>
            <w:right w:val="none" w:sz="0" w:space="0" w:color="auto"/>
          </w:divBdr>
        </w:div>
        <w:div w:id="1816950248">
          <w:marLeft w:val="0"/>
          <w:marRight w:val="0"/>
          <w:marTop w:val="0"/>
          <w:marBottom w:val="0"/>
          <w:divBdr>
            <w:top w:val="none" w:sz="0" w:space="0" w:color="auto"/>
            <w:left w:val="none" w:sz="0" w:space="0" w:color="auto"/>
            <w:bottom w:val="none" w:sz="0" w:space="0" w:color="auto"/>
            <w:right w:val="none" w:sz="0" w:space="0" w:color="auto"/>
          </w:divBdr>
        </w:div>
        <w:div w:id="1608542441">
          <w:marLeft w:val="0"/>
          <w:marRight w:val="0"/>
          <w:marTop w:val="0"/>
          <w:marBottom w:val="0"/>
          <w:divBdr>
            <w:top w:val="none" w:sz="0" w:space="0" w:color="auto"/>
            <w:left w:val="none" w:sz="0" w:space="0" w:color="auto"/>
            <w:bottom w:val="none" w:sz="0" w:space="0" w:color="auto"/>
            <w:right w:val="none" w:sz="0" w:space="0" w:color="auto"/>
          </w:divBdr>
        </w:div>
        <w:div w:id="1765148602">
          <w:marLeft w:val="0"/>
          <w:marRight w:val="0"/>
          <w:marTop w:val="0"/>
          <w:marBottom w:val="0"/>
          <w:divBdr>
            <w:top w:val="none" w:sz="0" w:space="0" w:color="auto"/>
            <w:left w:val="none" w:sz="0" w:space="0" w:color="auto"/>
            <w:bottom w:val="none" w:sz="0" w:space="0" w:color="auto"/>
            <w:right w:val="none" w:sz="0" w:space="0" w:color="auto"/>
          </w:divBdr>
        </w:div>
        <w:div w:id="1880697804">
          <w:marLeft w:val="0"/>
          <w:marRight w:val="0"/>
          <w:marTop w:val="0"/>
          <w:marBottom w:val="0"/>
          <w:divBdr>
            <w:top w:val="none" w:sz="0" w:space="0" w:color="auto"/>
            <w:left w:val="none" w:sz="0" w:space="0" w:color="auto"/>
            <w:bottom w:val="none" w:sz="0" w:space="0" w:color="auto"/>
            <w:right w:val="none" w:sz="0" w:space="0" w:color="auto"/>
          </w:divBdr>
        </w:div>
        <w:div w:id="1264142647">
          <w:marLeft w:val="0"/>
          <w:marRight w:val="0"/>
          <w:marTop w:val="0"/>
          <w:marBottom w:val="0"/>
          <w:divBdr>
            <w:top w:val="none" w:sz="0" w:space="0" w:color="auto"/>
            <w:left w:val="none" w:sz="0" w:space="0" w:color="auto"/>
            <w:bottom w:val="none" w:sz="0" w:space="0" w:color="auto"/>
            <w:right w:val="none" w:sz="0" w:space="0" w:color="auto"/>
          </w:divBdr>
        </w:div>
        <w:div w:id="1579249585">
          <w:marLeft w:val="0"/>
          <w:marRight w:val="0"/>
          <w:marTop w:val="0"/>
          <w:marBottom w:val="0"/>
          <w:divBdr>
            <w:top w:val="none" w:sz="0" w:space="0" w:color="auto"/>
            <w:left w:val="none" w:sz="0" w:space="0" w:color="auto"/>
            <w:bottom w:val="none" w:sz="0" w:space="0" w:color="auto"/>
            <w:right w:val="none" w:sz="0" w:space="0" w:color="auto"/>
          </w:divBdr>
        </w:div>
        <w:div w:id="1941831910">
          <w:marLeft w:val="0"/>
          <w:marRight w:val="0"/>
          <w:marTop w:val="0"/>
          <w:marBottom w:val="0"/>
          <w:divBdr>
            <w:top w:val="none" w:sz="0" w:space="0" w:color="auto"/>
            <w:left w:val="none" w:sz="0" w:space="0" w:color="auto"/>
            <w:bottom w:val="none" w:sz="0" w:space="0" w:color="auto"/>
            <w:right w:val="none" w:sz="0" w:space="0" w:color="auto"/>
          </w:divBdr>
        </w:div>
        <w:div w:id="1923298550">
          <w:marLeft w:val="0"/>
          <w:marRight w:val="0"/>
          <w:marTop w:val="0"/>
          <w:marBottom w:val="0"/>
          <w:divBdr>
            <w:top w:val="none" w:sz="0" w:space="0" w:color="auto"/>
            <w:left w:val="none" w:sz="0" w:space="0" w:color="auto"/>
            <w:bottom w:val="none" w:sz="0" w:space="0" w:color="auto"/>
            <w:right w:val="none" w:sz="0" w:space="0" w:color="auto"/>
          </w:divBdr>
        </w:div>
        <w:div w:id="1652057361">
          <w:marLeft w:val="0"/>
          <w:marRight w:val="0"/>
          <w:marTop w:val="0"/>
          <w:marBottom w:val="0"/>
          <w:divBdr>
            <w:top w:val="none" w:sz="0" w:space="0" w:color="auto"/>
            <w:left w:val="none" w:sz="0" w:space="0" w:color="auto"/>
            <w:bottom w:val="none" w:sz="0" w:space="0" w:color="auto"/>
            <w:right w:val="none" w:sz="0" w:space="0" w:color="auto"/>
          </w:divBdr>
        </w:div>
        <w:div w:id="1600873126">
          <w:marLeft w:val="0"/>
          <w:marRight w:val="0"/>
          <w:marTop w:val="0"/>
          <w:marBottom w:val="0"/>
          <w:divBdr>
            <w:top w:val="none" w:sz="0" w:space="0" w:color="auto"/>
            <w:left w:val="none" w:sz="0" w:space="0" w:color="auto"/>
            <w:bottom w:val="none" w:sz="0" w:space="0" w:color="auto"/>
            <w:right w:val="none" w:sz="0" w:space="0" w:color="auto"/>
          </w:divBdr>
        </w:div>
        <w:div w:id="756173600">
          <w:marLeft w:val="0"/>
          <w:marRight w:val="0"/>
          <w:marTop w:val="0"/>
          <w:marBottom w:val="0"/>
          <w:divBdr>
            <w:top w:val="none" w:sz="0" w:space="0" w:color="auto"/>
            <w:left w:val="none" w:sz="0" w:space="0" w:color="auto"/>
            <w:bottom w:val="none" w:sz="0" w:space="0" w:color="auto"/>
            <w:right w:val="none" w:sz="0" w:space="0" w:color="auto"/>
          </w:divBdr>
        </w:div>
        <w:div w:id="922646603">
          <w:marLeft w:val="0"/>
          <w:marRight w:val="0"/>
          <w:marTop w:val="0"/>
          <w:marBottom w:val="0"/>
          <w:divBdr>
            <w:top w:val="none" w:sz="0" w:space="0" w:color="auto"/>
            <w:left w:val="none" w:sz="0" w:space="0" w:color="auto"/>
            <w:bottom w:val="none" w:sz="0" w:space="0" w:color="auto"/>
            <w:right w:val="none" w:sz="0" w:space="0" w:color="auto"/>
          </w:divBdr>
        </w:div>
        <w:div w:id="323708776">
          <w:marLeft w:val="0"/>
          <w:marRight w:val="0"/>
          <w:marTop w:val="0"/>
          <w:marBottom w:val="0"/>
          <w:divBdr>
            <w:top w:val="none" w:sz="0" w:space="0" w:color="auto"/>
            <w:left w:val="none" w:sz="0" w:space="0" w:color="auto"/>
            <w:bottom w:val="none" w:sz="0" w:space="0" w:color="auto"/>
            <w:right w:val="none" w:sz="0" w:space="0" w:color="auto"/>
          </w:divBdr>
        </w:div>
        <w:div w:id="541943612">
          <w:marLeft w:val="0"/>
          <w:marRight w:val="0"/>
          <w:marTop w:val="0"/>
          <w:marBottom w:val="0"/>
          <w:divBdr>
            <w:top w:val="none" w:sz="0" w:space="0" w:color="auto"/>
            <w:left w:val="none" w:sz="0" w:space="0" w:color="auto"/>
            <w:bottom w:val="none" w:sz="0" w:space="0" w:color="auto"/>
            <w:right w:val="none" w:sz="0" w:space="0" w:color="auto"/>
          </w:divBdr>
        </w:div>
        <w:div w:id="167527179">
          <w:marLeft w:val="0"/>
          <w:marRight w:val="0"/>
          <w:marTop w:val="0"/>
          <w:marBottom w:val="0"/>
          <w:divBdr>
            <w:top w:val="none" w:sz="0" w:space="0" w:color="auto"/>
            <w:left w:val="none" w:sz="0" w:space="0" w:color="auto"/>
            <w:bottom w:val="none" w:sz="0" w:space="0" w:color="auto"/>
            <w:right w:val="none" w:sz="0" w:space="0" w:color="auto"/>
          </w:divBdr>
        </w:div>
        <w:div w:id="425616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2.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footer" Target="footer4.xml"/><Relationship Id="rId68" Type="http://schemas.openxmlformats.org/officeDocument/2006/relationships/chart" Target="charts/chart10.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ortalgl.minfin.gob.gt/index.php/reporte-de-ingresos/" TargetMode="Externa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chart" Target="charts/chart8.xml"/><Relationship Id="rId66"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chart" Target="charts/chart1.xml"/><Relationship Id="rId14" Type="http://schemas.openxmlformats.org/officeDocument/2006/relationships/hyperlink" Target="http://www.infile.com/leyes/index.php?id=181&amp;id_publicacion=68891"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chart" Target="charts/chart7.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eader" Target="header4.xml"/><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ortalgl.minfin.gob.gt/index.php/reporte-de-gastos/" TargetMode="Externa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chart" Target="charts/chart9.xml"/><Relationship Id="rId67" Type="http://schemas.openxmlformats.org/officeDocument/2006/relationships/image" Target="media/image36.png"/><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eader" Target="header3.xm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file.com/leyes/index.php?id=181&amp;id_publicacion=68891" TargetMode="External"/><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eader" Target="header2.xm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byron.marroquin\Desktop\DASPP%202022\Tercer%20informe%20cuatrimestral%202022\Consolidado%20tercer%20cuatrimestre%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byron.marroquin\Desktop\DASPP%202022\Tercer%20informe%20cuatrimestral%202022\Consolidado%20tercer%20cuatrimestre%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yron.marroquin\Desktop\DASPP%202022\Tercer%20informe%20cuatrimestral%202022\Consolidado%20tercer%20cuatrimestre%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yron.marroquin\Desktop\DASPP%202022\Tercer%20informe%20cuatrimestral%202022\Consolidado%20tercer%20cuatrimestre%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yron.marroquin\Desktop\DASPP%202022\Tercer%20informe%20cuatrimestral%202022\Consolidado%20tercer%20cuatrimestre%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yron.marroquin\Desktop\DASPP%202022\Tercer%20informe%20cuatrimestral%202022\Consolidado%20tercer%20cuatrimestre%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yron.marroquin\Desktop\DASPP%202022\Tercer%20informe%20cuatrimestral%202022\Consolidado%20tercer%20cuatrimestre%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6159230096237"/>
          <c:y val="0.1111111111111111"/>
          <c:w val="0.84068285214348204"/>
          <c:h val="0.5545856082862608"/>
        </c:manualLayout>
      </c:layout>
      <c:barChart>
        <c:barDir val="col"/>
        <c:grouping val="clustered"/>
        <c:varyColors val="0"/>
        <c:ser>
          <c:idx val="0"/>
          <c:order val="0"/>
          <c:tx>
            <c:strRef>
              <c:f>Ministerios!$D$2</c:f>
              <c:strCache>
                <c:ptCount val="1"/>
                <c:pt idx="0">
                  <c:v>% ejecución meta física</c:v>
                </c:pt>
              </c:strCache>
            </c:strRef>
          </c:tx>
          <c:spPr>
            <a:solidFill>
              <a:srgbClr val="00B050"/>
            </a:solidFill>
            <a:ln>
              <a:noFill/>
            </a:ln>
            <a:effectLst/>
          </c:spPr>
          <c:invertIfNegative val="0"/>
          <c:cat>
            <c:strRef>
              <c:f>Ministerios!$A$3:$A$15</c:f>
              <c:strCache>
                <c:ptCount val="13"/>
                <c:pt idx="0">
                  <c:v>MEM</c:v>
                </c:pt>
                <c:pt idx="1">
                  <c:v>MINDEF</c:v>
                </c:pt>
                <c:pt idx="2">
                  <c:v>MINECO</c:v>
                </c:pt>
                <c:pt idx="3">
                  <c:v>MINFIN</c:v>
                </c:pt>
                <c:pt idx="4">
                  <c:v>MINTRAB</c:v>
                </c:pt>
                <c:pt idx="5">
                  <c:v>MARN</c:v>
                </c:pt>
                <c:pt idx="6">
                  <c:v>MAGA</c:v>
                </c:pt>
                <c:pt idx="7">
                  <c:v>MINGOB</c:v>
                </c:pt>
                <c:pt idx="8">
                  <c:v>MINEDUC</c:v>
                </c:pt>
                <c:pt idx="9">
                  <c:v>MICUDE</c:v>
                </c:pt>
                <c:pt idx="10">
                  <c:v>MSPAS</c:v>
                </c:pt>
                <c:pt idx="11">
                  <c:v>MIDES</c:v>
                </c:pt>
                <c:pt idx="12">
                  <c:v>MCIV</c:v>
                </c:pt>
              </c:strCache>
            </c:strRef>
          </c:cat>
          <c:val>
            <c:numRef>
              <c:f>Ministerios!$D$3:$D$15</c:f>
              <c:numCache>
                <c:formatCode>0.00%</c:formatCode>
                <c:ptCount val="13"/>
                <c:pt idx="0">
                  <c:v>0.99711428283213765</c:v>
                </c:pt>
                <c:pt idx="1">
                  <c:v>0.98942443058049911</c:v>
                </c:pt>
                <c:pt idx="2">
                  <c:v>0.96082029231199229</c:v>
                </c:pt>
                <c:pt idx="3">
                  <c:v>0.93615969573047331</c:v>
                </c:pt>
                <c:pt idx="4">
                  <c:v>0.91855063759154931</c:v>
                </c:pt>
                <c:pt idx="5">
                  <c:v>0.89634255720610856</c:v>
                </c:pt>
                <c:pt idx="6">
                  <c:v>0.78859999999999997</c:v>
                </c:pt>
                <c:pt idx="7">
                  <c:v>0.77838356790309415</c:v>
                </c:pt>
                <c:pt idx="8">
                  <c:v>0.71960000000000002</c:v>
                </c:pt>
                <c:pt idx="9">
                  <c:v>0.61484503266088297</c:v>
                </c:pt>
                <c:pt idx="10">
                  <c:v>0.52849162379598302</c:v>
                </c:pt>
                <c:pt idx="11">
                  <c:v>0.52048339478182504</c:v>
                </c:pt>
                <c:pt idx="12">
                  <c:v>0.5111</c:v>
                </c:pt>
              </c:numCache>
            </c:numRef>
          </c:val>
          <c:extLst>
            <c:ext xmlns:c16="http://schemas.microsoft.com/office/drawing/2014/chart" uri="{C3380CC4-5D6E-409C-BE32-E72D297353CC}">
              <c16:uniqueId val="{00000000-7523-4BA7-95AB-F8A6E6EAC473}"/>
            </c:ext>
          </c:extLst>
        </c:ser>
        <c:ser>
          <c:idx val="1"/>
          <c:order val="1"/>
          <c:tx>
            <c:strRef>
              <c:f>Ministerios!$E$2</c:f>
              <c:strCache>
                <c:ptCount val="1"/>
                <c:pt idx="0">
                  <c:v>% ejecución meta financiera</c:v>
                </c:pt>
              </c:strCache>
            </c:strRef>
          </c:tx>
          <c:spPr>
            <a:solidFill>
              <a:schemeClr val="accent1">
                <a:lumMod val="50000"/>
              </a:schemeClr>
            </a:solidFill>
            <a:ln>
              <a:noFill/>
            </a:ln>
            <a:effectLst/>
          </c:spPr>
          <c:invertIfNegative val="0"/>
          <c:cat>
            <c:strRef>
              <c:f>Ministerios!$A$3:$A$15</c:f>
              <c:strCache>
                <c:ptCount val="13"/>
                <c:pt idx="0">
                  <c:v>MEM</c:v>
                </c:pt>
                <c:pt idx="1">
                  <c:v>MINDEF</c:v>
                </c:pt>
                <c:pt idx="2">
                  <c:v>MINECO</c:v>
                </c:pt>
                <c:pt idx="3">
                  <c:v>MINFIN</c:v>
                </c:pt>
                <c:pt idx="4">
                  <c:v>MINTRAB</c:v>
                </c:pt>
                <c:pt idx="5">
                  <c:v>MARN</c:v>
                </c:pt>
                <c:pt idx="6">
                  <c:v>MAGA</c:v>
                </c:pt>
                <c:pt idx="7">
                  <c:v>MINGOB</c:v>
                </c:pt>
                <c:pt idx="8">
                  <c:v>MINEDUC</c:v>
                </c:pt>
                <c:pt idx="9">
                  <c:v>MICUDE</c:v>
                </c:pt>
                <c:pt idx="10">
                  <c:v>MSPAS</c:v>
                </c:pt>
                <c:pt idx="11">
                  <c:v>MIDES</c:v>
                </c:pt>
                <c:pt idx="12">
                  <c:v>MCIV</c:v>
                </c:pt>
              </c:strCache>
            </c:strRef>
          </c:cat>
          <c:val>
            <c:numRef>
              <c:f>Ministerios!$E$3:$E$15</c:f>
              <c:numCache>
                <c:formatCode>0.00%</c:formatCode>
                <c:ptCount val="13"/>
                <c:pt idx="0">
                  <c:v>0.99286200590196549</c:v>
                </c:pt>
                <c:pt idx="1">
                  <c:v>0.99280000000000002</c:v>
                </c:pt>
                <c:pt idx="2">
                  <c:v>0.96271964517287179</c:v>
                </c:pt>
                <c:pt idx="3">
                  <c:v>0.98409393379475529</c:v>
                </c:pt>
                <c:pt idx="4">
                  <c:v>0.9711063168454166</c:v>
                </c:pt>
                <c:pt idx="5">
                  <c:v>0.37010668010484854</c:v>
                </c:pt>
                <c:pt idx="6">
                  <c:v>0.95275865205982746</c:v>
                </c:pt>
                <c:pt idx="7">
                  <c:v>0.69781701033240973</c:v>
                </c:pt>
                <c:pt idx="8">
                  <c:v>0.96305059206776689</c:v>
                </c:pt>
                <c:pt idx="9">
                  <c:v>0.56240849460019271</c:v>
                </c:pt>
                <c:pt idx="10">
                  <c:v>0.59688280941196803</c:v>
                </c:pt>
                <c:pt idx="11">
                  <c:v>0.98724463768835713</c:v>
                </c:pt>
                <c:pt idx="12">
                  <c:v>0.68707342164352248</c:v>
                </c:pt>
              </c:numCache>
            </c:numRef>
          </c:val>
          <c:extLst>
            <c:ext xmlns:c16="http://schemas.microsoft.com/office/drawing/2014/chart" uri="{C3380CC4-5D6E-409C-BE32-E72D297353CC}">
              <c16:uniqueId val="{00000001-7523-4BA7-95AB-F8A6E6EAC473}"/>
            </c:ext>
          </c:extLst>
        </c:ser>
        <c:dLbls>
          <c:showLegendKey val="0"/>
          <c:showVal val="0"/>
          <c:showCatName val="0"/>
          <c:showSerName val="0"/>
          <c:showPercent val="0"/>
          <c:showBubbleSize val="0"/>
        </c:dLbls>
        <c:gapWidth val="100"/>
        <c:axId val="1597085552"/>
        <c:axId val="1657831952"/>
      </c:barChart>
      <c:catAx>
        <c:axId val="159708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1657831952"/>
        <c:crosses val="autoZero"/>
        <c:auto val="1"/>
        <c:lblAlgn val="ctr"/>
        <c:lblOffset val="100"/>
        <c:noMultiLvlLbl val="0"/>
      </c:catAx>
      <c:valAx>
        <c:axId val="1657831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15970855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'Fuente acumulada '!$E$132</c:f>
              <c:strCache>
                <c:ptCount val="1"/>
                <c:pt idx="0">
                  <c:v>Asignado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'Fuente acumulada '!$C$133:$C$138</c:f>
              <c:strCache>
                <c:ptCount val="5"/>
                <c:pt idx="0">
                  <c:v> BID </c:v>
                </c:pt>
                <c:pt idx="1">
                  <c:v> KFW </c:v>
                </c:pt>
                <c:pt idx="2">
                  <c:v> UE </c:v>
                </c:pt>
                <c:pt idx="3">
                  <c:v> FM </c:v>
                </c:pt>
                <c:pt idx="4">
                  <c:v> VARIOS </c:v>
                </c:pt>
              </c:strCache>
            </c:strRef>
          </c:cat>
          <c:val>
            <c:numRef>
              <c:f>'Fuente acumulada '!$E$133:$E$138</c:f>
              <c:numCache>
                <c:formatCode>_(* #,##0.00_);_(* \(#,##0.00\);_(* "-"??_);_(@_)</c:formatCode>
                <c:ptCount val="5"/>
                <c:pt idx="0">
                  <c:v>50</c:v>
                </c:pt>
                <c:pt idx="1">
                  <c:v>94.534999999999997</c:v>
                </c:pt>
                <c:pt idx="2">
                  <c:v>62.1</c:v>
                </c:pt>
                <c:pt idx="3">
                  <c:v>7.39</c:v>
                </c:pt>
                <c:pt idx="4">
                  <c:v>83.215499999999992</c:v>
                </c:pt>
              </c:numCache>
            </c:numRef>
          </c:val>
          <c:extLst>
            <c:ext xmlns:c16="http://schemas.microsoft.com/office/drawing/2014/chart" uri="{C3380CC4-5D6E-409C-BE32-E72D297353CC}">
              <c16:uniqueId val="{00000000-64D7-49A9-96B7-AB708F80ABF5}"/>
            </c:ext>
          </c:extLst>
        </c:ser>
        <c:ser>
          <c:idx val="1"/>
          <c:order val="1"/>
          <c:tx>
            <c:strRef>
              <c:f>'Fuente acumulada '!$F$132</c:f>
              <c:strCache>
                <c:ptCount val="1"/>
                <c:pt idx="0">
                  <c:v>Vigente diciembre 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'Fuente acumulada '!$C$133:$C$138</c:f>
              <c:strCache>
                <c:ptCount val="5"/>
                <c:pt idx="0">
                  <c:v> BID </c:v>
                </c:pt>
                <c:pt idx="1">
                  <c:v> KFW </c:v>
                </c:pt>
                <c:pt idx="2">
                  <c:v> UE </c:v>
                </c:pt>
                <c:pt idx="3">
                  <c:v> FM </c:v>
                </c:pt>
                <c:pt idx="4">
                  <c:v> VARIOS </c:v>
                </c:pt>
              </c:strCache>
            </c:strRef>
          </c:cat>
          <c:val>
            <c:numRef>
              <c:f>'Fuente acumulada '!$F$133:$F$138</c:f>
              <c:numCache>
                <c:formatCode>_(* #,##0.00_);_(* \(#,##0.00\);_(* "-"??_);_(@_)</c:formatCode>
                <c:ptCount val="5"/>
                <c:pt idx="0">
                  <c:v>91.4</c:v>
                </c:pt>
                <c:pt idx="1">
                  <c:v>73.59</c:v>
                </c:pt>
                <c:pt idx="2">
                  <c:v>40.5</c:v>
                </c:pt>
                <c:pt idx="3">
                  <c:v>2.61</c:v>
                </c:pt>
                <c:pt idx="4">
                  <c:v>117.69000000000001</c:v>
                </c:pt>
              </c:numCache>
            </c:numRef>
          </c:val>
          <c:extLst>
            <c:ext xmlns:c16="http://schemas.microsoft.com/office/drawing/2014/chart" uri="{C3380CC4-5D6E-409C-BE32-E72D297353CC}">
              <c16:uniqueId val="{00000001-64D7-49A9-96B7-AB708F80ABF5}"/>
            </c:ext>
          </c:extLst>
        </c:ser>
        <c:ser>
          <c:idx val="2"/>
          <c:order val="2"/>
          <c:tx>
            <c:strRef>
              <c:f>'Fuente acumulada '!$I$132</c:f>
              <c:strCache>
                <c:ptCount val="1"/>
                <c:pt idx="0">
                  <c:v>Ejecución  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'Fuente acumulada '!$C$133:$C$138</c:f>
              <c:strCache>
                <c:ptCount val="5"/>
                <c:pt idx="0">
                  <c:v> BID </c:v>
                </c:pt>
                <c:pt idx="1">
                  <c:v> KFW </c:v>
                </c:pt>
                <c:pt idx="2">
                  <c:v> UE </c:v>
                </c:pt>
                <c:pt idx="3">
                  <c:v> FM </c:v>
                </c:pt>
                <c:pt idx="4">
                  <c:v> VARIOS </c:v>
                </c:pt>
              </c:strCache>
            </c:strRef>
          </c:cat>
          <c:val>
            <c:numRef>
              <c:f>'Fuente acumulada '!$I$133:$I$138</c:f>
              <c:numCache>
                <c:formatCode>_(* #,##0.00_);_(* \(#,##0.00\);_(* "-"??_);_(@_)</c:formatCode>
                <c:ptCount val="5"/>
                <c:pt idx="0">
                  <c:v>68.94</c:v>
                </c:pt>
                <c:pt idx="1">
                  <c:v>47.904999999999994</c:v>
                </c:pt>
                <c:pt idx="2">
                  <c:v>37.659999999999997</c:v>
                </c:pt>
                <c:pt idx="3">
                  <c:v>2.35</c:v>
                </c:pt>
                <c:pt idx="4">
                  <c:v>70.92</c:v>
                </c:pt>
              </c:numCache>
            </c:numRef>
          </c:val>
          <c:extLst>
            <c:ext xmlns:c16="http://schemas.microsoft.com/office/drawing/2014/chart" uri="{C3380CC4-5D6E-409C-BE32-E72D297353CC}">
              <c16:uniqueId val="{00000002-64D7-49A9-96B7-AB708F80ABF5}"/>
            </c:ext>
          </c:extLst>
        </c:ser>
        <c:dLbls>
          <c:showLegendKey val="0"/>
          <c:showVal val="0"/>
          <c:showCatName val="0"/>
          <c:showSerName val="0"/>
          <c:showPercent val="0"/>
          <c:showBubbleSize val="0"/>
        </c:dLbls>
        <c:gapWidth val="219"/>
        <c:overlap val="-27"/>
        <c:axId val="389072784"/>
        <c:axId val="389073176"/>
      </c:barChart>
      <c:catAx>
        <c:axId val="38907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89073176"/>
        <c:crosses val="autoZero"/>
        <c:auto val="1"/>
        <c:lblAlgn val="ctr"/>
        <c:lblOffset val="100"/>
        <c:noMultiLvlLbl val="0"/>
      </c:catAx>
      <c:valAx>
        <c:axId val="389073176"/>
        <c:scaling>
          <c:orientation val="minMax"/>
        </c:scaling>
        <c:delete val="1"/>
        <c:axPos val="l"/>
        <c:numFmt formatCode="_(* #,##0.00_);_(* \(#,##0.00\);_(* &quot;-&quot;??_);_(@_)" sourceLinked="1"/>
        <c:majorTickMark val="none"/>
        <c:minorTickMark val="none"/>
        <c:tickLblPos val="nextTo"/>
        <c:crossAx val="389072784"/>
        <c:crosses val="autoZero"/>
        <c:crossBetween val="between"/>
      </c:valAx>
      <c:spPr>
        <a:noFill/>
        <a:ln>
          <a:noFill/>
        </a:ln>
        <a:effectLst/>
      </c:spPr>
    </c:plotArea>
    <c:legend>
      <c:legendPos val="b"/>
      <c:layout>
        <c:manualLayout>
          <c:xMode val="edge"/>
          <c:yMode val="edge"/>
          <c:x val="0.17785455930881316"/>
          <c:y val="0.90044688662450745"/>
          <c:w val="0.61600351287002286"/>
          <c:h val="9.939917784364196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7386883275252"/>
          <c:y val="0.11914072040847183"/>
          <c:w val="0.86157065835446012"/>
          <c:h val="0.58831854290001051"/>
        </c:manualLayout>
      </c:layout>
      <c:barChart>
        <c:barDir val="col"/>
        <c:grouping val="clustered"/>
        <c:varyColors val="0"/>
        <c:ser>
          <c:idx val="0"/>
          <c:order val="0"/>
          <c:tx>
            <c:strRef>
              <c:f>Secretarías!$D$2</c:f>
              <c:strCache>
                <c:ptCount val="1"/>
                <c:pt idx="0">
                  <c:v>% ejecución meta física</c:v>
                </c:pt>
              </c:strCache>
            </c:strRef>
          </c:tx>
          <c:spPr>
            <a:solidFill>
              <a:srgbClr val="00B050"/>
            </a:solidFill>
            <a:ln>
              <a:noFill/>
            </a:ln>
            <a:effectLst/>
          </c:spPr>
          <c:invertIfNegative val="0"/>
          <c:cat>
            <c:strRef>
              <c:f>Secretarías!$A$3:$A$16</c:f>
              <c:strCache>
                <c:ptCount val="14"/>
                <c:pt idx="0">
                  <c:v>SAAS</c:v>
                </c:pt>
                <c:pt idx="1">
                  <c:v>SIE</c:v>
                </c:pt>
                <c:pt idx="2">
                  <c:v>SESAN</c:v>
                </c:pt>
                <c:pt idx="3">
                  <c:v>SGPR</c:v>
                </c:pt>
                <c:pt idx="4">
                  <c:v>SPP</c:v>
                </c:pt>
                <c:pt idx="5">
                  <c:v>SEICMSJ</c:v>
                </c:pt>
                <c:pt idx="6">
                  <c:v>SCSP</c:v>
                </c:pt>
                <c:pt idx="7">
                  <c:v>STCNS</c:v>
                </c:pt>
                <c:pt idx="8">
                  <c:v>SBS</c:v>
                </c:pt>
                <c:pt idx="9">
                  <c:v>SEGEPLAN</c:v>
                </c:pt>
                <c:pt idx="10">
                  <c:v>SECCATID</c:v>
                </c:pt>
                <c:pt idx="11">
                  <c:v>SEPREM</c:v>
                </c:pt>
                <c:pt idx="12">
                  <c:v>SENACYT</c:v>
                </c:pt>
                <c:pt idx="13">
                  <c:v>SOSEP</c:v>
                </c:pt>
              </c:strCache>
            </c:strRef>
          </c:cat>
          <c:val>
            <c:numRef>
              <c:f>Secretarías!$D$3:$D$16</c:f>
              <c:numCache>
                <c:formatCode>0.00%</c:formatCode>
                <c:ptCount val="14"/>
                <c:pt idx="0">
                  <c:v>1</c:v>
                </c:pt>
                <c:pt idx="1">
                  <c:v>1</c:v>
                </c:pt>
                <c:pt idx="2">
                  <c:v>1</c:v>
                </c:pt>
                <c:pt idx="3">
                  <c:v>1</c:v>
                </c:pt>
                <c:pt idx="4">
                  <c:v>1</c:v>
                </c:pt>
                <c:pt idx="5">
                  <c:v>1</c:v>
                </c:pt>
                <c:pt idx="6">
                  <c:v>0.99971576778227811</c:v>
                </c:pt>
                <c:pt idx="7">
                  <c:v>0.99922727272727274</c:v>
                </c:pt>
                <c:pt idx="8">
                  <c:v>0.99645015778472501</c:v>
                </c:pt>
                <c:pt idx="9">
                  <c:v>0.99592241292783301</c:v>
                </c:pt>
                <c:pt idx="10">
                  <c:v>0.98352029574000499</c:v>
                </c:pt>
                <c:pt idx="11">
                  <c:v>0.95656779661016955</c:v>
                </c:pt>
                <c:pt idx="12">
                  <c:v>0.91515151515151516</c:v>
                </c:pt>
                <c:pt idx="13">
                  <c:v>0.89681477088688555</c:v>
                </c:pt>
              </c:numCache>
            </c:numRef>
          </c:val>
          <c:extLst>
            <c:ext xmlns:c16="http://schemas.microsoft.com/office/drawing/2014/chart" uri="{C3380CC4-5D6E-409C-BE32-E72D297353CC}">
              <c16:uniqueId val="{00000000-7880-44D3-A8AB-C72E1CF87A92}"/>
            </c:ext>
          </c:extLst>
        </c:ser>
        <c:ser>
          <c:idx val="1"/>
          <c:order val="1"/>
          <c:tx>
            <c:strRef>
              <c:f>Secretarías!$E$2</c:f>
              <c:strCache>
                <c:ptCount val="1"/>
                <c:pt idx="0">
                  <c:v>% ejecución meta financiera</c:v>
                </c:pt>
              </c:strCache>
            </c:strRef>
          </c:tx>
          <c:spPr>
            <a:solidFill>
              <a:schemeClr val="accent1">
                <a:lumMod val="50000"/>
              </a:schemeClr>
            </a:solidFill>
            <a:ln>
              <a:noFill/>
            </a:ln>
            <a:effectLst/>
          </c:spPr>
          <c:invertIfNegative val="0"/>
          <c:cat>
            <c:strRef>
              <c:f>Secretarías!$A$3:$A$16</c:f>
              <c:strCache>
                <c:ptCount val="14"/>
                <c:pt idx="0">
                  <c:v>SAAS</c:v>
                </c:pt>
                <c:pt idx="1">
                  <c:v>SIE</c:v>
                </c:pt>
                <c:pt idx="2">
                  <c:v>SESAN</c:v>
                </c:pt>
                <c:pt idx="3">
                  <c:v>SGPR</c:v>
                </c:pt>
                <c:pt idx="4">
                  <c:v>SPP</c:v>
                </c:pt>
                <c:pt idx="5">
                  <c:v>SEICMSJ</c:v>
                </c:pt>
                <c:pt idx="6">
                  <c:v>SCSP</c:v>
                </c:pt>
                <c:pt idx="7">
                  <c:v>STCNS</c:v>
                </c:pt>
                <c:pt idx="8">
                  <c:v>SBS</c:v>
                </c:pt>
                <c:pt idx="9">
                  <c:v>SEGEPLAN</c:v>
                </c:pt>
                <c:pt idx="10">
                  <c:v>SECCATID</c:v>
                </c:pt>
                <c:pt idx="11">
                  <c:v>SEPREM</c:v>
                </c:pt>
                <c:pt idx="12">
                  <c:v>SENACYT</c:v>
                </c:pt>
                <c:pt idx="13">
                  <c:v>SOSEP</c:v>
                </c:pt>
              </c:strCache>
            </c:strRef>
          </c:cat>
          <c:val>
            <c:numRef>
              <c:f>Secretarías!$E$3:$E$16</c:f>
              <c:numCache>
                <c:formatCode>0.00%</c:formatCode>
                <c:ptCount val="14"/>
                <c:pt idx="0">
                  <c:v>0.99006000168124164</c:v>
                </c:pt>
                <c:pt idx="1">
                  <c:v>0.94165558298362284</c:v>
                </c:pt>
                <c:pt idx="2">
                  <c:v>0.99099191424697475</c:v>
                </c:pt>
                <c:pt idx="3">
                  <c:v>0.97485494803239803</c:v>
                </c:pt>
                <c:pt idx="4">
                  <c:v>0.93863433909287253</c:v>
                </c:pt>
                <c:pt idx="5">
                  <c:v>0.71601106739077802</c:v>
                </c:pt>
                <c:pt idx="6">
                  <c:v>0.95439362137285488</c:v>
                </c:pt>
                <c:pt idx="7">
                  <c:v>0.95856035763888892</c:v>
                </c:pt>
                <c:pt idx="8">
                  <c:v>0.39798345078331726</c:v>
                </c:pt>
                <c:pt idx="9">
                  <c:v>0.96162403147982056</c:v>
                </c:pt>
                <c:pt idx="10">
                  <c:v>0.92050550124999997</c:v>
                </c:pt>
                <c:pt idx="11">
                  <c:v>0.96025481598083395</c:v>
                </c:pt>
                <c:pt idx="12">
                  <c:v>0.73737701879877038</c:v>
                </c:pt>
                <c:pt idx="13">
                  <c:v>0.95920056156542144</c:v>
                </c:pt>
              </c:numCache>
            </c:numRef>
          </c:val>
          <c:extLst>
            <c:ext xmlns:c16="http://schemas.microsoft.com/office/drawing/2014/chart" uri="{C3380CC4-5D6E-409C-BE32-E72D297353CC}">
              <c16:uniqueId val="{00000001-7880-44D3-A8AB-C72E1CF87A92}"/>
            </c:ext>
          </c:extLst>
        </c:ser>
        <c:dLbls>
          <c:showLegendKey val="0"/>
          <c:showVal val="0"/>
          <c:showCatName val="0"/>
          <c:showSerName val="0"/>
          <c:showPercent val="0"/>
          <c:showBubbleSize val="0"/>
        </c:dLbls>
        <c:gapWidth val="100"/>
        <c:axId val="1597085552"/>
        <c:axId val="1657831952"/>
      </c:barChart>
      <c:catAx>
        <c:axId val="159708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1657831952"/>
        <c:crosses val="autoZero"/>
        <c:auto val="1"/>
        <c:lblAlgn val="ctr"/>
        <c:lblOffset val="100"/>
        <c:noMultiLvlLbl val="0"/>
      </c:catAx>
      <c:valAx>
        <c:axId val="1657831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1597085552"/>
        <c:crosses val="autoZero"/>
        <c:crossBetween val="between"/>
        <c:majorUnit val="0.2"/>
      </c:valAx>
      <c:spPr>
        <a:noFill/>
        <a:ln>
          <a:noFill/>
        </a:ln>
        <a:effectLst/>
      </c:spPr>
    </c:plotArea>
    <c:legend>
      <c:legendPos val="b"/>
      <c:layout>
        <c:manualLayout>
          <c:xMode val="edge"/>
          <c:yMode val="edge"/>
          <c:x val="0.18354823521885202"/>
          <c:y val="0.87315095326044523"/>
          <c:w val="0.63290332963806717"/>
          <c:h val="9.785513546092328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7386883275252"/>
          <c:y val="9.2339008726113656E-2"/>
          <c:w val="0.86157065835446012"/>
          <c:h val="0.61213495607638213"/>
        </c:manualLayout>
      </c:layout>
      <c:barChart>
        <c:barDir val="col"/>
        <c:grouping val="clustered"/>
        <c:varyColors val="0"/>
        <c:ser>
          <c:idx val="0"/>
          <c:order val="0"/>
          <c:tx>
            <c:strRef>
              <c:f>'Otras del ejecutivo, emp. y órg'!$D$2</c:f>
              <c:strCache>
                <c:ptCount val="1"/>
                <c:pt idx="0">
                  <c:v>% ejecución meta física</c:v>
                </c:pt>
              </c:strCache>
            </c:strRef>
          </c:tx>
          <c:spPr>
            <a:solidFill>
              <a:srgbClr val="00B050"/>
            </a:solidFill>
            <a:ln>
              <a:noFill/>
            </a:ln>
            <a:effectLst/>
          </c:spPr>
          <c:invertIfNegative val="0"/>
          <c:cat>
            <c:strRef>
              <c:f>'Otras del ejecutivo, emp. y órg'!$A$3:$A$21</c:f>
              <c:strCache>
                <c:ptCount val="19"/>
                <c:pt idx="0">
                  <c:v>CC</c:v>
                </c:pt>
                <c:pt idx="1">
                  <c:v>PGN</c:v>
                </c:pt>
                <c:pt idx="2">
                  <c:v>VICEPRESIDENCIA</c:v>
                </c:pt>
                <c:pt idx="3">
                  <c:v>COPADEH</c:v>
                </c:pt>
                <c:pt idx="4">
                  <c:v>ZOLIC</c:v>
                </c:pt>
                <c:pt idx="5">
                  <c:v>CNA</c:v>
                </c:pt>
                <c:pt idx="6">
                  <c:v>AMSCLAE</c:v>
                </c:pt>
                <c:pt idx="7">
                  <c:v>CONAP</c:v>
                </c:pt>
                <c:pt idx="8">
                  <c:v>ONSEC</c:v>
                </c:pt>
                <c:pt idx="9">
                  <c:v>CES</c:v>
                </c:pt>
                <c:pt idx="10">
                  <c:v>CGC</c:v>
                </c:pt>
                <c:pt idx="11">
                  <c:v>EPNCH</c:v>
                </c:pt>
                <c:pt idx="12">
                  <c:v>CONAMIGUA</c:v>
                </c:pt>
                <c:pt idx="13">
                  <c:v>GAE</c:v>
                </c:pt>
                <c:pt idx="14">
                  <c:v>FEGUA</c:v>
                </c:pt>
                <c:pt idx="15">
                  <c:v>CONJUVE</c:v>
                </c:pt>
                <c:pt idx="16">
                  <c:v>GUATEL</c:v>
                </c:pt>
                <c:pt idx="17">
                  <c:v>CODISRA</c:v>
                </c:pt>
                <c:pt idx="18">
                  <c:v>DEMI</c:v>
                </c:pt>
              </c:strCache>
            </c:strRef>
          </c:cat>
          <c:val>
            <c:numRef>
              <c:f>'Otras del ejecutivo, emp. y órg'!$D$3:$D$21</c:f>
              <c:numCache>
                <c:formatCode>0.00%</c:formatCode>
                <c:ptCount val="19"/>
                <c:pt idx="0">
                  <c:v>1</c:v>
                </c:pt>
                <c:pt idx="1">
                  <c:v>1</c:v>
                </c:pt>
                <c:pt idx="2">
                  <c:v>1</c:v>
                </c:pt>
                <c:pt idx="3">
                  <c:v>1</c:v>
                </c:pt>
                <c:pt idx="4">
                  <c:v>0.98586744639376223</c:v>
                </c:pt>
                <c:pt idx="5">
                  <c:v>0.9850000000000001</c:v>
                </c:pt>
                <c:pt idx="6">
                  <c:v>0.97752165463273999</c:v>
                </c:pt>
                <c:pt idx="7">
                  <c:v>0.97002590125491506</c:v>
                </c:pt>
                <c:pt idx="8">
                  <c:v>0.96533247634718222</c:v>
                </c:pt>
                <c:pt idx="9">
                  <c:v>0.9097222222222221</c:v>
                </c:pt>
                <c:pt idx="10">
                  <c:v>0.90556445449521694</c:v>
                </c:pt>
                <c:pt idx="11">
                  <c:v>0.89599358974358978</c:v>
                </c:pt>
                <c:pt idx="12">
                  <c:v>0.82472687137880696</c:v>
                </c:pt>
                <c:pt idx="13">
                  <c:v>0.70833333333333337</c:v>
                </c:pt>
                <c:pt idx="14">
                  <c:v>0.69722222222222208</c:v>
                </c:pt>
                <c:pt idx="15">
                  <c:v>0.66666666666666663</c:v>
                </c:pt>
                <c:pt idx="16">
                  <c:v>0.57594166075885356</c:v>
                </c:pt>
                <c:pt idx="17">
                  <c:v>0.44180000000000003</c:v>
                </c:pt>
                <c:pt idx="18">
                  <c:v>0.26002313089775941</c:v>
                </c:pt>
              </c:numCache>
            </c:numRef>
          </c:val>
          <c:extLst>
            <c:ext xmlns:c16="http://schemas.microsoft.com/office/drawing/2014/chart" uri="{C3380CC4-5D6E-409C-BE32-E72D297353CC}">
              <c16:uniqueId val="{00000000-6200-479B-A3FA-4A80D5C09471}"/>
            </c:ext>
          </c:extLst>
        </c:ser>
        <c:ser>
          <c:idx val="1"/>
          <c:order val="1"/>
          <c:tx>
            <c:strRef>
              <c:f>'Otras del ejecutivo, emp. y órg'!$E$2</c:f>
              <c:strCache>
                <c:ptCount val="1"/>
                <c:pt idx="0">
                  <c:v>% ejecución meta financiera</c:v>
                </c:pt>
              </c:strCache>
            </c:strRef>
          </c:tx>
          <c:spPr>
            <a:solidFill>
              <a:schemeClr val="accent1">
                <a:lumMod val="50000"/>
              </a:schemeClr>
            </a:solidFill>
            <a:ln>
              <a:noFill/>
            </a:ln>
            <a:effectLst/>
          </c:spPr>
          <c:invertIfNegative val="0"/>
          <c:cat>
            <c:strRef>
              <c:f>'Otras del ejecutivo, emp. y órg'!$A$3:$A$21</c:f>
              <c:strCache>
                <c:ptCount val="19"/>
                <c:pt idx="0">
                  <c:v>CC</c:v>
                </c:pt>
                <c:pt idx="1">
                  <c:v>PGN</c:v>
                </c:pt>
                <c:pt idx="2">
                  <c:v>VICEPRESIDENCIA</c:v>
                </c:pt>
                <c:pt idx="3">
                  <c:v>COPADEH</c:v>
                </c:pt>
                <c:pt idx="4">
                  <c:v>ZOLIC</c:v>
                </c:pt>
                <c:pt idx="5">
                  <c:v>CNA</c:v>
                </c:pt>
                <c:pt idx="6">
                  <c:v>AMSCLAE</c:v>
                </c:pt>
                <c:pt idx="7">
                  <c:v>CONAP</c:v>
                </c:pt>
                <c:pt idx="8">
                  <c:v>ONSEC</c:v>
                </c:pt>
                <c:pt idx="9">
                  <c:v>CES</c:v>
                </c:pt>
                <c:pt idx="10">
                  <c:v>CGC</c:v>
                </c:pt>
                <c:pt idx="11">
                  <c:v>EPNCH</c:v>
                </c:pt>
                <c:pt idx="12">
                  <c:v>CONAMIGUA</c:v>
                </c:pt>
                <c:pt idx="13">
                  <c:v>GAE</c:v>
                </c:pt>
                <c:pt idx="14">
                  <c:v>FEGUA</c:v>
                </c:pt>
                <c:pt idx="15">
                  <c:v>CONJUVE</c:v>
                </c:pt>
                <c:pt idx="16">
                  <c:v>GUATEL</c:v>
                </c:pt>
                <c:pt idx="17">
                  <c:v>CODISRA</c:v>
                </c:pt>
                <c:pt idx="18">
                  <c:v>DEMI</c:v>
                </c:pt>
              </c:strCache>
            </c:strRef>
          </c:cat>
          <c:val>
            <c:numRef>
              <c:f>'Otras del ejecutivo, emp. y órg'!$E$3:$E$21</c:f>
              <c:numCache>
                <c:formatCode>0.00%</c:formatCode>
                <c:ptCount val="19"/>
                <c:pt idx="0">
                  <c:v>0.93303578096347528</c:v>
                </c:pt>
                <c:pt idx="1">
                  <c:v>0.97028727639472034</c:v>
                </c:pt>
                <c:pt idx="2">
                  <c:v>0.76789489068965511</c:v>
                </c:pt>
                <c:pt idx="3">
                  <c:v>0.98805390550101702</c:v>
                </c:pt>
                <c:pt idx="4">
                  <c:v>0.88369358901203987</c:v>
                </c:pt>
                <c:pt idx="5">
                  <c:v>0.94346998994734321</c:v>
                </c:pt>
                <c:pt idx="6">
                  <c:v>0.98319431798319434</c:v>
                </c:pt>
                <c:pt idx="7">
                  <c:v>0.59602112457817047</c:v>
                </c:pt>
                <c:pt idx="8">
                  <c:v>0.98037164874858063</c:v>
                </c:pt>
                <c:pt idx="9">
                  <c:v>0.41600349133663367</c:v>
                </c:pt>
                <c:pt idx="10">
                  <c:v>0.45652309185819068</c:v>
                </c:pt>
                <c:pt idx="11">
                  <c:v>0.94480502647735687</c:v>
                </c:pt>
                <c:pt idx="12">
                  <c:v>0.55265798461542615</c:v>
                </c:pt>
                <c:pt idx="13">
                  <c:v>0.69957411500000011</c:v>
                </c:pt>
                <c:pt idx="14">
                  <c:v>0.94318299272241202</c:v>
                </c:pt>
                <c:pt idx="15">
                  <c:v>0.66926808769230772</c:v>
                </c:pt>
                <c:pt idx="16">
                  <c:v>0.85462515969696973</c:v>
                </c:pt>
                <c:pt idx="17">
                  <c:v>0.75119999999999998</c:v>
                </c:pt>
                <c:pt idx="18">
                  <c:v>0.27209259360454441</c:v>
                </c:pt>
              </c:numCache>
            </c:numRef>
          </c:val>
          <c:extLst>
            <c:ext xmlns:c16="http://schemas.microsoft.com/office/drawing/2014/chart" uri="{C3380CC4-5D6E-409C-BE32-E72D297353CC}">
              <c16:uniqueId val="{00000001-6200-479B-A3FA-4A80D5C09471}"/>
            </c:ext>
          </c:extLst>
        </c:ser>
        <c:dLbls>
          <c:showLegendKey val="0"/>
          <c:showVal val="0"/>
          <c:showCatName val="0"/>
          <c:showSerName val="0"/>
          <c:showPercent val="0"/>
          <c:showBubbleSize val="0"/>
        </c:dLbls>
        <c:gapWidth val="100"/>
        <c:axId val="1597085552"/>
        <c:axId val="1657831952"/>
      </c:barChart>
      <c:catAx>
        <c:axId val="159708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GT"/>
          </a:p>
        </c:txPr>
        <c:crossAx val="1657831952"/>
        <c:crosses val="autoZero"/>
        <c:auto val="1"/>
        <c:lblAlgn val="ctr"/>
        <c:lblOffset val="100"/>
        <c:noMultiLvlLbl val="0"/>
      </c:catAx>
      <c:valAx>
        <c:axId val="1657831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crossAx val="15970855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7386883275252"/>
          <c:y val="8.713507310305256E-2"/>
          <c:w val="0.86157065835446012"/>
          <c:h val="0.692276381763125"/>
        </c:manualLayout>
      </c:layout>
      <c:barChart>
        <c:barDir val="col"/>
        <c:grouping val="clustered"/>
        <c:varyColors val="0"/>
        <c:ser>
          <c:idx val="0"/>
          <c:order val="0"/>
          <c:tx>
            <c:strRef>
              <c:f>'Entidades Descentralizadas'!$D$2</c:f>
              <c:strCache>
                <c:ptCount val="1"/>
                <c:pt idx="0">
                  <c:v>% ejecución meta física</c:v>
                </c:pt>
              </c:strCache>
            </c:strRef>
          </c:tx>
          <c:spPr>
            <a:solidFill>
              <a:srgbClr val="00B050"/>
            </a:solidFill>
            <a:ln>
              <a:noFill/>
            </a:ln>
            <a:effectLst/>
          </c:spPr>
          <c:invertIfNegative val="0"/>
          <c:cat>
            <c:strRef>
              <c:f>'Entidades Descentralizadas'!$A$3:$A$22</c:f>
              <c:strCache>
                <c:ptCount val="20"/>
                <c:pt idx="0">
                  <c:v>ANADIE</c:v>
                </c:pt>
                <c:pt idx="1">
                  <c:v>ADESCA</c:v>
                </c:pt>
                <c:pt idx="2">
                  <c:v>BCVBG</c:v>
                </c:pt>
                <c:pt idx="3">
                  <c:v>CNEE</c:v>
                </c:pt>
                <c:pt idx="4">
                  <c:v>COG</c:v>
                </c:pt>
                <c:pt idx="5">
                  <c:v>ICTA</c:v>
                </c:pt>
                <c:pt idx="6">
                  <c:v>INAB</c:v>
                </c:pt>
                <c:pt idx="7">
                  <c:v>RGP</c:v>
                </c:pt>
                <c:pt idx="8">
                  <c:v>INAP</c:v>
                </c:pt>
                <c:pt idx="9">
                  <c:v>TSE</c:v>
                </c:pt>
                <c:pt idx="10">
                  <c:v>INSTITUTO DE LA VICTIMA</c:v>
                </c:pt>
                <c:pt idx="11">
                  <c:v>FODIGUA</c:v>
                </c:pt>
                <c:pt idx="12">
                  <c:v>INDECA</c:v>
                </c:pt>
                <c:pt idx="13">
                  <c:v>RIC</c:v>
                </c:pt>
                <c:pt idx="14">
                  <c:v>CONRED</c:v>
                </c:pt>
                <c:pt idx="15">
                  <c:v>CNPAG</c:v>
                </c:pt>
                <c:pt idx="16">
                  <c:v>INDE</c:v>
                </c:pt>
                <c:pt idx="17">
                  <c:v>INGUAT</c:v>
                </c:pt>
                <c:pt idx="18">
                  <c:v>SAT</c:v>
                </c:pt>
                <c:pt idx="19">
                  <c:v>RENAP</c:v>
                </c:pt>
              </c:strCache>
            </c:strRef>
          </c:cat>
          <c:val>
            <c:numRef>
              <c:f>'Entidades Descentralizadas'!$D$3:$D$22</c:f>
              <c:numCache>
                <c:formatCode>0.00%</c:formatCode>
                <c:ptCount val="20"/>
                <c:pt idx="0">
                  <c:v>1</c:v>
                </c:pt>
                <c:pt idx="1">
                  <c:v>1</c:v>
                </c:pt>
                <c:pt idx="2">
                  <c:v>1</c:v>
                </c:pt>
                <c:pt idx="3">
                  <c:v>1</c:v>
                </c:pt>
                <c:pt idx="4">
                  <c:v>1</c:v>
                </c:pt>
                <c:pt idx="5">
                  <c:v>1</c:v>
                </c:pt>
                <c:pt idx="6">
                  <c:v>1</c:v>
                </c:pt>
                <c:pt idx="7">
                  <c:v>1</c:v>
                </c:pt>
                <c:pt idx="8">
                  <c:v>1</c:v>
                </c:pt>
                <c:pt idx="9">
                  <c:v>0.99829497016197788</c:v>
                </c:pt>
                <c:pt idx="10">
                  <c:v>0.99817628523330604</c:v>
                </c:pt>
                <c:pt idx="11">
                  <c:v>0.99741888838799653</c:v>
                </c:pt>
                <c:pt idx="12">
                  <c:v>0.99420438461538463</c:v>
                </c:pt>
                <c:pt idx="13">
                  <c:v>0.99029999999999996</c:v>
                </c:pt>
                <c:pt idx="14">
                  <c:v>0.98980000000000001</c:v>
                </c:pt>
                <c:pt idx="15">
                  <c:v>0.98947685390145246</c:v>
                </c:pt>
                <c:pt idx="16">
                  <c:v>0.97493814672097512</c:v>
                </c:pt>
                <c:pt idx="17">
                  <c:v>0.97369844234847647</c:v>
                </c:pt>
                <c:pt idx="18">
                  <c:v>0.97318164593447187</c:v>
                </c:pt>
                <c:pt idx="19">
                  <c:v>0.95833423187746547</c:v>
                </c:pt>
              </c:numCache>
            </c:numRef>
          </c:val>
          <c:extLst>
            <c:ext xmlns:c16="http://schemas.microsoft.com/office/drawing/2014/chart" uri="{C3380CC4-5D6E-409C-BE32-E72D297353CC}">
              <c16:uniqueId val="{00000000-457E-47B5-85C9-00A0FB341C62}"/>
            </c:ext>
          </c:extLst>
        </c:ser>
        <c:ser>
          <c:idx val="1"/>
          <c:order val="1"/>
          <c:tx>
            <c:strRef>
              <c:f>'Entidades Descentralizadas'!$E$2</c:f>
              <c:strCache>
                <c:ptCount val="1"/>
                <c:pt idx="0">
                  <c:v>% ejecución meta financiera</c:v>
                </c:pt>
              </c:strCache>
            </c:strRef>
          </c:tx>
          <c:spPr>
            <a:solidFill>
              <a:schemeClr val="accent1">
                <a:lumMod val="50000"/>
              </a:schemeClr>
            </a:solidFill>
            <a:ln>
              <a:noFill/>
            </a:ln>
            <a:effectLst/>
          </c:spPr>
          <c:invertIfNegative val="0"/>
          <c:cat>
            <c:strRef>
              <c:f>'Entidades Descentralizadas'!$A$3:$A$22</c:f>
              <c:strCache>
                <c:ptCount val="20"/>
                <c:pt idx="0">
                  <c:v>ANADIE</c:v>
                </c:pt>
                <c:pt idx="1">
                  <c:v>ADESCA</c:v>
                </c:pt>
                <c:pt idx="2">
                  <c:v>BCVBG</c:v>
                </c:pt>
                <c:pt idx="3">
                  <c:v>CNEE</c:v>
                </c:pt>
                <c:pt idx="4">
                  <c:v>COG</c:v>
                </c:pt>
                <c:pt idx="5">
                  <c:v>ICTA</c:v>
                </c:pt>
                <c:pt idx="6">
                  <c:v>INAB</c:v>
                </c:pt>
                <c:pt idx="7">
                  <c:v>RGP</c:v>
                </c:pt>
                <c:pt idx="8">
                  <c:v>INAP</c:v>
                </c:pt>
                <c:pt idx="9">
                  <c:v>TSE</c:v>
                </c:pt>
                <c:pt idx="10">
                  <c:v>INSTITUTO DE LA VICTIMA</c:v>
                </c:pt>
                <c:pt idx="11">
                  <c:v>FODIGUA</c:v>
                </c:pt>
                <c:pt idx="12">
                  <c:v>INDECA</c:v>
                </c:pt>
                <c:pt idx="13">
                  <c:v>RIC</c:v>
                </c:pt>
                <c:pt idx="14">
                  <c:v>CONRED</c:v>
                </c:pt>
                <c:pt idx="15">
                  <c:v>CNPAG</c:v>
                </c:pt>
                <c:pt idx="16">
                  <c:v>INDE</c:v>
                </c:pt>
                <c:pt idx="17">
                  <c:v>INGUAT</c:v>
                </c:pt>
                <c:pt idx="18">
                  <c:v>SAT</c:v>
                </c:pt>
                <c:pt idx="19">
                  <c:v>RENAP</c:v>
                </c:pt>
              </c:strCache>
            </c:strRef>
          </c:cat>
          <c:val>
            <c:numRef>
              <c:f>'Entidades Descentralizadas'!$E$3:$E$22</c:f>
              <c:numCache>
                <c:formatCode>0.00%</c:formatCode>
                <c:ptCount val="20"/>
                <c:pt idx="0">
                  <c:v>0.85332685243891349</c:v>
                </c:pt>
                <c:pt idx="1">
                  <c:v>0.99731148200000008</c:v>
                </c:pt>
                <c:pt idx="2">
                  <c:v>0.98365816872623568</c:v>
                </c:pt>
                <c:pt idx="3">
                  <c:v>0.82487096488516443</c:v>
                </c:pt>
                <c:pt idx="4">
                  <c:v>0.88235167929516389</c:v>
                </c:pt>
                <c:pt idx="5">
                  <c:v>0.83518591498439254</c:v>
                </c:pt>
                <c:pt idx="6">
                  <c:v>0.60393395456270926</c:v>
                </c:pt>
                <c:pt idx="7">
                  <c:v>0.78676239050006314</c:v>
                </c:pt>
                <c:pt idx="8">
                  <c:v>0.60967504574467468</c:v>
                </c:pt>
                <c:pt idx="9">
                  <c:v>0</c:v>
                </c:pt>
                <c:pt idx="10">
                  <c:v>0.88669596933415418</c:v>
                </c:pt>
                <c:pt idx="11">
                  <c:v>0</c:v>
                </c:pt>
                <c:pt idx="12">
                  <c:v>0.82475061771428559</c:v>
                </c:pt>
                <c:pt idx="13">
                  <c:v>0.71590243890505145</c:v>
                </c:pt>
                <c:pt idx="14">
                  <c:v>0.92573212447999986</c:v>
                </c:pt>
                <c:pt idx="15">
                  <c:v>0.89898528</c:v>
                </c:pt>
                <c:pt idx="16">
                  <c:v>0.87364051947355603</c:v>
                </c:pt>
                <c:pt idx="17">
                  <c:v>0.55452834706529797</c:v>
                </c:pt>
                <c:pt idx="18">
                  <c:v>0.64580817077498143</c:v>
                </c:pt>
                <c:pt idx="19">
                  <c:v>0.90066776393616299</c:v>
                </c:pt>
              </c:numCache>
            </c:numRef>
          </c:val>
          <c:extLst>
            <c:ext xmlns:c16="http://schemas.microsoft.com/office/drawing/2014/chart" uri="{C3380CC4-5D6E-409C-BE32-E72D297353CC}">
              <c16:uniqueId val="{00000001-457E-47B5-85C9-00A0FB341C62}"/>
            </c:ext>
          </c:extLst>
        </c:ser>
        <c:dLbls>
          <c:showLegendKey val="0"/>
          <c:showVal val="0"/>
          <c:showCatName val="0"/>
          <c:showSerName val="0"/>
          <c:showPercent val="0"/>
          <c:showBubbleSize val="0"/>
        </c:dLbls>
        <c:gapWidth val="100"/>
        <c:axId val="1597085552"/>
        <c:axId val="1657831952"/>
      </c:barChart>
      <c:catAx>
        <c:axId val="159708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300" b="0" i="0" u="none" strike="noStrike" kern="1200" baseline="0">
                <a:solidFill>
                  <a:schemeClr val="tx1">
                    <a:lumMod val="65000"/>
                    <a:lumOff val="35000"/>
                  </a:schemeClr>
                </a:solidFill>
                <a:latin typeface="+mn-lt"/>
                <a:ea typeface="+mn-ea"/>
                <a:cs typeface="+mn-cs"/>
              </a:defRPr>
            </a:pPr>
            <a:endParaRPr lang="es-GT"/>
          </a:p>
        </c:txPr>
        <c:crossAx val="1657831952"/>
        <c:crosses val="autoZero"/>
        <c:auto val="1"/>
        <c:lblAlgn val="ctr"/>
        <c:lblOffset val="100"/>
        <c:noMultiLvlLbl val="0"/>
      </c:catAx>
      <c:valAx>
        <c:axId val="1657831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15970855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7386883275252"/>
          <c:y val="8.3718507425201497E-2"/>
          <c:w val="0.86157065835446012"/>
          <c:h val="0.72418108840943018"/>
        </c:manualLayout>
      </c:layout>
      <c:barChart>
        <c:barDir val="col"/>
        <c:grouping val="clustered"/>
        <c:varyColors val="0"/>
        <c:ser>
          <c:idx val="0"/>
          <c:order val="0"/>
          <c:tx>
            <c:strRef>
              <c:f>'Entidades Descentralizadas'!$D$2</c:f>
              <c:strCache>
                <c:ptCount val="1"/>
                <c:pt idx="0">
                  <c:v>% ejecución meta física</c:v>
                </c:pt>
              </c:strCache>
            </c:strRef>
          </c:tx>
          <c:spPr>
            <a:solidFill>
              <a:srgbClr val="00B050"/>
            </a:solidFill>
            <a:ln>
              <a:noFill/>
            </a:ln>
            <a:effectLst/>
          </c:spPr>
          <c:invertIfNegative val="0"/>
          <c:cat>
            <c:strRef>
              <c:f>'Entidades Descentralizadas'!$A$23:$A$41</c:f>
              <c:strCache>
                <c:ptCount val="19"/>
                <c:pt idx="0">
                  <c:v>IPM</c:v>
                </c:pt>
                <c:pt idx="1">
                  <c:v>COPEREX</c:v>
                </c:pt>
                <c:pt idx="2">
                  <c:v>FONTIERRAS</c:v>
                </c:pt>
                <c:pt idx="3">
                  <c:v>PDH</c:v>
                </c:pt>
                <c:pt idx="4">
                  <c:v>SRP</c:v>
                </c:pt>
                <c:pt idx="5">
                  <c:v>INGECOP</c:v>
                </c:pt>
                <c:pt idx="6">
                  <c:v>INE</c:v>
                </c:pt>
                <c:pt idx="7">
                  <c:v>INFOM</c:v>
                </c:pt>
                <c:pt idx="8">
                  <c:v>CONALFA</c:v>
                </c:pt>
                <c:pt idx="9">
                  <c:v>ALMG</c:v>
                </c:pt>
                <c:pt idx="10">
                  <c:v>CONADI</c:v>
                </c:pt>
                <c:pt idx="11">
                  <c:v>IGM</c:v>
                </c:pt>
                <c:pt idx="12">
                  <c:v>INACIF</c:v>
                </c:pt>
                <c:pt idx="13">
                  <c:v>CDAG</c:v>
                </c:pt>
                <c:pt idx="14">
                  <c:v>IDPP</c:v>
                </c:pt>
                <c:pt idx="15">
                  <c:v>FHA</c:v>
                </c:pt>
                <c:pt idx="16">
                  <c:v>IGSS</c:v>
                </c:pt>
                <c:pt idx="17">
                  <c:v>CONADER</c:v>
                </c:pt>
                <c:pt idx="18">
                  <c:v>OJ</c:v>
                </c:pt>
              </c:strCache>
            </c:strRef>
          </c:cat>
          <c:val>
            <c:numRef>
              <c:f>'Entidades Descentralizadas'!$D$23:$D$41</c:f>
              <c:numCache>
                <c:formatCode>0.00%</c:formatCode>
                <c:ptCount val="19"/>
                <c:pt idx="0">
                  <c:v>0.95403093950446483</c:v>
                </c:pt>
                <c:pt idx="1">
                  <c:v>0.93864829396325455</c:v>
                </c:pt>
                <c:pt idx="2">
                  <c:v>0.93378752997335968</c:v>
                </c:pt>
                <c:pt idx="3">
                  <c:v>0.93127659887359493</c:v>
                </c:pt>
                <c:pt idx="4">
                  <c:v>0.9274</c:v>
                </c:pt>
                <c:pt idx="5">
                  <c:v>0.91440422322775261</c:v>
                </c:pt>
                <c:pt idx="6">
                  <c:v>0.9</c:v>
                </c:pt>
                <c:pt idx="7">
                  <c:v>0.8722172862140658</c:v>
                </c:pt>
                <c:pt idx="8">
                  <c:v>0.87210343784285116</c:v>
                </c:pt>
                <c:pt idx="9">
                  <c:v>0.86215694674727317</c:v>
                </c:pt>
                <c:pt idx="10">
                  <c:v>0.85688025889967634</c:v>
                </c:pt>
                <c:pt idx="11">
                  <c:v>0.84898705494871807</c:v>
                </c:pt>
                <c:pt idx="12">
                  <c:v>0.83573015227257841</c:v>
                </c:pt>
                <c:pt idx="13">
                  <c:v>0.81602206127653698</c:v>
                </c:pt>
                <c:pt idx="14">
                  <c:v>0.74739032654286097</c:v>
                </c:pt>
                <c:pt idx="15">
                  <c:v>0.70951650063643434</c:v>
                </c:pt>
                <c:pt idx="16">
                  <c:v>0.64929999999999999</c:v>
                </c:pt>
                <c:pt idx="17">
                  <c:v>0.42226890756302521</c:v>
                </c:pt>
                <c:pt idx="18">
                  <c:v>0.22910758809020476</c:v>
                </c:pt>
              </c:numCache>
            </c:numRef>
          </c:val>
          <c:extLst>
            <c:ext xmlns:c16="http://schemas.microsoft.com/office/drawing/2014/chart" uri="{C3380CC4-5D6E-409C-BE32-E72D297353CC}">
              <c16:uniqueId val="{00000000-6E38-47A7-AF1D-6B6201B30179}"/>
            </c:ext>
          </c:extLst>
        </c:ser>
        <c:ser>
          <c:idx val="1"/>
          <c:order val="1"/>
          <c:tx>
            <c:strRef>
              <c:f>'Entidades Descentralizadas'!$E$2</c:f>
              <c:strCache>
                <c:ptCount val="1"/>
                <c:pt idx="0">
                  <c:v>% ejecución meta financiera</c:v>
                </c:pt>
              </c:strCache>
            </c:strRef>
          </c:tx>
          <c:spPr>
            <a:solidFill>
              <a:schemeClr val="accent1">
                <a:lumMod val="50000"/>
              </a:schemeClr>
            </a:solidFill>
            <a:ln>
              <a:noFill/>
            </a:ln>
            <a:effectLst/>
          </c:spPr>
          <c:invertIfNegative val="0"/>
          <c:cat>
            <c:strRef>
              <c:f>'Entidades Descentralizadas'!$A$23:$A$41</c:f>
              <c:strCache>
                <c:ptCount val="19"/>
                <c:pt idx="0">
                  <c:v>IPM</c:v>
                </c:pt>
                <c:pt idx="1">
                  <c:v>COPEREX</c:v>
                </c:pt>
                <c:pt idx="2">
                  <c:v>FONTIERRAS</c:v>
                </c:pt>
                <c:pt idx="3">
                  <c:v>PDH</c:v>
                </c:pt>
                <c:pt idx="4">
                  <c:v>SRP</c:v>
                </c:pt>
                <c:pt idx="5">
                  <c:v>INGECOP</c:v>
                </c:pt>
                <c:pt idx="6">
                  <c:v>INE</c:v>
                </c:pt>
                <c:pt idx="7">
                  <c:v>INFOM</c:v>
                </c:pt>
                <c:pt idx="8">
                  <c:v>CONALFA</c:v>
                </c:pt>
                <c:pt idx="9">
                  <c:v>ALMG</c:v>
                </c:pt>
                <c:pt idx="10">
                  <c:v>CONADI</c:v>
                </c:pt>
                <c:pt idx="11">
                  <c:v>IGM</c:v>
                </c:pt>
                <c:pt idx="12">
                  <c:v>INACIF</c:v>
                </c:pt>
                <c:pt idx="13">
                  <c:v>CDAG</c:v>
                </c:pt>
                <c:pt idx="14">
                  <c:v>IDPP</c:v>
                </c:pt>
                <c:pt idx="15">
                  <c:v>FHA</c:v>
                </c:pt>
                <c:pt idx="16">
                  <c:v>IGSS</c:v>
                </c:pt>
                <c:pt idx="17">
                  <c:v>CONADER</c:v>
                </c:pt>
                <c:pt idx="18">
                  <c:v>OJ</c:v>
                </c:pt>
              </c:strCache>
            </c:strRef>
          </c:cat>
          <c:val>
            <c:numRef>
              <c:f>'Entidades Descentralizadas'!$E$23:$E$41</c:f>
              <c:numCache>
                <c:formatCode>0.00%</c:formatCode>
                <c:ptCount val="19"/>
                <c:pt idx="0">
                  <c:v>0.89308874352422463</c:v>
                </c:pt>
                <c:pt idx="1">
                  <c:v>0.12017821418849933</c:v>
                </c:pt>
                <c:pt idx="2">
                  <c:v>0.62252777360143086</c:v>
                </c:pt>
                <c:pt idx="3">
                  <c:v>0.97408764248877078</c:v>
                </c:pt>
                <c:pt idx="4">
                  <c:v>0.80465647135527985</c:v>
                </c:pt>
                <c:pt idx="5">
                  <c:v>0.82868088940761431</c:v>
                </c:pt>
                <c:pt idx="6">
                  <c:v>0.90623730931118862</c:v>
                </c:pt>
                <c:pt idx="7">
                  <c:v>0.73571155634623786</c:v>
                </c:pt>
                <c:pt idx="8">
                  <c:v>0.9546120512182048</c:v>
                </c:pt>
                <c:pt idx="9">
                  <c:v>0.83409099356569949</c:v>
                </c:pt>
                <c:pt idx="10">
                  <c:v>0.54644173821886333</c:v>
                </c:pt>
                <c:pt idx="11">
                  <c:v>0.82002741484398678</c:v>
                </c:pt>
                <c:pt idx="12">
                  <c:v>0.8734080122204797</c:v>
                </c:pt>
                <c:pt idx="13">
                  <c:v>0.8608458123375845</c:v>
                </c:pt>
                <c:pt idx="14">
                  <c:v>0.92546258255904701</c:v>
                </c:pt>
                <c:pt idx="15">
                  <c:v>0.83938002761925357</c:v>
                </c:pt>
                <c:pt idx="16">
                  <c:v>0.91952150945898914</c:v>
                </c:pt>
                <c:pt idx="17">
                  <c:v>0.10815441187120456</c:v>
                </c:pt>
                <c:pt idx="18">
                  <c:v>0</c:v>
                </c:pt>
              </c:numCache>
            </c:numRef>
          </c:val>
          <c:extLst>
            <c:ext xmlns:c16="http://schemas.microsoft.com/office/drawing/2014/chart" uri="{C3380CC4-5D6E-409C-BE32-E72D297353CC}">
              <c16:uniqueId val="{00000001-6E38-47A7-AF1D-6B6201B30179}"/>
            </c:ext>
          </c:extLst>
        </c:ser>
        <c:dLbls>
          <c:showLegendKey val="0"/>
          <c:showVal val="0"/>
          <c:showCatName val="0"/>
          <c:showSerName val="0"/>
          <c:showPercent val="0"/>
          <c:showBubbleSize val="0"/>
        </c:dLbls>
        <c:gapWidth val="100"/>
        <c:axId val="1597085552"/>
        <c:axId val="1657831952"/>
      </c:barChart>
      <c:catAx>
        <c:axId val="159708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300" b="0" i="0" u="none" strike="noStrike" kern="1200" baseline="0">
                <a:solidFill>
                  <a:schemeClr val="tx1">
                    <a:lumMod val="65000"/>
                    <a:lumOff val="35000"/>
                  </a:schemeClr>
                </a:solidFill>
                <a:latin typeface="+mn-lt"/>
                <a:ea typeface="+mn-ea"/>
                <a:cs typeface="+mn-cs"/>
              </a:defRPr>
            </a:pPr>
            <a:endParaRPr lang="es-GT"/>
          </a:p>
        </c:txPr>
        <c:crossAx val="1657831952"/>
        <c:crosses val="autoZero"/>
        <c:auto val="1"/>
        <c:lblAlgn val="ctr"/>
        <c:lblOffset val="100"/>
        <c:noMultiLvlLbl val="0"/>
      </c:catAx>
      <c:valAx>
        <c:axId val="1657831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1597085552"/>
        <c:crosses val="autoZero"/>
        <c:crossBetween val="between"/>
        <c:majorUnit val="0.2"/>
      </c:valAx>
      <c:spPr>
        <a:noFill/>
        <a:ln>
          <a:noFill/>
        </a:ln>
        <a:effectLst/>
      </c:spPr>
    </c:plotArea>
    <c:legend>
      <c:legendPos val="b"/>
      <c:layout>
        <c:manualLayout>
          <c:xMode val="edge"/>
          <c:yMode val="edge"/>
          <c:x val="0.18314598307091617"/>
          <c:y val="0.87669747129216657"/>
          <c:w val="0.63370783367980876"/>
          <c:h val="9.96758305389026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1168671835771"/>
          <c:y val="7.7494670349184447E-2"/>
          <c:w val="0.86157065835446012"/>
          <c:h val="0.61854837993017597"/>
        </c:manualLayout>
      </c:layout>
      <c:barChart>
        <c:barDir val="col"/>
        <c:grouping val="clustered"/>
        <c:varyColors val="0"/>
        <c:ser>
          <c:idx val="0"/>
          <c:order val="0"/>
          <c:tx>
            <c:strRef>
              <c:f>Federaciones!$D$2</c:f>
              <c:strCache>
                <c:ptCount val="1"/>
                <c:pt idx="0">
                  <c:v>% ejecución meta física</c:v>
                </c:pt>
              </c:strCache>
            </c:strRef>
          </c:tx>
          <c:spPr>
            <a:solidFill>
              <a:srgbClr val="00B050"/>
            </a:solidFill>
            <a:ln>
              <a:noFill/>
            </a:ln>
            <a:effectLst/>
          </c:spPr>
          <c:invertIfNegative val="0"/>
          <c:cat>
            <c:strRef>
              <c:f>Federaciones!$A$3:$A$22</c:f>
              <c:strCache>
                <c:ptCount val="20"/>
                <c:pt idx="0">
                  <c:v>F. N.  DE AJEDREZ</c:v>
                </c:pt>
                <c:pt idx="1">
                  <c:v>F. N.  DE BALONCESTO</c:v>
                </c:pt>
                <c:pt idx="2">
                  <c:v>F. N.  DE BOXEO</c:v>
                </c:pt>
                <c:pt idx="3">
                  <c:v>F. N.  DE ESGRIMA</c:v>
                </c:pt>
                <c:pt idx="4">
                  <c:v>F. N.  DE LEVANTAMIENTO DE POTENCIA</c:v>
                </c:pt>
                <c:pt idx="5">
                  <c:v>F. N.  DE PATINAJE SOBRE RUEDAS</c:v>
                </c:pt>
                <c:pt idx="6">
                  <c:v>F. N.  DE BOLICHE</c:v>
                </c:pt>
                <c:pt idx="7">
                  <c:v>F. N.  DE LUCHAS</c:v>
                </c:pt>
                <c:pt idx="8">
                  <c:v>F. N.  DE FUTBOL</c:v>
                </c:pt>
                <c:pt idx="9">
                  <c:v>F. N.  DE ATLETISMO</c:v>
                </c:pt>
                <c:pt idx="10">
                  <c:v>F. N.  DE FISICOCULTURISMO</c:v>
                </c:pt>
                <c:pt idx="11">
                  <c:v>F. N.  DE REMO Y CANOTAJE</c:v>
                </c:pt>
                <c:pt idx="12">
                  <c:v>F. N.  DE TAE KWON DO</c:v>
                </c:pt>
                <c:pt idx="13">
                  <c:v>F. N.  DE CICLISMO</c:v>
                </c:pt>
                <c:pt idx="14">
                  <c:v>F. N.  DE LEVANTAMIENTO DE PESAS</c:v>
                </c:pt>
                <c:pt idx="15">
                  <c:v>F. N.  DE TRIATLON</c:v>
                </c:pt>
                <c:pt idx="16">
                  <c:v>F. N.  DE JUDO</c:v>
                </c:pt>
                <c:pt idx="17">
                  <c:v>F. N.  DE MOTOCICLISMO</c:v>
                </c:pt>
                <c:pt idx="18">
                  <c:v>F. N.  DE TIRO DEPORTIVO</c:v>
                </c:pt>
                <c:pt idx="19">
                  <c:v>F. N.  DE VOLEIBOL</c:v>
                </c:pt>
              </c:strCache>
            </c:strRef>
          </c:cat>
          <c:val>
            <c:numRef>
              <c:f>Federaciones!$D$3:$D$22</c:f>
              <c:numCache>
                <c:formatCode>0.00%</c:formatCode>
                <c:ptCount val="20"/>
                <c:pt idx="0">
                  <c:v>1</c:v>
                </c:pt>
                <c:pt idx="1">
                  <c:v>1</c:v>
                </c:pt>
                <c:pt idx="2">
                  <c:v>1</c:v>
                </c:pt>
                <c:pt idx="3">
                  <c:v>1</c:v>
                </c:pt>
                <c:pt idx="4">
                  <c:v>1</c:v>
                </c:pt>
                <c:pt idx="5">
                  <c:v>1</c:v>
                </c:pt>
                <c:pt idx="6">
                  <c:v>0.99038461538461542</c:v>
                </c:pt>
                <c:pt idx="7">
                  <c:v>0.95371657186104564</c:v>
                </c:pt>
                <c:pt idx="8">
                  <c:v>0.95230000000000004</c:v>
                </c:pt>
                <c:pt idx="9">
                  <c:v>0.93676038697417296</c:v>
                </c:pt>
                <c:pt idx="10">
                  <c:v>0.92730000000000001</c:v>
                </c:pt>
                <c:pt idx="11">
                  <c:v>0.87799315849486892</c:v>
                </c:pt>
                <c:pt idx="12">
                  <c:v>0.85406698564593309</c:v>
                </c:pt>
                <c:pt idx="13">
                  <c:v>0.83333333333333326</c:v>
                </c:pt>
                <c:pt idx="14">
                  <c:v>0.8</c:v>
                </c:pt>
                <c:pt idx="15">
                  <c:v>0.75</c:v>
                </c:pt>
                <c:pt idx="16">
                  <c:v>0.66009576476935528</c:v>
                </c:pt>
                <c:pt idx="17">
                  <c:v>0.63539999999999996</c:v>
                </c:pt>
                <c:pt idx="18">
                  <c:v>0.61633473095737246</c:v>
                </c:pt>
                <c:pt idx="19">
                  <c:v>1.4005102040816324E-3</c:v>
                </c:pt>
              </c:numCache>
            </c:numRef>
          </c:val>
          <c:extLst>
            <c:ext xmlns:c16="http://schemas.microsoft.com/office/drawing/2014/chart" uri="{C3380CC4-5D6E-409C-BE32-E72D297353CC}">
              <c16:uniqueId val="{00000000-8583-4DBC-834C-7B0D62264CD7}"/>
            </c:ext>
          </c:extLst>
        </c:ser>
        <c:ser>
          <c:idx val="1"/>
          <c:order val="1"/>
          <c:tx>
            <c:strRef>
              <c:f>Federaciones!$E$2</c:f>
              <c:strCache>
                <c:ptCount val="1"/>
                <c:pt idx="0">
                  <c:v>% ejecución meta financiera</c:v>
                </c:pt>
              </c:strCache>
            </c:strRef>
          </c:tx>
          <c:spPr>
            <a:solidFill>
              <a:schemeClr val="accent1">
                <a:lumMod val="50000"/>
              </a:schemeClr>
            </a:solidFill>
            <a:ln>
              <a:noFill/>
            </a:ln>
            <a:effectLst/>
          </c:spPr>
          <c:invertIfNegative val="0"/>
          <c:cat>
            <c:strRef>
              <c:f>Federaciones!$A$3:$A$22</c:f>
              <c:strCache>
                <c:ptCount val="20"/>
                <c:pt idx="0">
                  <c:v>F. N.  DE AJEDREZ</c:v>
                </c:pt>
                <c:pt idx="1">
                  <c:v>F. N.  DE BALONCESTO</c:v>
                </c:pt>
                <c:pt idx="2">
                  <c:v>F. N.  DE BOXEO</c:v>
                </c:pt>
                <c:pt idx="3">
                  <c:v>F. N.  DE ESGRIMA</c:v>
                </c:pt>
                <c:pt idx="4">
                  <c:v>F. N.  DE LEVANTAMIENTO DE POTENCIA</c:v>
                </c:pt>
                <c:pt idx="5">
                  <c:v>F. N.  DE PATINAJE SOBRE RUEDAS</c:v>
                </c:pt>
                <c:pt idx="6">
                  <c:v>F. N.  DE BOLICHE</c:v>
                </c:pt>
                <c:pt idx="7">
                  <c:v>F. N.  DE LUCHAS</c:v>
                </c:pt>
                <c:pt idx="8">
                  <c:v>F. N.  DE FUTBOL</c:v>
                </c:pt>
                <c:pt idx="9">
                  <c:v>F. N.  DE ATLETISMO</c:v>
                </c:pt>
                <c:pt idx="10">
                  <c:v>F. N.  DE FISICOCULTURISMO</c:v>
                </c:pt>
                <c:pt idx="11">
                  <c:v>F. N.  DE REMO Y CANOTAJE</c:v>
                </c:pt>
                <c:pt idx="12">
                  <c:v>F. N.  DE TAE KWON DO</c:v>
                </c:pt>
                <c:pt idx="13">
                  <c:v>F. N.  DE CICLISMO</c:v>
                </c:pt>
                <c:pt idx="14">
                  <c:v>F. N.  DE LEVANTAMIENTO DE PESAS</c:v>
                </c:pt>
                <c:pt idx="15">
                  <c:v>F. N.  DE TRIATLON</c:v>
                </c:pt>
                <c:pt idx="16">
                  <c:v>F. N.  DE JUDO</c:v>
                </c:pt>
                <c:pt idx="17">
                  <c:v>F. N.  DE MOTOCICLISMO</c:v>
                </c:pt>
                <c:pt idx="18">
                  <c:v>F. N.  DE TIRO DEPORTIVO</c:v>
                </c:pt>
                <c:pt idx="19">
                  <c:v>F. N.  DE VOLEIBOL</c:v>
                </c:pt>
              </c:strCache>
            </c:strRef>
          </c:cat>
          <c:val>
            <c:numRef>
              <c:f>Federaciones!$E$3:$E$22</c:f>
              <c:numCache>
                <c:formatCode>0.00%</c:formatCode>
                <c:ptCount val="20"/>
                <c:pt idx="0">
                  <c:v>0.98742509494638786</c:v>
                </c:pt>
                <c:pt idx="1">
                  <c:v>0.94321325639707165</c:v>
                </c:pt>
                <c:pt idx="2">
                  <c:v>0.81423269043972368</c:v>
                </c:pt>
                <c:pt idx="3">
                  <c:v>0.52432287422491719</c:v>
                </c:pt>
                <c:pt idx="4">
                  <c:v>0.94840000000000002</c:v>
                </c:pt>
                <c:pt idx="5">
                  <c:v>0.96734580309790463</c:v>
                </c:pt>
                <c:pt idx="6">
                  <c:v>0.6707930768051712</c:v>
                </c:pt>
                <c:pt idx="7">
                  <c:v>0.91645251450357101</c:v>
                </c:pt>
                <c:pt idx="8">
                  <c:v>0.94374357373167861</c:v>
                </c:pt>
                <c:pt idx="9">
                  <c:v>0.67209002447924004</c:v>
                </c:pt>
                <c:pt idx="10">
                  <c:v>0.84239095921027229</c:v>
                </c:pt>
                <c:pt idx="11">
                  <c:v>0.91539285895618439</c:v>
                </c:pt>
                <c:pt idx="12">
                  <c:v>0.86858851654232705</c:v>
                </c:pt>
                <c:pt idx="13">
                  <c:v>0.53173205770915632</c:v>
                </c:pt>
                <c:pt idx="14">
                  <c:v>0.96072903445338409</c:v>
                </c:pt>
                <c:pt idx="15">
                  <c:v>0.72140248305574672</c:v>
                </c:pt>
                <c:pt idx="16">
                  <c:v>0.82813591337847237</c:v>
                </c:pt>
                <c:pt idx="17">
                  <c:v>0.54660933987970417</c:v>
                </c:pt>
                <c:pt idx="18">
                  <c:v>0.60266674102812934</c:v>
                </c:pt>
                <c:pt idx="19">
                  <c:v>0.25522204492753625</c:v>
                </c:pt>
              </c:numCache>
            </c:numRef>
          </c:val>
          <c:extLst>
            <c:ext xmlns:c16="http://schemas.microsoft.com/office/drawing/2014/chart" uri="{C3380CC4-5D6E-409C-BE32-E72D297353CC}">
              <c16:uniqueId val="{00000001-8583-4DBC-834C-7B0D62264CD7}"/>
            </c:ext>
          </c:extLst>
        </c:ser>
        <c:dLbls>
          <c:showLegendKey val="0"/>
          <c:showVal val="0"/>
          <c:showCatName val="0"/>
          <c:showSerName val="0"/>
          <c:showPercent val="0"/>
          <c:showBubbleSize val="0"/>
        </c:dLbls>
        <c:gapWidth val="100"/>
        <c:axId val="1597085552"/>
        <c:axId val="1657831952"/>
      </c:barChart>
      <c:catAx>
        <c:axId val="159708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300" b="0" i="0" u="none" strike="noStrike" kern="1200" baseline="0">
                <a:solidFill>
                  <a:schemeClr val="tx1">
                    <a:lumMod val="65000"/>
                    <a:lumOff val="35000"/>
                  </a:schemeClr>
                </a:solidFill>
                <a:latin typeface="+mn-lt"/>
                <a:ea typeface="+mn-ea"/>
                <a:cs typeface="+mn-cs"/>
              </a:defRPr>
            </a:pPr>
            <a:endParaRPr lang="es-GT"/>
          </a:p>
        </c:txPr>
        <c:crossAx val="1657831952"/>
        <c:crosses val="autoZero"/>
        <c:auto val="1"/>
        <c:lblAlgn val="ctr"/>
        <c:lblOffset val="100"/>
        <c:noMultiLvlLbl val="0"/>
      </c:catAx>
      <c:valAx>
        <c:axId val="1657831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GT"/>
          </a:p>
        </c:txPr>
        <c:crossAx val="15970855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1168671835771"/>
          <c:y val="9.6953087037042543E-2"/>
          <c:w val="0.86157065835446012"/>
          <c:h val="0.63411532270553617"/>
        </c:manualLayout>
      </c:layout>
      <c:barChart>
        <c:barDir val="col"/>
        <c:grouping val="clustered"/>
        <c:varyColors val="0"/>
        <c:ser>
          <c:idx val="0"/>
          <c:order val="0"/>
          <c:tx>
            <c:strRef>
              <c:f>Asociaciones!$D$2</c:f>
              <c:strCache>
                <c:ptCount val="1"/>
                <c:pt idx="0">
                  <c:v>% ejecución meta física</c:v>
                </c:pt>
              </c:strCache>
            </c:strRef>
          </c:tx>
          <c:spPr>
            <a:solidFill>
              <a:srgbClr val="00B050"/>
            </a:solidFill>
            <a:ln>
              <a:noFill/>
            </a:ln>
            <a:effectLst/>
          </c:spPr>
          <c:invertIfNegative val="0"/>
          <c:cat>
            <c:strRef>
              <c:f>Asociaciones!$A$3:$A$11</c:f>
              <c:strCache>
                <c:ptCount val="9"/>
                <c:pt idx="0">
                  <c:v>ASOCIACION DEPORTIVA NACIONAL DE TIRO CON ARCO</c:v>
                </c:pt>
                <c:pt idx="1">
                  <c:v>ASOCIACION NACIONAL DE RAQUETBOL</c:v>
                </c:pt>
                <c:pt idx="2">
                  <c:v>ASOCIACION NACIONAL DE VUELO LIBRE</c:v>
                </c:pt>
                <c:pt idx="3">
                  <c:v>ASOCIACION DEPORTIVA NACIONAL HOCKEY</c:v>
                </c:pt>
                <c:pt idx="4">
                  <c:v>ASOCIACION NACIONAL DE BILLAR</c:v>
                </c:pt>
                <c:pt idx="5">
                  <c:v>ASOCIACION NACIONAL DE ECUESTRES</c:v>
                </c:pt>
                <c:pt idx="6">
                  <c:v>ASOCIACION GUATEMALTECA DE RUGBY</c:v>
                </c:pt>
                <c:pt idx="7">
                  <c:v>ASOCIACION DE PENTATLON MODERNO</c:v>
                </c:pt>
                <c:pt idx="8">
                  <c:v>ASOCIACION NACIONAL DE NAVEGACION A VELA</c:v>
                </c:pt>
              </c:strCache>
            </c:strRef>
          </c:cat>
          <c:val>
            <c:numRef>
              <c:f>Asociaciones!$D$3:$D$11</c:f>
              <c:numCache>
                <c:formatCode>0.00%</c:formatCode>
                <c:ptCount val="9"/>
                <c:pt idx="0">
                  <c:v>1</c:v>
                </c:pt>
                <c:pt idx="1">
                  <c:v>1</c:v>
                </c:pt>
                <c:pt idx="2">
                  <c:v>1</c:v>
                </c:pt>
                <c:pt idx="3">
                  <c:v>1</c:v>
                </c:pt>
                <c:pt idx="4">
                  <c:v>0.98181818181818181</c:v>
                </c:pt>
                <c:pt idx="5">
                  <c:v>0.71733255968169751</c:v>
                </c:pt>
                <c:pt idx="6">
                  <c:v>0.65847816399286985</c:v>
                </c:pt>
                <c:pt idx="7">
                  <c:v>0.63888888888888884</c:v>
                </c:pt>
                <c:pt idx="8">
                  <c:v>0.34453781512605042</c:v>
                </c:pt>
              </c:numCache>
            </c:numRef>
          </c:val>
          <c:extLst>
            <c:ext xmlns:c16="http://schemas.microsoft.com/office/drawing/2014/chart" uri="{C3380CC4-5D6E-409C-BE32-E72D297353CC}">
              <c16:uniqueId val="{00000000-8409-440E-A25C-63C3C13DC979}"/>
            </c:ext>
          </c:extLst>
        </c:ser>
        <c:ser>
          <c:idx val="1"/>
          <c:order val="1"/>
          <c:tx>
            <c:strRef>
              <c:f>Asociaciones!$E$2</c:f>
              <c:strCache>
                <c:ptCount val="1"/>
                <c:pt idx="0">
                  <c:v>% ejecución meta financiera</c:v>
                </c:pt>
              </c:strCache>
            </c:strRef>
          </c:tx>
          <c:spPr>
            <a:solidFill>
              <a:schemeClr val="accent1">
                <a:lumMod val="50000"/>
              </a:schemeClr>
            </a:solidFill>
            <a:ln>
              <a:noFill/>
            </a:ln>
            <a:effectLst/>
          </c:spPr>
          <c:invertIfNegative val="0"/>
          <c:cat>
            <c:strRef>
              <c:f>Asociaciones!$A$3:$A$11</c:f>
              <c:strCache>
                <c:ptCount val="9"/>
                <c:pt idx="0">
                  <c:v>ASOCIACION DEPORTIVA NACIONAL DE TIRO CON ARCO</c:v>
                </c:pt>
                <c:pt idx="1">
                  <c:v>ASOCIACION NACIONAL DE RAQUETBOL</c:v>
                </c:pt>
                <c:pt idx="2">
                  <c:v>ASOCIACION NACIONAL DE VUELO LIBRE</c:v>
                </c:pt>
                <c:pt idx="3">
                  <c:v>ASOCIACION DEPORTIVA NACIONAL HOCKEY</c:v>
                </c:pt>
                <c:pt idx="4">
                  <c:v>ASOCIACION NACIONAL DE BILLAR</c:v>
                </c:pt>
                <c:pt idx="5">
                  <c:v>ASOCIACION NACIONAL DE ECUESTRES</c:v>
                </c:pt>
                <c:pt idx="6">
                  <c:v>ASOCIACION GUATEMALTECA DE RUGBY</c:v>
                </c:pt>
                <c:pt idx="7">
                  <c:v>ASOCIACION DE PENTATLON MODERNO</c:v>
                </c:pt>
                <c:pt idx="8">
                  <c:v>ASOCIACION NACIONAL DE NAVEGACION A VELA</c:v>
                </c:pt>
              </c:strCache>
            </c:strRef>
          </c:cat>
          <c:val>
            <c:numRef>
              <c:f>Asociaciones!$E$3:$E$11</c:f>
              <c:numCache>
                <c:formatCode>0.00%</c:formatCode>
                <c:ptCount val="9"/>
                <c:pt idx="0">
                  <c:v>0.70067711222441209</c:v>
                </c:pt>
                <c:pt idx="1">
                  <c:v>0</c:v>
                </c:pt>
                <c:pt idx="2">
                  <c:v>0.9620475751196369</c:v>
                </c:pt>
                <c:pt idx="3">
                  <c:v>0.33333013333333333</c:v>
                </c:pt>
                <c:pt idx="4">
                  <c:v>0.80013720461945204</c:v>
                </c:pt>
                <c:pt idx="5">
                  <c:v>0.70796864506158952</c:v>
                </c:pt>
                <c:pt idx="6">
                  <c:v>0.69812259991466363</c:v>
                </c:pt>
                <c:pt idx="7">
                  <c:v>0.28181411045943305</c:v>
                </c:pt>
                <c:pt idx="8">
                  <c:v>0.37895027038235685</c:v>
                </c:pt>
              </c:numCache>
            </c:numRef>
          </c:val>
          <c:extLst>
            <c:ext xmlns:c16="http://schemas.microsoft.com/office/drawing/2014/chart" uri="{C3380CC4-5D6E-409C-BE32-E72D297353CC}">
              <c16:uniqueId val="{00000001-8409-440E-A25C-63C3C13DC979}"/>
            </c:ext>
          </c:extLst>
        </c:ser>
        <c:dLbls>
          <c:showLegendKey val="0"/>
          <c:showVal val="0"/>
          <c:showCatName val="0"/>
          <c:showSerName val="0"/>
          <c:showPercent val="0"/>
          <c:showBubbleSize val="0"/>
        </c:dLbls>
        <c:gapWidth val="100"/>
        <c:axId val="1597085552"/>
        <c:axId val="1657831952"/>
      </c:barChart>
      <c:catAx>
        <c:axId val="159708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s-GT"/>
          </a:p>
        </c:txPr>
        <c:crossAx val="1657831952"/>
        <c:crosses val="autoZero"/>
        <c:auto val="1"/>
        <c:lblAlgn val="ctr"/>
        <c:lblOffset val="100"/>
        <c:noMultiLvlLbl val="0"/>
      </c:catAx>
      <c:valAx>
        <c:axId val="1657831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15970855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fld id="{B6B75350-C48E-4734-8495-349FC0662320}" type="VALUE">
                  <a:rPr lang="en-US" b="1"/>
                  <a:pPr>
                    <a:defRPr sz="1000" b="1" i="0" u="none" strike="noStrike" kern="1200" baseline="0">
                      <a:solidFill>
                        <a:schemeClr val="dk1">
                          <a:lumMod val="75000"/>
                          <a:lumOff val="25000"/>
                        </a:schemeClr>
                      </a:solidFill>
                      <a:latin typeface="+mn-lt"/>
                      <a:ea typeface="+mn-ea"/>
                      <a:cs typeface="+mn-cs"/>
                    </a:defRPr>
                  </a:pPr>
                  <a:t>[VALOR]</a:t>
                </a:fld>
                <a:endParaRPr lang="en-US" b="1"/>
              </a:p>
              <a:p>
                <a:pPr>
                  <a:defRPr sz="1000" b="1" i="0" u="none" strike="noStrike" kern="1200" baseline="0">
                    <a:solidFill>
                      <a:schemeClr val="dk1">
                        <a:lumMod val="75000"/>
                        <a:lumOff val="25000"/>
                      </a:schemeClr>
                    </a:solidFill>
                    <a:latin typeface="+mn-lt"/>
                    <a:ea typeface="+mn-ea"/>
                    <a:cs typeface="+mn-cs"/>
                  </a:defRPr>
                </a:pPr>
                <a:r>
                  <a:rPr lang="en-US" b="1"/>
                  <a:t>39.99%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
          <c:idx val="0"/>
          <c:layout>
            <c:manualLayout>
              <c:x val="-7.4264000628028529E-3"/>
              <c:y val="-4.599161359222386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fld id="{F73D6F58-C149-41B1-B9E6-59BF70300EB4}" type="VALUE">
                  <a:rPr lang="en-US" b="1"/>
                  <a:pPr>
                    <a:defRPr sz="1000" b="1" i="0" u="none" strike="noStrike" kern="1200" baseline="0">
                      <a:solidFill>
                        <a:schemeClr val="dk1">
                          <a:lumMod val="75000"/>
                          <a:lumOff val="25000"/>
                        </a:schemeClr>
                      </a:solidFill>
                      <a:latin typeface="+mn-lt"/>
                      <a:ea typeface="+mn-ea"/>
                      <a:cs typeface="+mn-cs"/>
                    </a:defRPr>
                  </a:pPr>
                  <a:t>[VALOR]</a:t>
                </a:fld>
                <a:endParaRPr lang="en-US" b="1"/>
              </a:p>
              <a:p>
                <a:pPr>
                  <a:defRPr sz="1000" b="1" i="0" u="none" strike="noStrike" kern="1200" baseline="0">
                    <a:solidFill>
                      <a:schemeClr val="dk1">
                        <a:lumMod val="75000"/>
                        <a:lumOff val="25000"/>
                      </a:schemeClr>
                    </a:solidFill>
                    <a:latin typeface="+mn-lt"/>
                    <a:ea typeface="+mn-ea"/>
                    <a:cs typeface="+mn-cs"/>
                  </a:defRPr>
                </a:pPr>
                <a:r>
                  <a:rPr lang="en-US" b="1"/>
                  <a:t>44.02%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3"/>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
          <c:idx val="0"/>
          <c:layout>
            <c:manualLayout>
              <c:x val="-1.5285592593832492E-2"/>
              <c:y val="-1.759913595056020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fld id="{E81D1E84-A46D-43D0-9919-DB354089605E}" type="VALUE">
                  <a:rPr lang="en-US" b="1"/>
                  <a:pPr>
                    <a:defRPr sz="1000" b="1" i="0" u="none" strike="noStrike" kern="1200" baseline="0">
                      <a:solidFill>
                        <a:schemeClr val="dk1">
                          <a:lumMod val="75000"/>
                          <a:lumOff val="25000"/>
                        </a:schemeClr>
                      </a:solidFill>
                      <a:latin typeface="+mn-lt"/>
                      <a:ea typeface="+mn-ea"/>
                      <a:cs typeface="+mn-cs"/>
                    </a:defRPr>
                  </a:pPr>
                  <a:t>[VALOR]</a:t>
                </a:fld>
                <a:endParaRPr lang="en-US" b="1"/>
              </a:p>
              <a:p>
                <a:pPr>
                  <a:defRPr sz="1000" b="1" i="0" u="none" strike="noStrike" kern="1200" baseline="0">
                    <a:solidFill>
                      <a:schemeClr val="dk1">
                        <a:lumMod val="75000"/>
                        <a:lumOff val="25000"/>
                      </a:schemeClr>
                    </a:solidFill>
                    <a:latin typeface="+mn-lt"/>
                    <a:ea typeface="+mn-ea"/>
                    <a:cs typeface="+mn-cs"/>
                  </a:defRPr>
                </a:pPr>
                <a:r>
                  <a:rPr lang="en-US" b="1"/>
                  <a:t>47.09%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layout>
                <c:manualLayout>
                  <c:w val="0.15955206981816217"/>
                  <c:h val="0.15278234582627215"/>
                </c:manualLayout>
              </c15:layout>
              <c15:dlblFieldTable/>
              <c15:showDataLabelsRange val="0"/>
            </c:ext>
          </c:extLst>
        </c:dLbl>
      </c:pivotFmt>
      <c:pivotFmt>
        <c:idx val="4"/>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
          <c:idx val="0"/>
          <c:layout>
            <c:manualLayout>
              <c:x val="-2.5992400219809884E-2"/>
              <c:y val="-3.67932908737791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fld id="{4EAAB030-CFC5-4029-98B7-8F3E5B16DF22}" type="VALUE">
                  <a:rPr lang="en-US" b="1"/>
                  <a:pPr>
                    <a:defRPr sz="1000" b="1" i="0" u="none" strike="noStrike" kern="1200" baseline="0">
                      <a:solidFill>
                        <a:schemeClr val="dk1">
                          <a:lumMod val="75000"/>
                          <a:lumOff val="25000"/>
                        </a:schemeClr>
                      </a:solidFill>
                      <a:latin typeface="+mn-lt"/>
                      <a:ea typeface="+mn-ea"/>
                      <a:cs typeface="+mn-cs"/>
                    </a:defRPr>
                  </a:pPr>
                  <a:t>[VALOR]</a:t>
                </a:fld>
                <a:endParaRPr lang="en-US" b="1"/>
              </a:p>
              <a:p>
                <a:pPr>
                  <a:defRPr sz="1000" b="1" i="0" u="none" strike="noStrike" kern="1200" baseline="0">
                    <a:solidFill>
                      <a:schemeClr val="dk1">
                        <a:lumMod val="75000"/>
                        <a:lumOff val="25000"/>
                      </a:schemeClr>
                    </a:solidFill>
                    <a:latin typeface="+mn-lt"/>
                    <a:ea typeface="+mn-ea"/>
                    <a:cs typeface="+mn-cs"/>
                  </a:defRPr>
                </a:pPr>
                <a:r>
                  <a:rPr lang="en-US" b="1"/>
                  <a:t>44.66%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5"/>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fld id="{B6B75350-C48E-4734-8495-349FC0662320}" type="VALUE">
                  <a:rPr lang="en-US" b="1"/>
                  <a:pPr>
                    <a:defRPr sz="1000" b="1" i="0" u="none" strike="noStrike" kern="1200" baseline="0">
                      <a:solidFill>
                        <a:schemeClr val="dk1">
                          <a:lumMod val="75000"/>
                          <a:lumOff val="25000"/>
                        </a:schemeClr>
                      </a:solidFill>
                      <a:latin typeface="+mn-lt"/>
                      <a:ea typeface="+mn-ea"/>
                      <a:cs typeface="+mn-cs"/>
                    </a:defRPr>
                  </a:pPr>
                  <a:t>[VALOR]</a:t>
                </a:fld>
                <a:endParaRPr lang="en-US" b="1"/>
              </a:p>
              <a:p>
                <a:pPr>
                  <a:defRPr sz="1000" b="1" i="0" u="none" strike="noStrike" kern="1200" baseline="0">
                    <a:solidFill>
                      <a:schemeClr val="dk1">
                        <a:lumMod val="75000"/>
                        <a:lumOff val="25000"/>
                      </a:schemeClr>
                    </a:solidFill>
                    <a:latin typeface="+mn-lt"/>
                    <a:ea typeface="+mn-ea"/>
                    <a:cs typeface="+mn-cs"/>
                  </a:defRPr>
                </a:pPr>
                <a:r>
                  <a:rPr lang="en-US" b="1"/>
                  <a:t>39.99%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2"/>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
          <c:idx val="0"/>
          <c:layout>
            <c:manualLayout>
              <c:x val="-7.4264000628028529E-3"/>
              <c:y val="-4.599161359222386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fld id="{F73D6F58-C149-41B1-B9E6-59BF70300EB4}" type="VALUE">
                  <a:rPr lang="en-US" b="1"/>
                  <a:pPr>
                    <a:defRPr sz="1000" b="1" i="0" u="none" strike="noStrike" kern="1200" baseline="0">
                      <a:solidFill>
                        <a:schemeClr val="dk1">
                          <a:lumMod val="75000"/>
                          <a:lumOff val="25000"/>
                        </a:schemeClr>
                      </a:solidFill>
                      <a:latin typeface="+mn-lt"/>
                      <a:ea typeface="+mn-ea"/>
                      <a:cs typeface="+mn-cs"/>
                    </a:defRPr>
                  </a:pPr>
                  <a:t>[VALOR]</a:t>
                </a:fld>
                <a:endParaRPr lang="en-US" b="1"/>
              </a:p>
              <a:p>
                <a:pPr>
                  <a:defRPr sz="1000" b="1" i="0" u="none" strike="noStrike" kern="1200" baseline="0">
                    <a:solidFill>
                      <a:schemeClr val="dk1">
                        <a:lumMod val="75000"/>
                        <a:lumOff val="25000"/>
                      </a:schemeClr>
                    </a:solidFill>
                    <a:latin typeface="+mn-lt"/>
                    <a:ea typeface="+mn-ea"/>
                    <a:cs typeface="+mn-cs"/>
                  </a:defRPr>
                </a:pPr>
                <a:r>
                  <a:rPr lang="en-US" b="1"/>
                  <a:t>44.02%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3"/>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
          <c:idx val="0"/>
          <c:layout>
            <c:manualLayout>
              <c:x val="-2.5992400219809884E-2"/>
              <c:y val="-3.67932908737791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fld id="{4EAAB030-CFC5-4029-98B7-8F3E5B16DF22}" type="VALUE">
                  <a:rPr lang="en-US" b="1"/>
                  <a:pPr>
                    <a:defRPr sz="1000" b="1" i="0" u="none" strike="noStrike" kern="1200" baseline="0">
                      <a:solidFill>
                        <a:schemeClr val="dk1">
                          <a:lumMod val="75000"/>
                          <a:lumOff val="25000"/>
                        </a:schemeClr>
                      </a:solidFill>
                      <a:latin typeface="+mn-lt"/>
                      <a:ea typeface="+mn-ea"/>
                      <a:cs typeface="+mn-cs"/>
                    </a:defRPr>
                  </a:pPr>
                  <a:t>[VALOR]</a:t>
                </a:fld>
                <a:endParaRPr lang="en-US" b="1"/>
              </a:p>
              <a:p>
                <a:pPr>
                  <a:defRPr sz="1000" b="1" i="0" u="none" strike="noStrike" kern="1200" baseline="0">
                    <a:solidFill>
                      <a:schemeClr val="dk1">
                        <a:lumMod val="75000"/>
                        <a:lumOff val="25000"/>
                      </a:schemeClr>
                    </a:solidFill>
                    <a:latin typeface="+mn-lt"/>
                    <a:ea typeface="+mn-ea"/>
                    <a:cs typeface="+mn-cs"/>
                  </a:defRPr>
                </a:pPr>
                <a:r>
                  <a:rPr lang="en-US" b="1"/>
                  <a:t>44.66%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4"/>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
          <c:idx val="0"/>
          <c:layout>
            <c:manualLayout>
              <c:x val="-1.5285592593832492E-2"/>
              <c:y val="-1.759913595056020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fld id="{E81D1E84-A46D-43D0-9919-DB354089605E}" type="VALUE">
                  <a:rPr lang="en-US" b="1"/>
                  <a:pPr>
                    <a:defRPr sz="1000" b="1" i="0" u="none" strike="noStrike" kern="1200" baseline="0">
                      <a:solidFill>
                        <a:schemeClr val="dk1">
                          <a:lumMod val="75000"/>
                          <a:lumOff val="25000"/>
                        </a:schemeClr>
                      </a:solidFill>
                      <a:latin typeface="+mn-lt"/>
                      <a:ea typeface="+mn-ea"/>
                      <a:cs typeface="+mn-cs"/>
                    </a:defRPr>
                  </a:pPr>
                  <a:t>[VALOR]</a:t>
                </a:fld>
                <a:endParaRPr lang="en-US" b="1"/>
              </a:p>
              <a:p>
                <a:pPr>
                  <a:defRPr sz="1000" b="1" i="0" u="none" strike="noStrike" kern="1200" baseline="0">
                    <a:solidFill>
                      <a:schemeClr val="dk1">
                        <a:lumMod val="75000"/>
                        <a:lumOff val="25000"/>
                      </a:schemeClr>
                    </a:solidFill>
                    <a:latin typeface="+mn-lt"/>
                    <a:ea typeface="+mn-ea"/>
                    <a:cs typeface="+mn-cs"/>
                  </a:defRPr>
                </a:pPr>
                <a:r>
                  <a:rPr lang="en-US" b="1"/>
                  <a:t>47.09%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extLst>
            <c:ext xmlns:c15="http://schemas.microsoft.com/office/drawing/2012/chart" uri="{CE6537A1-D6FC-4f65-9D91-7224C49458BB}">
              <c15:layout>
                <c:manualLayout>
                  <c:w val="0.15955206981816217"/>
                  <c:h val="0.15278234582627215"/>
                </c:manualLayout>
              </c15:layout>
              <c15:dlblFieldTable/>
              <c15:showDataLabelsRange val="0"/>
            </c:ext>
          </c:extLst>
        </c:dLbl>
      </c:pivotFmt>
    </c:pivotFmts>
    <c:view3D>
      <c:rotX val="15"/>
      <c:rotY val="20"/>
      <c:depthPercent val="100"/>
      <c:rAngAx val="1"/>
    </c:view3D>
    <c:floor>
      <c:thickness val="0"/>
      <c:spPr>
        <a:noFill/>
        <a:ln>
          <a:noFill/>
        </a:ln>
        <a:effectLst/>
        <a:sp3d/>
      </c:spPr>
    </c:floor>
    <c:sideWall>
      <c:thickness val="0"/>
      <c:spPr>
        <a:noFill/>
        <a:ln w="3175">
          <a:noFill/>
        </a:ln>
        <a:effectLst/>
        <a:sp3d/>
      </c:spPr>
    </c:sideWall>
    <c:backWall>
      <c:thickness val="0"/>
      <c:spPr>
        <a:noFill/>
        <a:ln w="3175">
          <a:noFill/>
        </a:ln>
        <a:effectLst/>
        <a:sp3d/>
      </c:spPr>
    </c:backWall>
    <c:plotArea>
      <c:layout>
        <c:manualLayout>
          <c:layoutTarget val="inner"/>
          <c:xMode val="edge"/>
          <c:yMode val="edge"/>
          <c:x val="0.11881293809718199"/>
          <c:y val="0.1192341061533975"/>
          <c:w val="0.88118706190281804"/>
          <c:h val="0.59894672010763994"/>
        </c:manualLayout>
      </c:layout>
      <c:bar3DChart>
        <c:barDir val="col"/>
        <c:grouping val="clustered"/>
        <c:varyColors val="0"/>
        <c:ser>
          <c:idx val="0"/>
          <c:order val="0"/>
          <c:tx>
            <c:strRef>
              <c:f>'1 Gráfica 1'!$C$3</c:f>
              <c:strCache>
                <c:ptCount val="1"/>
                <c:pt idx="0">
                  <c:v>Total</c:v>
                </c:pt>
              </c:strCache>
            </c:strRef>
          </c:tx>
          <c:spPr>
            <a:solidFill>
              <a:schemeClr val="accent1"/>
            </a:solidFill>
            <a:ln>
              <a:noFill/>
            </a:ln>
            <a:effectLst/>
            <a:sp3d/>
          </c:spPr>
          <c:invertIfNegative val="0"/>
          <c:dPt>
            <c:idx val="2"/>
            <c:invertIfNegative val="0"/>
            <c:bubble3D val="0"/>
            <c:extLst>
              <c:ext xmlns:c16="http://schemas.microsoft.com/office/drawing/2014/chart" uri="{C3380CC4-5D6E-409C-BE32-E72D297353CC}">
                <c16:uniqueId val="{00000000-0C94-4A6A-B3E4-1AF9E58CB138}"/>
              </c:ext>
            </c:extLst>
          </c:dPt>
          <c:dPt>
            <c:idx val="3"/>
            <c:invertIfNegative val="0"/>
            <c:bubble3D val="0"/>
            <c:extLst>
              <c:ext xmlns:c16="http://schemas.microsoft.com/office/drawing/2014/chart" uri="{C3380CC4-5D6E-409C-BE32-E72D297353CC}">
                <c16:uniqueId val="{00000001-0C94-4A6A-B3E4-1AF9E58CB138}"/>
              </c:ext>
            </c:extLst>
          </c:dPt>
          <c:dPt>
            <c:idx val="4"/>
            <c:invertIfNegative val="0"/>
            <c:bubble3D val="0"/>
            <c:extLst>
              <c:ext xmlns:c16="http://schemas.microsoft.com/office/drawing/2014/chart" uri="{C3380CC4-5D6E-409C-BE32-E72D297353CC}">
                <c16:uniqueId val="{00000002-0C94-4A6A-B3E4-1AF9E58CB138}"/>
              </c:ext>
            </c:extLst>
          </c:dPt>
          <c:dPt>
            <c:idx val="5"/>
            <c:invertIfNegative val="0"/>
            <c:bubble3D val="0"/>
            <c:extLst>
              <c:ext xmlns:c16="http://schemas.microsoft.com/office/drawing/2014/chart" uri="{C3380CC4-5D6E-409C-BE32-E72D297353CC}">
                <c16:uniqueId val="{00000003-0C94-4A6A-B3E4-1AF9E58CB138}"/>
              </c:ext>
            </c:extLst>
          </c:dPt>
          <c:dLbls>
            <c:dLbl>
              <c:idx val="0"/>
              <c:layout>
                <c:manualLayout>
                  <c:x val="1.6675772729267044E-2"/>
                  <c:y val="-2.7777777777777776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94-4A6A-B3E4-1AF9E58CB138}"/>
                </c:ext>
              </c:extLst>
            </c:dLbl>
            <c:dLbl>
              <c:idx val="1"/>
              <c:layout>
                <c:manualLayout>
                  <c:x val="1.9444481431381312E-2"/>
                  <c:y val="-3.2407407407407406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94-4A6A-B3E4-1AF9E58CB138}"/>
                </c:ext>
              </c:extLst>
            </c:dLbl>
            <c:dLbl>
              <c:idx val="2"/>
              <c:layout>
                <c:manualLayout>
                  <c:x val="1.6666768902894279E-2"/>
                  <c:y val="9.2592592592592587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fld id="{B6B75350-C48E-4734-8495-349FC0662320}" type="VALUE">
                      <a:rPr lang="en-US" b="0">
                        <a:solidFill>
                          <a:sysClr val="windowText" lastClr="000000"/>
                        </a:solidFill>
                        <a:latin typeface="Helvetica" panose="020B0604020202020204" pitchFamily="34" charset="0"/>
                        <a:cs typeface="Helvetica" panose="020B0604020202020204" pitchFamily="34" charset="0"/>
                      </a:rPr>
                      <a:pPr>
                        <a:defRPr>
                          <a:solidFill>
                            <a:sysClr val="windowText" lastClr="000000"/>
                          </a:solidFill>
                          <a:latin typeface="Helvetica" panose="020B0604020202020204" pitchFamily="34" charset="0"/>
                          <a:cs typeface="Helvetica" panose="020B0604020202020204" pitchFamily="34" charset="0"/>
                        </a:defRPr>
                      </a:pPr>
                      <a:t>[VALOR]</a:t>
                    </a:fld>
                    <a:endParaRPr lang="en-US" b="0">
                      <a:solidFill>
                        <a:sysClr val="windowText" lastClr="000000"/>
                      </a:solidFill>
                      <a:latin typeface="Helvetica" panose="020B0604020202020204" pitchFamily="34" charset="0"/>
                      <a:cs typeface="Helvetica" panose="020B0604020202020204" pitchFamily="34" charset="0"/>
                    </a:endParaRPr>
                  </a:p>
                  <a:p>
                    <a:pPr>
                      <a:defRPr>
                        <a:solidFill>
                          <a:sysClr val="windowText" lastClr="000000"/>
                        </a:solidFill>
                        <a:latin typeface="Helvetica" panose="020B0604020202020204" pitchFamily="34" charset="0"/>
                        <a:cs typeface="Helvetica" panose="020B0604020202020204" pitchFamily="34" charset="0"/>
                      </a:defRPr>
                    </a:pPr>
                    <a:endParaRPr lang="es-GT"/>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C94-4A6A-B3E4-1AF9E58CB138}"/>
                </c:ext>
              </c:extLst>
            </c:dLbl>
            <c:dLbl>
              <c:idx val="3"/>
              <c:layout>
                <c:manualLayout>
                  <c:x val="1.4795626859969083E-2"/>
                  <c:y val="-3.6732283464566931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fld id="{F73D6F58-C149-41B1-B9E6-59BF70300EB4}" type="VALUE">
                      <a:rPr lang="en-US" b="0">
                        <a:solidFill>
                          <a:sysClr val="windowText" lastClr="000000"/>
                        </a:solidFill>
                        <a:latin typeface="Helvetica" panose="020B0604020202020204" pitchFamily="34" charset="0"/>
                        <a:cs typeface="Helvetica" panose="020B0604020202020204" pitchFamily="34" charset="0"/>
                      </a:rPr>
                      <a:pPr>
                        <a:defRPr>
                          <a:solidFill>
                            <a:sysClr val="windowText" lastClr="000000"/>
                          </a:solidFill>
                          <a:latin typeface="Helvetica" panose="020B0604020202020204" pitchFamily="34" charset="0"/>
                          <a:cs typeface="Helvetica" panose="020B0604020202020204" pitchFamily="34" charset="0"/>
                        </a:defRPr>
                      </a:pPr>
                      <a:t>[VALOR]</a:t>
                    </a:fld>
                    <a:endParaRPr lang="es-GT"/>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C94-4A6A-B3E4-1AF9E58CB138}"/>
                </c:ext>
              </c:extLst>
            </c:dLbl>
            <c:dLbl>
              <c:idx val="4"/>
              <c:layout>
                <c:manualLayout>
                  <c:x val="-2.5992400219809884E-2"/>
                  <c:y val="-3.679329087377918E-2"/>
                </c:manualLayout>
              </c:layout>
              <c:tx>
                <c:rich>
                  <a:bodyPr/>
                  <a:lstStyle/>
                  <a:p>
                    <a:fld id="{4EAAB030-CFC5-4029-98B7-8F3E5B16DF22}" type="VALUE">
                      <a:rPr lang="en-US" b="1"/>
                      <a:pPr/>
                      <a:t>[VALOR]</a:t>
                    </a:fld>
                    <a:endParaRPr lang="en-US" b="1"/>
                  </a:p>
                  <a:p>
                    <a:r>
                      <a:rPr lang="en-US" b="1"/>
                      <a:t>44.66%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C94-4A6A-B3E4-1AF9E58CB138}"/>
                </c:ext>
              </c:extLst>
            </c:dLbl>
            <c:dLbl>
              <c:idx val="5"/>
              <c:layout>
                <c:manualLayout>
                  <c:x val="-1.5285592593832492E-2"/>
                  <c:y val="-1.7599135950560205E-2"/>
                </c:manualLayout>
              </c:layout>
              <c:tx>
                <c:rich>
                  <a:bodyPr/>
                  <a:lstStyle/>
                  <a:p>
                    <a:fld id="{E81D1E84-A46D-43D0-9919-DB354089605E}" type="VALUE">
                      <a:rPr lang="en-US" b="1"/>
                      <a:pPr/>
                      <a:t>[VALOR]</a:t>
                    </a:fld>
                    <a:endParaRPr lang="en-US" b="1"/>
                  </a:p>
                  <a:p>
                    <a:r>
                      <a:rPr lang="en-US" b="1"/>
                      <a:t>47.09%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C94-4A6A-B3E4-1AF9E58CB13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Gráfica 1'!$B$4:$B$7</c:f>
              <c:strCache>
                <c:ptCount val="4"/>
                <c:pt idx="0">
                  <c:v>Proyectos Programados</c:v>
                </c:pt>
                <c:pt idx="1">
                  <c:v>Proyectos con Asignación Inicial</c:v>
                </c:pt>
                <c:pt idx="2">
                  <c:v>Proyectos con Asignación Vigente</c:v>
                </c:pt>
                <c:pt idx="3">
                  <c:v>Proyectos con Ejecución</c:v>
                </c:pt>
              </c:strCache>
            </c:strRef>
          </c:cat>
          <c:val>
            <c:numRef>
              <c:f>'1 Gráfica 1'!$C$4:$C$7</c:f>
              <c:numCache>
                <c:formatCode>General</c:formatCode>
                <c:ptCount val="4"/>
                <c:pt idx="0">
                  <c:v>18635</c:v>
                </c:pt>
                <c:pt idx="1">
                  <c:v>8021</c:v>
                </c:pt>
                <c:pt idx="2">
                  <c:v>9812</c:v>
                </c:pt>
                <c:pt idx="3">
                  <c:v>8320</c:v>
                </c:pt>
              </c:numCache>
            </c:numRef>
          </c:val>
          <c:extLst>
            <c:ext xmlns:c16="http://schemas.microsoft.com/office/drawing/2014/chart" uri="{C3380CC4-5D6E-409C-BE32-E72D297353CC}">
              <c16:uniqueId val="{00000006-0C94-4A6A-B3E4-1AF9E58CB138}"/>
            </c:ext>
          </c:extLst>
        </c:ser>
        <c:dLbls>
          <c:showLegendKey val="0"/>
          <c:showVal val="0"/>
          <c:showCatName val="0"/>
          <c:showSerName val="0"/>
          <c:showPercent val="0"/>
          <c:showBubbleSize val="0"/>
        </c:dLbls>
        <c:gapWidth val="150"/>
        <c:shape val="box"/>
        <c:axId val="500543600"/>
        <c:axId val="500540464"/>
        <c:axId val="0"/>
      </c:bar3DChart>
      <c:catAx>
        <c:axId val="500543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Helvetica" panose="020B0604020202020204" pitchFamily="34" charset="0"/>
              </a:defRPr>
            </a:pPr>
            <a:endParaRPr lang="es-GT"/>
          </a:p>
        </c:txPr>
        <c:crossAx val="500540464"/>
        <c:crosses val="autoZero"/>
        <c:auto val="1"/>
        <c:lblAlgn val="ctr"/>
        <c:lblOffset val="100"/>
        <c:noMultiLvlLbl val="0"/>
      </c:catAx>
      <c:valAx>
        <c:axId val="50054046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solidFill>
                      <a:sysClr val="windowText" lastClr="000000"/>
                    </a:solidFill>
                  </a:rPr>
                  <a:t>Cantidad</a:t>
                </a:r>
              </a:p>
            </c:rich>
          </c:tx>
          <c:layout>
            <c:manualLayout>
              <c:xMode val="edge"/>
              <c:yMode val="edge"/>
              <c:x val="1.4907365162664894E-2"/>
              <c:y val="0.311036698030074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Helvetica" panose="020B0604020202020204" pitchFamily="34" charset="0"/>
                <a:ea typeface="+mn-ea"/>
                <a:cs typeface="Helvetica" panose="020B0604020202020204" pitchFamily="34" charset="0"/>
              </a:defRPr>
            </a:pPr>
            <a:endParaRPr lang="es-GT"/>
          </a:p>
        </c:txPr>
        <c:crossAx val="500543600"/>
        <c:crosses val="autoZero"/>
        <c:crossBetween val="between"/>
        <c:majorUnit val="2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GT"/>
    </a:p>
  </c:txPr>
  <c:externalData r:id="rId4">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8124060032857"/>
          <c:y val="0.17605380248371619"/>
          <c:w val="0.73388131771990039"/>
          <c:h val="0.57795598663912162"/>
        </c:manualLayout>
      </c:layout>
      <c:barChart>
        <c:barDir val="col"/>
        <c:grouping val="clustered"/>
        <c:varyColors val="0"/>
        <c:ser>
          <c:idx val="0"/>
          <c:order val="0"/>
          <c:tx>
            <c:strRef>
              <c:f>'4 Gráfica 2'!$C$3</c:f>
              <c:strCache>
                <c:ptCount val="1"/>
                <c:pt idx="0">
                  <c:v>Ejecutado</c:v>
                </c:pt>
              </c:strCache>
            </c:strRef>
          </c:tx>
          <c:spPr>
            <a:solidFill>
              <a:schemeClr val="accent1"/>
            </a:solidFill>
            <a:ln>
              <a:noFill/>
            </a:ln>
            <a:effectLst/>
          </c:spPr>
          <c:invertIfNegative val="0"/>
          <c:dLbls>
            <c:dLbl>
              <c:idx val="0"/>
              <c:layout>
                <c:manualLayout>
                  <c:x val="-2.3236756204525102E-2"/>
                  <c:y val="5.05050505050505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EA-4FE1-8910-B50819E3B145}"/>
                </c:ext>
              </c:extLst>
            </c:dLbl>
            <c:dLbl>
              <c:idx val="3"/>
              <c:layout>
                <c:manualLayout>
                  <c:x val="-1.1506830876909773E-2"/>
                  <c:y val="-0.117785630153121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EA-4FE1-8910-B50819E3B145}"/>
                </c:ext>
              </c:extLst>
            </c:dLbl>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Helvetica" pitchFamily="2"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Gráfica 2'!$B$4:$B$7</c:f>
              <c:strCache>
                <c:ptCount val="4"/>
                <c:pt idx="0">
                  <c:v>Administración Central</c:v>
                </c:pt>
                <c:pt idx="1">
                  <c:v>Descentralizadas</c:v>
                </c:pt>
                <c:pt idx="2">
                  <c:v>Gobiernos Locales</c:v>
                </c:pt>
                <c:pt idx="3">
                  <c:v>Consejos de Desarrollo</c:v>
                </c:pt>
              </c:strCache>
            </c:strRef>
          </c:cat>
          <c:val>
            <c:numRef>
              <c:f>'4 Gráfica 2'!$C$4:$C$7</c:f>
              <c:numCache>
                <c:formatCode>"Q"#,##0.00,,</c:formatCode>
                <c:ptCount val="4"/>
                <c:pt idx="0">
                  <c:v>3289907986.2800021</c:v>
                </c:pt>
                <c:pt idx="1">
                  <c:v>317569459.42999983</c:v>
                </c:pt>
                <c:pt idx="2">
                  <c:v>3561438509.130002</c:v>
                </c:pt>
                <c:pt idx="3">
                  <c:v>2373349657.0899978</c:v>
                </c:pt>
              </c:numCache>
            </c:numRef>
          </c:val>
          <c:extLst>
            <c:ext xmlns:c16="http://schemas.microsoft.com/office/drawing/2014/chart" uri="{C3380CC4-5D6E-409C-BE32-E72D297353CC}">
              <c16:uniqueId val="{00000002-71EA-4FE1-8910-B50819E3B145}"/>
            </c:ext>
          </c:extLst>
        </c:ser>
        <c:dLbls>
          <c:showLegendKey val="0"/>
          <c:showVal val="1"/>
          <c:showCatName val="0"/>
          <c:showSerName val="0"/>
          <c:showPercent val="0"/>
          <c:showBubbleSize val="0"/>
        </c:dLbls>
        <c:gapWidth val="150"/>
        <c:axId val="500552616"/>
        <c:axId val="500549088"/>
      </c:barChart>
      <c:lineChart>
        <c:grouping val="standard"/>
        <c:varyColors val="0"/>
        <c:ser>
          <c:idx val="1"/>
          <c:order val="1"/>
          <c:tx>
            <c:strRef>
              <c:f>'4 Gráfica 2'!$D$3</c:f>
              <c:strCache>
                <c:ptCount val="1"/>
                <c:pt idx="0">
                  <c:v>Avance Financiero</c:v>
                </c:pt>
              </c:strCache>
            </c:strRef>
          </c:tx>
          <c:spPr>
            <a:ln w="34925" cap="rnd">
              <a:solidFill>
                <a:srgbClr val="FFC000"/>
              </a:solidFill>
              <a:round/>
            </a:ln>
            <a:effectLst/>
          </c:spPr>
          <c:marker>
            <c:symbol val="none"/>
          </c:marker>
          <c:dPt>
            <c:idx val="1"/>
            <c:marker>
              <c:symbol val="none"/>
            </c:marker>
            <c:bubble3D val="0"/>
            <c:spPr>
              <a:ln w="34925" cap="rnd">
                <a:solidFill>
                  <a:srgbClr val="FFC000"/>
                </a:solidFill>
                <a:round/>
              </a:ln>
              <a:effectLst/>
            </c:spPr>
            <c:extLst>
              <c:ext xmlns:c16="http://schemas.microsoft.com/office/drawing/2014/chart" uri="{C3380CC4-5D6E-409C-BE32-E72D297353CC}">
                <c16:uniqueId val="{00000004-71EA-4FE1-8910-B50819E3B145}"/>
              </c:ext>
            </c:extLst>
          </c:dPt>
          <c:dPt>
            <c:idx val="2"/>
            <c:marker>
              <c:symbol val="none"/>
            </c:marker>
            <c:bubble3D val="0"/>
            <c:spPr>
              <a:ln w="34925" cap="rnd">
                <a:solidFill>
                  <a:srgbClr val="FFC000"/>
                </a:solidFill>
                <a:round/>
              </a:ln>
              <a:effectLst/>
            </c:spPr>
            <c:extLst>
              <c:ext xmlns:c16="http://schemas.microsoft.com/office/drawing/2014/chart" uri="{C3380CC4-5D6E-409C-BE32-E72D297353CC}">
                <c16:uniqueId val="{00000006-71EA-4FE1-8910-B50819E3B145}"/>
              </c:ext>
            </c:extLst>
          </c:dPt>
          <c:dPt>
            <c:idx val="3"/>
            <c:marker>
              <c:symbol val="none"/>
            </c:marker>
            <c:bubble3D val="0"/>
            <c:spPr>
              <a:ln w="34925" cap="rnd">
                <a:solidFill>
                  <a:srgbClr val="FFC000"/>
                </a:solidFill>
                <a:round/>
              </a:ln>
              <a:effectLst/>
            </c:spPr>
            <c:extLst>
              <c:ext xmlns:c16="http://schemas.microsoft.com/office/drawing/2014/chart" uri="{C3380CC4-5D6E-409C-BE32-E72D297353CC}">
                <c16:uniqueId val="{00000008-71EA-4FE1-8910-B50819E3B145}"/>
              </c:ext>
            </c:extLst>
          </c:dPt>
          <c:dLbls>
            <c:dLbl>
              <c:idx val="0"/>
              <c:layout>
                <c:manualLayout>
                  <c:x val="3.946918993813732E-2"/>
                  <c:y val="-5.1002344926120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EA-4FE1-8910-B50819E3B145}"/>
                </c:ext>
              </c:extLst>
            </c:dLbl>
            <c:dLbl>
              <c:idx val="1"/>
              <c:layout>
                <c:manualLayout>
                  <c:x val="-1.5447744355643519E-2"/>
                  <c:y val="-3.9081580799680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EA-4FE1-8910-B50819E3B145}"/>
                </c:ext>
              </c:extLst>
            </c:dLbl>
            <c:dLbl>
              <c:idx val="2"/>
              <c:layout>
                <c:manualLayout>
                  <c:x val="4.5896018840571776E-2"/>
                  <c:y val="-3.0754434528504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EA-4FE1-8910-B50819E3B145}"/>
                </c:ext>
              </c:extLst>
            </c:dLbl>
            <c:dLbl>
              <c:idx val="3"/>
              <c:layout>
                <c:manualLayout>
                  <c:x val="1.1585808266732769E-2"/>
                  <c:y val="-1.5632632319872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EA-4FE1-8910-B50819E3B14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Helvetica" pitchFamily="2" charset="0"/>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Gráfica 2'!$B$4:$B$7</c:f>
              <c:strCache>
                <c:ptCount val="4"/>
                <c:pt idx="0">
                  <c:v>Administración Central</c:v>
                </c:pt>
                <c:pt idx="1">
                  <c:v>Descentralizadas</c:v>
                </c:pt>
                <c:pt idx="2">
                  <c:v>Gobiernos Locales</c:v>
                </c:pt>
                <c:pt idx="3">
                  <c:v>Consejos de Desarrollo</c:v>
                </c:pt>
              </c:strCache>
            </c:strRef>
          </c:cat>
          <c:val>
            <c:numRef>
              <c:f>'4 Gráfica 2'!$D$4:$D$7</c:f>
              <c:numCache>
                <c:formatCode>0.00%</c:formatCode>
                <c:ptCount val="4"/>
                <c:pt idx="0">
                  <c:v>0.75743037176277273</c:v>
                </c:pt>
                <c:pt idx="1">
                  <c:v>0.51027861869925317</c:v>
                </c:pt>
                <c:pt idx="2">
                  <c:v>0.61346302790627782</c:v>
                </c:pt>
                <c:pt idx="3">
                  <c:v>0.61850048077365805</c:v>
                </c:pt>
              </c:numCache>
            </c:numRef>
          </c:val>
          <c:smooth val="0"/>
          <c:extLst>
            <c:ext xmlns:c16="http://schemas.microsoft.com/office/drawing/2014/chart" uri="{C3380CC4-5D6E-409C-BE32-E72D297353CC}">
              <c16:uniqueId val="{0000000A-71EA-4FE1-8910-B50819E3B145}"/>
            </c:ext>
          </c:extLst>
        </c:ser>
        <c:dLbls>
          <c:showLegendKey val="0"/>
          <c:showVal val="1"/>
          <c:showCatName val="0"/>
          <c:showSerName val="0"/>
          <c:showPercent val="0"/>
          <c:showBubbleSize val="0"/>
        </c:dLbls>
        <c:marker val="1"/>
        <c:smooth val="0"/>
        <c:axId val="500549872"/>
        <c:axId val="500554576"/>
      </c:lineChart>
      <c:catAx>
        <c:axId val="50055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s-GT"/>
          </a:p>
        </c:txPr>
        <c:crossAx val="500549088"/>
        <c:crosses val="autoZero"/>
        <c:auto val="1"/>
        <c:lblAlgn val="ctr"/>
        <c:lblOffset val="100"/>
        <c:noMultiLvlLbl val="0"/>
      </c:catAx>
      <c:valAx>
        <c:axId val="50054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r>
                  <a:rPr lang="es-GT"/>
                  <a:t>En mIllones</a:t>
                </a:r>
              </a:p>
            </c:rich>
          </c:tx>
          <c:layout>
            <c:manualLayout>
              <c:xMode val="edge"/>
              <c:yMode val="edge"/>
              <c:x val="1.8850574313411528E-2"/>
              <c:y val="0.3992910334578362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s-GT"/>
            </a:p>
          </c:txPr>
        </c:title>
        <c:numFmt formatCode="&quot;Q&quot;#,##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Helvetica" pitchFamily="2" charset="0"/>
                <a:ea typeface="+mn-ea"/>
                <a:cs typeface="+mn-cs"/>
              </a:defRPr>
            </a:pPr>
            <a:endParaRPr lang="es-GT"/>
          </a:p>
        </c:txPr>
        <c:crossAx val="500552616"/>
        <c:crosses val="autoZero"/>
        <c:crossBetween val="between"/>
      </c:valAx>
      <c:valAx>
        <c:axId val="50055457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r>
                  <a:rPr lang="es-GT"/>
                  <a:t>Porcentaje</a:t>
                </a:r>
              </a:p>
            </c:rich>
          </c:tx>
          <c:layout>
            <c:manualLayout>
              <c:xMode val="edge"/>
              <c:yMode val="edge"/>
              <c:x val="0.95263677064628061"/>
              <c:y val="0.3529856465685121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s-GT"/>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Helvetica" pitchFamily="2" charset="0"/>
                <a:ea typeface="+mn-ea"/>
                <a:cs typeface="+mn-cs"/>
              </a:defRPr>
            </a:pPr>
            <a:endParaRPr lang="es-GT"/>
          </a:p>
        </c:txPr>
        <c:crossAx val="500549872"/>
        <c:crosses val="max"/>
        <c:crossBetween val="between"/>
      </c:valAx>
      <c:catAx>
        <c:axId val="500549872"/>
        <c:scaling>
          <c:orientation val="minMax"/>
        </c:scaling>
        <c:delete val="1"/>
        <c:axPos val="b"/>
        <c:numFmt formatCode="General" sourceLinked="1"/>
        <c:majorTickMark val="out"/>
        <c:minorTickMark val="none"/>
        <c:tickLblPos val="nextTo"/>
        <c:crossAx val="50055457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s-GT"/>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s-GT"/>
          </a:p>
        </c:txPr>
      </c:legendEntry>
      <c:layout>
        <c:manualLayout>
          <c:xMode val="edge"/>
          <c:yMode val="edge"/>
          <c:x val="0.25403877614107234"/>
          <c:y val="0.86854719294120608"/>
          <c:w val="0.4919213470547194"/>
          <c:h val="9.396325459317585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s-GT"/>
        </a:p>
      </c:txPr>
    </c:legend>
    <c:plotVisOnly val="1"/>
    <c:dispBlanksAs val="gap"/>
    <c:showDLblsOverMax val="0"/>
  </c:chart>
  <c:spPr>
    <a:solidFill>
      <a:schemeClr val="bg1"/>
    </a:solidFill>
    <a:ln w="3175" cap="flat" cmpd="sng" algn="ctr">
      <a:solidFill>
        <a:sysClr val="windowText" lastClr="000000"/>
      </a:solidFill>
      <a:round/>
    </a:ln>
    <a:effectLst/>
  </c:spPr>
  <c:txPr>
    <a:bodyPr/>
    <a:lstStyle/>
    <a:p>
      <a:pPr>
        <a:defRPr sz="800">
          <a:latin typeface="Helvetica" pitchFamily="2" charset="0"/>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7A14C1DE2CC1D41997D070CB452E602" ma:contentTypeVersion="14" ma:contentTypeDescription="Crear nuevo documento." ma:contentTypeScope="" ma:versionID="0e24bdf49c8601df3e3f196571a7b890">
  <xsd:schema xmlns:xsd="http://www.w3.org/2001/XMLSchema" xmlns:xs="http://www.w3.org/2001/XMLSchema" xmlns:p="http://schemas.microsoft.com/office/2006/metadata/properties" xmlns:ns3="397dfe68-191c-4eec-96a2-fa4361aa7e17" xmlns:ns4="a29384a3-dbe3-41c3-9c10-6a153824e6f3" targetNamespace="http://schemas.microsoft.com/office/2006/metadata/properties" ma:root="true" ma:fieldsID="98c4331ec980e9280159033f965d7a99" ns3:_="" ns4:_="">
    <xsd:import namespace="397dfe68-191c-4eec-96a2-fa4361aa7e17"/>
    <xsd:import namespace="a29384a3-dbe3-41c3-9c10-6a153824e6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dfe68-191c-4eec-96a2-fa4361aa7e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9384a3-dbe3-41c3-9c10-6a153824e6f3"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SharingHintHash" ma:index="2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E3FF0E-51E2-456C-9DD4-FE7A7FD1661C}">
  <ds:schemaRefs>
    <ds:schemaRef ds:uri="http://schemas.microsoft.com/sharepoint/v3/contenttype/forms"/>
  </ds:schemaRefs>
</ds:datastoreItem>
</file>

<file path=customXml/itemProps2.xml><?xml version="1.0" encoding="utf-8"?>
<ds:datastoreItem xmlns:ds="http://schemas.openxmlformats.org/officeDocument/2006/customXml" ds:itemID="{0A70FB73-F10B-47C8-8177-3676AB602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dfe68-191c-4eec-96a2-fa4361aa7e17"/>
    <ds:schemaRef ds:uri="a29384a3-dbe3-41c3-9c10-6a153824e6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B29A9F-D402-4819-A64E-42B966B9290A}">
  <ds:schemaRefs>
    <ds:schemaRef ds:uri="http://schemas.openxmlformats.org/officeDocument/2006/bibliography"/>
  </ds:schemaRefs>
</ds:datastoreItem>
</file>

<file path=customXml/itemProps4.xml><?xml version="1.0" encoding="utf-8"?>
<ds:datastoreItem xmlns:ds="http://schemas.openxmlformats.org/officeDocument/2006/customXml" ds:itemID="{6C1F1950-4015-4B6C-B1D1-1D0F3F3AED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56795</Words>
  <Characters>312375</Characters>
  <Application>Microsoft Office Word</Application>
  <DocSecurity>0</DocSecurity>
  <Lines>2603</Lines>
  <Paragraphs>736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Rhina Maria de Leon Orantes</dc:creator>
  <cp:keywords/>
  <dc:description/>
  <cp:lastModifiedBy>Sandra Patricia Montavan Fuentes</cp:lastModifiedBy>
  <cp:revision>3</cp:revision>
  <cp:lastPrinted>2023-03-22T17:15:00Z</cp:lastPrinted>
  <dcterms:created xsi:type="dcterms:W3CDTF">2025-03-03T21:41:00Z</dcterms:created>
  <dcterms:modified xsi:type="dcterms:W3CDTF">2025-03-03T21:41:00Z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0x010100C7A14C1DE2CC1D41997D070CB452E602</vt:lpwstr>
  </property>
</Properties>
</file>