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theme/themeOverride9.xml" ContentType="application/vnd.openxmlformats-officedocument.themeOverride+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A23AB2" w14:textId="7142562C" w:rsidR="00431FEA" w:rsidRDefault="00431FEA" w:rsidP="004D30D9">
      <w:pPr>
        <w:pStyle w:val="Ttulo1"/>
        <w:numPr>
          <w:ilvl w:val="0"/>
          <w:numId w:val="0"/>
        </w:numPr>
        <w:ind w:left="432" w:hanging="432"/>
      </w:pPr>
    </w:p>
    <w:p w14:paraId="18F0BBAA" w14:textId="665C2EF7" w:rsidR="002902C5" w:rsidRDefault="002902C5" w:rsidP="002902C5"/>
    <w:p w14:paraId="79829B22" w14:textId="22866CA7" w:rsidR="002902C5" w:rsidRDefault="002902C5" w:rsidP="002902C5"/>
    <w:p w14:paraId="1A02FB8B" w14:textId="77777777" w:rsidR="002902C5" w:rsidRPr="002902C5" w:rsidRDefault="002902C5" w:rsidP="002902C5"/>
    <w:p w14:paraId="3D03E044" w14:textId="58BF69A4" w:rsidR="00DC2646" w:rsidRDefault="00DC2646" w:rsidP="00DC2646"/>
    <w:p w14:paraId="4244A9B8" w14:textId="5F2FDC52" w:rsidR="00DC2646" w:rsidRDefault="00DC2646" w:rsidP="00DC2646"/>
    <w:p w14:paraId="22839958" w14:textId="77777777" w:rsidR="00F85BD4" w:rsidRPr="002902C5" w:rsidRDefault="00F85BD4" w:rsidP="00F85BD4">
      <w:pPr>
        <w:jc w:val="center"/>
        <w:rPr>
          <w:rFonts w:ascii="Helvetica" w:hAnsi="Helvetica" w:cs="Helvetica"/>
          <w:b/>
          <w:bCs/>
          <w:color w:val="2F5496" w:themeColor="accent1" w:themeShade="BF"/>
          <w:sz w:val="36"/>
          <w:szCs w:val="36"/>
        </w:rPr>
      </w:pPr>
      <w:r w:rsidRPr="002902C5">
        <w:rPr>
          <w:rFonts w:ascii="Helvetica" w:hAnsi="Helvetica" w:cs="Helvetica"/>
          <w:b/>
          <w:bCs/>
          <w:color w:val="2F5496" w:themeColor="accent1" w:themeShade="BF"/>
          <w:sz w:val="36"/>
          <w:szCs w:val="36"/>
        </w:rPr>
        <w:t xml:space="preserve">INFORME ANUAL Y III INFORME CUATRIMESTRAL </w:t>
      </w:r>
    </w:p>
    <w:p w14:paraId="2D9E83D6" w14:textId="0CBE5522" w:rsidR="00F85BD4" w:rsidRDefault="00F85BD4" w:rsidP="00F85BD4">
      <w:pPr>
        <w:jc w:val="center"/>
        <w:rPr>
          <w:rFonts w:ascii="Helvetica" w:hAnsi="Helvetica" w:cs="Helvetica"/>
          <w:b/>
          <w:bCs/>
          <w:color w:val="2F5496" w:themeColor="accent1" w:themeShade="BF"/>
          <w:sz w:val="36"/>
          <w:szCs w:val="36"/>
        </w:rPr>
      </w:pPr>
    </w:p>
    <w:p w14:paraId="7CD49F0A" w14:textId="03E62A7D" w:rsidR="002902C5" w:rsidRDefault="002902C5" w:rsidP="00F85BD4">
      <w:pPr>
        <w:jc w:val="center"/>
        <w:rPr>
          <w:rFonts w:ascii="Helvetica" w:hAnsi="Helvetica" w:cs="Helvetica"/>
          <w:b/>
          <w:bCs/>
          <w:color w:val="2F5496" w:themeColor="accent1" w:themeShade="BF"/>
          <w:sz w:val="36"/>
          <w:szCs w:val="36"/>
        </w:rPr>
      </w:pPr>
      <w:bookmarkStart w:id="0" w:name="_GoBack"/>
      <w:bookmarkEnd w:id="0"/>
    </w:p>
    <w:p w14:paraId="2FF8A799" w14:textId="77777777" w:rsidR="002902C5" w:rsidRPr="002902C5" w:rsidRDefault="002902C5" w:rsidP="00F85BD4">
      <w:pPr>
        <w:jc w:val="center"/>
        <w:rPr>
          <w:rFonts w:ascii="Helvetica" w:hAnsi="Helvetica" w:cs="Helvetica"/>
          <w:b/>
          <w:bCs/>
          <w:color w:val="2F5496" w:themeColor="accent1" w:themeShade="BF"/>
          <w:sz w:val="36"/>
          <w:szCs w:val="36"/>
        </w:rPr>
      </w:pPr>
    </w:p>
    <w:p w14:paraId="46919FBA" w14:textId="77777777" w:rsidR="002902C5" w:rsidRDefault="00F85BD4" w:rsidP="00F85BD4">
      <w:pPr>
        <w:jc w:val="center"/>
        <w:rPr>
          <w:rFonts w:ascii="Helvetica" w:hAnsi="Helvetica" w:cs="Helvetica"/>
          <w:b/>
          <w:bCs/>
          <w:color w:val="2F5496" w:themeColor="accent1" w:themeShade="BF"/>
          <w:sz w:val="36"/>
          <w:szCs w:val="36"/>
        </w:rPr>
      </w:pPr>
      <w:r w:rsidRPr="002902C5">
        <w:rPr>
          <w:rFonts w:ascii="Helvetica" w:hAnsi="Helvetica" w:cs="Helvetica"/>
          <w:b/>
          <w:bCs/>
          <w:color w:val="2F5496" w:themeColor="accent1" w:themeShade="BF"/>
          <w:sz w:val="36"/>
          <w:szCs w:val="36"/>
        </w:rPr>
        <w:t>E</w:t>
      </w:r>
      <w:r w:rsidR="002902C5">
        <w:rPr>
          <w:rFonts w:ascii="Helvetica" w:hAnsi="Helvetica" w:cs="Helvetica"/>
          <w:b/>
          <w:bCs/>
          <w:color w:val="2F5496" w:themeColor="accent1" w:themeShade="BF"/>
          <w:sz w:val="36"/>
          <w:szCs w:val="36"/>
        </w:rPr>
        <w:t xml:space="preserve">valuación y análisis sobre la ejecución y resultados del presupuesto del ejercicio fiscal 2020 </w:t>
      </w:r>
    </w:p>
    <w:p w14:paraId="45B8E853" w14:textId="77777777" w:rsidR="00F85BD4" w:rsidRPr="002902C5" w:rsidRDefault="00F85BD4" w:rsidP="00F85BD4">
      <w:pPr>
        <w:rPr>
          <w:rFonts w:ascii="Helvetica" w:hAnsi="Helvetica" w:cs="Helvetica"/>
          <w:b/>
          <w:bCs/>
          <w:color w:val="2F5496" w:themeColor="accent1" w:themeShade="BF"/>
        </w:rPr>
      </w:pPr>
    </w:p>
    <w:p w14:paraId="61B582DB" w14:textId="77777777" w:rsidR="00F85BD4" w:rsidRPr="002902C5" w:rsidRDefault="00F85BD4" w:rsidP="00F85BD4">
      <w:pPr>
        <w:rPr>
          <w:rFonts w:ascii="Helvetica" w:hAnsi="Helvetica" w:cs="Helvetica"/>
          <w:b/>
          <w:bCs/>
          <w:color w:val="2F5496" w:themeColor="accent1" w:themeShade="BF"/>
        </w:rPr>
      </w:pPr>
    </w:p>
    <w:p w14:paraId="0B69E913" w14:textId="77777777" w:rsidR="00F85BD4" w:rsidRPr="002902C5" w:rsidRDefault="00F85BD4" w:rsidP="00F85BD4">
      <w:pPr>
        <w:rPr>
          <w:rFonts w:ascii="Helvetica" w:hAnsi="Helvetica" w:cs="Helvetica"/>
          <w:b/>
          <w:bCs/>
          <w:color w:val="2F5496" w:themeColor="accent1" w:themeShade="BF"/>
        </w:rPr>
      </w:pPr>
    </w:p>
    <w:p w14:paraId="791F2563" w14:textId="77777777" w:rsidR="00F85BD4" w:rsidRPr="002902C5" w:rsidRDefault="00F85BD4" w:rsidP="00F85BD4">
      <w:pPr>
        <w:rPr>
          <w:rFonts w:ascii="Helvetica" w:hAnsi="Helvetica" w:cs="Helvetica"/>
          <w:b/>
          <w:bCs/>
          <w:color w:val="2F5496" w:themeColor="accent1" w:themeShade="BF"/>
        </w:rPr>
      </w:pPr>
    </w:p>
    <w:p w14:paraId="3AEA3C9A" w14:textId="77777777" w:rsidR="00F85BD4" w:rsidRPr="002902C5" w:rsidRDefault="00F85BD4" w:rsidP="00F85BD4">
      <w:pPr>
        <w:rPr>
          <w:rFonts w:ascii="Helvetica" w:hAnsi="Helvetica" w:cs="Helvetica"/>
          <w:b/>
          <w:bCs/>
          <w:color w:val="2F5496" w:themeColor="accent1" w:themeShade="BF"/>
        </w:rPr>
      </w:pPr>
    </w:p>
    <w:p w14:paraId="3C4FDEA2" w14:textId="4020DD9C" w:rsidR="00F85BD4" w:rsidRDefault="00F85BD4" w:rsidP="00F85BD4">
      <w:pPr>
        <w:spacing w:before="120" w:after="120" w:line="240" w:lineRule="auto"/>
        <w:jc w:val="center"/>
        <w:rPr>
          <w:rFonts w:ascii="Helvetica" w:hAnsi="Helvetica" w:cs="Helvetica"/>
          <w:b/>
          <w:bCs/>
          <w:color w:val="2F5496" w:themeColor="accent1" w:themeShade="BF"/>
        </w:rPr>
      </w:pPr>
    </w:p>
    <w:p w14:paraId="47E27DBE" w14:textId="56FEB438" w:rsidR="00C3126D" w:rsidRDefault="00C3126D" w:rsidP="00F85BD4">
      <w:pPr>
        <w:spacing w:before="120" w:after="120" w:line="240" w:lineRule="auto"/>
        <w:jc w:val="center"/>
        <w:rPr>
          <w:rFonts w:ascii="Helvetica" w:hAnsi="Helvetica" w:cs="Helvetica"/>
          <w:b/>
          <w:bCs/>
          <w:color w:val="2F5496" w:themeColor="accent1" w:themeShade="BF"/>
        </w:rPr>
      </w:pPr>
    </w:p>
    <w:p w14:paraId="0454AC27" w14:textId="3F5D058C" w:rsidR="00C3126D" w:rsidRDefault="00C3126D" w:rsidP="00F85BD4">
      <w:pPr>
        <w:spacing w:before="120" w:after="120" w:line="240" w:lineRule="auto"/>
        <w:jc w:val="center"/>
        <w:rPr>
          <w:rFonts w:ascii="Helvetica" w:hAnsi="Helvetica" w:cs="Helvetica"/>
          <w:b/>
          <w:bCs/>
          <w:color w:val="2F5496" w:themeColor="accent1" w:themeShade="BF"/>
        </w:rPr>
      </w:pPr>
    </w:p>
    <w:p w14:paraId="6EAA9A3B" w14:textId="21EBC97D" w:rsidR="00C3126D" w:rsidRDefault="00C3126D" w:rsidP="00F85BD4">
      <w:pPr>
        <w:spacing w:before="120" w:after="120" w:line="240" w:lineRule="auto"/>
        <w:jc w:val="center"/>
        <w:rPr>
          <w:rFonts w:ascii="Helvetica" w:hAnsi="Helvetica" w:cs="Helvetica"/>
          <w:b/>
          <w:bCs/>
          <w:color w:val="2F5496" w:themeColor="accent1" w:themeShade="BF"/>
        </w:rPr>
      </w:pPr>
    </w:p>
    <w:p w14:paraId="6D9D8438" w14:textId="77777777" w:rsidR="00C3126D" w:rsidRPr="002902C5" w:rsidRDefault="00C3126D" w:rsidP="00F85BD4">
      <w:pPr>
        <w:spacing w:before="120" w:after="120" w:line="240" w:lineRule="auto"/>
        <w:jc w:val="center"/>
        <w:rPr>
          <w:rFonts w:ascii="Helvetica" w:hAnsi="Helvetica" w:cs="Helvetica"/>
          <w:b/>
          <w:bCs/>
          <w:color w:val="2F5496" w:themeColor="accent1" w:themeShade="BF"/>
        </w:rPr>
      </w:pPr>
    </w:p>
    <w:p w14:paraId="5F1CB72E" w14:textId="77777777" w:rsidR="00F85BD4" w:rsidRPr="002902C5" w:rsidRDefault="00F85BD4" w:rsidP="00F85BD4">
      <w:pPr>
        <w:spacing w:before="120" w:after="120" w:line="240" w:lineRule="auto"/>
        <w:jc w:val="center"/>
        <w:rPr>
          <w:rFonts w:ascii="Helvetica" w:hAnsi="Helvetica" w:cs="Helvetica"/>
          <w:b/>
          <w:bCs/>
          <w:color w:val="2F5496" w:themeColor="accent1" w:themeShade="BF"/>
        </w:rPr>
      </w:pPr>
      <w:r w:rsidRPr="002902C5">
        <w:rPr>
          <w:rFonts w:ascii="Helvetica" w:hAnsi="Helvetica" w:cs="Helvetica"/>
          <w:b/>
          <w:bCs/>
          <w:color w:val="2F5496" w:themeColor="accent1" w:themeShade="BF"/>
        </w:rPr>
        <w:t>Marzo, 2021</w:t>
      </w:r>
    </w:p>
    <w:p w14:paraId="697E88CF" w14:textId="36535DF8" w:rsidR="00DC2646" w:rsidRDefault="00DC2646" w:rsidP="00DC2646"/>
    <w:p w14:paraId="3748B4BB" w14:textId="7B4A4844" w:rsidR="00DC2646" w:rsidRDefault="00DC2646" w:rsidP="00DC2646"/>
    <w:p w14:paraId="6BC34CD7" w14:textId="3E67C2ED" w:rsidR="00DC2646" w:rsidRDefault="00DC2646" w:rsidP="00DC2646"/>
    <w:p w14:paraId="2DADCA73" w14:textId="7F3C7B22" w:rsidR="00DC2646" w:rsidRDefault="00DC2646" w:rsidP="00DC2646"/>
    <w:p w14:paraId="4E4CD3FE" w14:textId="746D8EDD" w:rsidR="00DC2646" w:rsidRDefault="00DC2646" w:rsidP="00DC2646"/>
    <w:p w14:paraId="317185EA" w14:textId="77777777" w:rsidR="0018772F" w:rsidRDefault="0018772F" w:rsidP="00DC2646">
      <w:pPr>
        <w:sectPr w:rsidR="0018772F" w:rsidSect="00BA17A3">
          <w:headerReference w:type="default" r:id="rId9"/>
          <w:footerReference w:type="default" r:id="rId10"/>
          <w:headerReference w:type="first" r:id="rId11"/>
          <w:pgSz w:w="12240" w:h="15840" w:code="1"/>
          <w:pgMar w:top="1701" w:right="1134" w:bottom="1418" w:left="1701" w:header="709" w:footer="709" w:gutter="0"/>
          <w:pgNumType w:start="1"/>
          <w:cols w:space="708"/>
          <w:titlePg/>
          <w:docGrid w:linePitch="360"/>
        </w:sectPr>
      </w:pPr>
    </w:p>
    <w:bookmarkStart w:id="1" w:name="_Toc67051142" w:displacedByCustomXml="next"/>
    <w:sdt>
      <w:sdtPr>
        <w:rPr>
          <w:rFonts w:eastAsiaTheme="minorHAnsi" w:cstheme="minorBidi"/>
          <w:b/>
          <w:lang w:val="es-ES" w:eastAsia="en-US"/>
        </w:rPr>
        <w:id w:val="-1434821098"/>
        <w:docPartObj>
          <w:docPartGallery w:val="Table of Contents"/>
          <w:docPartUnique/>
        </w:docPartObj>
      </w:sdtPr>
      <w:sdtEndPr>
        <w:rPr>
          <w:b w:val="0"/>
          <w:bCs/>
        </w:rPr>
      </w:sdtEndPr>
      <w:sdtContent>
        <w:bookmarkEnd w:id="1" w:displacedByCustomXml="prev"/>
        <w:p w14:paraId="16F77071" w14:textId="3181A963" w:rsidR="007A41C1" w:rsidRDefault="00DC2646">
          <w:pPr>
            <w:pStyle w:val="TDC1"/>
            <w:tabs>
              <w:tab w:val="right" w:leader="dot" w:pos="9395"/>
            </w:tabs>
            <w:rPr>
              <w:rFonts w:cstheme="minorBidi"/>
              <w:noProof/>
            </w:rPr>
          </w:pPr>
          <w:r w:rsidRPr="00DC2646">
            <w:rPr>
              <w:rFonts w:ascii="Helvetica" w:hAnsi="Helvetica" w:cs="Helvetica"/>
              <w:sz w:val="24"/>
              <w:szCs w:val="24"/>
            </w:rPr>
            <w:fldChar w:fldCharType="begin"/>
          </w:r>
          <w:r w:rsidRPr="00DC2646">
            <w:rPr>
              <w:rFonts w:ascii="Helvetica" w:hAnsi="Helvetica" w:cs="Helvetica"/>
              <w:sz w:val="24"/>
              <w:szCs w:val="24"/>
            </w:rPr>
            <w:instrText xml:space="preserve"> TOC \o "1-3" \h \z \u </w:instrText>
          </w:r>
          <w:r w:rsidRPr="00DC2646">
            <w:rPr>
              <w:rFonts w:ascii="Helvetica" w:hAnsi="Helvetica" w:cs="Helvetica"/>
              <w:sz w:val="24"/>
              <w:szCs w:val="24"/>
            </w:rPr>
            <w:fldChar w:fldCharType="separate"/>
          </w:r>
          <w:hyperlink w:anchor="_Toc67589085" w:history="1">
            <w:r w:rsidR="007A41C1" w:rsidRPr="0067231E">
              <w:rPr>
                <w:rStyle w:val="Hipervnculo"/>
                <w:rFonts w:eastAsia="Times New Roman"/>
                <w:noProof/>
                <w:lang w:val="es-ES"/>
              </w:rPr>
              <w:t>Presentación</w:t>
            </w:r>
            <w:r w:rsidR="007A41C1">
              <w:rPr>
                <w:noProof/>
                <w:webHidden/>
              </w:rPr>
              <w:tab/>
            </w:r>
            <w:r w:rsidR="007A41C1">
              <w:rPr>
                <w:noProof/>
                <w:webHidden/>
              </w:rPr>
              <w:fldChar w:fldCharType="begin"/>
            </w:r>
            <w:r w:rsidR="007A41C1">
              <w:rPr>
                <w:noProof/>
                <w:webHidden/>
              </w:rPr>
              <w:instrText xml:space="preserve"> PAGEREF _Toc67589085 \h </w:instrText>
            </w:r>
            <w:r w:rsidR="007A41C1">
              <w:rPr>
                <w:noProof/>
                <w:webHidden/>
              </w:rPr>
            </w:r>
            <w:r w:rsidR="007A41C1">
              <w:rPr>
                <w:noProof/>
                <w:webHidden/>
              </w:rPr>
              <w:fldChar w:fldCharType="separate"/>
            </w:r>
            <w:r w:rsidR="007A41C1">
              <w:rPr>
                <w:noProof/>
                <w:webHidden/>
              </w:rPr>
              <w:t>1</w:t>
            </w:r>
            <w:r w:rsidR="007A41C1">
              <w:rPr>
                <w:noProof/>
                <w:webHidden/>
              </w:rPr>
              <w:fldChar w:fldCharType="end"/>
            </w:r>
          </w:hyperlink>
        </w:p>
        <w:p w14:paraId="2DA14DA8" w14:textId="66780F0E" w:rsidR="007A41C1" w:rsidRDefault="00D36B17">
          <w:pPr>
            <w:pStyle w:val="TDC1"/>
            <w:tabs>
              <w:tab w:val="right" w:leader="dot" w:pos="9395"/>
            </w:tabs>
            <w:rPr>
              <w:rFonts w:cstheme="minorBidi"/>
              <w:noProof/>
            </w:rPr>
          </w:pPr>
          <w:hyperlink w:anchor="_Toc67589086" w:history="1">
            <w:r w:rsidR="007A41C1" w:rsidRPr="0067231E">
              <w:rPr>
                <w:rStyle w:val="Hipervnculo"/>
                <w:rFonts w:eastAsia="Calibri"/>
                <w:noProof/>
              </w:rPr>
              <w:t>Resultados de la evaluación de la calidad del gasto público de las instituciones y municipalidades durante el año 2020</w:t>
            </w:r>
            <w:r w:rsidR="007A41C1">
              <w:rPr>
                <w:noProof/>
                <w:webHidden/>
              </w:rPr>
              <w:tab/>
            </w:r>
            <w:r w:rsidR="007A41C1">
              <w:rPr>
                <w:noProof/>
                <w:webHidden/>
              </w:rPr>
              <w:fldChar w:fldCharType="begin"/>
            </w:r>
            <w:r w:rsidR="007A41C1">
              <w:rPr>
                <w:noProof/>
                <w:webHidden/>
              </w:rPr>
              <w:instrText xml:space="preserve"> PAGEREF _Toc67589086 \h </w:instrText>
            </w:r>
            <w:r w:rsidR="007A41C1">
              <w:rPr>
                <w:noProof/>
                <w:webHidden/>
              </w:rPr>
            </w:r>
            <w:r w:rsidR="007A41C1">
              <w:rPr>
                <w:noProof/>
                <w:webHidden/>
              </w:rPr>
              <w:fldChar w:fldCharType="separate"/>
            </w:r>
            <w:r w:rsidR="007A41C1">
              <w:rPr>
                <w:noProof/>
                <w:webHidden/>
              </w:rPr>
              <w:t>4</w:t>
            </w:r>
            <w:r w:rsidR="007A41C1">
              <w:rPr>
                <w:noProof/>
                <w:webHidden/>
              </w:rPr>
              <w:fldChar w:fldCharType="end"/>
            </w:r>
          </w:hyperlink>
        </w:p>
        <w:p w14:paraId="202CFF20" w14:textId="3279731B" w:rsidR="007A41C1" w:rsidRDefault="00D36B17">
          <w:pPr>
            <w:pStyle w:val="TDC1"/>
            <w:tabs>
              <w:tab w:val="right" w:leader="dot" w:pos="9395"/>
            </w:tabs>
            <w:rPr>
              <w:rFonts w:cstheme="minorBidi"/>
              <w:noProof/>
            </w:rPr>
          </w:pPr>
          <w:hyperlink w:anchor="_Toc67589087" w:history="1">
            <w:r w:rsidR="007A41C1" w:rsidRPr="0067231E">
              <w:rPr>
                <w:rStyle w:val="Hipervnculo"/>
                <w:rFonts w:eastAsia="Calibri"/>
                <w:noProof/>
              </w:rPr>
              <w:t>a. Eficacia</w:t>
            </w:r>
            <w:r w:rsidR="007A41C1">
              <w:rPr>
                <w:noProof/>
                <w:webHidden/>
              </w:rPr>
              <w:tab/>
            </w:r>
            <w:r w:rsidR="007A41C1">
              <w:rPr>
                <w:noProof/>
                <w:webHidden/>
              </w:rPr>
              <w:fldChar w:fldCharType="begin"/>
            </w:r>
            <w:r w:rsidR="007A41C1">
              <w:rPr>
                <w:noProof/>
                <w:webHidden/>
              </w:rPr>
              <w:instrText xml:space="preserve"> PAGEREF _Toc67589087 \h </w:instrText>
            </w:r>
            <w:r w:rsidR="007A41C1">
              <w:rPr>
                <w:noProof/>
                <w:webHidden/>
              </w:rPr>
            </w:r>
            <w:r w:rsidR="007A41C1">
              <w:rPr>
                <w:noProof/>
                <w:webHidden/>
              </w:rPr>
              <w:fldChar w:fldCharType="separate"/>
            </w:r>
            <w:r w:rsidR="007A41C1">
              <w:rPr>
                <w:noProof/>
                <w:webHidden/>
              </w:rPr>
              <w:t>4</w:t>
            </w:r>
            <w:r w:rsidR="007A41C1">
              <w:rPr>
                <w:noProof/>
                <w:webHidden/>
              </w:rPr>
              <w:fldChar w:fldCharType="end"/>
            </w:r>
          </w:hyperlink>
        </w:p>
        <w:p w14:paraId="794420F9" w14:textId="3451FC38" w:rsidR="007A41C1" w:rsidRDefault="00D36B17">
          <w:pPr>
            <w:pStyle w:val="TDC1"/>
            <w:tabs>
              <w:tab w:val="right" w:leader="dot" w:pos="9395"/>
            </w:tabs>
            <w:rPr>
              <w:rFonts w:cstheme="minorBidi"/>
              <w:noProof/>
            </w:rPr>
          </w:pPr>
          <w:hyperlink w:anchor="_Toc67589088" w:history="1">
            <w:r w:rsidR="007A41C1" w:rsidRPr="0067231E">
              <w:rPr>
                <w:rStyle w:val="Hipervnculo"/>
                <w:rFonts w:eastAsia="Calibri"/>
                <w:noProof/>
              </w:rPr>
              <w:t>b. Eficiencia</w:t>
            </w:r>
            <w:r w:rsidR="007A41C1">
              <w:rPr>
                <w:noProof/>
                <w:webHidden/>
              </w:rPr>
              <w:tab/>
            </w:r>
            <w:r w:rsidR="007A41C1">
              <w:rPr>
                <w:noProof/>
                <w:webHidden/>
              </w:rPr>
              <w:fldChar w:fldCharType="begin"/>
            </w:r>
            <w:r w:rsidR="007A41C1">
              <w:rPr>
                <w:noProof/>
                <w:webHidden/>
              </w:rPr>
              <w:instrText xml:space="preserve"> PAGEREF _Toc67589088 \h </w:instrText>
            </w:r>
            <w:r w:rsidR="007A41C1">
              <w:rPr>
                <w:noProof/>
                <w:webHidden/>
              </w:rPr>
            </w:r>
            <w:r w:rsidR="007A41C1">
              <w:rPr>
                <w:noProof/>
                <w:webHidden/>
              </w:rPr>
              <w:fldChar w:fldCharType="separate"/>
            </w:r>
            <w:r w:rsidR="007A41C1">
              <w:rPr>
                <w:noProof/>
                <w:webHidden/>
              </w:rPr>
              <w:t>7</w:t>
            </w:r>
            <w:r w:rsidR="007A41C1">
              <w:rPr>
                <w:noProof/>
                <w:webHidden/>
              </w:rPr>
              <w:fldChar w:fldCharType="end"/>
            </w:r>
          </w:hyperlink>
        </w:p>
        <w:p w14:paraId="45B1F30F" w14:textId="78F74414" w:rsidR="007A41C1" w:rsidRDefault="00D36B17">
          <w:pPr>
            <w:pStyle w:val="TDC1"/>
            <w:tabs>
              <w:tab w:val="left" w:pos="440"/>
              <w:tab w:val="right" w:leader="dot" w:pos="9395"/>
            </w:tabs>
            <w:rPr>
              <w:rFonts w:cstheme="minorBidi"/>
              <w:noProof/>
            </w:rPr>
          </w:pPr>
          <w:hyperlink w:anchor="_Toc67589089" w:history="1">
            <w:r w:rsidR="007A41C1" w:rsidRPr="0067231E">
              <w:rPr>
                <w:rStyle w:val="Hipervnculo"/>
                <w:noProof/>
              </w:rPr>
              <w:t>1.</w:t>
            </w:r>
            <w:r w:rsidR="007A41C1">
              <w:rPr>
                <w:rFonts w:cstheme="minorBidi"/>
                <w:noProof/>
              </w:rPr>
              <w:tab/>
            </w:r>
            <w:r w:rsidR="007A41C1" w:rsidRPr="0067231E">
              <w:rPr>
                <w:rStyle w:val="Hipervnculo"/>
                <w:noProof/>
              </w:rPr>
              <w:t>Avance de metas y cumplimiento de la calidad del gasto de las instituciones del sector público</w:t>
            </w:r>
            <w:r w:rsidR="007A41C1">
              <w:rPr>
                <w:noProof/>
                <w:webHidden/>
              </w:rPr>
              <w:tab/>
            </w:r>
            <w:r w:rsidR="007A41C1">
              <w:rPr>
                <w:noProof/>
                <w:webHidden/>
              </w:rPr>
              <w:fldChar w:fldCharType="begin"/>
            </w:r>
            <w:r w:rsidR="007A41C1">
              <w:rPr>
                <w:noProof/>
                <w:webHidden/>
              </w:rPr>
              <w:instrText xml:space="preserve"> PAGEREF _Toc67589089 \h </w:instrText>
            </w:r>
            <w:r w:rsidR="007A41C1">
              <w:rPr>
                <w:noProof/>
                <w:webHidden/>
              </w:rPr>
            </w:r>
            <w:r w:rsidR="007A41C1">
              <w:rPr>
                <w:noProof/>
                <w:webHidden/>
              </w:rPr>
              <w:fldChar w:fldCharType="separate"/>
            </w:r>
            <w:r w:rsidR="007A41C1">
              <w:rPr>
                <w:noProof/>
                <w:webHidden/>
              </w:rPr>
              <w:t>7</w:t>
            </w:r>
            <w:r w:rsidR="007A41C1">
              <w:rPr>
                <w:noProof/>
                <w:webHidden/>
              </w:rPr>
              <w:fldChar w:fldCharType="end"/>
            </w:r>
          </w:hyperlink>
        </w:p>
        <w:p w14:paraId="56C65100" w14:textId="5F1F72DD" w:rsidR="007A41C1" w:rsidRDefault="00D36B17">
          <w:pPr>
            <w:pStyle w:val="TDC1"/>
            <w:tabs>
              <w:tab w:val="right" w:leader="dot" w:pos="9395"/>
            </w:tabs>
            <w:rPr>
              <w:rFonts w:cstheme="minorBidi"/>
              <w:noProof/>
            </w:rPr>
          </w:pPr>
          <w:hyperlink w:anchor="_Toc67589090" w:history="1">
            <w:r w:rsidR="007A41C1" w:rsidRPr="0067231E">
              <w:rPr>
                <w:rStyle w:val="Hipervnculo"/>
                <w:noProof/>
              </w:rPr>
              <w:t>Ministerios</w:t>
            </w:r>
            <w:r w:rsidR="007A41C1">
              <w:rPr>
                <w:noProof/>
                <w:webHidden/>
              </w:rPr>
              <w:tab/>
            </w:r>
            <w:r w:rsidR="007A41C1">
              <w:rPr>
                <w:noProof/>
                <w:webHidden/>
              </w:rPr>
              <w:fldChar w:fldCharType="begin"/>
            </w:r>
            <w:r w:rsidR="007A41C1">
              <w:rPr>
                <w:noProof/>
                <w:webHidden/>
              </w:rPr>
              <w:instrText xml:space="preserve"> PAGEREF _Toc67589090 \h </w:instrText>
            </w:r>
            <w:r w:rsidR="007A41C1">
              <w:rPr>
                <w:noProof/>
                <w:webHidden/>
              </w:rPr>
            </w:r>
            <w:r w:rsidR="007A41C1">
              <w:rPr>
                <w:noProof/>
                <w:webHidden/>
              </w:rPr>
              <w:fldChar w:fldCharType="separate"/>
            </w:r>
            <w:r w:rsidR="007A41C1">
              <w:rPr>
                <w:noProof/>
                <w:webHidden/>
              </w:rPr>
              <w:t>7</w:t>
            </w:r>
            <w:r w:rsidR="007A41C1">
              <w:rPr>
                <w:noProof/>
                <w:webHidden/>
              </w:rPr>
              <w:fldChar w:fldCharType="end"/>
            </w:r>
          </w:hyperlink>
        </w:p>
        <w:p w14:paraId="111E62F1" w14:textId="569E97FF" w:rsidR="007A41C1" w:rsidRDefault="00D36B17">
          <w:pPr>
            <w:pStyle w:val="TDC1"/>
            <w:tabs>
              <w:tab w:val="right" w:leader="dot" w:pos="9395"/>
            </w:tabs>
            <w:rPr>
              <w:rFonts w:cstheme="minorBidi"/>
              <w:noProof/>
            </w:rPr>
          </w:pPr>
          <w:hyperlink w:anchor="_Toc67589091" w:history="1">
            <w:r w:rsidR="007A41C1" w:rsidRPr="0067231E">
              <w:rPr>
                <w:rStyle w:val="Hipervnculo"/>
                <w:noProof/>
              </w:rPr>
              <w:t>Secretarías</w:t>
            </w:r>
            <w:r w:rsidR="007A41C1">
              <w:rPr>
                <w:noProof/>
                <w:webHidden/>
              </w:rPr>
              <w:tab/>
            </w:r>
            <w:r w:rsidR="007A41C1">
              <w:rPr>
                <w:noProof/>
                <w:webHidden/>
              </w:rPr>
              <w:fldChar w:fldCharType="begin"/>
            </w:r>
            <w:r w:rsidR="007A41C1">
              <w:rPr>
                <w:noProof/>
                <w:webHidden/>
              </w:rPr>
              <w:instrText xml:space="preserve"> PAGEREF _Toc67589091 \h </w:instrText>
            </w:r>
            <w:r w:rsidR="007A41C1">
              <w:rPr>
                <w:noProof/>
                <w:webHidden/>
              </w:rPr>
            </w:r>
            <w:r w:rsidR="007A41C1">
              <w:rPr>
                <w:noProof/>
                <w:webHidden/>
              </w:rPr>
              <w:fldChar w:fldCharType="separate"/>
            </w:r>
            <w:r w:rsidR="007A41C1">
              <w:rPr>
                <w:noProof/>
                <w:webHidden/>
              </w:rPr>
              <w:t>10</w:t>
            </w:r>
            <w:r w:rsidR="007A41C1">
              <w:rPr>
                <w:noProof/>
                <w:webHidden/>
              </w:rPr>
              <w:fldChar w:fldCharType="end"/>
            </w:r>
          </w:hyperlink>
        </w:p>
        <w:p w14:paraId="55C66747" w14:textId="4CAD0652" w:rsidR="007A41C1" w:rsidRDefault="00D36B17">
          <w:pPr>
            <w:pStyle w:val="TDC1"/>
            <w:tabs>
              <w:tab w:val="right" w:leader="dot" w:pos="9395"/>
            </w:tabs>
            <w:rPr>
              <w:rFonts w:cstheme="minorBidi"/>
              <w:noProof/>
            </w:rPr>
          </w:pPr>
          <w:hyperlink w:anchor="_Toc67589092" w:history="1">
            <w:r w:rsidR="007A41C1" w:rsidRPr="0067231E">
              <w:rPr>
                <w:rStyle w:val="Hipervnculo"/>
                <w:noProof/>
              </w:rPr>
              <w:t>Entidades Descentralizadas y Autónomas</w:t>
            </w:r>
            <w:r w:rsidR="007A41C1">
              <w:rPr>
                <w:noProof/>
                <w:webHidden/>
              </w:rPr>
              <w:tab/>
            </w:r>
            <w:r w:rsidR="007A41C1">
              <w:rPr>
                <w:noProof/>
                <w:webHidden/>
              </w:rPr>
              <w:fldChar w:fldCharType="begin"/>
            </w:r>
            <w:r w:rsidR="007A41C1">
              <w:rPr>
                <w:noProof/>
                <w:webHidden/>
              </w:rPr>
              <w:instrText xml:space="preserve"> PAGEREF _Toc67589092 \h </w:instrText>
            </w:r>
            <w:r w:rsidR="007A41C1">
              <w:rPr>
                <w:noProof/>
                <w:webHidden/>
              </w:rPr>
            </w:r>
            <w:r w:rsidR="007A41C1">
              <w:rPr>
                <w:noProof/>
                <w:webHidden/>
              </w:rPr>
              <w:fldChar w:fldCharType="separate"/>
            </w:r>
            <w:r w:rsidR="007A41C1">
              <w:rPr>
                <w:noProof/>
                <w:webHidden/>
              </w:rPr>
              <w:t>13</w:t>
            </w:r>
            <w:r w:rsidR="007A41C1">
              <w:rPr>
                <w:noProof/>
                <w:webHidden/>
              </w:rPr>
              <w:fldChar w:fldCharType="end"/>
            </w:r>
          </w:hyperlink>
        </w:p>
        <w:p w14:paraId="377503AF" w14:textId="5C05F2BA" w:rsidR="007A41C1" w:rsidRDefault="00D36B17">
          <w:pPr>
            <w:pStyle w:val="TDC1"/>
            <w:tabs>
              <w:tab w:val="right" w:leader="dot" w:pos="9395"/>
            </w:tabs>
            <w:rPr>
              <w:rFonts w:cstheme="minorBidi"/>
              <w:noProof/>
            </w:rPr>
          </w:pPr>
          <w:hyperlink w:anchor="_Toc67589093" w:history="1">
            <w:r w:rsidR="007A41C1" w:rsidRPr="0067231E">
              <w:rPr>
                <w:rStyle w:val="Hipervnculo"/>
                <w:noProof/>
              </w:rPr>
              <w:t>Entidades Nacionales Deportivas</w:t>
            </w:r>
            <w:r w:rsidR="007A41C1">
              <w:rPr>
                <w:noProof/>
                <w:webHidden/>
              </w:rPr>
              <w:tab/>
            </w:r>
            <w:r w:rsidR="007A41C1">
              <w:rPr>
                <w:noProof/>
                <w:webHidden/>
              </w:rPr>
              <w:fldChar w:fldCharType="begin"/>
            </w:r>
            <w:r w:rsidR="007A41C1">
              <w:rPr>
                <w:noProof/>
                <w:webHidden/>
              </w:rPr>
              <w:instrText xml:space="preserve"> PAGEREF _Toc67589093 \h </w:instrText>
            </w:r>
            <w:r w:rsidR="007A41C1">
              <w:rPr>
                <w:noProof/>
                <w:webHidden/>
              </w:rPr>
            </w:r>
            <w:r w:rsidR="007A41C1">
              <w:rPr>
                <w:noProof/>
                <w:webHidden/>
              </w:rPr>
              <w:fldChar w:fldCharType="separate"/>
            </w:r>
            <w:r w:rsidR="007A41C1">
              <w:rPr>
                <w:noProof/>
                <w:webHidden/>
              </w:rPr>
              <w:t>18</w:t>
            </w:r>
            <w:r w:rsidR="007A41C1">
              <w:rPr>
                <w:noProof/>
                <w:webHidden/>
              </w:rPr>
              <w:fldChar w:fldCharType="end"/>
            </w:r>
          </w:hyperlink>
        </w:p>
        <w:p w14:paraId="1F1B11D7" w14:textId="66C447AE" w:rsidR="007A41C1" w:rsidRDefault="00D36B17">
          <w:pPr>
            <w:pStyle w:val="TDC1"/>
            <w:tabs>
              <w:tab w:val="left" w:pos="440"/>
              <w:tab w:val="right" w:leader="dot" w:pos="9395"/>
            </w:tabs>
            <w:rPr>
              <w:rFonts w:cstheme="minorBidi"/>
              <w:noProof/>
            </w:rPr>
          </w:pPr>
          <w:hyperlink w:anchor="_Toc67589094" w:history="1">
            <w:r w:rsidR="007A41C1" w:rsidRPr="0067231E">
              <w:rPr>
                <w:rStyle w:val="Hipervnculo"/>
                <w:noProof/>
              </w:rPr>
              <w:t>2.</w:t>
            </w:r>
            <w:r w:rsidR="007A41C1">
              <w:rPr>
                <w:rFonts w:cstheme="minorBidi"/>
                <w:noProof/>
              </w:rPr>
              <w:tab/>
            </w:r>
            <w:r w:rsidR="007A41C1" w:rsidRPr="0067231E">
              <w:rPr>
                <w:rStyle w:val="Hipervnculo"/>
                <w:noProof/>
              </w:rPr>
              <w:t>Avance de metas y cumplimiento de la calidad del gasto de los gobiernos locales</w:t>
            </w:r>
            <w:r w:rsidR="007A41C1">
              <w:rPr>
                <w:noProof/>
                <w:webHidden/>
              </w:rPr>
              <w:tab/>
            </w:r>
            <w:r w:rsidR="007A41C1">
              <w:rPr>
                <w:noProof/>
                <w:webHidden/>
              </w:rPr>
              <w:fldChar w:fldCharType="begin"/>
            </w:r>
            <w:r w:rsidR="007A41C1">
              <w:rPr>
                <w:noProof/>
                <w:webHidden/>
              </w:rPr>
              <w:instrText xml:space="preserve"> PAGEREF _Toc67589094 \h </w:instrText>
            </w:r>
            <w:r w:rsidR="007A41C1">
              <w:rPr>
                <w:noProof/>
                <w:webHidden/>
              </w:rPr>
            </w:r>
            <w:r w:rsidR="007A41C1">
              <w:rPr>
                <w:noProof/>
                <w:webHidden/>
              </w:rPr>
              <w:fldChar w:fldCharType="separate"/>
            </w:r>
            <w:r w:rsidR="007A41C1">
              <w:rPr>
                <w:noProof/>
                <w:webHidden/>
              </w:rPr>
              <w:t>24</w:t>
            </w:r>
            <w:r w:rsidR="007A41C1">
              <w:rPr>
                <w:noProof/>
                <w:webHidden/>
              </w:rPr>
              <w:fldChar w:fldCharType="end"/>
            </w:r>
          </w:hyperlink>
        </w:p>
        <w:p w14:paraId="6C882099" w14:textId="51C8DDFE" w:rsidR="007A41C1" w:rsidRDefault="00D36B17">
          <w:pPr>
            <w:pStyle w:val="TDC1"/>
            <w:tabs>
              <w:tab w:val="left" w:pos="440"/>
              <w:tab w:val="right" w:leader="dot" w:pos="9395"/>
            </w:tabs>
            <w:rPr>
              <w:rFonts w:cstheme="minorBidi"/>
              <w:noProof/>
            </w:rPr>
          </w:pPr>
          <w:hyperlink w:anchor="_Toc67589095" w:history="1">
            <w:r w:rsidR="007A41C1" w:rsidRPr="0067231E">
              <w:rPr>
                <w:rStyle w:val="Hipervnculo"/>
                <w:noProof/>
              </w:rPr>
              <w:t>3.</w:t>
            </w:r>
            <w:r w:rsidR="007A41C1">
              <w:rPr>
                <w:rFonts w:cstheme="minorBidi"/>
                <w:noProof/>
              </w:rPr>
              <w:tab/>
            </w:r>
            <w:r w:rsidR="007A41C1" w:rsidRPr="0067231E">
              <w:rPr>
                <w:rStyle w:val="Hipervnculo"/>
                <w:noProof/>
              </w:rPr>
              <w:t>Avance de metas y cumplimiento de la calidad del gasto en la inversión pública</w:t>
            </w:r>
            <w:r w:rsidR="007A41C1">
              <w:rPr>
                <w:noProof/>
                <w:webHidden/>
              </w:rPr>
              <w:tab/>
            </w:r>
            <w:r w:rsidR="007A41C1">
              <w:rPr>
                <w:noProof/>
                <w:webHidden/>
              </w:rPr>
              <w:fldChar w:fldCharType="begin"/>
            </w:r>
            <w:r w:rsidR="007A41C1">
              <w:rPr>
                <w:noProof/>
                <w:webHidden/>
              </w:rPr>
              <w:instrText xml:space="preserve"> PAGEREF _Toc67589095 \h </w:instrText>
            </w:r>
            <w:r w:rsidR="007A41C1">
              <w:rPr>
                <w:noProof/>
                <w:webHidden/>
              </w:rPr>
            </w:r>
            <w:r w:rsidR="007A41C1">
              <w:rPr>
                <w:noProof/>
                <w:webHidden/>
              </w:rPr>
              <w:fldChar w:fldCharType="separate"/>
            </w:r>
            <w:r w:rsidR="007A41C1">
              <w:rPr>
                <w:noProof/>
                <w:webHidden/>
              </w:rPr>
              <w:t>45</w:t>
            </w:r>
            <w:r w:rsidR="007A41C1">
              <w:rPr>
                <w:noProof/>
                <w:webHidden/>
              </w:rPr>
              <w:fldChar w:fldCharType="end"/>
            </w:r>
          </w:hyperlink>
        </w:p>
        <w:p w14:paraId="3D576FF7" w14:textId="297A546C" w:rsidR="007A41C1" w:rsidRDefault="00D36B17">
          <w:pPr>
            <w:pStyle w:val="TDC1"/>
            <w:tabs>
              <w:tab w:val="left" w:pos="440"/>
              <w:tab w:val="right" w:leader="dot" w:pos="9395"/>
            </w:tabs>
            <w:rPr>
              <w:rFonts w:cstheme="minorBidi"/>
              <w:noProof/>
            </w:rPr>
          </w:pPr>
          <w:hyperlink w:anchor="_Toc67589096" w:history="1">
            <w:r w:rsidR="007A41C1" w:rsidRPr="0067231E">
              <w:rPr>
                <w:rStyle w:val="Hipervnculo"/>
                <w:noProof/>
              </w:rPr>
              <w:t>4.</w:t>
            </w:r>
            <w:r w:rsidR="007A41C1">
              <w:rPr>
                <w:rFonts w:cstheme="minorBidi"/>
                <w:noProof/>
              </w:rPr>
              <w:tab/>
            </w:r>
            <w:r w:rsidR="007A41C1" w:rsidRPr="0067231E">
              <w:rPr>
                <w:rStyle w:val="Hipervnculo"/>
                <w:noProof/>
              </w:rPr>
              <w:t>Avance de metas y cumplimiento de la calidad del gasto de la cooperación internacional no reembolsable</w:t>
            </w:r>
            <w:r w:rsidR="007A41C1">
              <w:rPr>
                <w:noProof/>
                <w:webHidden/>
              </w:rPr>
              <w:tab/>
            </w:r>
            <w:r w:rsidR="007A41C1">
              <w:rPr>
                <w:noProof/>
                <w:webHidden/>
              </w:rPr>
              <w:fldChar w:fldCharType="begin"/>
            </w:r>
            <w:r w:rsidR="007A41C1">
              <w:rPr>
                <w:noProof/>
                <w:webHidden/>
              </w:rPr>
              <w:instrText xml:space="preserve"> PAGEREF _Toc67589096 \h </w:instrText>
            </w:r>
            <w:r w:rsidR="007A41C1">
              <w:rPr>
                <w:noProof/>
                <w:webHidden/>
              </w:rPr>
            </w:r>
            <w:r w:rsidR="007A41C1">
              <w:rPr>
                <w:noProof/>
                <w:webHidden/>
              </w:rPr>
              <w:fldChar w:fldCharType="separate"/>
            </w:r>
            <w:r w:rsidR="007A41C1">
              <w:rPr>
                <w:noProof/>
                <w:webHidden/>
              </w:rPr>
              <w:t>59</w:t>
            </w:r>
            <w:r w:rsidR="007A41C1">
              <w:rPr>
                <w:noProof/>
                <w:webHidden/>
              </w:rPr>
              <w:fldChar w:fldCharType="end"/>
            </w:r>
          </w:hyperlink>
        </w:p>
        <w:p w14:paraId="5E6F1D3D" w14:textId="483C1284" w:rsidR="007A41C1" w:rsidRDefault="00D36B17">
          <w:pPr>
            <w:pStyle w:val="TDC1"/>
            <w:tabs>
              <w:tab w:val="right" w:leader="dot" w:pos="9395"/>
            </w:tabs>
            <w:rPr>
              <w:rFonts w:cstheme="minorBidi"/>
              <w:noProof/>
            </w:rPr>
          </w:pPr>
          <w:hyperlink w:anchor="_Toc67589097" w:history="1">
            <w:r w:rsidR="007A41C1" w:rsidRPr="0067231E">
              <w:rPr>
                <w:rStyle w:val="Hipervnculo"/>
                <w:noProof/>
              </w:rPr>
              <w:t>c. Análisis de la Equidad</w:t>
            </w:r>
            <w:r w:rsidR="007A41C1">
              <w:rPr>
                <w:noProof/>
                <w:webHidden/>
              </w:rPr>
              <w:tab/>
            </w:r>
            <w:r w:rsidR="007A41C1">
              <w:rPr>
                <w:noProof/>
                <w:webHidden/>
              </w:rPr>
              <w:fldChar w:fldCharType="begin"/>
            </w:r>
            <w:r w:rsidR="007A41C1">
              <w:rPr>
                <w:noProof/>
                <w:webHidden/>
              </w:rPr>
              <w:instrText xml:space="preserve"> PAGEREF _Toc67589097 \h </w:instrText>
            </w:r>
            <w:r w:rsidR="007A41C1">
              <w:rPr>
                <w:noProof/>
                <w:webHidden/>
              </w:rPr>
            </w:r>
            <w:r w:rsidR="007A41C1">
              <w:rPr>
                <w:noProof/>
                <w:webHidden/>
              </w:rPr>
              <w:fldChar w:fldCharType="separate"/>
            </w:r>
            <w:r w:rsidR="007A41C1">
              <w:rPr>
                <w:noProof/>
                <w:webHidden/>
              </w:rPr>
              <w:t>68</w:t>
            </w:r>
            <w:r w:rsidR="007A41C1">
              <w:rPr>
                <w:noProof/>
                <w:webHidden/>
              </w:rPr>
              <w:fldChar w:fldCharType="end"/>
            </w:r>
          </w:hyperlink>
        </w:p>
        <w:p w14:paraId="67C18413" w14:textId="4CF5C865" w:rsidR="007A41C1" w:rsidRDefault="00D36B17">
          <w:pPr>
            <w:pStyle w:val="TDC1"/>
            <w:tabs>
              <w:tab w:val="left" w:pos="440"/>
              <w:tab w:val="right" w:leader="dot" w:pos="9395"/>
            </w:tabs>
            <w:rPr>
              <w:rFonts w:cstheme="minorBidi"/>
              <w:noProof/>
            </w:rPr>
          </w:pPr>
          <w:hyperlink w:anchor="_Toc67589098" w:history="1">
            <w:r w:rsidR="007A41C1" w:rsidRPr="0067231E">
              <w:rPr>
                <w:rStyle w:val="Hipervnculo"/>
                <w:noProof/>
              </w:rPr>
              <w:t>1.</w:t>
            </w:r>
            <w:r w:rsidR="007A41C1">
              <w:rPr>
                <w:rFonts w:cstheme="minorBidi"/>
                <w:noProof/>
              </w:rPr>
              <w:tab/>
            </w:r>
            <w:r w:rsidR="007A41C1" w:rsidRPr="0067231E">
              <w:rPr>
                <w:rStyle w:val="Hipervnculo"/>
                <w:noProof/>
              </w:rPr>
              <w:t>Logros de mayor impacto sobre la PGG 2020-2024, Informe General de la República 2020</w:t>
            </w:r>
            <w:r w:rsidR="007A41C1">
              <w:rPr>
                <w:noProof/>
                <w:webHidden/>
              </w:rPr>
              <w:tab/>
            </w:r>
            <w:r w:rsidR="007A41C1">
              <w:rPr>
                <w:noProof/>
                <w:webHidden/>
              </w:rPr>
              <w:fldChar w:fldCharType="begin"/>
            </w:r>
            <w:r w:rsidR="007A41C1">
              <w:rPr>
                <w:noProof/>
                <w:webHidden/>
              </w:rPr>
              <w:instrText xml:space="preserve"> PAGEREF _Toc67589098 \h </w:instrText>
            </w:r>
            <w:r w:rsidR="007A41C1">
              <w:rPr>
                <w:noProof/>
                <w:webHidden/>
              </w:rPr>
            </w:r>
            <w:r w:rsidR="007A41C1">
              <w:rPr>
                <w:noProof/>
                <w:webHidden/>
              </w:rPr>
              <w:fldChar w:fldCharType="separate"/>
            </w:r>
            <w:r w:rsidR="007A41C1">
              <w:rPr>
                <w:noProof/>
                <w:webHidden/>
              </w:rPr>
              <w:t>69</w:t>
            </w:r>
            <w:r w:rsidR="007A41C1">
              <w:rPr>
                <w:noProof/>
                <w:webHidden/>
              </w:rPr>
              <w:fldChar w:fldCharType="end"/>
            </w:r>
          </w:hyperlink>
        </w:p>
        <w:p w14:paraId="05F4C1B8" w14:textId="25DFB7B3" w:rsidR="007A41C1" w:rsidRDefault="00D36B17">
          <w:pPr>
            <w:pStyle w:val="TDC1"/>
            <w:tabs>
              <w:tab w:val="right" w:leader="dot" w:pos="9395"/>
            </w:tabs>
            <w:rPr>
              <w:rFonts w:cstheme="minorBidi"/>
              <w:noProof/>
            </w:rPr>
          </w:pPr>
          <w:hyperlink w:anchor="_Toc67589099" w:history="1">
            <w:r w:rsidR="007A41C1" w:rsidRPr="0067231E">
              <w:rPr>
                <w:rStyle w:val="Hipervnculo"/>
                <w:noProof/>
              </w:rPr>
              <w:t>2. Resumen del avance de las metas estratégicas de la PGG 2020-2024</w:t>
            </w:r>
            <w:r w:rsidR="007A41C1">
              <w:rPr>
                <w:noProof/>
                <w:webHidden/>
              </w:rPr>
              <w:tab/>
            </w:r>
            <w:r w:rsidR="007A41C1">
              <w:rPr>
                <w:noProof/>
                <w:webHidden/>
              </w:rPr>
              <w:fldChar w:fldCharType="begin"/>
            </w:r>
            <w:r w:rsidR="007A41C1">
              <w:rPr>
                <w:noProof/>
                <w:webHidden/>
              </w:rPr>
              <w:instrText xml:space="preserve"> PAGEREF _Toc67589099 \h </w:instrText>
            </w:r>
            <w:r w:rsidR="007A41C1">
              <w:rPr>
                <w:noProof/>
                <w:webHidden/>
              </w:rPr>
            </w:r>
            <w:r w:rsidR="007A41C1">
              <w:rPr>
                <w:noProof/>
                <w:webHidden/>
              </w:rPr>
              <w:fldChar w:fldCharType="separate"/>
            </w:r>
            <w:r w:rsidR="007A41C1">
              <w:rPr>
                <w:noProof/>
                <w:webHidden/>
              </w:rPr>
              <w:t>77</w:t>
            </w:r>
            <w:r w:rsidR="007A41C1">
              <w:rPr>
                <w:noProof/>
                <w:webHidden/>
              </w:rPr>
              <w:fldChar w:fldCharType="end"/>
            </w:r>
          </w:hyperlink>
        </w:p>
        <w:p w14:paraId="19B86A24" w14:textId="63D640E2" w:rsidR="007A41C1" w:rsidRDefault="00D36B17">
          <w:pPr>
            <w:pStyle w:val="TDC1"/>
            <w:tabs>
              <w:tab w:val="right" w:leader="dot" w:pos="9395"/>
            </w:tabs>
            <w:rPr>
              <w:rFonts w:cstheme="minorBidi"/>
              <w:noProof/>
            </w:rPr>
          </w:pPr>
          <w:hyperlink w:anchor="_Toc67589100" w:history="1">
            <w:r w:rsidR="007A41C1" w:rsidRPr="0067231E">
              <w:rPr>
                <w:rStyle w:val="Hipervnculo"/>
                <w:noProof/>
              </w:rPr>
              <w:t>Conclusiones</w:t>
            </w:r>
            <w:r w:rsidR="007A41C1">
              <w:rPr>
                <w:noProof/>
                <w:webHidden/>
              </w:rPr>
              <w:tab/>
            </w:r>
            <w:r w:rsidR="007A41C1">
              <w:rPr>
                <w:noProof/>
                <w:webHidden/>
              </w:rPr>
              <w:fldChar w:fldCharType="begin"/>
            </w:r>
            <w:r w:rsidR="007A41C1">
              <w:rPr>
                <w:noProof/>
                <w:webHidden/>
              </w:rPr>
              <w:instrText xml:space="preserve"> PAGEREF _Toc67589100 \h </w:instrText>
            </w:r>
            <w:r w:rsidR="007A41C1">
              <w:rPr>
                <w:noProof/>
                <w:webHidden/>
              </w:rPr>
            </w:r>
            <w:r w:rsidR="007A41C1">
              <w:rPr>
                <w:noProof/>
                <w:webHidden/>
              </w:rPr>
              <w:fldChar w:fldCharType="separate"/>
            </w:r>
            <w:r w:rsidR="007A41C1">
              <w:rPr>
                <w:noProof/>
                <w:webHidden/>
              </w:rPr>
              <w:t>83</w:t>
            </w:r>
            <w:r w:rsidR="007A41C1">
              <w:rPr>
                <w:noProof/>
                <w:webHidden/>
              </w:rPr>
              <w:fldChar w:fldCharType="end"/>
            </w:r>
          </w:hyperlink>
        </w:p>
        <w:p w14:paraId="32AF5E77" w14:textId="52CCA6B1" w:rsidR="00DC2646" w:rsidRDefault="00DC2646" w:rsidP="00DC2646">
          <w:pPr>
            <w:rPr>
              <w:b/>
              <w:bCs/>
              <w:lang w:val="es-ES"/>
            </w:rPr>
          </w:pPr>
          <w:r w:rsidRPr="00DC2646">
            <w:rPr>
              <w:rFonts w:ascii="Helvetica" w:hAnsi="Helvetica" w:cs="Helvetica"/>
              <w:b/>
              <w:bCs/>
              <w:sz w:val="24"/>
              <w:szCs w:val="24"/>
              <w:lang w:val="es-ES"/>
            </w:rPr>
            <w:fldChar w:fldCharType="end"/>
          </w:r>
        </w:p>
      </w:sdtContent>
    </w:sdt>
    <w:p w14:paraId="2FFB131A" w14:textId="75856A4C" w:rsidR="00DC2646" w:rsidRDefault="00DC2646" w:rsidP="00DC2646"/>
    <w:p w14:paraId="1A4BEE22" w14:textId="6DFB4007" w:rsidR="003B1BD8" w:rsidRDefault="003B1BD8" w:rsidP="00DC2646"/>
    <w:p w14:paraId="5AD436CA" w14:textId="50B0396C" w:rsidR="003B1BD8" w:rsidRDefault="003B1BD8" w:rsidP="00DC2646"/>
    <w:p w14:paraId="1397B8D5" w14:textId="15F546C7" w:rsidR="00C15B4E" w:rsidRDefault="00C15B4E" w:rsidP="00DC2646"/>
    <w:p w14:paraId="7DA90347" w14:textId="77777777" w:rsidR="00F9694E" w:rsidRDefault="00F9694E" w:rsidP="00DC2646"/>
    <w:p w14:paraId="4738DC72" w14:textId="6B6DDBC6" w:rsidR="00C15B4E" w:rsidRDefault="00C15B4E" w:rsidP="00DC2646"/>
    <w:p w14:paraId="70953D61" w14:textId="28609538" w:rsidR="00C15B4E" w:rsidRDefault="00C15B4E" w:rsidP="00DC2646"/>
    <w:p w14:paraId="1C495D3D" w14:textId="458AA31C" w:rsidR="00C15B4E" w:rsidRDefault="00C15B4E" w:rsidP="00DC2646"/>
    <w:p w14:paraId="72A03A9E" w14:textId="77777777" w:rsidR="00C15B4E" w:rsidRDefault="00C15B4E" w:rsidP="00DC2646"/>
    <w:p w14:paraId="694FB05F" w14:textId="3D1C974F" w:rsidR="00DC2646" w:rsidRDefault="00DC2646" w:rsidP="00DC2646"/>
    <w:p w14:paraId="0CE58074" w14:textId="5B7D91F2" w:rsidR="006936D2" w:rsidRDefault="006936D2" w:rsidP="00DC2646"/>
    <w:p w14:paraId="7B54C667" w14:textId="15B288B2" w:rsidR="006936D2" w:rsidRDefault="006936D2" w:rsidP="00DC2646"/>
    <w:p w14:paraId="3629DB88" w14:textId="245F279F" w:rsidR="0018772F" w:rsidRDefault="0018772F" w:rsidP="00DC2646"/>
    <w:p w14:paraId="06A5A2C7" w14:textId="4AD0777E" w:rsidR="003E1E24" w:rsidRDefault="003E1E24" w:rsidP="003E1E24">
      <w:pPr>
        <w:spacing w:before="120" w:after="120" w:line="240" w:lineRule="auto"/>
        <w:jc w:val="center"/>
        <w:rPr>
          <w:caps/>
        </w:rPr>
      </w:pPr>
      <w:r w:rsidRPr="003E1E24">
        <w:rPr>
          <w:rFonts w:ascii="Helvetica" w:hAnsi="Helvetica" w:cs="Helvetica"/>
          <w:b/>
          <w:bCs/>
          <w:color w:val="2F5496" w:themeColor="accent1" w:themeShade="BF"/>
          <w:sz w:val="24"/>
          <w:szCs w:val="24"/>
        </w:rPr>
        <w:t>Índice de</w:t>
      </w:r>
      <w:r>
        <w:rPr>
          <w:caps/>
        </w:rPr>
        <w:t xml:space="preserve"> </w:t>
      </w:r>
      <w:r w:rsidRPr="003E1E24">
        <w:rPr>
          <w:rFonts w:ascii="Helvetica" w:hAnsi="Helvetica" w:cs="Helvetica"/>
          <w:b/>
          <w:bCs/>
          <w:color w:val="2F5496" w:themeColor="accent1" w:themeShade="BF"/>
          <w:sz w:val="24"/>
          <w:szCs w:val="24"/>
        </w:rPr>
        <w:t>Gráficas</w:t>
      </w:r>
    </w:p>
    <w:p w14:paraId="2951369B" w14:textId="77777777" w:rsidR="003E1E24" w:rsidRDefault="003E1E24">
      <w:pPr>
        <w:pStyle w:val="Tabladeilustraciones"/>
        <w:tabs>
          <w:tab w:val="right" w:leader="dot" w:pos="9395"/>
        </w:tabs>
        <w:rPr>
          <w:caps/>
        </w:rPr>
      </w:pPr>
    </w:p>
    <w:p w14:paraId="6338D4B6" w14:textId="38C7688C" w:rsidR="007A41C1" w:rsidRDefault="000D669E">
      <w:pPr>
        <w:pStyle w:val="Tabladeilustraciones"/>
        <w:tabs>
          <w:tab w:val="right" w:leader="dot" w:pos="9395"/>
        </w:tabs>
        <w:rPr>
          <w:rFonts w:eastAsiaTheme="minorEastAsia" w:cstheme="minorBidi"/>
          <w:i w:val="0"/>
          <w:iCs w:val="0"/>
          <w:noProof/>
          <w:sz w:val="22"/>
          <w:szCs w:val="22"/>
          <w:lang w:eastAsia="es-GT"/>
        </w:rPr>
      </w:pPr>
      <w:r>
        <w:rPr>
          <w:i w:val="0"/>
          <w:iCs w:val="0"/>
          <w:caps/>
        </w:rPr>
        <w:fldChar w:fldCharType="begin"/>
      </w:r>
      <w:r>
        <w:rPr>
          <w:i w:val="0"/>
          <w:iCs w:val="0"/>
          <w:caps/>
        </w:rPr>
        <w:instrText xml:space="preserve"> TOC \h \z \c "Gráfica" </w:instrText>
      </w:r>
      <w:r>
        <w:rPr>
          <w:i w:val="0"/>
          <w:iCs w:val="0"/>
          <w:caps/>
        </w:rPr>
        <w:fldChar w:fldCharType="separate"/>
      </w:r>
      <w:hyperlink w:anchor="_Toc67589101" w:history="1">
        <w:r w:rsidR="007A41C1" w:rsidRPr="001129A8">
          <w:rPr>
            <w:rStyle w:val="Hipervnculo"/>
            <w:rFonts w:eastAsia="Times New Roman"/>
            <w:noProof/>
            <w:lang w:val="es-ES"/>
          </w:rPr>
          <w:t>Gráfica 1, Presupuesto de ingreso municipal, por fuente de financiamiento</w:t>
        </w:r>
        <w:r w:rsidR="007A41C1">
          <w:rPr>
            <w:noProof/>
            <w:webHidden/>
          </w:rPr>
          <w:tab/>
        </w:r>
        <w:r w:rsidR="007A41C1">
          <w:rPr>
            <w:noProof/>
            <w:webHidden/>
          </w:rPr>
          <w:fldChar w:fldCharType="begin"/>
        </w:r>
        <w:r w:rsidR="007A41C1">
          <w:rPr>
            <w:noProof/>
            <w:webHidden/>
          </w:rPr>
          <w:instrText xml:space="preserve"> PAGEREF _Toc67589101 \h </w:instrText>
        </w:r>
        <w:r w:rsidR="007A41C1">
          <w:rPr>
            <w:noProof/>
            <w:webHidden/>
          </w:rPr>
        </w:r>
        <w:r w:rsidR="007A41C1">
          <w:rPr>
            <w:noProof/>
            <w:webHidden/>
          </w:rPr>
          <w:fldChar w:fldCharType="separate"/>
        </w:r>
        <w:r w:rsidR="007A41C1">
          <w:rPr>
            <w:noProof/>
            <w:webHidden/>
          </w:rPr>
          <w:t>6</w:t>
        </w:r>
        <w:r w:rsidR="007A41C1">
          <w:rPr>
            <w:noProof/>
            <w:webHidden/>
          </w:rPr>
          <w:fldChar w:fldCharType="end"/>
        </w:r>
      </w:hyperlink>
    </w:p>
    <w:p w14:paraId="1645432B" w14:textId="6CA4DFE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2" w:history="1">
        <w:r w:rsidR="007A41C1" w:rsidRPr="001129A8">
          <w:rPr>
            <w:rStyle w:val="Hipervnculo"/>
            <w:rFonts w:eastAsia="Times New Roman"/>
            <w:noProof/>
            <w:lang w:val="es-ES"/>
          </w:rPr>
          <w:t>Gráfica 2, Número de Modificaciones al POA 2020, por departamento</w:t>
        </w:r>
        <w:r w:rsidR="007A41C1">
          <w:rPr>
            <w:noProof/>
            <w:webHidden/>
          </w:rPr>
          <w:tab/>
        </w:r>
        <w:r w:rsidR="007A41C1">
          <w:rPr>
            <w:noProof/>
            <w:webHidden/>
          </w:rPr>
          <w:fldChar w:fldCharType="begin"/>
        </w:r>
        <w:r w:rsidR="007A41C1">
          <w:rPr>
            <w:noProof/>
            <w:webHidden/>
          </w:rPr>
          <w:instrText xml:space="preserve"> PAGEREF _Toc67589102 \h </w:instrText>
        </w:r>
        <w:r w:rsidR="007A41C1">
          <w:rPr>
            <w:noProof/>
            <w:webHidden/>
          </w:rPr>
        </w:r>
        <w:r w:rsidR="007A41C1">
          <w:rPr>
            <w:noProof/>
            <w:webHidden/>
          </w:rPr>
          <w:fldChar w:fldCharType="separate"/>
        </w:r>
        <w:r w:rsidR="007A41C1">
          <w:rPr>
            <w:noProof/>
            <w:webHidden/>
          </w:rPr>
          <w:t>44</w:t>
        </w:r>
        <w:r w:rsidR="007A41C1">
          <w:rPr>
            <w:noProof/>
            <w:webHidden/>
          </w:rPr>
          <w:fldChar w:fldCharType="end"/>
        </w:r>
      </w:hyperlink>
    </w:p>
    <w:p w14:paraId="7A2E90C6" w14:textId="515EC782"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3" w:history="1">
        <w:r w:rsidR="007A41C1" w:rsidRPr="001129A8">
          <w:rPr>
            <w:rStyle w:val="Hipervnculo"/>
            <w:rFonts w:eastAsia="Times New Roman"/>
            <w:noProof/>
            <w:lang w:val="es-ES"/>
          </w:rPr>
          <w:t>Gráfica 3, Porcentaje recursos ejecutados por COVID 19, municipalidades</w:t>
        </w:r>
        <w:r w:rsidR="007A41C1">
          <w:rPr>
            <w:noProof/>
            <w:webHidden/>
          </w:rPr>
          <w:tab/>
        </w:r>
        <w:r w:rsidR="007A41C1">
          <w:rPr>
            <w:noProof/>
            <w:webHidden/>
          </w:rPr>
          <w:fldChar w:fldCharType="begin"/>
        </w:r>
        <w:r w:rsidR="007A41C1">
          <w:rPr>
            <w:noProof/>
            <w:webHidden/>
          </w:rPr>
          <w:instrText xml:space="preserve"> PAGEREF _Toc67589103 \h </w:instrText>
        </w:r>
        <w:r w:rsidR="007A41C1">
          <w:rPr>
            <w:noProof/>
            <w:webHidden/>
          </w:rPr>
        </w:r>
        <w:r w:rsidR="007A41C1">
          <w:rPr>
            <w:noProof/>
            <w:webHidden/>
          </w:rPr>
          <w:fldChar w:fldCharType="separate"/>
        </w:r>
        <w:r w:rsidR="007A41C1">
          <w:rPr>
            <w:noProof/>
            <w:webHidden/>
          </w:rPr>
          <w:t>45</w:t>
        </w:r>
        <w:r w:rsidR="007A41C1">
          <w:rPr>
            <w:noProof/>
            <w:webHidden/>
          </w:rPr>
          <w:fldChar w:fldCharType="end"/>
        </w:r>
      </w:hyperlink>
    </w:p>
    <w:p w14:paraId="6774F90F" w14:textId="540D2215"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4" w:history="1">
        <w:r w:rsidR="007A41C1" w:rsidRPr="001129A8">
          <w:rPr>
            <w:rStyle w:val="Hipervnculo"/>
            <w:rFonts w:eastAsia="Times New Roman"/>
            <w:noProof/>
            <w:lang w:val="es-ES"/>
          </w:rPr>
          <w:t xml:space="preserve">Gráfica 4, Proyectos registrados y con asignación a nivel nacional  </w:t>
        </w:r>
        <w:r w:rsidR="007A41C1" w:rsidRPr="001129A8">
          <w:rPr>
            <w:rStyle w:val="Hipervnculo"/>
            <w:noProof/>
          </w:rPr>
          <w:t>Ejercicio Fiscal 2020</w:t>
        </w:r>
        <w:r w:rsidR="007A41C1">
          <w:rPr>
            <w:noProof/>
            <w:webHidden/>
          </w:rPr>
          <w:tab/>
        </w:r>
        <w:r w:rsidR="007A41C1">
          <w:rPr>
            <w:noProof/>
            <w:webHidden/>
          </w:rPr>
          <w:fldChar w:fldCharType="begin"/>
        </w:r>
        <w:r w:rsidR="007A41C1">
          <w:rPr>
            <w:noProof/>
            <w:webHidden/>
          </w:rPr>
          <w:instrText xml:space="preserve"> PAGEREF _Toc67589104 \h </w:instrText>
        </w:r>
        <w:r w:rsidR="007A41C1">
          <w:rPr>
            <w:noProof/>
            <w:webHidden/>
          </w:rPr>
        </w:r>
        <w:r w:rsidR="007A41C1">
          <w:rPr>
            <w:noProof/>
            <w:webHidden/>
          </w:rPr>
          <w:fldChar w:fldCharType="separate"/>
        </w:r>
        <w:r w:rsidR="007A41C1">
          <w:rPr>
            <w:noProof/>
            <w:webHidden/>
          </w:rPr>
          <w:t>48</w:t>
        </w:r>
        <w:r w:rsidR="007A41C1">
          <w:rPr>
            <w:noProof/>
            <w:webHidden/>
          </w:rPr>
          <w:fldChar w:fldCharType="end"/>
        </w:r>
      </w:hyperlink>
    </w:p>
    <w:p w14:paraId="0D839B7B" w14:textId="5CB6C2E3"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5" w:history="1">
        <w:r w:rsidR="007A41C1" w:rsidRPr="001129A8">
          <w:rPr>
            <w:rStyle w:val="Hipervnculo"/>
            <w:noProof/>
          </w:rPr>
          <w:t>Gráfica 5, Seguimiento mensual acumulado de proyectos aprobados registrados,</w:t>
        </w:r>
        <w:r w:rsidR="007A41C1">
          <w:rPr>
            <w:noProof/>
            <w:webHidden/>
          </w:rPr>
          <w:tab/>
        </w:r>
        <w:r w:rsidR="007A41C1">
          <w:rPr>
            <w:noProof/>
            <w:webHidden/>
          </w:rPr>
          <w:fldChar w:fldCharType="begin"/>
        </w:r>
        <w:r w:rsidR="007A41C1">
          <w:rPr>
            <w:noProof/>
            <w:webHidden/>
          </w:rPr>
          <w:instrText xml:space="preserve"> PAGEREF _Toc67589105 \h </w:instrText>
        </w:r>
        <w:r w:rsidR="007A41C1">
          <w:rPr>
            <w:noProof/>
            <w:webHidden/>
          </w:rPr>
        </w:r>
        <w:r w:rsidR="007A41C1">
          <w:rPr>
            <w:noProof/>
            <w:webHidden/>
          </w:rPr>
          <w:fldChar w:fldCharType="separate"/>
        </w:r>
        <w:r w:rsidR="007A41C1">
          <w:rPr>
            <w:noProof/>
            <w:webHidden/>
          </w:rPr>
          <w:t>50</w:t>
        </w:r>
        <w:r w:rsidR="007A41C1">
          <w:rPr>
            <w:noProof/>
            <w:webHidden/>
          </w:rPr>
          <w:fldChar w:fldCharType="end"/>
        </w:r>
      </w:hyperlink>
    </w:p>
    <w:p w14:paraId="0CF067CC" w14:textId="6EC7B8AA"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6" w:history="1">
        <w:r w:rsidR="007A41C1" w:rsidRPr="001129A8">
          <w:rPr>
            <w:rStyle w:val="Hipervnculo"/>
            <w:noProof/>
          </w:rPr>
          <w:t>Gráfica 6, Proyectos registrados, con asignación y ejecución,</w:t>
        </w:r>
        <w:r w:rsidR="007A41C1">
          <w:rPr>
            <w:noProof/>
            <w:webHidden/>
          </w:rPr>
          <w:tab/>
        </w:r>
        <w:r w:rsidR="007A41C1">
          <w:rPr>
            <w:noProof/>
            <w:webHidden/>
          </w:rPr>
          <w:fldChar w:fldCharType="begin"/>
        </w:r>
        <w:r w:rsidR="007A41C1">
          <w:rPr>
            <w:noProof/>
            <w:webHidden/>
          </w:rPr>
          <w:instrText xml:space="preserve"> PAGEREF _Toc67589106 \h </w:instrText>
        </w:r>
        <w:r w:rsidR="007A41C1">
          <w:rPr>
            <w:noProof/>
            <w:webHidden/>
          </w:rPr>
        </w:r>
        <w:r w:rsidR="007A41C1">
          <w:rPr>
            <w:noProof/>
            <w:webHidden/>
          </w:rPr>
          <w:fldChar w:fldCharType="separate"/>
        </w:r>
        <w:r w:rsidR="007A41C1">
          <w:rPr>
            <w:noProof/>
            <w:webHidden/>
          </w:rPr>
          <w:t>52</w:t>
        </w:r>
        <w:r w:rsidR="007A41C1">
          <w:rPr>
            <w:noProof/>
            <w:webHidden/>
          </w:rPr>
          <w:fldChar w:fldCharType="end"/>
        </w:r>
      </w:hyperlink>
    </w:p>
    <w:p w14:paraId="7DCAB3BB" w14:textId="08DF82F1"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7" w:history="1">
        <w:r w:rsidR="007A41C1" w:rsidRPr="001129A8">
          <w:rPr>
            <w:rStyle w:val="Hipervnculo"/>
            <w:noProof/>
          </w:rPr>
          <w:t>Gráfica 7, Seguimiento mensual del total de proyectos</w:t>
        </w:r>
        <w:r w:rsidR="007A41C1">
          <w:rPr>
            <w:noProof/>
            <w:webHidden/>
          </w:rPr>
          <w:tab/>
        </w:r>
        <w:r w:rsidR="007A41C1">
          <w:rPr>
            <w:noProof/>
            <w:webHidden/>
          </w:rPr>
          <w:fldChar w:fldCharType="begin"/>
        </w:r>
        <w:r w:rsidR="007A41C1">
          <w:rPr>
            <w:noProof/>
            <w:webHidden/>
          </w:rPr>
          <w:instrText xml:space="preserve"> PAGEREF _Toc67589107 \h </w:instrText>
        </w:r>
        <w:r w:rsidR="007A41C1">
          <w:rPr>
            <w:noProof/>
            <w:webHidden/>
          </w:rPr>
        </w:r>
        <w:r w:rsidR="007A41C1">
          <w:rPr>
            <w:noProof/>
            <w:webHidden/>
          </w:rPr>
          <w:fldChar w:fldCharType="separate"/>
        </w:r>
        <w:r w:rsidR="007A41C1">
          <w:rPr>
            <w:noProof/>
            <w:webHidden/>
          </w:rPr>
          <w:t>53</w:t>
        </w:r>
        <w:r w:rsidR="007A41C1">
          <w:rPr>
            <w:noProof/>
            <w:webHidden/>
          </w:rPr>
          <w:fldChar w:fldCharType="end"/>
        </w:r>
      </w:hyperlink>
    </w:p>
    <w:p w14:paraId="645DF6BB" w14:textId="083F780F"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8" w:history="1">
        <w:r w:rsidR="007A41C1" w:rsidRPr="001129A8">
          <w:rPr>
            <w:rStyle w:val="Hipervnculo"/>
            <w:noProof/>
          </w:rPr>
          <w:t>Gráfica 8, Inversión asignada y ejecutada acumulada mensual</w:t>
        </w:r>
        <w:r w:rsidR="007A41C1">
          <w:rPr>
            <w:noProof/>
            <w:webHidden/>
          </w:rPr>
          <w:tab/>
        </w:r>
        <w:r w:rsidR="007A41C1">
          <w:rPr>
            <w:noProof/>
            <w:webHidden/>
          </w:rPr>
          <w:fldChar w:fldCharType="begin"/>
        </w:r>
        <w:r w:rsidR="007A41C1">
          <w:rPr>
            <w:noProof/>
            <w:webHidden/>
          </w:rPr>
          <w:instrText xml:space="preserve"> PAGEREF _Toc67589108 \h </w:instrText>
        </w:r>
        <w:r w:rsidR="007A41C1">
          <w:rPr>
            <w:noProof/>
            <w:webHidden/>
          </w:rPr>
        </w:r>
        <w:r w:rsidR="007A41C1">
          <w:rPr>
            <w:noProof/>
            <w:webHidden/>
          </w:rPr>
          <w:fldChar w:fldCharType="separate"/>
        </w:r>
        <w:r w:rsidR="007A41C1">
          <w:rPr>
            <w:noProof/>
            <w:webHidden/>
          </w:rPr>
          <w:t>55</w:t>
        </w:r>
        <w:r w:rsidR="007A41C1">
          <w:rPr>
            <w:noProof/>
            <w:webHidden/>
          </w:rPr>
          <w:fldChar w:fldCharType="end"/>
        </w:r>
      </w:hyperlink>
    </w:p>
    <w:p w14:paraId="03CF500F" w14:textId="27CDC0EC"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09" w:history="1">
        <w:r w:rsidR="007A41C1" w:rsidRPr="001129A8">
          <w:rPr>
            <w:rStyle w:val="Hipervnculo"/>
            <w:noProof/>
            <w:lang w:eastAsia="es-GT"/>
          </w:rPr>
          <w:t>Gráfica 9, Presupuesto de donaciones</w:t>
        </w:r>
        <w:r w:rsidR="007A41C1">
          <w:rPr>
            <w:noProof/>
            <w:webHidden/>
          </w:rPr>
          <w:tab/>
        </w:r>
        <w:r w:rsidR="007A41C1">
          <w:rPr>
            <w:noProof/>
            <w:webHidden/>
          </w:rPr>
          <w:fldChar w:fldCharType="begin"/>
        </w:r>
        <w:r w:rsidR="007A41C1">
          <w:rPr>
            <w:noProof/>
            <w:webHidden/>
          </w:rPr>
          <w:instrText xml:space="preserve"> PAGEREF _Toc67589109 \h </w:instrText>
        </w:r>
        <w:r w:rsidR="007A41C1">
          <w:rPr>
            <w:noProof/>
            <w:webHidden/>
          </w:rPr>
        </w:r>
        <w:r w:rsidR="007A41C1">
          <w:rPr>
            <w:noProof/>
            <w:webHidden/>
          </w:rPr>
          <w:fldChar w:fldCharType="separate"/>
        </w:r>
        <w:r w:rsidR="007A41C1">
          <w:rPr>
            <w:noProof/>
            <w:webHidden/>
          </w:rPr>
          <w:t>60</w:t>
        </w:r>
        <w:r w:rsidR="007A41C1">
          <w:rPr>
            <w:noProof/>
            <w:webHidden/>
          </w:rPr>
          <w:fldChar w:fldCharType="end"/>
        </w:r>
      </w:hyperlink>
    </w:p>
    <w:p w14:paraId="433F070C" w14:textId="49EBF02F"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0" w:history="1">
        <w:r w:rsidR="007A41C1" w:rsidRPr="001129A8">
          <w:rPr>
            <w:rStyle w:val="Hipervnculo"/>
            <w:noProof/>
            <w:lang w:eastAsia="es-GT"/>
          </w:rPr>
          <w:t>Gráfica 10, Presupuesto de Donaciones diciembre 2020</w:t>
        </w:r>
        <w:r w:rsidR="007A41C1">
          <w:rPr>
            <w:noProof/>
            <w:webHidden/>
          </w:rPr>
          <w:tab/>
        </w:r>
        <w:r w:rsidR="007A41C1">
          <w:rPr>
            <w:noProof/>
            <w:webHidden/>
          </w:rPr>
          <w:fldChar w:fldCharType="begin"/>
        </w:r>
        <w:r w:rsidR="007A41C1">
          <w:rPr>
            <w:noProof/>
            <w:webHidden/>
          </w:rPr>
          <w:instrText xml:space="preserve"> PAGEREF _Toc67589110 \h </w:instrText>
        </w:r>
        <w:r w:rsidR="007A41C1">
          <w:rPr>
            <w:noProof/>
            <w:webHidden/>
          </w:rPr>
        </w:r>
        <w:r w:rsidR="007A41C1">
          <w:rPr>
            <w:noProof/>
            <w:webHidden/>
          </w:rPr>
          <w:fldChar w:fldCharType="separate"/>
        </w:r>
        <w:r w:rsidR="007A41C1">
          <w:rPr>
            <w:noProof/>
            <w:webHidden/>
          </w:rPr>
          <w:t>64</w:t>
        </w:r>
        <w:r w:rsidR="007A41C1">
          <w:rPr>
            <w:noProof/>
            <w:webHidden/>
          </w:rPr>
          <w:fldChar w:fldCharType="end"/>
        </w:r>
      </w:hyperlink>
    </w:p>
    <w:p w14:paraId="63FE28A8" w14:textId="00931B4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1" w:history="1">
        <w:r w:rsidR="007A41C1" w:rsidRPr="001129A8">
          <w:rPr>
            <w:rStyle w:val="Hipervnculo"/>
            <w:noProof/>
            <w:lang w:eastAsia="es-GT"/>
          </w:rPr>
          <w:t>Gráfica 11, Presupuesto de donaciones Asignado</w:t>
        </w:r>
        <w:r w:rsidR="007A41C1">
          <w:rPr>
            <w:noProof/>
            <w:webHidden/>
          </w:rPr>
          <w:tab/>
        </w:r>
        <w:r w:rsidR="007A41C1">
          <w:rPr>
            <w:noProof/>
            <w:webHidden/>
          </w:rPr>
          <w:fldChar w:fldCharType="begin"/>
        </w:r>
        <w:r w:rsidR="007A41C1">
          <w:rPr>
            <w:noProof/>
            <w:webHidden/>
          </w:rPr>
          <w:instrText xml:space="preserve"> PAGEREF _Toc67589111 \h </w:instrText>
        </w:r>
        <w:r w:rsidR="007A41C1">
          <w:rPr>
            <w:noProof/>
            <w:webHidden/>
          </w:rPr>
        </w:r>
        <w:r w:rsidR="007A41C1">
          <w:rPr>
            <w:noProof/>
            <w:webHidden/>
          </w:rPr>
          <w:fldChar w:fldCharType="separate"/>
        </w:r>
        <w:r w:rsidR="007A41C1">
          <w:rPr>
            <w:noProof/>
            <w:webHidden/>
          </w:rPr>
          <w:t>67</w:t>
        </w:r>
        <w:r w:rsidR="007A41C1">
          <w:rPr>
            <w:noProof/>
            <w:webHidden/>
          </w:rPr>
          <w:fldChar w:fldCharType="end"/>
        </w:r>
      </w:hyperlink>
    </w:p>
    <w:p w14:paraId="286A91F2" w14:textId="2FAE9157"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2" w:history="1">
        <w:r w:rsidR="007A41C1" w:rsidRPr="001129A8">
          <w:rPr>
            <w:rStyle w:val="Hipervnculo"/>
            <w:noProof/>
            <w:lang w:eastAsia="es-GT"/>
          </w:rPr>
          <w:t>Gráfica 12, Ejecución 4 fuentes cooperantes - vigente –</w:t>
        </w:r>
        <w:r w:rsidR="007A41C1">
          <w:rPr>
            <w:noProof/>
            <w:webHidden/>
          </w:rPr>
          <w:tab/>
        </w:r>
        <w:r w:rsidR="007A41C1">
          <w:rPr>
            <w:noProof/>
            <w:webHidden/>
          </w:rPr>
          <w:fldChar w:fldCharType="begin"/>
        </w:r>
        <w:r w:rsidR="007A41C1">
          <w:rPr>
            <w:noProof/>
            <w:webHidden/>
          </w:rPr>
          <w:instrText xml:space="preserve"> PAGEREF _Toc67589112 \h </w:instrText>
        </w:r>
        <w:r w:rsidR="007A41C1">
          <w:rPr>
            <w:noProof/>
            <w:webHidden/>
          </w:rPr>
        </w:r>
        <w:r w:rsidR="007A41C1">
          <w:rPr>
            <w:noProof/>
            <w:webHidden/>
          </w:rPr>
          <w:fldChar w:fldCharType="separate"/>
        </w:r>
        <w:r w:rsidR="007A41C1">
          <w:rPr>
            <w:noProof/>
            <w:webHidden/>
          </w:rPr>
          <w:t>67</w:t>
        </w:r>
        <w:r w:rsidR="007A41C1">
          <w:rPr>
            <w:noProof/>
            <w:webHidden/>
          </w:rPr>
          <w:fldChar w:fldCharType="end"/>
        </w:r>
      </w:hyperlink>
    </w:p>
    <w:p w14:paraId="1B6DAD62" w14:textId="4E4A0002"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3" w:history="1">
        <w:r w:rsidR="007A41C1" w:rsidRPr="001129A8">
          <w:rPr>
            <w:rStyle w:val="Hipervnculo"/>
            <w:noProof/>
            <w:lang w:eastAsia="es-GT"/>
          </w:rPr>
          <w:t>Gráfica 13, Distribución del presupuesto asignado - vigente –</w:t>
        </w:r>
        <w:r w:rsidR="007A41C1">
          <w:rPr>
            <w:noProof/>
            <w:webHidden/>
          </w:rPr>
          <w:tab/>
        </w:r>
        <w:r w:rsidR="007A41C1">
          <w:rPr>
            <w:noProof/>
            <w:webHidden/>
          </w:rPr>
          <w:fldChar w:fldCharType="begin"/>
        </w:r>
        <w:r w:rsidR="007A41C1">
          <w:rPr>
            <w:noProof/>
            <w:webHidden/>
          </w:rPr>
          <w:instrText xml:space="preserve"> PAGEREF _Toc67589113 \h </w:instrText>
        </w:r>
        <w:r w:rsidR="007A41C1">
          <w:rPr>
            <w:noProof/>
            <w:webHidden/>
          </w:rPr>
        </w:r>
        <w:r w:rsidR="007A41C1">
          <w:rPr>
            <w:noProof/>
            <w:webHidden/>
          </w:rPr>
          <w:fldChar w:fldCharType="separate"/>
        </w:r>
        <w:r w:rsidR="007A41C1">
          <w:rPr>
            <w:noProof/>
            <w:webHidden/>
          </w:rPr>
          <w:t>68</w:t>
        </w:r>
        <w:r w:rsidR="007A41C1">
          <w:rPr>
            <w:noProof/>
            <w:webHidden/>
          </w:rPr>
          <w:fldChar w:fldCharType="end"/>
        </w:r>
      </w:hyperlink>
    </w:p>
    <w:p w14:paraId="733F2CD5" w14:textId="59A1527B" w:rsidR="0018772F" w:rsidRDefault="000D669E" w:rsidP="00DC2646">
      <w:r>
        <w:rPr>
          <w:rFonts w:cstheme="minorHAnsi"/>
          <w:i/>
          <w:iCs/>
          <w:caps/>
          <w:sz w:val="20"/>
          <w:szCs w:val="20"/>
        </w:rPr>
        <w:fldChar w:fldCharType="end"/>
      </w:r>
    </w:p>
    <w:p w14:paraId="09E4E757" w14:textId="17A04653" w:rsidR="0018772F" w:rsidRDefault="0018772F" w:rsidP="00DC2646"/>
    <w:p w14:paraId="7AB69D77" w14:textId="76187371" w:rsidR="0018772F" w:rsidRPr="001A3760" w:rsidRDefault="001A3760" w:rsidP="001A3760">
      <w:pPr>
        <w:spacing w:before="120" w:after="120" w:line="240" w:lineRule="auto"/>
        <w:jc w:val="center"/>
        <w:rPr>
          <w:rFonts w:ascii="Helvetica" w:hAnsi="Helvetica" w:cs="Helvetica"/>
          <w:b/>
          <w:bCs/>
          <w:color w:val="2F5496" w:themeColor="accent1" w:themeShade="BF"/>
          <w:sz w:val="24"/>
          <w:szCs w:val="24"/>
        </w:rPr>
      </w:pPr>
      <w:r w:rsidRPr="001A3760">
        <w:rPr>
          <w:rFonts w:ascii="Helvetica" w:hAnsi="Helvetica" w:cs="Helvetica"/>
          <w:b/>
          <w:bCs/>
          <w:color w:val="2F5496" w:themeColor="accent1" w:themeShade="BF"/>
          <w:sz w:val="24"/>
          <w:szCs w:val="24"/>
        </w:rPr>
        <w:t>Índice de Tablas</w:t>
      </w:r>
    </w:p>
    <w:p w14:paraId="0E20B2D7" w14:textId="550B516C" w:rsidR="007A41C1" w:rsidRDefault="001A3760">
      <w:pPr>
        <w:pStyle w:val="Tabladeilustraciones"/>
        <w:tabs>
          <w:tab w:val="right" w:leader="dot" w:pos="9395"/>
        </w:tabs>
        <w:rPr>
          <w:rFonts w:eastAsiaTheme="minorEastAsia" w:cstheme="minorBidi"/>
          <w:i w:val="0"/>
          <w:iCs w:val="0"/>
          <w:noProof/>
          <w:sz w:val="22"/>
          <w:szCs w:val="22"/>
          <w:lang w:eastAsia="es-GT"/>
        </w:rPr>
      </w:pPr>
      <w:r>
        <w:rPr>
          <w:i w:val="0"/>
          <w:iCs w:val="0"/>
        </w:rPr>
        <w:fldChar w:fldCharType="begin"/>
      </w:r>
      <w:r>
        <w:rPr>
          <w:i w:val="0"/>
          <w:iCs w:val="0"/>
        </w:rPr>
        <w:instrText xml:space="preserve"> TOC \h \z \c "Tabla" </w:instrText>
      </w:r>
      <w:r>
        <w:rPr>
          <w:i w:val="0"/>
          <w:iCs w:val="0"/>
        </w:rPr>
        <w:fldChar w:fldCharType="separate"/>
      </w:r>
      <w:hyperlink w:anchor="_Toc67589114" w:history="1">
        <w:r w:rsidR="007A41C1" w:rsidRPr="0019018C">
          <w:rPr>
            <w:rStyle w:val="Hipervnculo"/>
            <w:rFonts w:eastAsia="Times New Roman"/>
            <w:noProof/>
            <w:lang w:val="es-ES"/>
          </w:rPr>
          <w:t>Tabla 1, Presupuesto General de Egresos del Estado 2020</w:t>
        </w:r>
        <w:r w:rsidR="007A41C1">
          <w:rPr>
            <w:noProof/>
            <w:webHidden/>
          </w:rPr>
          <w:tab/>
        </w:r>
        <w:r w:rsidR="007A41C1">
          <w:rPr>
            <w:noProof/>
            <w:webHidden/>
          </w:rPr>
          <w:fldChar w:fldCharType="begin"/>
        </w:r>
        <w:r w:rsidR="007A41C1">
          <w:rPr>
            <w:noProof/>
            <w:webHidden/>
          </w:rPr>
          <w:instrText xml:space="preserve"> PAGEREF _Toc67589114 \h </w:instrText>
        </w:r>
        <w:r w:rsidR="007A41C1">
          <w:rPr>
            <w:noProof/>
            <w:webHidden/>
          </w:rPr>
        </w:r>
        <w:r w:rsidR="007A41C1">
          <w:rPr>
            <w:noProof/>
            <w:webHidden/>
          </w:rPr>
          <w:fldChar w:fldCharType="separate"/>
        </w:r>
        <w:r w:rsidR="007A41C1">
          <w:rPr>
            <w:noProof/>
            <w:webHidden/>
          </w:rPr>
          <w:t>4</w:t>
        </w:r>
        <w:r w:rsidR="007A41C1">
          <w:rPr>
            <w:noProof/>
            <w:webHidden/>
          </w:rPr>
          <w:fldChar w:fldCharType="end"/>
        </w:r>
      </w:hyperlink>
    </w:p>
    <w:p w14:paraId="177995F5" w14:textId="5BC1EBC7"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5" w:history="1">
        <w:r w:rsidR="007A41C1" w:rsidRPr="0019018C">
          <w:rPr>
            <w:rStyle w:val="Hipervnculo"/>
            <w:rFonts w:eastAsia="Times New Roman"/>
            <w:noProof/>
            <w:lang w:val="es-ES"/>
          </w:rPr>
          <w:t>Tabla 2, Ejecución Presupuestaria de Egresos Municipales año 2020</w:t>
        </w:r>
        <w:r w:rsidR="007A41C1">
          <w:rPr>
            <w:noProof/>
            <w:webHidden/>
          </w:rPr>
          <w:tab/>
        </w:r>
        <w:r w:rsidR="007A41C1">
          <w:rPr>
            <w:noProof/>
            <w:webHidden/>
          </w:rPr>
          <w:fldChar w:fldCharType="begin"/>
        </w:r>
        <w:r w:rsidR="007A41C1">
          <w:rPr>
            <w:noProof/>
            <w:webHidden/>
          </w:rPr>
          <w:instrText xml:space="preserve"> PAGEREF _Toc67589115 \h </w:instrText>
        </w:r>
        <w:r w:rsidR="007A41C1">
          <w:rPr>
            <w:noProof/>
            <w:webHidden/>
          </w:rPr>
        </w:r>
        <w:r w:rsidR="007A41C1">
          <w:rPr>
            <w:noProof/>
            <w:webHidden/>
          </w:rPr>
          <w:fldChar w:fldCharType="separate"/>
        </w:r>
        <w:r w:rsidR="007A41C1">
          <w:rPr>
            <w:noProof/>
            <w:webHidden/>
          </w:rPr>
          <w:t>5</w:t>
        </w:r>
        <w:r w:rsidR="007A41C1">
          <w:rPr>
            <w:noProof/>
            <w:webHidden/>
          </w:rPr>
          <w:fldChar w:fldCharType="end"/>
        </w:r>
      </w:hyperlink>
    </w:p>
    <w:p w14:paraId="2E7AA628" w14:textId="69B99D8D"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6" w:history="1">
        <w:r w:rsidR="007A41C1" w:rsidRPr="0019018C">
          <w:rPr>
            <w:rStyle w:val="Hipervnculo"/>
            <w:rFonts w:eastAsia="Times New Roman"/>
            <w:noProof/>
            <w:lang w:val="es-ES"/>
          </w:rPr>
          <w:t>Tabla 3, Ejecución financiera Ministerios 2020</w:t>
        </w:r>
        <w:r w:rsidR="007A41C1">
          <w:rPr>
            <w:noProof/>
            <w:webHidden/>
          </w:rPr>
          <w:tab/>
        </w:r>
        <w:r w:rsidR="007A41C1">
          <w:rPr>
            <w:noProof/>
            <w:webHidden/>
          </w:rPr>
          <w:fldChar w:fldCharType="begin"/>
        </w:r>
        <w:r w:rsidR="007A41C1">
          <w:rPr>
            <w:noProof/>
            <w:webHidden/>
          </w:rPr>
          <w:instrText xml:space="preserve"> PAGEREF _Toc67589116 \h </w:instrText>
        </w:r>
        <w:r w:rsidR="007A41C1">
          <w:rPr>
            <w:noProof/>
            <w:webHidden/>
          </w:rPr>
        </w:r>
        <w:r w:rsidR="007A41C1">
          <w:rPr>
            <w:noProof/>
            <w:webHidden/>
          </w:rPr>
          <w:fldChar w:fldCharType="separate"/>
        </w:r>
        <w:r w:rsidR="007A41C1">
          <w:rPr>
            <w:noProof/>
            <w:webHidden/>
          </w:rPr>
          <w:t>8</w:t>
        </w:r>
        <w:r w:rsidR="007A41C1">
          <w:rPr>
            <w:noProof/>
            <w:webHidden/>
          </w:rPr>
          <w:fldChar w:fldCharType="end"/>
        </w:r>
      </w:hyperlink>
    </w:p>
    <w:p w14:paraId="32451151" w14:textId="57FC2CAB"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7" w:history="1">
        <w:r w:rsidR="007A41C1" w:rsidRPr="0019018C">
          <w:rPr>
            <w:rStyle w:val="Hipervnculo"/>
            <w:rFonts w:eastAsia="Times New Roman"/>
            <w:noProof/>
            <w:lang w:val="es-ES"/>
          </w:rPr>
          <w:t>Tabla 4, Ejecución financiera Secretarías 2020</w:t>
        </w:r>
        <w:r w:rsidR="007A41C1">
          <w:rPr>
            <w:noProof/>
            <w:webHidden/>
          </w:rPr>
          <w:tab/>
        </w:r>
        <w:r w:rsidR="007A41C1">
          <w:rPr>
            <w:noProof/>
            <w:webHidden/>
          </w:rPr>
          <w:fldChar w:fldCharType="begin"/>
        </w:r>
        <w:r w:rsidR="007A41C1">
          <w:rPr>
            <w:noProof/>
            <w:webHidden/>
          </w:rPr>
          <w:instrText xml:space="preserve"> PAGEREF _Toc67589117 \h </w:instrText>
        </w:r>
        <w:r w:rsidR="007A41C1">
          <w:rPr>
            <w:noProof/>
            <w:webHidden/>
          </w:rPr>
        </w:r>
        <w:r w:rsidR="007A41C1">
          <w:rPr>
            <w:noProof/>
            <w:webHidden/>
          </w:rPr>
          <w:fldChar w:fldCharType="separate"/>
        </w:r>
        <w:r w:rsidR="007A41C1">
          <w:rPr>
            <w:noProof/>
            <w:webHidden/>
          </w:rPr>
          <w:t>11</w:t>
        </w:r>
        <w:r w:rsidR="007A41C1">
          <w:rPr>
            <w:noProof/>
            <w:webHidden/>
          </w:rPr>
          <w:fldChar w:fldCharType="end"/>
        </w:r>
      </w:hyperlink>
    </w:p>
    <w:p w14:paraId="1EB62087" w14:textId="32F3C43C"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8" w:history="1">
        <w:r w:rsidR="007A41C1" w:rsidRPr="0019018C">
          <w:rPr>
            <w:rStyle w:val="Hipervnculo"/>
            <w:rFonts w:eastAsia="Times New Roman"/>
            <w:noProof/>
            <w:lang w:val="es-ES"/>
          </w:rPr>
          <w:t>Tabla 5, Ejecución financiera Entidades Descentralizadas y Autónomas 2020</w:t>
        </w:r>
        <w:r w:rsidR="007A41C1">
          <w:rPr>
            <w:noProof/>
            <w:webHidden/>
          </w:rPr>
          <w:tab/>
        </w:r>
        <w:r w:rsidR="007A41C1">
          <w:rPr>
            <w:noProof/>
            <w:webHidden/>
          </w:rPr>
          <w:fldChar w:fldCharType="begin"/>
        </w:r>
        <w:r w:rsidR="007A41C1">
          <w:rPr>
            <w:noProof/>
            <w:webHidden/>
          </w:rPr>
          <w:instrText xml:space="preserve"> PAGEREF _Toc67589118 \h </w:instrText>
        </w:r>
        <w:r w:rsidR="007A41C1">
          <w:rPr>
            <w:noProof/>
            <w:webHidden/>
          </w:rPr>
        </w:r>
        <w:r w:rsidR="007A41C1">
          <w:rPr>
            <w:noProof/>
            <w:webHidden/>
          </w:rPr>
          <w:fldChar w:fldCharType="separate"/>
        </w:r>
        <w:r w:rsidR="007A41C1">
          <w:rPr>
            <w:noProof/>
            <w:webHidden/>
          </w:rPr>
          <w:t>14</w:t>
        </w:r>
        <w:r w:rsidR="007A41C1">
          <w:rPr>
            <w:noProof/>
            <w:webHidden/>
          </w:rPr>
          <w:fldChar w:fldCharType="end"/>
        </w:r>
      </w:hyperlink>
    </w:p>
    <w:p w14:paraId="4C0A9530" w14:textId="7BD3A359"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19" w:history="1">
        <w:r w:rsidR="007A41C1" w:rsidRPr="0019018C">
          <w:rPr>
            <w:rStyle w:val="Hipervnculo"/>
            <w:rFonts w:eastAsia="Times New Roman"/>
            <w:noProof/>
            <w:lang w:val="es-ES"/>
          </w:rPr>
          <w:t>Tabla 6, Ejecución financiera Federaciones Deportivas Nacionales 2020</w:t>
        </w:r>
        <w:r w:rsidR="007A41C1">
          <w:rPr>
            <w:noProof/>
            <w:webHidden/>
          </w:rPr>
          <w:tab/>
        </w:r>
        <w:r w:rsidR="007A41C1">
          <w:rPr>
            <w:noProof/>
            <w:webHidden/>
          </w:rPr>
          <w:fldChar w:fldCharType="begin"/>
        </w:r>
        <w:r w:rsidR="007A41C1">
          <w:rPr>
            <w:noProof/>
            <w:webHidden/>
          </w:rPr>
          <w:instrText xml:space="preserve"> PAGEREF _Toc67589119 \h </w:instrText>
        </w:r>
        <w:r w:rsidR="007A41C1">
          <w:rPr>
            <w:noProof/>
            <w:webHidden/>
          </w:rPr>
        </w:r>
        <w:r w:rsidR="007A41C1">
          <w:rPr>
            <w:noProof/>
            <w:webHidden/>
          </w:rPr>
          <w:fldChar w:fldCharType="separate"/>
        </w:r>
        <w:r w:rsidR="007A41C1">
          <w:rPr>
            <w:noProof/>
            <w:webHidden/>
          </w:rPr>
          <w:t>19</w:t>
        </w:r>
        <w:r w:rsidR="007A41C1">
          <w:rPr>
            <w:noProof/>
            <w:webHidden/>
          </w:rPr>
          <w:fldChar w:fldCharType="end"/>
        </w:r>
      </w:hyperlink>
    </w:p>
    <w:p w14:paraId="4D0A2A7A" w14:textId="6F06A526"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0" w:history="1">
        <w:r w:rsidR="007A41C1" w:rsidRPr="0019018C">
          <w:rPr>
            <w:rStyle w:val="Hipervnculo"/>
            <w:rFonts w:eastAsia="Times New Roman"/>
            <w:noProof/>
            <w:lang w:val="es-ES"/>
          </w:rPr>
          <w:t>Tabla 7, Ejecución financiera Asociaciones Deportivas Nacionales 2020</w:t>
        </w:r>
        <w:r w:rsidR="007A41C1">
          <w:rPr>
            <w:noProof/>
            <w:webHidden/>
          </w:rPr>
          <w:tab/>
        </w:r>
        <w:r w:rsidR="007A41C1">
          <w:rPr>
            <w:noProof/>
            <w:webHidden/>
          </w:rPr>
          <w:fldChar w:fldCharType="begin"/>
        </w:r>
        <w:r w:rsidR="007A41C1">
          <w:rPr>
            <w:noProof/>
            <w:webHidden/>
          </w:rPr>
          <w:instrText xml:space="preserve"> PAGEREF _Toc67589120 \h </w:instrText>
        </w:r>
        <w:r w:rsidR="007A41C1">
          <w:rPr>
            <w:noProof/>
            <w:webHidden/>
          </w:rPr>
        </w:r>
        <w:r w:rsidR="007A41C1">
          <w:rPr>
            <w:noProof/>
            <w:webHidden/>
          </w:rPr>
          <w:fldChar w:fldCharType="separate"/>
        </w:r>
        <w:r w:rsidR="007A41C1">
          <w:rPr>
            <w:noProof/>
            <w:webHidden/>
          </w:rPr>
          <w:t>21</w:t>
        </w:r>
        <w:r w:rsidR="007A41C1">
          <w:rPr>
            <w:noProof/>
            <w:webHidden/>
          </w:rPr>
          <w:fldChar w:fldCharType="end"/>
        </w:r>
      </w:hyperlink>
    </w:p>
    <w:p w14:paraId="1A0C7492" w14:textId="242C8869"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1" w:history="1">
        <w:r w:rsidR="007A41C1" w:rsidRPr="0019018C">
          <w:rPr>
            <w:rStyle w:val="Hipervnculo"/>
            <w:rFonts w:eastAsia="Times New Roman"/>
            <w:noProof/>
            <w:lang w:val="es-ES"/>
          </w:rPr>
          <w:t>Tabla 8, PROGRAMA 94: Atención por Desastres Naturales</w:t>
        </w:r>
        <w:r w:rsidR="007A41C1">
          <w:rPr>
            <w:noProof/>
            <w:webHidden/>
          </w:rPr>
          <w:tab/>
        </w:r>
        <w:r w:rsidR="007A41C1">
          <w:rPr>
            <w:noProof/>
            <w:webHidden/>
          </w:rPr>
          <w:fldChar w:fldCharType="begin"/>
        </w:r>
        <w:r w:rsidR="007A41C1">
          <w:rPr>
            <w:noProof/>
            <w:webHidden/>
          </w:rPr>
          <w:instrText xml:space="preserve"> PAGEREF _Toc67589121 \h </w:instrText>
        </w:r>
        <w:r w:rsidR="007A41C1">
          <w:rPr>
            <w:noProof/>
            <w:webHidden/>
          </w:rPr>
        </w:r>
        <w:r w:rsidR="007A41C1">
          <w:rPr>
            <w:noProof/>
            <w:webHidden/>
          </w:rPr>
          <w:fldChar w:fldCharType="separate"/>
        </w:r>
        <w:r w:rsidR="007A41C1">
          <w:rPr>
            <w:noProof/>
            <w:webHidden/>
          </w:rPr>
          <w:t>23</w:t>
        </w:r>
        <w:r w:rsidR="007A41C1">
          <w:rPr>
            <w:noProof/>
            <w:webHidden/>
          </w:rPr>
          <w:fldChar w:fldCharType="end"/>
        </w:r>
      </w:hyperlink>
    </w:p>
    <w:p w14:paraId="6AE0CE3E" w14:textId="21184518"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2" w:history="1">
        <w:r w:rsidR="007A41C1" w:rsidRPr="0019018C">
          <w:rPr>
            <w:rStyle w:val="Hipervnculo"/>
            <w:rFonts w:eastAsia="Times New Roman"/>
            <w:noProof/>
            <w:lang w:val="es-ES"/>
          </w:rPr>
          <w:t>Tabla 9, PROGRAMA 94: Atención por Desastres Naturales</w:t>
        </w:r>
        <w:r w:rsidR="007A41C1">
          <w:rPr>
            <w:noProof/>
            <w:webHidden/>
          </w:rPr>
          <w:tab/>
        </w:r>
        <w:r w:rsidR="007A41C1">
          <w:rPr>
            <w:noProof/>
            <w:webHidden/>
          </w:rPr>
          <w:fldChar w:fldCharType="begin"/>
        </w:r>
        <w:r w:rsidR="007A41C1">
          <w:rPr>
            <w:noProof/>
            <w:webHidden/>
          </w:rPr>
          <w:instrText xml:space="preserve"> PAGEREF _Toc67589122 \h </w:instrText>
        </w:r>
        <w:r w:rsidR="007A41C1">
          <w:rPr>
            <w:noProof/>
            <w:webHidden/>
          </w:rPr>
        </w:r>
        <w:r w:rsidR="007A41C1">
          <w:rPr>
            <w:noProof/>
            <w:webHidden/>
          </w:rPr>
          <w:fldChar w:fldCharType="separate"/>
        </w:r>
        <w:r w:rsidR="007A41C1">
          <w:rPr>
            <w:noProof/>
            <w:webHidden/>
          </w:rPr>
          <w:t>24</w:t>
        </w:r>
        <w:r w:rsidR="007A41C1">
          <w:rPr>
            <w:noProof/>
            <w:webHidden/>
          </w:rPr>
          <w:fldChar w:fldCharType="end"/>
        </w:r>
      </w:hyperlink>
    </w:p>
    <w:p w14:paraId="4D550C1F" w14:textId="3C2C840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3" w:history="1">
        <w:r w:rsidR="007A41C1" w:rsidRPr="0019018C">
          <w:rPr>
            <w:rStyle w:val="Hipervnculo"/>
            <w:rFonts w:eastAsia="Times New Roman"/>
            <w:noProof/>
            <w:lang w:val="es-ES"/>
          </w:rPr>
          <w:t>Tabla 10, Ejecución Financiera por departamento</w:t>
        </w:r>
        <w:r w:rsidR="007A41C1">
          <w:rPr>
            <w:noProof/>
            <w:webHidden/>
          </w:rPr>
          <w:tab/>
        </w:r>
        <w:r w:rsidR="007A41C1">
          <w:rPr>
            <w:noProof/>
            <w:webHidden/>
          </w:rPr>
          <w:fldChar w:fldCharType="begin"/>
        </w:r>
        <w:r w:rsidR="007A41C1">
          <w:rPr>
            <w:noProof/>
            <w:webHidden/>
          </w:rPr>
          <w:instrText xml:space="preserve"> PAGEREF _Toc67589123 \h </w:instrText>
        </w:r>
        <w:r w:rsidR="007A41C1">
          <w:rPr>
            <w:noProof/>
            <w:webHidden/>
          </w:rPr>
        </w:r>
        <w:r w:rsidR="007A41C1">
          <w:rPr>
            <w:noProof/>
            <w:webHidden/>
          </w:rPr>
          <w:fldChar w:fldCharType="separate"/>
        </w:r>
        <w:r w:rsidR="007A41C1">
          <w:rPr>
            <w:noProof/>
            <w:webHidden/>
          </w:rPr>
          <w:t>25</w:t>
        </w:r>
        <w:r w:rsidR="007A41C1">
          <w:rPr>
            <w:noProof/>
            <w:webHidden/>
          </w:rPr>
          <w:fldChar w:fldCharType="end"/>
        </w:r>
      </w:hyperlink>
    </w:p>
    <w:p w14:paraId="52BED4CE" w14:textId="26FC318A"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4" w:history="1">
        <w:r w:rsidR="007A41C1" w:rsidRPr="0019018C">
          <w:rPr>
            <w:rStyle w:val="Hipervnculo"/>
            <w:rFonts w:eastAsia="Times New Roman"/>
            <w:noProof/>
            <w:lang w:val="es-ES"/>
          </w:rPr>
          <w:t>Tabla 11, Ejecución Física por departamento</w:t>
        </w:r>
        <w:r w:rsidR="007A41C1">
          <w:rPr>
            <w:noProof/>
            <w:webHidden/>
          </w:rPr>
          <w:tab/>
        </w:r>
        <w:r w:rsidR="007A41C1">
          <w:rPr>
            <w:noProof/>
            <w:webHidden/>
          </w:rPr>
          <w:fldChar w:fldCharType="begin"/>
        </w:r>
        <w:r w:rsidR="007A41C1">
          <w:rPr>
            <w:noProof/>
            <w:webHidden/>
          </w:rPr>
          <w:instrText xml:space="preserve"> PAGEREF _Toc67589124 \h </w:instrText>
        </w:r>
        <w:r w:rsidR="007A41C1">
          <w:rPr>
            <w:noProof/>
            <w:webHidden/>
          </w:rPr>
        </w:r>
        <w:r w:rsidR="007A41C1">
          <w:rPr>
            <w:noProof/>
            <w:webHidden/>
          </w:rPr>
          <w:fldChar w:fldCharType="separate"/>
        </w:r>
        <w:r w:rsidR="007A41C1">
          <w:rPr>
            <w:noProof/>
            <w:webHidden/>
          </w:rPr>
          <w:t>26</w:t>
        </w:r>
        <w:r w:rsidR="007A41C1">
          <w:rPr>
            <w:noProof/>
            <w:webHidden/>
          </w:rPr>
          <w:fldChar w:fldCharType="end"/>
        </w:r>
      </w:hyperlink>
    </w:p>
    <w:p w14:paraId="7DF6D0FA" w14:textId="4158936B"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5" w:history="1">
        <w:r w:rsidR="007A41C1" w:rsidRPr="0019018C">
          <w:rPr>
            <w:rStyle w:val="Hipervnculo"/>
            <w:rFonts w:eastAsia="Times New Roman"/>
            <w:noProof/>
            <w:lang w:val="es-ES"/>
          </w:rPr>
          <w:t>Tabla 12, Ejecución financiera, Departamento de Alta Verapaz</w:t>
        </w:r>
        <w:r w:rsidR="007A41C1">
          <w:rPr>
            <w:noProof/>
            <w:webHidden/>
          </w:rPr>
          <w:tab/>
        </w:r>
        <w:r w:rsidR="007A41C1">
          <w:rPr>
            <w:noProof/>
            <w:webHidden/>
          </w:rPr>
          <w:fldChar w:fldCharType="begin"/>
        </w:r>
        <w:r w:rsidR="007A41C1">
          <w:rPr>
            <w:noProof/>
            <w:webHidden/>
          </w:rPr>
          <w:instrText xml:space="preserve"> PAGEREF _Toc67589125 \h </w:instrText>
        </w:r>
        <w:r w:rsidR="007A41C1">
          <w:rPr>
            <w:noProof/>
            <w:webHidden/>
          </w:rPr>
        </w:r>
        <w:r w:rsidR="007A41C1">
          <w:rPr>
            <w:noProof/>
            <w:webHidden/>
          </w:rPr>
          <w:fldChar w:fldCharType="separate"/>
        </w:r>
        <w:r w:rsidR="007A41C1">
          <w:rPr>
            <w:noProof/>
            <w:webHidden/>
          </w:rPr>
          <w:t>27</w:t>
        </w:r>
        <w:r w:rsidR="007A41C1">
          <w:rPr>
            <w:noProof/>
            <w:webHidden/>
          </w:rPr>
          <w:fldChar w:fldCharType="end"/>
        </w:r>
      </w:hyperlink>
    </w:p>
    <w:p w14:paraId="00BC077A" w14:textId="43337DE6"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6" w:history="1">
        <w:r w:rsidR="007A41C1" w:rsidRPr="0019018C">
          <w:rPr>
            <w:rStyle w:val="Hipervnculo"/>
            <w:rFonts w:eastAsia="Times New Roman"/>
            <w:noProof/>
            <w:lang w:val="es-ES"/>
          </w:rPr>
          <w:t>Tabla 13, Ejecución Financiera, departamento de Baja Verapaz</w:t>
        </w:r>
        <w:r w:rsidR="007A41C1">
          <w:rPr>
            <w:noProof/>
            <w:webHidden/>
          </w:rPr>
          <w:tab/>
        </w:r>
        <w:r w:rsidR="007A41C1">
          <w:rPr>
            <w:noProof/>
            <w:webHidden/>
          </w:rPr>
          <w:fldChar w:fldCharType="begin"/>
        </w:r>
        <w:r w:rsidR="007A41C1">
          <w:rPr>
            <w:noProof/>
            <w:webHidden/>
          </w:rPr>
          <w:instrText xml:space="preserve"> PAGEREF _Toc67589126 \h </w:instrText>
        </w:r>
        <w:r w:rsidR="007A41C1">
          <w:rPr>
            <w:noProof/>
            <w:webHidden/>
          </w:rPr>
        </w:r>
        <w:r w:rsidR="007A41C1">
          <w:rPr>
            <w:noProof/>
            <w:webHidden/>
          </w:rPr>
          <w:fldChar w:fldCharType="separate"/>
        </w:r>
        <w:r w:rsidR="007A41C1">
          <w:rPr>
            <w:noProof/>
            <w:webHidden/>
          </w:rPr>
          <w:t>28</w:t>
        </w:r>
        <w:r w:rsidR="007A41C1">
          <w:rPr>
            <w:noProof/>
            <w:webHidden/>
          </w:rPr>
          <w:fldChar w:fldCharType="end"/>
        </w:r>
      </w:hyperlink>
    </w:p>
    <w:p w14:paraId="48778226" w14:textId="349A9352"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7" w:history="1">
        <w:r w:rsidR="007A41C1" w:rsidRPr="0019018C">
          <w:rPr>
            <w:rStyle w:val="Hipervnculo"/>
            <w:rFonts w:eastAsia="Times New Roman"/>
            <w:noProof/>
            <w:lang w:val="es-ES"/>
          </w:rPr>
          <w:t>Tabla 14, Ejecución Financiera, departamento de Chimaltenango</w:t>
        </w:r>
        <w:r w:rsidR="007A41C1">
          <w:rPr>
            <w:noProof/>
            <w:webHidden/>
          </w:rPr>
          <w:tab/>
        </w:r>
        <w:r w:rsidR="007A41C1">
          <w:rPr>
            <w:noProof/>
            <w:webHidden/>
          </w:rPr>
          <w:fldChar w:fldCharType="begin"/>
        </w:r>
        <w:r w:rsidR="007A41C1">
          <w:rPr>
            <w:noProof/>
            <w:webHidden/>
          </w:rPr>
          <w:instrText xml:space="preserve"> PAGEREF _Toc67589127 \h </w:instrText>
        </w:r>
        <w:r w:rsidR="007A41C1">
          <w:rPr>
            <w:noProof/>
            <w:webHidden/>
          </w:rPr>
        </w:r>
        <w:r w:rsidR="007A41C1">
          <w:rPr>
            <w:noProof/>
            <w:webHidden/>
          </w:rPr>
          <w:fldChar w:fldCharType="separate"/>
        </w:r>
        <w:r w:rsidR="007A41C1">
          <w:rPr>
            <w:noProof/>
            <w:webHidden/>
          </w:rPr>
          <w:t>29</w:t>
        </w:r>
        <w:r w:rsidR="007A41C1">
          <w:rPr>
            <w:noProof/>
            <w:webHidden/>
          </w:rPr>
          <w:fldChar w:fldCharType="end"/>
        </w:r>
      </w:hyperlink>
    </w:p>
    <w:p w14:paraId="2BC8D9CD" w14:textId="00E021E6"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8" w:history="1">
        <w:r w:rsidR="007A41C1" w:rsidRPr="0019018C">
          <w:rPr>
            <w:rStyle w:val="Hipervnculo"/>
            <w:rFonts w:eastAsia="Times New Roman"/>
            <w:noProof/>
            <w:lang w:val="es-ES"/>
          </w:rPr>
          <w:t>Tabla 15, Ejecución Financiera, departamento de Chiquimula</w:t>
        </w:r>
        <w:r w:rsidR="007A41C1">
          <w:rPr>
            <w:noProof/>
            <w:webHidden/>
          </w:rPr>
          <w:tab/>
        </w:r>
        <w:r w:rsidR="007A41C1">
          <w:rPr>
            <w:noProof/>
            <w:webHidden/>
          </w:rPr>
          <w:fldChar w:fldCharType="begin"/>
        </w:r>
        <w:r w:rsidR="007A41C1">
          <w:rPr>
            <w:noProof/>
            <w:webHidden/>
          </w:rPr>
          <w:instrText xml:space="preserve"> PAGEREF _Toc67589128 \h </w:instrText>
        </w:r>
        <w:r w:rsidR="007A41C1">
          <w:rPr>
            <w:noProof/>
            <w:webHidden/>
          </w:rPr>
        </w:r>
        <w:r w:rsidR="007A41C1">
          <w:rPr>
            <w:noProof/>
            <w:webHidden/>
          </w:rPr>
          <w:fldChar w:fldCharType="separate"/>
        </w:r>
        <w:r w:rsidR="007A41C1">
          <w:rPr>
            <w:noProof/>
            <w:webHidden/>
          </w:rPr>
          <w:t>30</w:t>
        </w:r>
        <w:r w:rsidR="007A41C1">
          <w:rPr>
            <w:noProof/>
            <w:webHidden/>
          </w:rPr>
          <w:fldChar w:fldCharType="end"/>
        </w:r>
      </w:hyperlink>
    </w:p>
    <w:p w14:paraId="5358654A" w14:textId="0D1FADF2"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29" w:history="1">
        <w:r w:rsidR="007A41C1" w:rsidRPr="0019018C">
          <w:rPr>
            <w:rStyle w:val="Hipervnculo"/>
            <w:rFonts w:eastAsia="Times New Roman"/>
            <w:noProof/>
            <w:lang w:val="es-ES"/>
          </w:rPr>
          <w:t>Tabla 16, Ejecución Financiera, departamento de El Progreso</w:t>
        </w:r>
        <w:r w:rsidR="007A41C1">
          <w:rPr>
            <w:noProof/>
            <w:webHidden/>
          </w:rPr>
          <w:tab/>
        </w:r>
        <w:r w:rsidR="007A41C1">
          <w:rPr>
            <w:noProof/>
            <w:webHidden/>
          </w:rPr>
          <w:fldChar w:fldCharType="begin"/>
        </w:r>
        <w:r w:rsidR="007A41C1">
          <w:rPr>
            <w:noProof/>
            <w:webHidden/>
          </w:rPr>
          <w:instrText xml:space="preserve"> PAGEREF _Toc67589129 \h </w:instrText>
        </w:r>
        <w:r w:rsidR="007A41C1">
          <w:rPr>
            <w:noProof/>
            <w:webHidden/>
          </w:rPr>
        </w:r>
        <w:r w:rsidR="007A41C1">
          <w:rPr>
            <w:noProof/>
            <w:webHidden/>
          </w:rPr>
          <w:fldChar w:fldCharType="separate"/>
        </w:r>
        <w:r w:rsidR="007A41C1">
          <w:rPr>
            <w:noProof/>
            <w:webHidden/>
          </w:rPr>
          <w:t>30</w:t>
        </w:r>
        <w:r w:rsidR="007A41C1">
          <w:rPr>
            <w:noProof/>
            <w:webHidden/>
          </w:rPr>
          <w:fldChar w:fldCharType="end"/>
        </w:r>
      </w:hyperlink>
    </w:p>
    <w:p w14:paraId="01329D3B" w14:textId="748379CF"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0" w:history="1">
        <w:r w:rsidR="007A41C1" w:rsidRPr="0019018C">
          <w:rPr>
            <w:rStyle w:val="Hipervnculo"/>
            <w:rFonts w:eastAsia="Times New Roman"/>
            <w:noProof/>
            <w:lang w:val="es-ES"/>
          </w:rPr>
          <w:t>Tabla 17, Ejecución Financiera, departamento de Petén</w:t>
        </w:r>
        <w:r w:rsidR="007A41C1">
          <w:rPr>
            <w:noProof/>
            <w:webHidden/>
          </w:rPr>
          <w:tab/>
        </w:r>
        <w:r w:rsidR="007A41C1">
          <w:rPr>
            <w:noProof/>
            <w:webHidden/>
          </w:rPr>
          <w:fldChar w:fldCharType="begin"/>
        </w:r>
        <w:r w:rsidR="007A41C1">
          <w:rPr>
            <w:noProof/>
            <w:webHidden/>
          </w:rPr>
          <w:instrText xml:space="preserve"> PAGEREF _Toc67589130 \h </w:instrText>
        </w:r>
        <w:r w:rsidR="007A41C1">
          <w:rPr>
            <w:noProof/>
            <w:webHidden/>
          </w:rPr>
        </w:r>
        <w:r w:rsidR="007A41C1">
          <w:rPr>
            <w:noProof/>
            <w:webHidden/>
          </w:rPr>
          <w:fldChar w:fldCharType="separate"/>
        </w:r>
        <w:r w:rsidR="007A41C1">
          <w:rPr>
            <w:noProof/>
            <w:webHidden/>
          </w:rPr>
          <w:t>31</w:t>
        </w:r>
        <w:r w:rsidR="007A41C1">
          <w:rPr>
            <w:noProof/>
            <w:webHidden/>
          </w:rPr>
          <w:fldChar w:fldCharType="end"/>
        </w:r>
      </w:hyperlink>
    </w:p>
    <w:p w14:paraId="0DC68FA4" w14:textId="0CECA92A"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1" w:history="1">
        <w:r w:rsidR="007A41C1" w:rsidRPr="0019018C">
          <w:rPr>
            <w:rStyle w:val="Hipervnculo"/>
            <w:rFonts w:eastAsia="Times New Roman"/>
            <w:noProof/>
            <w:lang w:val="es-ES"/>
          </w:rPr>
          <w:t>Tabla 18, Ejecución Financiera, departamento de Totonicapán</w:t>
        </w:r>
        <w:r w:rsidR="007A41C1">
          <w:rPr>
            <w:noProof/>
            <w:webHidden/>
          </w:rPr>
          <w:tab/>
        </w:r>
        <w:r w:rsidR="007A41C1">
          <w:rPr>
            <w:noProof/>
            <w:webHidden/>
          </w:rPr>
          <w:fldChar w:fldCharType="begin"/>
        </w:r>
        <w:r w:rsidR="007A41C1">
          <w:rPr>
            <w:noProof/>
            <w:webHidden/>
          </w:rPr>
          <w:instrText xml:space="preserve"> PAGEREF _Toc67589131 \h </w:instrText>
        </w:r>
        <w:r w:rsidR="007A41C1">
          <w:rPr>
            <w:noProof/>
            <w:webHidden/>
          </w:rPr>
        </w:r>
        <w:r w:rsidR="007A41C1">
          <w:rPr>
            <w:noProof/>
            <w:webHidden/>
          </w:rPr>
          <w:fldChar w:fldCharType="separate"/>
        </w:r>
        <w:r w:rsidR="007A41C1">
          <w:rPr>
            <w:noProof/>
            <w:webHidden/>
          </w:rPr>
          <w:t>32</w:t>
        </w:r>
        <w:r w:rsidR="007A41C1">
          <w:rPr>
            <w:noProof/>
            <w:webHidden/>
          </w:rPr>
          <w:fldChar w:fldCharType="end"/>
        </w:r>
      </w:hyperlink>
    </w:p>
    <w:p w14:paraId="15814AB1" w14:textId="50D2D607"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2" w:history="1">
        <w:r w:rsidR="007A41C1" w:rsidRPr="0019018C">
          <w:rPr>
            <w:rStyle w:val="Hipervnculo"/>
            <w:rFonts w:eastAsia="Times New Roman"/>
            <w:noProof/>
            <w:lang w:val="es-ES"/>
          </w:rPr>
          <w:t>Tabla 19, Ejecución Financiera, departamento de Zacapa</w:t>
        </w:r>
        <w:r w:rsidR="007A41C1">
          <w:rPr>
            <w:noProof/>
            <w:webHidden/>
          </w:rPr>
          <w:tab/>
        </w:r>
        <w:r w:rsidR="007A41C1">
          <w:rPr>
            <w:noProof/>
            <w:webHidden/>
          </w:rPr>
          <w:fldChar w:fldCharType="begin"/>
        </w:r>
        <w:r w:rsidR="007A41C1">
          <w:rPr>
            <w:noProof/>
            <w:webHidden/>
          </w:rPr>
          <w:instrText xml:space="preserve"> PAGEREF _Toc67589132 \h </w:instrText>
        </w:r>
        <w:r w:rsidR="007A41C1">
          <w:rPr>
            <w:noProof/>
            <w:webHidden/>
          </w:rPr>
        </w:r>
        <w:r w:rsidR="007A41C1">
          <w:rPr>
            <w:noProof/>
            <w:webHidden/>
          </w:rPr>
          <w:fldChar w:fldCharType="separate"/>
        </w:r>
        <w:r w:rsidR="007A41C1">
          <w:rPr>
            <w:noProof/>
            <w:webHidden/>
          </w:rPr>
          <w:t>32</w:t>
        </w:r>
        <w:r w:rsidR="007A41C1">
          <w:rPr>
            <w:noProof/>
            <w:webHidden/>
          </w:rPr>
          <w:fldChar w:fldCharType="end"/>
        </w:r>
      </w:hyperlink>
    </w:p>
    <w:p w14:paraId="1C1B2B8D" w14:textId="6DB1152C"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3" w:history="1">
        <w:r w:rsidR="007A41C1" w:rsidRPr="0019018C">
          <w:rPr>
            <w:rStyle w:val="Hipervnculo"/>
            <w:rFonts w:eastAsia="Times New Roman"/>
            <w:noProof/>
            <w:lang w:val="es-ES"/>
          </w:rPr>
          <w:t>Tabla 20, Ejecución Financiera, departamento de Jalapa</w:t>
        </w:r>
        <w:r w:rsidR="007A41C1">
          <w:rPr>
            <w:noProof/>
            <w:webHidden/>
          </w:rPr>
          <w:tab/>
        </w:r>
        <w:r w:rsidR="007A41C1">
          <w:rPr>
            <w:noProof/>
            <w:webHidden/>
          </w:rPr>
          <w:fldChar w:fldCharType="begin"/>
        </w:r>
        <w:r w:rsidR="007A41C1">
          <w:rPr>
            <w:noProof/>
            <w:webHidden/>
          </w:rPr>
          <w:instrText xml:space="preserve"> PAGEREF _Toc67589133 \h </w:instrText>
        </w:r>
        <w:r w:rsidR="007A41C1">
          <w:rPr>
            <w:noProof/>
            <w:webHidden/>
          </w:rPr>
        </w:r>
        <w:r w:rsidR="007A41C1">
          <w:rPr>
            <w:noProof/>
            <w:webHidden/>
          </w:rPr>
          <w:fldChar w:fldCharType="separate"/>
        </w:r>
        <w:r w:rsidR="007A41C1">
          <w:rPr>
            <w:noProof/>
            <w:webHidden/>
          </w:rPr>
          <w:t>33</w:t>
        </w:r>
        <w:r w:rsidR="007A41C1">
          <w:rPr>
            <w:noProof/>
            <w:webHidden/>
          </w:rPr>
          <w:fldChar w:fldCharType="end"/>
        </w:r>
      </w:hyperlink>
    </w:p>
    <w:p w14:paraId="596287BE" w14:textId="7F5FBA71"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4" w:history="1">
        <w:r w:rsidR="007A41C1" w:rsidRPr="0019018C">
          <w:rPr>
            <w:rStyle w:val="Hipervnculo"/>
            <w:rFonts w:eastAsia="Times New Roman"/>
            <w:noProof/>
            <w:lang w:val="es-ES"/>
          </w:rPr>
          <w:t>Tabla 21, Ejecución Financiera, departamento de El Quiché</w:t>
        </w:r>
        <w:r w:rsidR="007A41C1">
          <w:rPr>
            <w:noProof/>
            <w:webHidden/>
          </w:rPr>
          <w:tab/>
        </w:r>
        <w:r w:rsidR="007A41C1">
          <w:rPr>
            <w:noProof/>
            <w:webHidden/>
          </w:rPr>
          <w:fldChar w:fldCharType="begin"/>
        </w:r>
        <w:r w:rsidR="007A41C1">
          <w:rPr>
            <w:noProof/>
            <w:webHidden/>
          </w:rPr>
          <w:instrText xml:space="preserve"> PAGEREF _Toc67589134 \h </w:instrText>
        </w:r>
        <w:r w:rsidR="007A41C1">
          <w:rPr>
            <w:noProof/>
            <w:webHidden/>
          </w:rPr>
        </w:r>
        <w:r w:rsidR="007A41C1">
          <w:rPr>
            <w:noProof/>
            <w:webHidden/>
          </w:rPr>
          <w:fldChar w:fldCharType="separate"/>
        </w:r>
        <w:r w:rsidR="007A41C1">
          <w:rPr>
            <w:noProof/>
            <w:webHidden/>
          </w:rPr>
          <w:t>33</w:t>
        </w:r>
        <w:r w:rsidR="007A41C1">
          <w:rPr>
            <w:noProof/>
            <w:webHidden/>
          </w:rPr>
          <w:fldChar w:fldCharType="end"/>
        </w:r>
      </w:hyperlink>
    </w:p>
    <w:p w14:paraId="33FE591B" w14:textId="7467DE88"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5" w:history="1">
        <w:r w:rsidR="007A41C1" w:rsidRPr="0019018C">
          <w:rPr>
            <w:rStyle w:val="Hipervnculo"/>
            <w:rFonts w:eastAsia="Times New Roman"/>
            <w:noProof/>
            <w:lang w:val="es-ES"/>
          </w:rPr>
          <w:t>Tabla 22, Ejecución Financiera, Departamento de Huehuetenango</w:t>
        </w:r>
        <w:r w:rsidR="007A41C1">
          <w:rPr>
            <w:noProof/>
            <w:webHidden/>
          </w:rPr>
          <w:tab/>
        </w:r>
        <w:r w:rsidR="007A41C1">
          <w:rPr>
            <w:noProof/>
            <w:webHidden/>
          </w:rPr>
          <w:fldChar w:fldCharType="begin"/>
        </w:r>
        <w:r w:rsidR="007A41C1">
          <w:rPr>
            <w:noProof/>
            <w:webHidden/>
          </w:rPr>
          <w:instrText xml:space="preserve"> PAGEREF _Toc67589135 \h </w:instrText>
        </w:r>
        <w:r w:rsidR="007A41C1">
          <w:rPr>
            <w:noProof/>
            <w:webHidden/>
          </w:rPr>
        </w:r>
        <w:r w:rsidR="007A41C1">
          <w:rPr>
            <w:noProof/>
            <w:webHidden/>
          </w:rPr>
          <w:fldChar w:fldCharType="separate"/>
        </w:r>
        <w:r w:rsidR="007A41C1">
          <w:rPr>
            <w:noProof/>
            <w:webHidden/>
          </w:rPr>
          <w:t>34</w:t>
        </w:r>
        <w:r w:rsidR="007A41C1">
          <w:rPr>
            <w:noProof/>
            <w:webHidden/>
          </w:rPr>
          <w:fldChar w:fldCharType="end"/>
        </w:r>
      </w:hyperlink>
    </w:p>
    <w:p w14:paraId="3FAD3122" w14:textId="20A1C1B9"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6" w:history="1">
        <w:r w:rsidR="007A41C1" w:rsidRPr="0019018C">
          <w:rPr>
            <w:rStyle w:val="Hipervnculo"/>
            <w:rFonts w:eastAsia="Times New Roman"/>
            <w:noProof/>
            <w:lang w:val="es-ES"/>
          </w:rPr>
          <w:t>Tabla 23, Ejecución Financiera, Departamento de Escuintla</w:t>
        </w:r>
        <w:r w:rsidR="007A41C1">
          <w:rPr>
            <w:noProof/>
            <w:webHidden/>
          </w:rPr>
          <w:tab/>
        </w:r>
        <w:r w:rsidR="007A41C1">
          <w:rPr>
            <w:noProof/>
            <w:webHidden/>
          </w:rPr>
          <w:fldChar w:fldCharType="begin"/>
        </w:r>
        <w:r w:rsidR="007A41C1">
          <w:rPr>
            <w:noProof/>
            <w:webHidden/>
          </w:rPr>
          <w:instrText xml:space="preserve"> PAGEREF _Toc67589136 \h </w:instrText>
        </w:r>
        <w:r w:rsidR="007A41C1">
          <w:rPr>
            <w:noProof/>
            <w:webHidden/>
          </w:rPr>
        </w:r>
        <w:r w:rsidR="007A41C1">
          <w:rPr>
            <w:noProof/>
            <w:webHidden/>
          </w:rPr>
          <w:fldChar w:fldCharType="separate"/>
        </w:r>
        <w:r w:rsidR="007A41C1">
          <w:rPr>
            <w:noProof/>
            <w:webHidden/>
          </w:rPr>
          <w:t>35</w:t>
        </w:r>
        <w:r w:rsidR="007A41C1">
          <w:rPr>
            <w:noProof/>
            <w:webHidden/>
          </w:rPr>
          <w:fldChar w:fldCharType="end"/>
        </w:r>
      </w:hyperlink>
    </w:p>
    <w:p w14:paraId="7242B466" w14:textId="607E3718"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7" w:history="1">
        <w:r w:rsidR="007A41C1" w:rsidRPr="0019018C">
          <w:rPr>
            <w:rStyle w:val="Hipervnculo"/>
            <w:rFonts w:eastAsia="Times New Roman"/>
            <w:noProof/>
            <w:lang w:val="es-ES"/>
          </w:rPr>
          <w:t>Tabla 24, Ejecución Financiera, Departamento de Izabal</w:t>
        </w:r>
        <w:r w:rsidR="007A41C1">
          <w:rPr>
            <w:noProof/>
            <w:webHidden/>
          </w:rPr>
          <w:tab/>
        </w:r>
        <w:r w:rsidR="007A41C1">
          <w:rPr>
            <w:noProof/>
            <w:webHidden/>
          </w:rPr>
          <w:fldChar w:fldCharType="begin"/>
        </w:r>
        <w:r w:rsidR="007A41C1">
          <w:rPr>
            <w:noProof/>
            <w:webHidden/>
          </w:rPr>
          <w:instrText xml:space="preserve"> PAGEREF _Toc67589137 \h </w:instrText>
        </w:r>
        <w:r w:rsidR="007A41C1">
          <w:rPr>
            <w:noProof/>
            <w:webHidden/>
          </w:rPr>
        </w:r>
        <w:r w:rsidR="007A41C1">
          <w:rPr>
            <w:noProof/>
            <w:webHidden/>
          </w:rPr>
          <w:fldChar w:fldCharType="separate"/>
        </w:r>
        <w:r w:rsidR="007A41C1">
          <w:rPr>
            <w:noProof/>
            <w:webHidden/>
          </w:rPr>
          <w:t>36</w:t>
        </w:r>
        <w:r w:rsidR="007A41C1">
          <w:rPr>
            <w:noProof/>
            <w:webHidden/>
          </w:rPr>
          <w:fldChar w:fldCharType="end"/>
        </w:r>
      </w:hyperlink>
    </w:p>
    <w:p w14:paraId="040F9F19" w14:textId="6E4CF86D"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8" w:history="1">
        <w:r w:rsidR="007A41C1" w:rsidRPr="0019018C">
          <w:rPr>
            <w:rStyle w:val="Hipervnculo"/>
            <w:rFonts w:eastAsia="Times New Roman"/>
            <w:noProof/>
            <w:lang w:val="es-ES"/>
          </w:rPr>
          <w:t>Tabla 25, Ejecución Financiera, Departamento de Jutiapa</w:t>
        </w:r>
        <w:r w:rsidR="007A41C1">
          <w:rPr>
            <w:noProof/>
            <w:webHidden/>
          </w:rPr>
          <w:tab/>
        </w:r>
        <w:r w:rsidR="007A41C1">
          <w:rPr>
            <w:noProof/>
            <w:webHidden/>
          </w:rPr>
          <w:fldChar w:fldCharType="begin"/>
        </w:r>
        <w:r w:rsidR="007A41C1">
          <w:rPr>
            <w:noProof/>
            <w:webHidden/>
          </w:rPr>
          <w:instrText xml:space="preserve"> PAGEREF _Toc67589138 \h </w:instrText>
        </w:r>
        <w:r w:rsidR="007A41C1">
          <w:rPr>
            <w:noProof/>
            <w:webHidden/>
          </w:rPr>
        </w:r>
        <w:r w:rsidR="007A41C1">
          <w:rPr>
            <w:noProof/>
            <w:webHidden/>
          </w:rPr>
          <w:fldChar w:fldCharType="separate"/>
        </w:r>
        <w:r w:rsidR="007A41C1">
          <w:rPr>
            <w:noProof/>
            <w:webHidden/>
          </w:rPr>
          <w:t>36</w:t>
        </w:r>
        <w:r w:rsidR="007A41C1">
          <w:rPr>
            <w:noProof/>
            <w:webHidden/>
          </w:rPr>
          <w:fldChar w:fldCharType="end"/>
        </w:r>
      </w:hyperlink>
    </w:p>
    <w:p w14:paraId="6657473D" w14:textId="7FA4F69A"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39" w:history="1">
        <w:r w:rsidR="007A41C1" w:rsidRPr="0019018C">
          <w:rPr>
            <w:rStyle w:val="Hipervnculo"/>
            <w:rFonts w:eastAsia="Times New Roman"/>
            <w:noProof/>
            <w:lang w:val="es-ES"/>
          </w:rPr>
          <w:t>Tabla 26, Ejecución Financiera, departamento de Guatemala</w:t>
        </w:r>
        <w:r w:rsidR="007A41C1">
          <w:rPr>
            <w:noProof/>
            <w:webHidden/>
          </w:rPr>
          <w:tab/>
        </w:r>
        <w:r w:rsidR="007A41C1">
          <w:rPr>
            <w:noProof/>
            <w:webHidden/>
          </w:rPr>
          <w:fldChar w:fldCharType="begin"/>
        </w:r>
        <w:r w:rsidR="007A41C1">
          <w:rPr>
            <w:noProof/>
            <w:webHidden/>
          </w:rPr>
          <w:instrText xml:space="preserve"> PAGEREF _Toc67589139 \h </w:instrText>
        </w:r>
        <w:r w:rsidR="007A41C1">
          <w:rPr>
            <w:noProof/>
            <w:webHidden/>
          </w:rPr>
        </w:r>
        <w:r w:rsidR="007A41C1">
          <w:rPr>
            <w:noProof/>
            <w:webHidden/>
          </w:rPr>
          <w:fldChar w:fldCharType="separate"/>
        </w:r>
        <w:r w:rsidR="007A41C1">
          <w:rPr>
            <w:noProof/>
            <w:webHidden/>
          </w:rPr>
          <w:t>37</w:t>
        </w:r>
        <w:r w:rsidR="007A41C1">
          <w:rPr>
            <w:noProof/>
            <w:webHidden/>
          </w:rPr>
          <w:fldChar w:fldCharType="end"/>
        </w:r>
      </w:hyperlink>
    </w:p>
    <w:p w14:paraId="3D54E21A" w14:textId="7FA7771B"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0" w:history="1">
        <w:r w:rsidR="007A41C1" w:rsidRPr="0019018C">
          <w:rPr>
            <w:rStyle w:val="Hipervnculo"/>
            <w:rFonts w:eastAsia="Times New Roman"/>
            <w:noProof/>
            <w:lang w:val="es-ES"/>
          </w:rPr>
          <w:t>Tabla 27, Ejecución Financiera, departamento de Retalhuleu</w:t>
        </w:r>
        <w:r w:rsidR="007A41C1">
          <w:rPr>
            <w:noProof/>
            <w:webHidden/>
          </w:rPr>
          <w:tab/>
        </w:r>
        <w:r w:rsidR="007A41C1">
          <w:rPr>
            <w:noProof/>
            <w:webHidden/>
          </w:rPr>
          <w:fldChar w:fldCharType="begin"/>
        </w:r>
        <w:r w:rsidR="007A41C1">
          <w:rPr>
            <w:noProof/>
            <w:webHidden/>
          </w:rPr>
          <w:instrText xml:space="preserve"> PAGEREF _Toc67589140 \h </w:instrText>
        </w:r>
        <w:r w:rsidR="007A41C1">
          <w:rPr>
            <w:noProof/>
            <w:webHidden/>
          </w:rPr>
        </w:r>
        <w:r w:rsidR="007A41C1">
          <w:rPr>
            <w:noProof/>
            <w:webHidden/>
          </w:rPr>
          <w:fldChar w:fldCharType="separate"/>
        </w:r>
        <w:r w:rsidR="007A41C1">
          <w:rPr>
            <w:noProof/>
            <w:webHidden/>
          </w:rPr>
          <w:t>38</w:t>
        </w:r>
        <w:r w:rsidR="007A41C1">
          <w:rPr>
            <w:noProof/>
            <w:webHidden/>
          </w:rPr>
          <w:fldChar w:fldCharType="end"/>
        </w:r>
      </w:hyperlink>
    </w:p>
    <w:p w14:paraId="7C72CB58" w14:textId="2CFF048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1" w:history="1">
        <w:r w:rsidR="007A41C1" w:rsidRPr="0019018C">
          <w:rPr>
            <w:rStyle w:val="Hipervnculo"/>
            <w:rFonts w:eastAsia="Times New Roman"/>
            <w:noProof/>
            <w:lang w:val="es-ES"/>
          </w:rPr>
          <w:t>Tabla 28, Ejecución Financiera, departamento de Sacatepéquez</w:t>
        </w:r>
        <w:r w:rsidR="007A41C1">
          <w:rPr>
            <w:noProof/>
            <w:webHidden/>
          </w:rPr>
          <w:tab/>
        </w:r>
        <w:r w:rsidR="007A41C1">
          <w:rPr>
            <w:noProof/>
            <w:webHidden/>
          </w:rPr>
          <w:fldChar w:fldCharType="begin"/>
        </w:r>
        <w:r w:rsidR="007A41C1">
          <w:rPr>
            <w:noProof/>
            <w:webHidden/>
          </w:rPr>
          <w:instrText xml:space="preserve"> PAGEREF _Toc67589141 \h </w:instrText>
        </w:r>
        <w:r w:rsidR="007A41C1">
          <w:rPr>
            <w:noProof/>
            <w:webHidden/>
          </w:rPr>
        </w:r>
        <w:r w:rsidR="007A41C1">
          <w:rPr>
            <w:noProof/>
            <w:webHidden/>
          </w:rPr>
          <w:fldChar w:fldCharType="separate"/>
        </w:r>
        <w:r w:rsidR="007A41C1">
          <w:rPr>
            <w:noProof/>
            <w:webHidden/>
          </w:rPr>
          <w:t>39</w:t>
        </w:r>
        <w:r w:rsidR="007A41C1">
          <w:rPr>
            <w:noProof/>
            <w:webHidden/>
          </w:rPr>
          <w:fldChar w:fldCharType="end"/>
        </w:r>
      </w:hyperlink>
    </w:p>
    <w:p w14:paraId="5AEFEF3F" w14:textId="11F647A5"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2" w:history="1">
        <w:r w:rsidR="007A41C1" w:rsidRPr="0019018C">
          <w:rPr>
            <w:rStyle w:val="Hipervnculo"/>
            <w:rFonts w:eastAsia="Times New Roman"/>
            <w:noProof/>
            <w:lang w:val="es-ES"/>
          </w:rPr>
          <w:t>Tabla 29, Ejecución Financiera, departamento de San Marcos</w:t>
        </w:r>
        <w:r w:rsidR="007A41C1">
          <w:rPr>
            <w:noProof/>
            <w:webHidden/>
          </w:rPr>
          <w:tab/>
        </w:r>
        <w:r w:rsidR="007A41C1">
          <w:rPr>
            <w:noProof/>
            <w:webHidden/>
          </w:rPr>
          <w:fldChar w:fldCharType="begin"/>
        </w:r>
        <w:r w:rsidR="007A41C1">
          <w:rPr>
            <w:noProof/>
            <w:webHidden/>
          </w:rPr>
          <w:instrText xml:space="preserve"> PAGEREF _Toc67589142 \h </w:instrText>
        </w:r>
        <w:r w:rsidR="007A41C1">
          <w:rPr>
            <w:noProof/>
            <w:webHidden/>
          </w:rPr>
        </w:r>
        <w:r w:rsidR="007A41C1">
          <w:rPr>
            <w:noProof/>
            <w:webHidden/>
          </w:rPr>
          <w:fldChar w:fldCharType="separate"/>
        </w:r>
        <w:r w:rsidR="007A41C1">
          <w:rPr>
            <w:noProof/>
            <w:webHidden/>
          </w:rPr>
          <w:t>39</w:t>
        </w:r>
        <w:r w:rsidR="007A41C1">
          <w:rPr>
            <w:noProof/>
            <w:webHidden/>
          </w:rPr>
          <w:fldChar w:fldCharType="end"/>
        </w:r>
      </w:hyperlink>
    </w:p>
    <w:p w14:paraId="41BA1C87" w14:textId="447732F6"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3" w:history="1">
        <w:r w:rsidR="007A41C1" w:rsidRPr="0019018C">
          <w:rPr>
            <w:rStyle w:val="Hipervnculo"/>
            <w:rFonts w:eastAsia="Times New Roman"/>
            <w:noProof/>
            <w:lang w:val="es-ES"/>
          </w:rPr>
          <w:t>Tabla 30, Ejecución Financiera, departamento de Sololá</w:t>
        </w:r>
        <w:r w:rsidR="007A41C1">
          <w:rPr>
            <w:noProof/>
            <w:webHidden/>
          </w:rPr>
          <w:tab/>
        </w:r>
        <w:r w:rsidR="007A41C1">
          <w:rPr>
            <w:noProof/>
            <w:webHidden/>
          </w:rPr>
          <w:fldChar w:fldCharType="begin"/>
        </w:r>
        <w:r w:rsidR="007A41C1">
          <w:rPr>
            <w:noProof/>
            <w:webHidden/>
          </w:rPr>
          <w:instrText xml:space="preserve"> PAGEREF _Toc67589143 \h </w:instrText>
        </w:r>
        <w:r w:rsidR="007A41C1">
          <w:rPr>
            <w:noProof/>
            <w:webHidden/>
          </w:rPr>
        </w:r>
        <w:r w:rsidR="007A41C1">
          <w:rPr>
            <w:noProof/>
            <w:webHidden/>
          </w:rPr>
          <w:fldChar w:fldCharType="separate"/>
        </w:r>
        <w:r w:rsidR="007A41C1">
          <w:rPr>
            <w:noProof/>
            <w:webHidden/>
          </w:rPr>
          <w:t>40</w:t>
        </w:r>
        <w:r w:rsidR="007A41C1">
          <w:rPr>
            <w:noProof/>
            <w:webHidden/>
          </w:rPr>
          <w:fldChar w:fldCharType="end"/>
        </w:r>
      </w:hyperlink>
    </w:p>
    <w:p w14:paraId="1BE53C50" w14:textId="79E88D6D"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4" w:history="1">
        <w:r w:rsidR="007A41C1" w:rsidRPr="0019018C">
          <w:rPr>
            <w:rStyle w:val="Hipervnculo"/>
            <w:rFonts w:eastAsia="Times New Roman"/>
            <w:noProof/>
            <w:lang w:val="es-ES"/>
          </w:rPr>
          <w:t>Tabla 31, Ejecución Financiera, departamento de Suchitepéquez</w:t>
        </w:r>
        <w:r w:rsidR="007A41C1">
          <w:rPr>
            <w:noProof/>
            <w:webHidden/>
          </w:rPr>
          <w:tab/>
        </w:r>
        <w:r w:rsidR="007A41C1">
          <w:rPr>
            <w:noProof/>
            <w:webHidden/>
          </w:rPr>
          <w:fldChar w:fldCharType="begin"/>
        </w:r>
        <w:r w:rsidR="007A41C1">
          <w:rPr>
            <w:noProof/>
            <w:webHidden/>
          </w:rPr>
          <w:instrText xml:space="preserve"> PAGEREF _Toc67589144 \h </w:instrText>
        </w:r>
        <w:r w:rsidR="007A41C1">
          <w:rPr>
            <w:noProof/>
            <w:webHidden/>
          </w:rPr>
        </w:r>
        <w:r w:rsidR="007A41C1">
          <w:rPr>
            <w:noProof/>
            <w:webHidden/>
          </w:rPr>
          <w:fldChar w:fldCharType="separate"/>
        </w:r>
        <w:r w:rsidR="007A41C1">
          <w:rPr>
            <w:noProof/>
            <w:webHidden/>
          </w:rPr>
          <w:t>42</w:t>
        </w:r>
        <w:r w:rsidR="007A41C1">
          <w:rPr>
            <w:noProof/>
            <w:webHidden/>
          </w:rPr>
          <w:fldChar w:fldCharType="end"/>
        </w:r>
      </w:hyperlink>
    </w:p>
    <w:p w14:paraId="444797AA" w14:textId="2C232B44"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5" w:history="1">
        <w:r w:rsidR="007A41C1" w:rsidRPr="0019018C">
          <w:rPr>
            <w:rStyle w:val="Hipervnculo"/>
            <w:rFonts w:eastAsia="Times New Roman"/>
            <w:noProof/>
            <w:lang w:val="es-ES"/>
          </w:rPr>
          <w:t>Tabla 32, Ejecución Financiera, departamento de Santa Rosa</w:t>
        </w:r>
        <w:r w:rsidR="007A41C1">
          <w:rPr>
            <w:noProof/>
            <w:webHidden/>
          </w:rPr>
          <w:tab/>
        </w:r>
        <w:r w:rsidR="007A41C1">
          <w:rPr>
            <w:noProof/>
            <w:webHidden/>
          </w:rPr>
          <w:fldChar w:fldCharType="begin"/>
        </w:r>
        <w:r w:rsidR="007A41C1">
          <w:rPr>
            <w:noProof/>
            <w:webHidden/>
          </w:rPr>
          <w:instrText xml:space="preserve"> PAGEREF _Toc67589145 \h </w:instrText>
        </w:r>
        <w:r w:rsidR="007A41C1">
          <w:rPr>
            <w:noProof/>
            <w:webHidden/>
          </w:rPr>
        </w:r>
        <w:r w:rsidR="007A41C1">
          <w:rPr>
            <w:noProof/>
            <w:webHidden/>
          </w:rPr>
          <w:fldChar w:fldCharType="separate"/>
        </w:r>
        <w:r w:rsidR="007A41C1">
          <w:rPr>
            <w:noProof/>
            <w:webHidden/>
          </w:rPr>
          <w:t>43</w:t>
        </w:r>
        <w:r w:rsidR="007A41C1">
          <w:rPr>
            <w:noProof/>
            <w:webHidden/>
          </w:rPr>
          <w:fldChar w:fldCharType="end"/>
        </w:r>
      </w:hyperlink>
    </w:p>
    <w:p w14:paraId="09921CFE" w14:textId="1B9263E3"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6" w:history="1">
        <w:r w:rsidR="007A41C1" w:rsidRPr="0019018C">
          <w:rPr>
            <w:rStyle w:val="Hipervnculo"/>
            <w:rFonts w:eastAsia="Times New Roman"/>
            <w:noProof/>
            <w:lang w:val="es-ES"/>
          </w:rPr>
          <w:t>Tabla 33, Ejecución Financiera, Departamento de Quetzaltenango</w:t>
        </w:r>
        <w:r w:rsidR="007A41C1">
          <w:rPr>
            <w:noProof/>
            <w:webHidden/>
          </w:rPr>
          <w:tab/>
        </w:r>
        <w:r w:rsidR="007A41C1">
          <w:rPr>
            <w:noProof/>
            <w:webHidden/>
          </w:rPr>
          <w:fldChar w:fldCharType="begin"/>
        </w:r>
        <w:r w:rsidR="007A41C1">
          <w:rPr>
            <w:noProof/>
            <w:webHidden/>
          </w:rPr>
          <w:instrText xml:space="preserve"> PAGEREF _Toc67589146 \h </w:instrText>
        </w:r>
        <w:r w:rsidR="007A41C1">
          <w:rPr>
            <w:noProof/>
            <w:webHidden/>
          </w:rPr>
        </w:r>
        <w:r w:rsidR="007A41C1">
          <w:rPr>
            <w:noProof/>
            <w:webHidden/>
          </w:rPr>
          <w:fldChar w:fldCharType="separate"/>
        </w:r>
        <w:r w:rsidR="007A41C1">
          <w:rPr>
            <w:noProof/>
            <w:webHidden/>
          </w:rPr>
          <w:t>43</w:t>
        </w:r>
        <w:r w:rsidR="007A41C1">
          <w:rPr>
            <w:noProof/>
            <w:webHidden/>
          </w:rPr>
          <w:fldChar w:fldCharType="end"/>
        </w:r>
      </w:hyperlink>
    </w:p>
    <w:p w14:paraId="456EF3A5" w14:textId="46D21A15"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7" w:history="1">
        <w:r w:rsidR="007A41C1" w:rsidRPr="0019018C">
          <w:rPr>
            <w:rStyle w:val="Hipervnculo"/>
            <w:rFonts w:eastAsia="Times New Roman"/>
            <w:noProof/>
            <w:lang w:val="es-ES"/>
          </w:rPr>
          <w:t>Tabla 34, Presupuesto de Inversión Pública</w:t>
        </w:r>
        <w:r w:rsidR="007A41C1">
          <w:rPr>
            <w:noProof/>
            <w:webHidden/>
          </w:rPr>
          <w:tab/>
        </w:r>
        <w:r w:rsidR="007A41C1">
          <w:rPr>
            <w:noProof/>
            <w:webHidden/>
          </w:rPr>
          <w:fldChar w:fldCharType="begin"/>
        </w:r>
        <w:r w:rsidR="007A41C1">
          <w:rPr>
            <w:noProof/>
            <w:webHidden/>
          </w:rPr>
          <w:instrText xml:space="preserve"> PAGEREF _Toc67589147 \h </w:instrText>
        </w:r>
        <w:r w:rsidR="007A41C1">
          <w:rPr>
            <w:noProof/>
            <w:webHidden/>
          </w:rPr>
        </w:r>
        <w:r w:rsidR="007A41C1">
          <w:rPr>
            <w:noProof/>
            <w:webHidden/>
          </w:rPr>
          <w:fldChar w:fldCharType="separate"/>
        </w:r>
        <w:r w:rsidR="007A41C1">
          <w:rPr>
            <w:noProof/>
            <w:webHidden/>
          </w:rPr>
          <w:t>46</w:t>
        </w:r>
        <w:r w:rsidR="007A41C1">
          <w:rPr>
            <w:noProof/>
            <w:webHidden/>
          </w:rPr>
          <w:fldChar w:fldCharType="end"/>
        </w:r>
      </w:hyperlink>
    </w:p>
    <w:p w14:paraId="4C85E3B2" w14:textId="4B40011C"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8" w:history="1">
        <w:r w:rsidR="007A41C1" w:rsidRPr="0019018C">
          <w:rPr>
            <w:rStyle w:val="Hipervnculo"/>
            <w:rFonts w:eastAsia="Times New Roman"/>
            <w:noProof/>
            <w:lang w:val="es-ES"/>
          </w:rPr>
          <w:t>Tabla 35, Asignaciones Presupuestarias para infraestructura</w:t>
        </w:r>
        <w:r w:rsidR="007A41C1">
          <w:rPr>
            <w:noProof/>
            <w:webHidden/>
          </w:rPr>
          <w:tab/>
        </w:r>
        <w:r w:rsidR="007A41C1">
          <w:rPr>
            <w:noProof/>
            <w:webHidden/>
          </w:rPr>
          <w:fldChar w:fldCharType="begin"/>
        </w:r>
        <w:r w:rsidR="007A41C1">
          <w:rPr>
            <w:noProof/>
            <w:webHidden/>
          </w:rPr>
          <w:instrText xml:space="preserve"> PAGEREF _Toc67589148 \h </w:instrText>
        </w:r>
        <w:r w:rsidR="007A41C1">
          <w:rPr>
            <w:noProof/>
            <w:webHidden/>
          </w:rPr>
        </w:r>
        <w:r w:rsidR="007A41C1">
          <w:rPr>
            <w:noProof/>
            <w:webHidden/>
          </w:rPr>
          <w:fldChar w:fldCharType="separate"/>
        </w:r>
        <w:r w:rsidR="007A41C1">
          <w:rPr>
            <w:noProof/>
            <w:webHidden/>
          </w:rPr>
          <w:t>47</w:t>
        </w:r>
        <w:r w:rsidR="007A41C1">
          <w:rPr>
            <w:noProof/>
            <w:webHidden/>
          </w:rPr>
          <w:fldChar w:fldCharType="end"/>
        </w:r>
      </w:hyperlink>
    </w:p>
    <w:p w14:paraId="477D0CF0" w14:textId="44F3FA8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49" w:history="1">
        <w:r w:rsidR="007A41C1" w:rsidRPr="0019018C">
          <w:rPr>
            <w:rStyle w:val="Hipervnculo"/>
            <w:rFonts w:eastAsia="Times New Roman"/>
            <w:noProof/>
            <w:lang w:val="es-ES"/>
          </w:rPr>
          <w:t>Tabla 36, Proyectos registrados,</w:t>
        </w:r>
        <w:r w:rsidR="007A41C1">
          <w:rPr>
            <w:noProof/>
            <w:webHidden/>
          </w:rPr>
          <w:tab/>
        </w:r>
        <w:r w:rsidR="007A41C1">
          <w:rPr>
            <w:noProof/>
            <w:webHidden/>
          </w:rPr>
          <w:fldChar w:fldCharType="begin"/>
        </w:r>
        <w:r w:rsidR="007A41C1">
          <w:rPr>
            <w:noProof/>
            <w:webHidden/>
          </w:rPr>
          <w:instrText xml:space="preserve"> PAGEREF _Toc67589149 \h </w:instrText>
        </w:r>
        <w:r w:rsidR="007A41C1">
          <w:rPr>
            <w:noProof/>
            <w:webHidden/>
          </w:rPr>
        </w:r>
        <w:r w:rsidR="007A41C1">
          <w:rPr>
            <w:noProof/>
            <w:webHidden/>
          </w:rPr>
          <w:fldChar w:fldCharType="separate"/>
        </w:r>
        <w:r w:rsidR="007A41C1">
          <w:rPr>
            <w:noProof/>
            <w:webHidden/>
          </w:rPr>
          <w:t>48</w:t>
        </w:r>
        <w:r w:rsidR="007A41C1">
          <w:rPr>
            <w:noProof/>
            <w:webHidden/>
          </w:rPr>
          <w:fldChar w:fldCharType="end"/>
        </w:r>
      </w:hyperlink>
    </w:p>
    <w:p w14:paraId="236634E5" w14:textId="53F932C8"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0" w:history="1">
        <w:r w:rsidR="007A41C1" w:rsidRPr="0019018C">
          <w:rPr>
            <w:rStyle w:val="Hipervnculo"/>
            <w:rFonts w:eastAsia="Times New Roman"/>
            <w:noProof/>
            <w:lang w:val="es-ES"/>
          </w:rPr>
          <w:t>Tabla 37, Proyectos e inversión registrada,</w:t>
        </w:r>
        <w:r w:rsidR="007A41C1">
          <w:rPr>
            <w:noProof/>
            <w:webHidden/>
          </w:rPr>
          <w:tab/>
        </w:r>
        <w:r w:rsidR="007A41C1">
          <w:rPr>
            <w:noProof/>
            <w:webHidden/>
          </w:rPr>
          <w:fldChar w:fldCharType="begin"/>
        </w:r>
        <w:r w:rsidR="007A41C1">
          <w:rPr>
            <w:noProof/>
            <w:webHidden/>
          </w:rPr>
          <w:instrText xml:space="preserve"> PAGEREF _Toc67589150 \h </w:instrText>
        </w:r>
        <w:r w:rsidR="007A41C1">
          <w:rPr>
            <w:noProof/>
            <w:webHidden/>
          </w:rPr>
        </w:r>
        <w:r w:rsidR="007A41C1">
          <w:rPr>
            <w:noProof/>
            <w:webHidden/>
          </w:rPr>
          <w:fldChar w:fldCharType="separate"/>
        </w:r>
        <w:r w:rsidR="007A41C1">
          <w:rPr>
            <w:noProof/>
            <w:webHidden/>
          </w:rPr>
          <w:t>49</w:t>
        </w:r>
        <w:r w:rsidR="007A41C1">
          <w:rPr>
            <w:noProof/>
            <w:webHidden/>
          </w:rPr>
          <w:fldChar w:fldCharType="end"/>
        </w:r>
      </w:hyperlink>
    </w:p>
    <w:p w14:paraId="230809A3" w14:textId="0E94A0CF"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1" w:history="1">
        <w:r w:rsidR="007A41C1" w:rsidRPr="0019018C">
          <w:rPr>
            <w:rStyle w:val="Hipervnculo"/>
            <w:noProof/>
          </w:rPr>
          <w:t>Tabla 38, Resultado de emisión de opinión técnica por tipo de entidad,</w:t>
        </w:r>
        <w:r w:rsidR="007A41C1">
          <w:rPr>
            <w:noProof/>
            <w:webHidden/>
          </w:rPr>
          <w:tab/>
        </w:r>
        <w:r w:rsidR="007A41C1">
          <w:rPr>
            <w:noProof/>
            <w:webHidden/>
          </w:rPr>
          <w:fldChar w:fldCharType="begin"/>
        </w:r>
        <w:r w:rsidR="007A41C1">
          <w:rPr>
            <w:noProof/>
            <w:webHidden/>
          </w:rPr>
          <w:instrText xml:space="preserve"> PAGEREF _Toc67589151 \h </w:instrText>
        </w:r>
        <w:r w:rsidR="007A41C1">
          <w:rPr>
            <w:noProof/>
            <w:webHidden/>
          </w:rPr>
        </w:r>
        <w:r w:rsidR="007A41C1">
          <w:rPr>
            <w:noProof/>
            <w:webHidden/>
          </w:rPr>
          <w:fldChar w:fldCharType="separate"/>
        </w:r>
        <w:r w:rsidR="007A41C1">
          <w:rPr>
            <w:noProof/>
            <w:webHidden/>
          </w:rPr>
          <w:t>51</w:t>
        </w:r>
        <w:r w:rsidR="007A41C1">
          <w:rPr>
            <w:noProof/>
            <w:webHidden/>
          </w:rPr>
          <w:fldChar w:fldCharType="end"/>
        </w:r>
      </w:hyperlink>
    </w:p>
    <w:p w14:paraId="066680E5" w14:textId="4A2C93BF"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2" w:history="1">
        <w:r w:rsidR="007A41C1" w:rsidRPr="0019018C">
          <w:rPr>
            <w:rStyle w:val="Hipervnculo"/>
            <w:noProof/>
          </w:rPr>
          <w:t>Tabla 39, Inversión Programada y Cantidad de Proyectos</w:t>
        </w:r>
        <w:r w:rsidR="007A41C1">
          <w:rPr>
            <w:noProof/>
            <w:webHidden/>
          </w:rPr>
          <w:tab/>
        </w:r>
        <w:r w:rsidR="007A41C1">
          <w:rPr>
            <w:noProof/>
            <w:webHidden/>
          </w:rPr>
          <w:fldChar w:fldCharType="begin"/>
        </w:r>
        <w:r w:rsidR="007A41C1">
          <w:rPr>
            <w:noProof/>
            <w:webHidden/>
          </w:rPr>
          <w:instrText xml:space="preserve"> PAGEREF _Toc67589152 \h </w:instrText>
        </w:r>
        <w:r w:rsidR="007A41C1">
          <w:rPr>
            <w:noProof/>
            <w:webHidden/>
          </w:rPr>
        </w:r>
        <w:r w:rsidR="007A41C1">
          <w:rPr>
            <w:noProof/>
            <w:webHidden/>
          </w:rPr>
          <w:fldChar w:fldCharType="separate"/>
        </w:r>
        <w:r w:rsidR="007A41C1">
          <w:rPr>
            <w:noProof/>
            <w:webHidden/>
          </w:rPr>
          <w:t>54</w:t>
        </w:r>
        <w:r w:rsidR="007A41C1">
          <w:rPr>
            <w:noProof/>
            <w:webHidden/>
          </w:rPr>
          <w:fldChar w:fldCharType="end"/>
        </w:r>
      </w:hyperlink>
    </w:p>
    <w:p w14:paraId="256B7A07" w14:textId="74E5EEAB"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3" w:history="1">
        <w:r w:rsidR="007A41C1" w:rsidRPr="0019018C">
          <w:rPr>
            <w:rStyle w:val="Hipervnculo"/>
            <w:noProof/>
          </w:rPr>
          <w:t>Tabla 40, Inversión asignada y ejecutada a nivel nacional por función y cantidad de proyectos</w:t>
        </w:r>
        <w:r w:rsidR="007A41C1">
          <w:rPr>
            <w:noProof/>
            <w:webHidden/>
          </w:rPr>
          <w:tab/>
        </w:r>
        <w:r w:rsidR="007A41C1">
          <w:rPr>
            <w:noProof/>
            <w:webHidden/>
          </w:rPr>
          <w:fldChar w:fldCharType="begin"/>
        </w:r>
        <w:r w:rsidR="007A41C1">
          <w:rPr>
            <w:noProof/>
            <w:webHidden/>
          </w:rPr>
          <w:instrText xml:space="preserve"> PAGEREF _Toc67589153 \h </w:instrText>
        </w:r>
        <w:r w:rsidR="007A41C1">
          <w:rPr>
            <w:noProof/>
            <w:webHidden/>
          </w:rPr>
        </w:r>
        <w:r w:rsidR="007A41C1">
          <w:rPr>
            <w:noProof/>
            <w:webHidden/>
          </w:rPr>
          <w:fldChar w:fldCharType="separate"/>
        </w:r>
        <w:r w:rsidR="007A41C1">
          <w:rPr>
            <w:noProof/>
            <w:webHidden/>
          </w:rPr>
          <w:t>56</w:t>
        </w:r>
        <w:r w:rsidR="007A41C1">
          <w:rPr>
            <w:noProof/>
            <w:webHidden/>
          </w:rPr>
          <w:fldChar w:fldCharType="end"/>
        </w:r>
      </w:hyperlink>
    </w:p>
    <w:p w14:paraId="27353829" w14:textId="07A9A2A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4" w:history="1">
        <w:r w:rsidR="007A41C1" w:rsidRPr="0019018C">
          <w:rPr>
            <w:rStyle w:val="Hipervnculo"/>
            <w:noProof/>
          </w:rPr>
          <w:t>Tabla 41, Inversión asignada y ejecutada a nivel nacional por territorio</w:t>
        </w:r>
        <w:r w:rsidR="007A41C1">
          <w:rPr>
            <w:noProof/>
            <w:webHidden/>
          </w:rPr>
          <w:tab/>
        </w:r>
        <w:r w:rsidR="007A41C1">
          <w:rPr>
            <w:noProof/>
            <w:webHidden/>
          </w:rPr>
          <w:fldChar w:fldCharType="begin"/>
        </w:r>
        <w:r w:rsidR="007A41C1">
          <w:rPr>
            <w:noProof/>
            <w:webHidden/>
          </w:rPr>
          <w:instrText xml:space="preserve"> PAGEREF _Toc67589154 \h </w:instrText>
        </w:r>
        <w:r w:rsidR="007A41C1">
          <w:rPr>
            <w:noProof/>
            <w:webHidden/>
          </w:rPr>
        </w:r>
        <w:r w:rsidR="007A41C1">
          <w:rPr>
            <w:noProof/>
            <w:webHidden/>
          </w:rPr>
          <w:fldChar w:fldCharType="separate"/>
        </w:r>
        <w:r w:rsidR="007A41C1">
          <w:rPr>
            <w:noProof/>
            <w:webHidden/>
          </w:rPr>
          <w:t>58</w:t>
        </w:r>
        <w:r w:rsidR="007A41C1">
          <w:rPr>
            <w:noProof/>
            <w:webHidden/>
          </w:rPr>
          <w:fldChar w:fldCharType="end"/>
        </w:r>
      </w:hyperlink>
    </w:p>
    <w:p w14:paraId="3FB839A9" w14:textId="2E329CF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5" w:history="1">
        <w:r w:rsidR="007A41C1" w:rsidRPr="0019018C">
          <w:rPr>
            <w:rStyle w:val="Hipervnculo"/>
            <w:noProof/>
            <w:lang w:eastAsia="es-GT"/>
          </w:rPr>
          <w:t>Tabla 42, Presupuesto Asignado - Vigente –</w:t>
        </w:r>
        <w:r w:rsidR="007A41C1">
          <w:rPr>
            <w:noProof/>
            <w:webHidden/>
          </w:rPr>
          <w:tab/>
        </w:r>
        <w:r w:rsidR="007A41C1">
          <w:rPr>
            <w:noProof/>
            <w:webHidden/>
          </w:rPr>
          <w:fldChar w:fldCharType="begin"/>
        </w:r>
        <w:r w:rsidR="007A41C1">
          <w:rPr>
            <w:noProof/>
            <w:webHidden/>
          </w:rPr>
          <w:instrText xml:space="preserve"> PAGEREF _Toc67589155 \h </w:instrText>
        </w:r>
        <w:r w:rsidR="007A41C1">
          <w:rPr>
            <w:noProof/>
            <w:webHidden/>
          </w:rPr>
        </w:r>
        <w:r w:rsidR="007A41C1">
          <w:rPr>
            <w:noProof/>
            <w:webHidden/>
          </w:rPr>
          <w:fldChar w:fldCharType="separate"/>
        </w:r>
        <w:r w:rsidR="007A41C1">
          <w:rPr>
            <w:noProof/>
            <w:webHidden/>
          </w:rPr>
          <w:t>59</w:t>
        </w:r>
        <w:r w:rsidR="007A41C1">
          <w:rPr>
            <w:noProof/>
            <w:webHidden/>
          </w:rPr>
          <w:fldChar w:fldCharType="end"/>
        </w:r>
      </w:hyperlink>
    </w:p>
    <w:p w14:paraId="1988EE26" w14:textId="3F8010C6"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6" w:history="1">
        <w:r w:rsidR="007A41C1" w:rsidRPr="0019018C">
          <w:rPr>
            <w:rStyle w:val="Hipervnculo"/>
            <w:noProof/>
            <w:lang w:eastAsia="es-GT"/>
          </w:rPr>
          <w:t>Tabla 43, Ejecución por tipo de institución</w:t>
        </w:r>
        <w:r w:rsidR="007A41C1">
          <w:rPr>
            <w:noProof/>
            <w:webHidden/>
          </w:rPr>
          <w:tab/>
        </w:r>
        <w:r w:rsidR="007A41C1">
          <w:rPr>
            <w:noProof/>
            <w:webHidden/>
          </w:rPr>
          <w:fldChar w:fldCharType="begin"/>
        </w:r>
        <w:r w:rsidR="007A41C1">
          <w:rPr>
            <w:noProof/>
            <w:webHidden/>
          </w:rPr>
          <w:instrText xml:space="preserve"> PAGEREF _Toc67589156 \h </w:instrText>
        </w:r>
        <w:r w:rsidR="007A41C1">
          <w:rPr>
            <w:noProof/>
            <w:webHidden/>
          </w:rPr>
        </w:r>
        <w:r w:rsidR="007A41C1">
          <w:rPr>
            <w:noProof/>
            <w:webHidden/>
          </w:rPr>
          <w:fldChar w:fldCharType="separate"/>
        </w:r>
        <w:r w:rsidR="007A41C1">
          <w:rPr>
            <w:noProof/>
            <w:webHidden/>
          </w:rPr>
          <w:t>61</w:t>
        </w:r>
        <w:r w:rsidR="007A41C1">
          <w:rPr>
            <w:noProof/>
            <w:webHidden/>
          </w:rPr>
          <w:fldChar w:fldCharType="end"/>
        </w:r>
      </w:hyperlink>
    </w:p>
    <w:p w14:paraId="3524F4E8" w14:textId="6F936270"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7" w:history="1">
        <w:r w:rsidR="007A41C1" w:rsidRPr="0019018C">
          <w:rPr>
            <w:rStyle w:val="Hipervnculo"/>
            <w:noProof/>
            <w:lang w:eastAsia="es-GT"/>
          </w:rPr>
          <w:t>Tabla 44, Ejecución de donaciones</w:t>
        </w:r>
        <w:r w:rsidR="007A41C1">
          <w:rPr>
            <w:noProof/>
            <w:webHidden/>
          </w:rPr>
          <w:tab/>
        </w:r>
        <w:r w:rsidR="007A41C1">
          <w:rPr>
            <w:noProof/>
            <w:webHidden/>
          </w:rPr>
          <w:fldChar w:fldCharType="begin"/>
        </w:r>
        <w:r w:rsidR="007A41C1">
          <w:rPr>
            <w:noProof/>
            <w:webHidden/>
          </w:rPr>
          <w:instrText xml:space="preserve"> PAGEREF _Toc67589157 \h </w:instrText>
        </w:r>
        <w:r w:rsidR="007A41C1">
          <w:rPr>
            <w:noProof/>
            <w:webHidden/>
          </w:rPr>
        </w:r>
        <w:r w:rsidR="007A41C1">
          <w:rPr>
            <w:noProof/>
            <w:webHidden/>
          </w:rPr>
          <w:fldChar w:fldCharType="separate"/>
        </w:r>
        <w:r w:rsidR="007A41C1">
          <w:rPr>
            <w:noProof/>
            <w:webHidden/>
          </w:rPr>
          <w:t>61</w:t>
        </w:r>
        <w:r w:rsidR="007A41C1">
          <w:rPr>
            <w:noProof/>
            <w:webHidden/>
          </w:rPr>
          <w:fldChar w:fldCharType="end"/>
        </w:r>
      </w:hyperlink>
    </w:p>
    <w:p w14:paraId="65D43E99" w14:textId="3C727DF2"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8" w:history="1">
        <w:r w:rsidR="007A41C1" w:rsidRPr="0019018C">
          <w:rPr>
            <w:rStyle w:val="Hipervnculo"/>
            <w:noProof/>
            <w:lang w:eastAsia="es-GT"/>
          </w:rPr>
          <w:t>Tabla 45,  Ejecución por programa o proyecto</w:t>
        </w:r>
        <w:r w:rsidR="007A41C1">
          <w:rPr>
            <w:noProof/>
            <w:webHidden/>
          </w:rPr>
          <w:tab/>
        </w:r>
        <w:r w:rsidR="007A41C1">
          <w:rPr>
            <w:noProof/>
            <w:webHidden/>
          </w:rPr>
          <w:fldChar w:fldCharType="begin"/>
        </w:r>
        <w:r w:rsidR="007A41C1">
          <w:rPr>
            <w:noProof/>
            <w:webHidden/>
          </w:rPr>
          <w:instrText xml:space="preserve"> PAGEREF _Toc67589158 \h </w:instrText>
        </w:r>
        <w:r w:rsidR="007A41C1">
          <w:rPr>
            <w:noProof/>
            <w:webHidden/>
          </w:rPr>
        </w:r>
        <w:r w:rsidR="007A41C1">
          <w:rPr>
            <w:noProof/>
            <w:webHidden/>
          </w:rPr>
          <w:fldChar w:fldCharType="separate"/>
        </w:r>
        <w:r w:rsidR="007A41C1">
          <w:rPr>
            <w:noProof/>
            <w:webHidden/>
          </w:rPr>
          <w:t>62</w:t>
        </w:r>
        <w:r w:rsidR="007A41C1">
          <w:rPr>
            <w:noProof/>
            <w:webHidden/>
          </w:rPr>
          <w:fldChar w:fldCharType="end"/>
        </w:r>
      </w:hyperlink>
    </w:p>
    <w:p w14:paraId="1A725704" w14:textId="1E9A21A7"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59" w:history="1">
        <w:r w:rsidR="007A41C1" w:rsidRPr="0019018C">
          <w:rPr>
            <w:rStyle w:val="Hipervnculo"/>
            <w:noProof/>
            <w:lang w:eastAsia="es-GT"/>
          </w:rPr>
          <w:t>Tabla 46, Ejecución de Donaciones Instituciones Descentralizadas, 2020</w:t>
        </w:r>
        <w:r w:rsidR="007A41C1">
          <w:rPr>
            <w:noProof/>
            <w:webHidden/>
          </w:rPr>
          <w:tab/>
        </w:r>
        <w:r w:rsidR="007A41C1">
          <w:rPr>
            <w:noProof/>
            <w:webHidden/>
          </w:rPr>
          <w:fldChar w:fldCharType="begin"/>
        </w:r>
        <w:r w:rsidR="007A41C1">
          <w:rPr>
            <w:noProof/>
            <w:webHidden/>
          </w:rPr>
          <w:instrText xml:space="preserve"> PAGEREF _Toc67589159 \h </w:instrText>
        </w:r>
        <w:r w:rsidR="007A41C1">
          <w:rPr>
            <w:noProof/>
            <w:webHidden/>
          </w:rPr>
        </w:r>
        <w:r w:rsidR="007A41C1">
          <w:rPr>
            <w:noProof/>
            <w:webHidden/>
          </w:rPr>
          <w:fldChar w:fldCharType="separate"/>
        </w:r>
        <w:r w:rsidR="007A41C1">
          <w:rPr>
            <w:noProof/>
            <w:webHidden/>
          </w:rPr>
          <w:t>65</w:t>
        </w:r>
        <w:r w:rsidR="007A41C1">
          <w:rPr>
            <w:noProof/>
            <w:webHidden/>
          </w:rPr>
          <w:fldChar w:fldCharType="end"/>
        </w:r>
      </w:hyperlink>
    </w:p>
    <w:p w14:paraId="2F80E95B" w14:textId="6878B17D" w:rsidR="007A41C1" w:rsidRDefault="00D36B17">
      <w:pPr>
        <w:pStyle w:val="Tabladeilustraciones"/>
        <w:tabs>
          <w:tab w:val="right" w:leader="dot" w:pos="9395"/>
        </w:tabs>
        <w:rPr>
          <w:rFonts w:eastAsiaTheme="minorEastAsia" w:cstheme="minorBidi"/>
          <w:i w:val="0"/>
          <w:iCs w:val="0"/>
          <w:noProof/>
          <w:sz w:val="22"/>
          <w:szCs w:val="22"/>
          <w:lang w:eastAsia="es-GT"/>
        </w:rPr>
      </w:pPr>
      <w:hyperlink w:anchor="_Toc67589160" w:history="1">
        <w:r w:rsidR="007A41C1" w:rsidRPr="0019018C">
          <w:rPr>
            <w:rStyle w:val="Hipervnculo"/>
            <w:noProof/>
            <w:lang w:eastAsia="es-GT"/>
          </w:rPr>
          <w:t>Tabla 47, Ejecución por programa o proyecto al mes de Diciembre 2020</w:t>
        </w:r>
        <w:r w:rsidR="007A41C1">
          <w:rPr>
            <w:noProof/>
            <w:webHidden/>
          </w:rPr>
          <w:tab/>
        </w:r>
        <w:r w:rsidR="007A41C1">
          <w:rPr>
            <w:noProof/>
            <w:webHidden/>
          </w:rPr>
          <w:fldChar w:fldCharType="begin"/>
        </w:r>
        <w:r w:rsidR="007A41C1">
          <w:rPr>
            <w:noProof/>
            <w:webHidden/>
          </w:rPr>
          <w:instrText xml:space="preserve"> PAGEREF _Toc67589160 \h </w:instrText>
        </w:r>
        <w:r w:rsidR="007A41C1">
          <w:rPr>
            <w:noProof/>
            <w:webHidden/>
          </w:rPr>
        </w:r>
        <w:r w:rsidR="007A41C1">
          <w:rPr>
            <w:noProof/>
            <w:webHidden/>
          </w:rPr>
          <w:fldChar w:fldCharType="separate"/>
        </w:r>
        <w:r w:rsidR="007A41C1">
          <w:rPr>
            <w:noProof/>
            <w:webHidden/>
          </w:rPr>
          <w:t>65</w:t>
        </w:r>
        <w:r w:rsidR="007A41C1">
          <w:rPr>
            <w:noProof/>
            <w:webHidden/>
          </w:rPr>
          <w:fldChar w:fldCharType="end"/>
        </w:r>
      </w:hyperlink>
    </w:p>
    <w:p w14:paraId="4018F40C" w14:textId="7F8504AC" w:rsidR="0018772F" w:rsidRDefault="001A3760" w:rsidP="00DC2646">
      <w:r>
        <w:rPr>
          <w:rFonts w:cstheme="minorHAnsi"/>
          <w:i/>
          <w:iCs/>
          <w:sz w:val="20"/>
          <w:szCs w:val="20"/>
        </w:rPr>
        <w:fldChar w:fldCharType="end"/>
      </w:r>
    </w:p>
    <w:p w14:paraId="19A81EEE" w14:textId="5ADBC9C2" w:rsidR="0018772F" w:rsidRDefault="0018772F" w:rsidP="00DC2646"/>
    <w:p w14:paraId="3CD80F5D" w14:textId="1738DB7F" w:rsidR="0018772F" w:rsidRDefault="0018772F" w:rsidP="00DC2646"/>
    <w:p w14:paraId="7B4943CA" w14:textId="302FB616" w:rsidR="0018772F" w:rsidRDefault="0018772F" w:rsidP="00DC2646"/>
    <w:p w14:paraId="31693F30" w14:textId="224D8A31" w:rsidR="0018772F" w:rsidRDefault="0018772F" w:rsidP="00DC2646"/>
    <w:p w14:paraId="13BB39B8" w14:textId="3D3597A6" w:rsidR="0018772F" w:rsidRDefault="0018772F" w:rsidP="00DC2646"/>
    <w:p w14:paraId="4C077DEA" w14:textId="69EDEE77" w:rsidR="0018772F" w:rsidRDefault="0018772F" w:rsidP="00DC2646"/>
    <w:p w14:paraId="67E22884" w14:textId="081A6E48" w:rsidR="0018772F" w:rsidRDefault="0018772F" w:rsidP="00DC2646"/>
    <w:p w14:paraId="7905835D" w14:textId="10BED859" w:rsidR="0018772F" w:rsidRDefault="0018772F" w:rsidP="00DC2646"/>
    <w:p w14:paraId="047E8F73" w14:textId="4BED818C" w:rsidR="0018772F" w:rsidRDefault="0018772F" w:rsidP="00DC2646"/>
    <w:p w14:paraId="718FAED9" w14:textId="2E04A464" w:rsidR="0018772F" w:rsidRDefault="0018772F" w:rsidP="00DC2646"/>
    <w:p w14:paraId="5DECE85A" w14:textId="77777777" w:rsidR="0018772F" w:rsidRDefault="0018772F" w:rsidP="00DC2646">
      <w:pPr>
        <w:sectPr w:rsidR="0018772F" w:rsidSect="0018772F">
          <w:footerReference w:type="first" r:id="rId12"/>
          <w:pgSz w:w="12240" w:h="15840" w:code="1"/>
          <w:pgMar w:top="1701" w:right="1134" w:bottom="1418" w:left="1701" w:header="709" w:footer="709" w:gutter="0"/>
          <w:pgNumType w:fmt="lowerRoman" w:start="1"/>
          <w:cols w:space="708"/>
          <w:titlePg/>
          <w:docGrid w:linePitch="360"/>
        </w:sectPr>
      </w:pPr>
    </w:p>
    <w:p w14:paraId="1E231B4A" w14:textId="736188BC" w:rsidR="00431FEA" w:rsidRPr="00431FEA" w:rsidRDefault="00431FEA" w:rsidP="00431FEA">
      <w:pPr>
        <w:pStyle w:val="Ttulo1"/>
        <w:numPr>
          <w:ilvl w:val="0"/>
          <w:numId w:val="0"/>
        </w:numPr>
        <w:ind w:left="432" w:hanging="432"/>
        <w:rPr>
          <w:rFonts w:eastAsia="Times New Roman"/>
          <w:lang w:val="es-ES"/>
        </w:rPr>
      </w:pPr>
      <w:bookmarkStart w:id="2" w:name="_Toc386641254"/>
      <w:bookmarkStart w:id="3" w:name="_Toc67589085"/>
      <w:r w:rsidRPr="00431FEA">
        <w:rPr>
          <w:rFonts w:eastAsia="Times New Roman"/>
          <w:lang w:val="es-ES"/>
        </w:rPr>
        <w:t>Presentación</w:t>
      </w:r>
      <w:bookmarkEnd w:id="2"/>
      <w:bookmarkEnd w:id="3"/>
    </w:p>
    <w:p w14:paraId="43DAA74C" w14:textId="77777777" w:rsidR="00431FEA" w:rsidRPr="00431FEA" w:rsidRDefault="00431FEA" w:rsidP="00431FEA">
      <w:pPr>
        <w:autoSpaceDE w:val="0"/>
        <w:autoSpaceDN w:val="0"/>
        <w:adjustRightInd w:val="0"/>
        <w:spacing w:after="0" w:line="240" w:lineRule="auto"/>
        <w:jc w:val="both"/>
        <w:rPr>
          <w:rFonts w:ascii="Candara" w:eastAsia="Times New Roman" w:hAnsi="Candara" w:cs="Helvetica"/>
          <w:lang w:val="es-ES"/>
        </w:rPr>
      </w:pPr>
    </w:p>
    <w:p w14:paraId="3650D80A"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sz w:val="24"/>
          <w:szCs w:val="24"/>
          <w:lang w:val="es-ES"/>
        </w:rPr>
      </w:pPr>
      <w:r w:rsidRPr="00431FEA">
        <w:rPr>
          <w:rFonts w:ascii="Helvetica" w:eastAsia="Times New Roman" w:hAnsi="Helvetica" w:cs="Helvetica"/>
          <w:sz w:val="24"/>
          <w:szCs w:val="24"/>
          <w:lang w:val="es-ES"/>
        </w:rPr>
        <w:t>La Secretaría de Planificación y Programación de la Presidencia -SEGEPLAN-, tiene entre sus funciones la planificación y programación de políticas públicas y planes, así como otras actividades orientadas a la asesoría en los procesos de formulación, el acompañamiento técnico-metodológico y el análisis, seguimiento y evaluación de las acciones institucionales programadas en los instrumentos de planificación para cada ejercicio fiscal. Las acciones que SEGEPLAN analiza y evalúa son desarrolladas por las instituciones que conforman la administración pública en Guatemala, tanto las que integran el Gobierno Central (Ministerios de Estado y Secretarías de la Presidencia), como las entidades descentralizadas y autónomas, así como las 340 municipalidades que constituyen los gobiernos locales.</w:t>
      </w:r>
    </w:p>
    <w:p w14:paraId="567CD1C5"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sz w:val="24"/>
          <w:szCs w:val="24"/>
          <w:lang w:val="es-ES"/>
        </w:rPr>
      </w:pPr>
    </w:p>
    <w:p w14:paraId="0D88601D" w14:textId="4605B50A" w:rsidR="00431FEA" w:rsidRPr="00431FEA" w:rsidRDefault="00431FEA" w:rsidP="00431FEA">
      <w:pPr>
        <w:spacing w:after="0" w:line="240" w:lineRule="auto"/>
        <w:jc w:val="both"/>
        <w:rPr>
          <w:rFonts w:ascii="Helvetica" w:eastAsia="Times New Roman" w:hAnsi="Helvetica" w:cs="Helvetica"/>
          <w:sz w:val="24"/>
          <w:szCs w:val="24"/>
          <w:lang w:val="es-ES"/>
        </w:rPr>
      </w:pPr>
      <w:r w:rsidRPr="00431FEA">
        <w:rPr>
          <w:rFonts w:ascii="Helvetica" w:eastAsia="Times New Roman" w:hAnsi="Helvetica" w:cs="Helvetica"/>
          <w:sz w:val="24"/>
          <w:szCs w:val="24"/>
          <w:lang w:val="es-ES"/>
        </w:rPr>
        <w:t>En este contexto figura el Informe Cuatrimestral, que es un documento con información analítica para la toma de decisiones</w:t>
      </w:r>
      <w:r w:rsidR="006A3648">
        <w:rPr>
          <w:rFonts w:ascii="Helvetica" w:eastAsia="Times New Roman" w:hAnsi="Helvetica" w:cs="Helvetica"/>
          <w:sz w:val="24"/>
          <w:szCs w:val="24"/>
          <w:lang w:val="es-ES"/>
        </w:rPr>
        <w:t xml:space="preserve">, </w:t>
      </w:r>
      <w:r w:rsidRPr="00431FEA">
        <w:rPr>
          <w:rFonts w:ascii="Helvetica" w:eastAsia="Times New Roman" w:hAnsi="Helvetica" w:cs="Helvetica"/>
          <w:sz w:val="24"/>
          <w:szCs w:val="24"/>
          <w:lang w:val="es-ES"/>
        </w:rPr>
        <w:t xml:space="preserve">en el cual se da cuenta de los avances en la utilización de los recursos públicos, expresado en las metas e indicadores de desempeño de las instituciones y entidades del Sector Público.  El documento, según lo establece el mandato legal (ver marco legal) debe entregarse al Congreso de la República, por conducto de SEGEPLAN, </w:t>
      </w:r>
      <w:r w:rsidR="006A3648">
        <w:rPr>
          <w:rFonts w:ascii="Helvetica" w:eastAsia="Times New Roman" w:hAnsi="Helvetica" w:cs="Helvetica"/>
          <w:sz w:val="24"/>
          <w:szCs w:val="24"/>
          <w:lang w:val="es-ES"/>
        </w:rPr>
        <w:t>en los plazos establecidos.</w:t>
      </w:r>
    </w:p>
    <w:p w14:paraId="43DC0171" w14:textId="77777777" w:rsidR="00431FEA" w:rsidRPr="00431FEA" w:rsidRDefault="00431FEA" w:rsidP="00431FEA">
      <w:pPr>
        <w:spacing w:after="0" w:line="240" w:lineRule="auto"/>
        <w:jc w:val="both"/>
        <w:rPr>
          <w:rFonts w:ascii="Helvetica" w:eastAsia="Times New Roman" w:hAnsi="Helvetica" w:cs="Helvetica"/>
          <w:sz w:val="24"/>
          <w:szCs w:val="24"/>
          <w:lang w:val="es-ES"/>
        </w:rPr>
      </w:pPr>
    </w:p>
    <w:p w14:paraId="6A301BC6"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sz w:val="24"/>
          <w:szCs w:val="24"/>
          <w:lang w:val="es-ES"/>
        </w:rPr>
      </w:pPr>
      <w:r w:rsidRPr="00431FEA">
        <w:rPr>
          <w:rFonts w:ascii="Helvetica" w:eastAsia="Times New Roman" w:hAnsi="Helvetica" w:cs="Helvetica"/>
          <w:sz w:val="24"/>
          <w:szCs w:val="24"/>
          <w:lang w:val="es-ES"/>
        </w:rPr>
        <w:t>Es importante destacar que el presente Informe Anual y III Informe Cuatrimestral 2020 experimentará un cambio de enfoque respecto a los anteriores. En efecto, a partir del presente año cada Informe Cuatrimestral pondrá un mayor énfasis en un aspecto que constituirá el elemento central del mismo: la evaluación de la calidad del gasto, en los ámbitos principales del accionar gubernamental y en las dependencias más relevantes del sector público. Se buscará de esta forma analizar más a fondo el grado de cumplimiento de las políticas y los planes de las instituciones analizadas, no solo en términos cuantitativos sino también cualitativos, mediante la evaluación del avance logrado en los aspectos de máxima prioridad dentro de la planificación inicial.</w:t>
      </w:r>
    </w:p>
    <w:p w14:paraId="52A65EF5" w14:textId="62B84354" w:rsidR="00431FEA" w:rsidRDefault="00431FEA" w:rsidP="00431FEA">
      <w:pPr>
        <w:autoSpaceDE w:val="0"/>
        <w:autoSpaceDN w:val="0"/>
        <w:adjustRightInd w:val="0"/>
        <w:spacing w:after="0" w:line="240" w:lineRule="auto"/>
        <w:jc w:val="both"/>
        <w:rPr>
          <w:rFonts w:ascii="Helvetica" w:eastAsia="Times New Roman" w:hAnsi="Helvetica" w:cs="Helvetica"/>
          <w:sz w:val="24"/>
          <w:szCs w:val="24"/>
          <w:lang w:val="es-ES"/>
        </w:rPr>
      </w:pPr>
    </w:p>
    <w:p w14:paraId="51FBCC00" w14:textId="64ABD81D" w:rsidR="006A3648" w:rsidRDefault="006A3648" w:rsidP="00431FEA">
      <w:pPr>
        <w:autoSpaceDE w:val="0"/>
        <w:autoSpaceDN w:val="0"/>
        <w:adjustRightInd w:val="0"/>
        <w:spacing w:after="0" w:line="240" w:lineRule="auto"/>
        <w:jc w:val="both"/>
        <w:rPr>
          <w:rFonts w:ascii="Helvetica" w:eastAsia="Times New Roman" w:hAnsi="Helvetica" w:cs="Helvetica"/>
          <w:sz w:val="24"/>
          <w:szCs w:val="24"/>
          <w:lang w:val="es-ES"/>
        </w:rPr>
      </w:pPr>
      <w:r>
        <w:rPr>
          <w:rFonts w:ascii="Helvetica" w:eastAsia="Times New Roman" w:hAnsi="Helvetica" w:cs="Helvetica"/>
          <w:sz w:val="24"/>
          <w:szCs w:val="24"/>
          <w:lang w:val="es-ES"/>
        </w:rPr>
        <w:t>A continuación, para facilitar al lector la comprensión del documento, se presenta el marco legal, marco conceptual y objetivos del Informe:</w:t>
      </w:r>
    </w:p>
    <w:p w14:paraId="4BFDCD42" w14:textId="77777777" w:rsidR="006A3648" w:rsidRPr="003B1BD8" w:rsidRDefault="006A3648" w:rsidP="00431FEA">
      <w:pPr>
        <w:autoSpaceDE w:val="0"/>
        <w:autoSpaceDN w:val="0"/>
        <w:adjustRightInd w:val="0"/>
        <w:spacing w:after="0" w:line="240" w:lineRule="auto"/>
        <w:jc w:val="both"/>
        <w:rPr>
          <w:rFonts w:ascii="Helvetica" w:eastAsia="Times New Roman" w:hAnsi="Helvetica" w:cs="Helvetica"/>
          <w:sz w:val="28"/>
          <w:szCs w:val="28"/>
          <w:lang w:val="es-ES"/>
        </w:rPr>
      </w:pPr>
    </w:p>
    <w:p w14:paraId="2DD40636" w14:textId="143D4AF4" w:rsidR="00431FEA" w:rsidRDefault="00431FEA" w:rsidP="000567DA">
      <w:pPr>
        <w:pStyle w:val="normalinforme"/>
        <w:rPr>
          <w:rFonts w:ascii="Helvetica" w:hAnsi="Helvetica" w:cs="Helvetica"/>
          <w:b/>
          <w:bCs/>
          <w:color w:val="1F3864" w:themeColor="accent1" w:themeShade="80"/>
          <w:sz w:val="28"/>
          <w:szCs w:val="28"/>
        </w:rPr>
      </w:pPr>
      <w:bookmarkStart w:id="4" w:name="_Toc386641256"/>
      <w:r w:rsidRPr="003B1BD8">
        <w:rPr>
          <w:rFonts w:ascii="Helvetica" w:hAnsi="Helvetica" w:cs="Helvetica"/>
          <w:b/>
          <w:bCs/>
          <w:color w:val="1F3864" w:themeColor="accent1" w:themeShade="80"/>
          <w:sz w:val="28"/>
          <w:szCs w:val="28"/>
        </w:rPr>
        <w:t>Marco Legal</w:t>
      </w:r>
      <w:bookmarkEnd w:id="4"/>
    </w:p>
    <w:p w14:paraId="0ADCA363"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bCs/>
          <w:color w:val="0000FF"/>
          <w:sz w:val="24"/>
          <w:szCs w:val="24"/>
          <w:lang w:eastAsia="es-GT"/>
        </w:rPr>
      </w:pPr>
      <w:r w:rsidRPr="00431FEA">
        <w:rPr>
          <w:rFonts w:ascii="Helvetica" w:eastAsia="Times New Roman" w:hAnsi="Helvetica" w:cs="Helvetica"/>
          <w:b/>
          <w:bCs/>
          <w:color w:val="0000FF"/>
          <w:sz w:val="24"/>
          <w:szCs w:val="24"/>
          <w:lang w:eastAsia="es-GT"/>
        </w:rPr>
        <w:t>Para instituciones públicas:</w:t>
      </w:r>
    </w:p>
    <w:p w14:paraId="4D74C5FC"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bCs/>
          <w:color w:val="0000FF"/>
          <w:sz w:val="24"/>
          <w:szCs w:val="24"/>
          <w:lang w:eastAsia="es-GT"/>
        </w:rPr>
      </w:pPr>
    </w:p>
    <w:p w14:paraId="13DC3728"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sz w:val="24"/>
          <w:szCs w:val="24"/>
          <w:lang w:val="es-ES"/>
        </w:rPr>
      </w:pPr>
      <w:r w:rsidRPr="00431FEA">
        <w:rPr>
          <w:rFonts w:ascii="Helvetica" w:eastAsia="Times New Roman" w:hAnsi="Helvetica" w:cs="Helvetica"/>
          <w:sz w:val="24"/>
          <w:szCs w:val="24"/>
          <w:lang w:val="es-ES"/>
        </w:rPr>
        <w:t>La base legal en la cual se fundamenta la elaboración del Informe Cuatrimestral es la Ley Orgánica del Presupuesto (Decreto 101-97 del Congreso de la República) y sus Modificaciones (Decreto13-2013), así como el Reglamento de dicha Ley (Acuerdo Gubernativo 540-2013).</w:t>
      </w:r>
    </w:p>
    <w:p w14:paraId="023CAE82"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bCs/>
          <w:color w:val="0000FF"/>
          <w:sz w:val="24"/>
          <w:szCs w:val="24"/>
          <w:lang w:val="es-ES" w:eastAsia="es-GT"/>
        </w:rPr>
      </w:pPr>
    </w:p>
    <w:p w14:paraId="6CFF74CF" w14:textId="4C4F143D" w:rsidR="00431FEA" w:rsidRPr="00431FEA" w:rsidRDefault="00431FEA" w:rsidP="00431FEA">
      <w:pPr>
        <w:autoSpaceDE w:val="0"/>
        <w:autoSpaceDN w:val="0"/>
        <w:adjustRightInd w:val="0"/>
        <w:spacing w:after="0" w:line="240" w:lineRule="auto"/>
        <w:jc w:val="both"/>
        <w:rPr>
          <w:rFonts w:ascii="Helvetica" w:eastAsia="Times New Roman" w:hAnsi="Helvetica" w:cs="Helvetica"/>
          <w:b/>
          <w:sz w:val="24"/>
          <w:szCs w:val="24"/>
        </w:rPr>
      </w:pPr>
      <w:r w:rsidRPr="00431FEA">
        <w:rPr>
          <w:rFonts w:ascii="Helvetica" w:eastAsia="Times New Roman" w:hAnsi="Helvetica" w:cs="Helvetica"/>
          <w:b/>
          <w:bCs/>
          <w:sz w:val="24"/>
          <w:szCs w:val="24"/>
          <w:lang w:eastAsia="es-GT"/>
        </w:rPr>
        <w:t>“</w:t>
      </w:r>
      <w:bookmarkStart w:id="5" w:name="_Hlk67584683"/>
      <w:r w:rsidRPr="00431FEA">
        <w:rPr>
          <w:rFonts w:ascii="Helvetica" w:eastAsia="Times New Roman" w:hAnsi="Helvetica" w:cs="Helvetica"/>
          <w:b/>
          <w:bCs/>
          <w:sz w:val="24"/>
          <w:szCs w:val="24"/>
          <w:lang w:eastAsia="es-GT"/>
        </w:rPr>
        <w:t>A</w:t>
      </w:r>
      <w:r w:rsidR="00DB5C36">
        <w:rPr>
          <w:rFonts w:ascii="Helvetica" w:eastAsia="Times New Roman" w:hAnsi="Helvetica" w:cs="Helvetica"/>
          <w:b/>
          <w:bCs/>
          <w:sz w:val="24"/>
          <w:szCs w:val="24"/>
          <w:lang w:eastAsia="es-GT"/>
        </w:rPr>
        <w:t>rtículo</w:t>
      </w:r>
      <w:bookmarkEnd w:id="5"/>
      <w:r w:rsidR="00DB5C36">
        <w:rPr>
          <w:rFonts w:ascii="Helvetica" w:eastAsia="Times New Roman" w:hAnsi="Helvetica" w:cs="Helvetica"/>
          <w:b/>
          <w:bCs/>
          <w:sz w:val="24"/>
          <w:szCs w:val="24"/>
          <w:lang w:eastAsia="es-GT"/>
        </w:rPr>
        <w:t xml:space="preserve"> </w:t>
      </w:r>
      <w:r w:rsidRPr="00431FEA">
        <w:rPr>
          <w:rFonts w:ascii="Helvetica" w:eastAsia="Times New Roman" w:hAnsi="Helvetica" w:cs="Helvetica"/>
          <w:b/>
          <w:bCs/>
          <w:sz w:val="24"/>
          <w:szCs w:val="24"/>
          <w:lang w:eastAsia="es-GT"/>
        </w:rPr>
        <w:t>17 Bis. Acceso a la Información de la Gestión Presupuestaria por Resultados. (</w:t>
      </w:r>
      <w:hyperlink r:id="rId13" w:anchor="11" w:history="1">
        <w:r w:rsidRPr="00431FEA">
          <w:rPr>
            <w:rFonts w:ascii="Helvetica" w:eastAsia="Times New Roman" w:hAnsi="Helvetica" w:cs="Helvetica"/>
            <w:b/>
            <w:bCs/>
            <w:sz w:val="24"/>
            <w:szCs w:val="24"/>
            <w:lang w:eastAsia="es-GT"/>
          </w:rPr>
          <w:t>*Reformado por el Artículo 8, del Decreto Número 13-2013 el 20-11-2013</w:t>
        </w:r>
      </w:hyperlink>
      <w:r w:rsidRPr="00431FEA">
        <w:rPr>
          <w:rFonts w:ascii="Helvetica" w:eastAsia="Times New Roman" w:hAnsi="Helvetica" w:cs="Helvetica"/>
          <w:b/>
          <w:bCs/>
          <w:sz w:val="24"/>
          <w:szCs w:val="24"/>
          <w:lang w:eastAsia="es-GT"/>
        </w:rPr>
        <w:t>) (Tercer párrafo)</w:t>
      </w:r>
    </w:p>
    <w:p w14:paraId="1F312343"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sz w:val="24"/>
          <w:szCs w:val="24"/>
          <w:lang w:eastAsia="es-GT"/>
        </w:rPr>
      </w:pPr>
    </w:p>
    <w:p w14:paraId="36BCA702" w14:textId="1DDC9330" w:rsidR="00431FEA" w:rsidRPr="00431FEA" w:rsidRDefault="00431FEA" w:rsidP="00431FEA">
      <w:pPr>
        <w:autoSpaceDE w:val="0"/>
        <w:autoSpaceDN w:val="0"/>
        <w:adjustRightInd w:val="0"/>
        <w:spacing w:after="0" w:line="240" w:lineRule="auto"/>
        <w:jc w:val="both"/>
        <w:rPr>
          <w:rFonts w:ascii="Helvetica" w:eastAsia="Times New Roman" w:hAnsi="Helvetica" w:cs="Helvetica"/>
          <w:sz w:val="24"/>
          <w:szCs w:val="24"/>
          <w:lang w:eastAsia="es-GT"/>
        </w:rPr>
      </w:pPr>
      <w:r w:rsidRPr="00431FEA">
        <w:rPr>
          <w:rFonts w:ascii="Helvetica" w:eastAsia="Times New Roman" w:hAnsi="Helvetica" w:cs="Helvetica"/>
          <w:sz w:val="24"/>
          <w:szCs w:val="24"/>
          <w:lang w:eastAsia="es-GT"/>
        </w:rPr>
        <w:t>La Presidencia de la República, por medio de la Secretaría de Planificación y Programación de la Presidencia, con el objeto de efectuar un adecuado seguimiento que permita verificar la calidad del gasto público, deberá entregar en los primeros quince días de finalizado cada cuatrimestre del ejercicio fiscal al Congreso de la República, las metas y sus respectivos indicadores de desempeño y calidad del gasto, así como la información oportuna que actualice los avances cada cuatro meses. También facilitará el acceso a los sistemas informáticos en que se operen los mismos y los planes operativos anuales.</w:t>
      </w:r>
    </w:p>
    <w:p w14:paraId="7E5FCE6A"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sz w:val="24"/>
          <w:szCs w:val="24"/>
          <w:lang w:eastAsia="es-GT"/>
        </w:rPr>
      </w:pPr>
    </w:p>
    <w:p w14:paraId="3C7EBEC8"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sz w:val="24"/>
          <w:szCs w:val="24"/>
        </w:rPr>
      </w:pPr>
      <w:r w:rsidRPr="00431FEA">
        <w:rPr>
          <w:rFonts w:ascii="Helvetica" w:eastAsia="Times New Roman" w:hAnsi="Helvetica" w:cs="Helvetica"/>
          <w:sz w:val="24"/>
          <w:szCs w:val="24"/>
          <w:lang w:eastAsia="es-GT"/>
        </w:rPr>
        <w:t>Se exceptúa el último informe de cuatrimestre que deberá estar incluido en el informe anual contenido en el artículo 8 de esta Ley.”</w:t>
      </w:r>
    </w:p>
    <w:p w14:paraId="6569C550"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sz w:val="24"/>
          <w:szCs w:val="24"/>
          <w:lang w:val="es-ES"/>
        </w:rPr>
      </w:pPr>
    </w:p>
    <w:p w14:paraId="25C372EB" w14:textId="497528FF" w:rsidR="00431FEA" w:rsidRPr="00431FEA" w:rsidRDefault="00431FEA" w:rsidP="00431FEA">
      <w:pPr>
        <w:autoSpaceDE w:val="0"/>
        <w:autoSpaceDN w:val="0"/>
        <w:adjustRightInd w:val="0"/>
        <w:spacing w:after="0" w:line="240" w:lineRule="auto"/>
        <w:jc w:val="both"/>
        <w:rPr>
          <w:rFonts w:ascii="Helvetica" w:eastAsia="Times New Roman" w:hAnsi="Helvetica" w:cs="Helvetica"/>
          <w:b/>
          <w:bCs/>
          <w:sz w:val="24"/>
          <w:szCs w:val="24"/>
          <w:lang w:eastAsia="es-GT"/>
        </w:rPr>
      </w:pPr>
      <w:r w:rsidRPr="00431FEA">
        <w:rPr>
          <w:rFonts w:ascii="Helvetica" w:eastAsia="Times New Roman" w:hAnsi="Helvetica" w:cs="Helvetica"/>
          <w:b/>
          <w:bCs/>
          <w:sz w:val="24"/>
          <w:szCs w:val="24"/>
          <w:lang w:eastAsia="es-GT"/>
        </w:rPr>
        <w:t>“</w:t>
      </w:r>
      <w:r w:rsidR="00DB5C36" w:rsidRPr="00431FEA">
        <w:rPr>
          <w:rFonts w:ascii="Helvetica" w:eastAsia="Times New Roman" w:hAnsi="Helvetica" w:cs="Helvetica"/>
          <w:b/>
          <w:bCs/>
          <w:sz w:val="24"/>
          <w:szCs w:val="24"/>
          <w:lang w:eastAsia="es-GT"/>
        </w:rPr>
        <w:t>A</w:t>
      </w:r>
      <w:r w:rsidR="00DB5C36">
        <w:rPr>
          <w:rFonts w:ascii="Helvetica" w:eastAsia="Times New Roman" w:hAnsi="Helvetica" w:cs="Helvetica"/>
          <w:b/>
          <w:bCs/>
          <w:sz w:val="24"/>
          <w:szCs w:val="24"/>
          <w:lang w:eastAsia="es-GT"/>
        </w:rPr>
        <w:t xml:space="preserve">rtículo </w:t>
      </w:r>
      <w:r w:rsidR="003C786E" w:rsidRPr="00431FEA">
        <w:rPr>
          <w:rFonts w:ascii="Helvetica" w:eastAsia="Times New Roman" w:hAnsi="Helvetica" w:cs="Helvetica"/>
          <w:b/>
          <w:bCs/>
          <w:sz w:val="24"/>
          <w:szCs w:val="24"/>
          <w:lang w:eastAsia="es-GT"/>
        </w:rPr>
        <w:t>8. *</w:t>
      </w:r>
      <w:r w:rsidRPr="00431FEA">
        <w:rPr>
          <w:rFonts w:ascii="Helvetica" w:eastAsia="Times New Roman" w:hAnsi="Helvetica" w:cs="Helvetica"/>
          <w:b/>
          <w:bCs/>
          <w:sz w:val="24"/>
          <w:szCs w:val="24"/>
          <w:lang w:eastAsia="es-GT"/>
        </w:rPr>
        <w:t xml:space="preserve"> Vinculación plan-presupuesto. (</w:t>
      </w:r>
      <w:hyperlink r:id="rId14" w:anchor="9" w:history="1">
        <w:r w:rsidRPr="00431FEA">
          <w:rPr>
            <w:rFonts w:ascii="Helvetica" w:eastAsia="Times New Roman" w:hAnsi="Helvetica" w:cs="Helvetica"/>
            <w:b/>
            <w:bCs/>
            <w:sz w:val="24"/>
            <w:szCs w:val="24"/>
            <w:lang w:eastAsia="es-GT"/>
          </w:rPr>
          <w:t>*Reformado el segundo párrafo y adicionado el tercer párrafo por el Artículo 6, del Decreto Número 13-2013 el 20-11-2013</w:t>
        </w:r>
      </w:hyperlink>
      <w:r w:rsidRPr="00431FEA">
        <w:rPr>
          <w:rFonts w:ascii="Helvetica" w:eastAsia="Times New Roman" w:hAnsi="Helvetica" w:cs="Helvetica"/>
          <w:b/>
          <w:bCs/>
          <w:sz w:val="24"/>
          <w:szCs w:val="24"/>
          <w:lang w:eastAsia="es-GT"/>
        </w:rPr>
        <w:t>). (Tercer párrafo)</w:t>
      </w:r>
    </w:p>
    <w:p w14:paraId="561C6794" w14:textId="77777777" w:rsidR="00431FEA" w:rsidRPr="00431FEA" w:rsidRDefault="00431FEA" w:rsidP="00431FEA">
      <w:pPr>
        <w:spacing w:after="0" w:line="240" w:lineRule="auto"/>
        <w:jc w:val="both"/>
        <w:rPr>
          <w:rFonts w:ascii="Helvetica" w:eastAsia="Times New Roman" w:hAnsi="Helvetica" w:cs="Helvetica"/>
          <w:sz w:val="24"/>
          <w:szCs w:val="24"/>
          <w:lang w:eastAsia="es-GT"/>
        </w:rPr>
      </w:pPr>
    </w:p>
    <w:p w14:paraId="1ABE7A2D" w14:textId="77777777" w:rsidR="00431FEA" w:rsidRPr="00431FEA" w:rsidRDefault="00431FEA" w:rsidP="00431FEA">
      <w:pPr>
        <w:spacing w:after="0" w:line="240" w:lineRule="auto"/>
        <w:jc w:val="both"/>
        <w:rPr>
          <w:rFonts w:ascii="Helvetica" w:eastAsia="Times New Roman" w:hAnsi="Helvetica" w:cs="Helvetica"/>
          <w:sz w:val="24"/>
          <w:szCs w:val="24"/>
          <w:lang w:eastAsia="es-GT"/>
        </w:rPr>
      </w:pPr>
      <w:r w:rsidRPr="00431FEA">
        <w:rPr>
          <w:rFonts w:ascii="Helvetica" w:eastAsia="Times New Roman" w:hAnsi="Helvetica" w:cs="Helvetica"/>
          <w:sz w:val="24"/>
          <w:szCs w:val="24"/>
          <w:lang w:eastAsia="es-GT"/>
        </w:rPr>
        <w:t>La Secretaría de Planificación y Programación de la Presidencia enviará a la Junta Directiva del Congreso de la República durante el primer trimestre de cada año, un informe de evaluación y análisis sobre la ejecución y resultados del presupuesto del ejercicio fiscal anterior haciendo énfasis en los criterios de calidad del gasto y el impacto de las políticas públicas, sus metas e indicadores. Dicha información se considerará información pública de oficio de acuerdo a la Ley de Acceso a la Información Pública.”</w:t>
      </w:r>
    </w:p>
    <w:p w14:paraId="1861C8EC" w14:textId="77777777" w:rsidR="00431FEA" w:rsidRPr="00431FEA" w:rsidRDefault="00431FEA" w:rsidP="00431FEA">
      <w:pPr>
        <w:spacing w:after="0" w:line="240" w:lineRule="auto"/>
        <w:jc w:val="both"/>
        <w:rPr>
          <w:rFonts w:ascii="Helvetica" w:eastAsia="Times New Roman" w:hAnsi="Helvetica" w:cs="Helvetica"/>
          <w:b/>
          <w:bCs/>
          <w:sz w:val="24"/>
          <w:szCs w:val="24"/>
          <w:lang w:eastAsia="es-GT"/>
        </w:rPr>
      </w:pPr>
    </w:p>
    <w:p w14:paraId="7A65BE87" w14:textId="77A7B9E3" w:rsidR="00431FEA" w:rsidRPr="00431FEA" w:rsidRDefault="00431FEA" w:rsidP="00431FEA">
      <w:pPr>
        <w:spacing w:after="0" w:line="240" w:lineRule="auto"/>
        <w:jc w:val="both"/>
        <w:rPr>
          <w:rFonts w:ascii="Helvetica" w:eastAsia="Times New Roman" w:hAnsi="Helvetica" w:cs="Helvetica"/>
          <w:sz w:val="24"/>
          <w:szCs w:val="24"/>
          <w:lang w:eastAsia="es-GT"/>
        </w:rPr>
      </w:pPr>
      <w:r w:rsidRPr="00431FEA">
        <w:rPr>
          <w:rFonts w:ascii="Helvetica" w:eastAsia="Times New Roman" w:hAnsi="Helvetica" w:cs="Helvetica"/>
          <w:b/>
          <w:bCs/>
          <w:sz w:val="24"/>
          <w:szCs w:val="24"/>
          <w:lang w:eastAsia="es-GT"/>
        </w:rPr>
        <w:t>“</w:t>
      </w:r>
      <w:r w:rsidR="00DB5C36" w:rsidRPr="00431FEA">
        <w:rPr>
          <w:rFonts w:ascii="Helvetica" w:eastAsia="Times New Roman" w:hAnsi="Helvetica" w:cs="Helvetica"/>
          <w:b/>
          <w:bCs/>
          <w:sz w:val="24"/>
          <w:szCs w:val="24"/>
          <w:lang w:eastAsia="es-GT"/>
        </w:rPr>
        <w:t>A</w:t>
      </w:r>
      <w:r w:rsidR="00DB5C36">
        <w:rPr>
          <w:rFonts w:ascii="Helvetica" w:eastAsia="Times New Roman" w:hAnsi="Helvetica" w:cs="Helvetica"/>
          <w:b/>
          <w:bCs/>
          <w:sz w:val="24"/>
          <w:szCs w:val="24"/>
          <w:lang w:eastAsia="es-GT"/>
        </w:rPr>
        <w:t>rtículo</w:t>
      </w:r>
      <w:r w:rsidRPr="00431FEA">
        <w:rPr>
          <w:rFonts w:ascii="Helvetica" w:eastAsia="Times New Roman" w:hAnsi="Helvetica" w:cs="Helvetica"/>
          <w:b/>
          <w:bCs/>
          <w:sz w:val="24"/>
          <w:szCs w:val="24"/>
          <w:lang w:eastAsia="es-GT"/>
        </w:rPr>
        <w:t xml:space="preserve"> </w:t>
      </w:r>
      <w:r w:rsidR="00DB5C36">
        <w:rPr>
          <w:rFonts w:ascii="Helvetica" w:eastAsia="Times New Roman" w:hAnsi="Helvetica" w:cs="Helvetica"/>
          <w:b/>
          <w:bCs/>
          <w:sz w:val="24"/>
          <w:szCs w:val="24"/>
          <w:lang w:eastAsia="es-GT"/>
        </w:rPr>
        <w:t>16</w:t>
      </w:r>
      <w:r w:rsidRPr="00431FEA">
        <w:rPr>
          <w:rFonts w:ascii="Helvetica" w:eastAsia="Times New Roman" w:hAnsi="Helvetica" w:cs="Helvetica"/>
          <w:b/>
          <w:bCs/>
          <w:sz w:val="24"/>
          <w:szCs w:val="24"/>
          <w:lang w:eastAsia="es-GT"/>
        </w:rPr>
        <w:t xml:space="preserve">. </w:t>
      </w:r>
      <w:r w:rsidR="005E4110">
        <w:rPr>
          <w:rFonts w:ascii="Helvetica" w:eastAsia="Times New Roman" w:hAnsi="Helvetica" w:cs="Helvetica"/>
          <w:b/>
          <w:bCs/>
          <w:sz w:val="24"/>
          <w:szCs w:val="24"/>
          <w:lang w:eastAsia="es-GT"/>
        </w:rPr>
        <w:t>EVALUACIÓN Y POLÍTICAS PRESUPUESTARIAS</w:t>
      </w:r>
      <w:r w:rsidRPr="00431FEA">
        <w:rPr>
          <w:rFonts w:ascii="Helvetica" w:eastAsia="Times New Roman" w:hAnsi="Helvetica" w:cs="Helvetica"/>
          <w:b/>
          <w:bCs/>
          <w:sz w:val="24"/>
          <w:szCs w:val="24"/>
          <w:lang w:eastAsia="es-GT"/>
        </w:rPr>
        <w:t xml:space="preserve"> (Reglamento de la Ley Orgánica del Presupuesto, Acuerdo Gubernativo 540-2013)</w:t>
      </w:r>
    </w:p>
    <w:p w14:paraId="2C4B351C" w14:textId="77777777" w:rsidR="00431FEA" w:rsidRPr="00431FEA" w:rsidRDefault="00431FEA" w:rsidP="00431FEA">
      <w:pPr>
        <w:spacing w:after="0" w:line="240" w:lineRule="auto"/>
        <w:jc w:val="both"/>
        <w:rPr>
          <w:rFonts w:ascii="Helvetica" w:eastAsia="Times New Roman" w:hAnsi="Helvetica" w:cs="Helvetica"/>
          <w:sz w:val="24"/>
          <w:szCs w:val="24"/>
          <w:lang w:eastAsia="es-GT"/>
        </w:rPr>
      </w:pPr>
    </w:p>
    <w:p w14:paraId="5C413495" w14:textId="77777777" w:rsidR="00431FEA" w:rsidRPr="00431FEA" w:rsidRDefault="00431FEA" w:rsidP="00431FEA">
      <w:pPr>
        <w:spacing w:after="0" w:line="240" w:lineRule="auto"/>
        <w:jc w:val="both"/>
        <w:rPr>
          <w:rFonts w:ascii="Helvetica" w:eastAsia="Times New Roman" w:hAnsi="Helvetica" w:cs="Helvetica"/>
          <w:sz w:val="24"/>
          <w:szCs w:val="24"/>
          <w:lang w:eastAsia="es-GT"/>
        </w:rPr>
      </w:pPr>
      <w:r w:rsidRPr="00431FEA">
        <w:rPr>
          <w:rFonts w:ascii="Helvetica" w:eastAsia="Times New Roman" w:hAnsi="Helvetica" w:cs="Helvetica"/>
          <w:sz w:val="24"/>
          <w:szCs w:val="24"/>
          <w:lang w:eastAsia="es-GT"/>
        </w:rPr>
        <w:t>Así mismo, dicha Secretaría, presentará al Congreso de la República, a más tardar el último día hábil del mes de marzo de cada año, un informe consolidado de evaluación y análisis de la ejecución y resultados del presupuesto del ejercicio fiscal anterior, de conformidad con el Artículo 8 de la Ley.”</w:t>
      </w:r>
    </w:p>
    <w:p w14:paraId="4C8B27EC"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sz w:val="24"/>
          <w:szCs w:val="24"/>
        </w:rPr>
      </w:pPr>
    </w:p>
    <w:p w14:paraId="118762E0"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bCs/>
          <w:color w:val="0000FF"/>
          <w:sz w:val="24"/>
          <w:szCs w:val="24"/>
          <w:lang w:eastAsia="es-GT"/>
        </w:rPr>
      </w:pPr>
      <w:r w:rsidRPr="00431FEA">
        <w:rPr>
          <w:rFonts w:ascii="Helvetica" w:eastAsia="Times New Roman" w:hAnsi="Helvetica" w:cs="Helvetica"/>
          <w:b/>
          <w:bCs/>
          <w:color w:val="0000FF"/>
          <w:sz w:val="24"/>
          <w:szCs w:val="24"/>
          <w:lang w:eastAsia="es-GT"/>
        </w:rPr>
        <w:t>Para Municipalidades:</w:t>
      </w:r>
    </w:p>
    <w:p w14:paraId="11E8F28F" w14:textId="77777777" w:rsidR="00431FEA" w:rsidRPr="00431FEA" w:rsidRDefault="00431FEA" w:rsidP="00431FEA">
      <w:pPr>
        <w:autoSpaceDE w:val="0"/>
        <w:autoSpaceDN w:val="0"/>
        <w:adjustRightInd w:val="0"/>
        <w:spacing w:after="0" w:line="240" w:lineRule="auto"/>
        <w:jc w:val="both"/>
        <w:rPr>
          <w:rFonts w:ascii="Helvetica" w:eastAsia="Times New Roman" w:hAnsi="Helvetica" w:cs="Helvetica"/>
          <w:b/>
          <w:bCs/>
          <w:color w:val="0000FF"/>
          <w:sz w:val="24"/>
          <w:szCs w:val="24"/>
          <w:lang w:eastAsia="es-GT"/>
        </w:rPr>
      </w:pPr>
    </w:p>
    <w:p w14:paraId="30AE20DB" w14:textId="6E0673B0" w:rsidR="00431FEA" w:rsidRPr="00431FEA" w:rsidRDefault="00431FEA" w:rsidP="00431FEA">
      <w:pPr>
        <w:spacing w:after="240" w:line="240" w:lineRule="auto"/>
        <w:jc w:val="both"/>
        <w:rPr>
          <w:rFonts w:ascii="Helvetica" w:eastAsia="Calibri" w:hAnsi="Helvetica" w:cs="Helvetica"/>
          <w:b/>
          <w:bCs/>
          <w:sz w:val="24"/>
          <w:szCs w:val="24"/>
        </w:rPr>
      </w:pPr>
      <w:r w:rsidRPr="00431FEA">
        <w:rPr>
          <w:rFonts w:ascii="Helvetica" w:eastAsia="Calibri" w:hAnsi="Helvetica" w:cs="Helvetica"/>
          <w:b/>
          <w:bCs/>
          <w:sz w:val="24"/>
          <w:szCs w:val="24"/>
        </w:rPr>
        <w:t>“DECRETO 12-2002. Código Municipal</w:t>
      </w:r>
    </w:p>
    <w:p w14:paraId="789936B8" w14:textId="77777777" w:rsidR="00431FEA" w:rsidRPr="00431FEA" w:rsidRDefault="00431FEA" w:rsidP="00431FEA">
      <w:pPr>
        <w:spacing w:after="240" w:line="240" w:lineRule="auto"/>
        <w:jc w:val="both"/>
        <w:rPr>
          <w:rFonts w:ascii="Helvetica" w:eastAsia="Calibri" w:hAnsi="Helvetica" w:cs="Helvetica"/>
          <w:sz w:val="24"/>
          <w:szCs w:val="24"/>
        </w:rPr>
      </w:pPr>
      <w:r w:rsidRPr="00431FEA">
        <w:rPr>
          <w:rFonts w:ascii="Helvetica" w:eastAsia="Calibri" w:hAnsi="Helvetica" w:cs="Helvetica"/>
          <w:sz w:val="24"/>
          <w:szCs w:val="24"/>
        </w:rPr>
        <w:t>Artículo 135. “El Alcalde debe informar cuatrimestralmente a su Concejo Municipal sobre la Ejecución del Presupuesto de Ingresos y Egresos de su Municipio. Además, según la tecnología de la información utilizada para el registro de las transacciones financieras y de realizaciones físicas, pondrá a la disposición de la Contraloría General de Cuentas, de manera constante o mensual, según sea el caso, el registro de las transacciones presupuestarias, extrapresupuestarias y patrimoniales para su control, fiscalización y asesoría. Igualmente, con fines de consolidación presupuestaria del sector público y actualización de los portales de transparencia fiscal, dicha información, de manera agregada, estará disponible para el Ministerio de Finanzas Públicas y la Secretaría de Planificación y Programación de la Presidencia de la República.”</w:t>
      </w:r>
    </w:p>
    <w:p w14:paraId="28D51938" w14:textId="13F5EA14" w:rsidR="00431FEA" w:rsidRPr="003B1BD8" w:rsidRDefault="00431FEA" w:rsidP="003B1BD8">
      <w:pPr>
        <w:pStyle w:val="normalinforme"/>
        <w:rPr>
          <w:rFonts w:ascii="Helvetica" w:hAnsi="Helvetica" w:cs="Helvetica"/>
          <w:b/>
          <w:bCs/>
          <w:color w:val="1F3864" w:themeColor="accent1" w:themeShade="80"/>
          <w:sz w:val="28"/>
          <w:szCs w:val="28"/>
        </w:rPr>
      </w:pPr>
      <w:r w:rsidRPr="003B1BD8">
        <w:rPr>
          <w:rFonts w:ascii="Helvetica" w:hAnsi="Helvetica" w:cs="Helvetica"/>
          <w:b/>
          <w:bCs/>
          <w:color w:val="1F3864" w:themeColor="accent1" w:themeShade="80"/>
          <w:sz w:val="28"/>
          <w:szCs w:val="28"/>
        </w:rPr>
        <w:t>Marco Conceptual</w:t>
      </w:r>
    </w:p>
    <w:p w14:paraId="31ADAEC8" w14:textId="2EDCE95E" w:rsidR="005E4110" w:rsidRDefault="00431FEA" w:rsidP="005E4110">
      <w:pPr>
        <w:numPr>
          <w:ilvl w:val="0"/>
          <w:numId w:val="7"/>
        </w:numPr>
        <w:spacing w:after="240" w:line="240" w:lineRule="auto"/>
        <w:contextualSpacing/>
        <w:jc w:val="both"/>
        <w:rPr>
          <w:rFonts w:ascii="Helvetica" w:eastAsia="Calibri" w:hAnsi="Helvetica" w:cs="Helvetica"/>
          <w:sz w:val="24"/>
          <w:szCs w:val="24"/>
        </w:rPr>
      </w:pPr>
      <w:r w:rsidRPr="00431FEA">
        <w:rPr>
          <w:rFonts w:ascii="Helvetica" w:eastAsia="Calibri" w:hAnsi="Helvetica" w:cs="Helvetica"/>
          <w:sz w:val="24"/>
          <w:szCs w:val="24"/>
        </w:rPr>
        <w:t>Calidad del Gasto Público</w:t>
      </w:r>
    </w:p>
    <w:p w14:paraId="6BF178D0" w14:textId="77777777" w:rsidR="005E4110" w:rsidRPr="005E4110" w:rsidRDefault="005E4110" w:rsidP="005E4110">
      <w:pPr>
        <w:spacing w:after="240" w:line="240" w:lineRule="auto"/>
        <w:ind w:left="720"/>
        <w:contextualSpacing/>
        <w:jc w:val="both"/>
        <w:rPr>
          <w:rFonts w:ascii="Helvetica" w:eastAsia="Calibri" w:hAnsi="Helvetica" w:cs="Helvetica"/>
          <w:sz w:val="24"/>
          <w:szCs w:val="24"/>
        </w:rPr>
      </w:pPr>
    </w:p>
    <w:p w14:paraId="22ED41F0" w14:textId="6EBE7CA8" w:rsidR="00431FEA" w:rsidRPr="00431FEA" w:rsidRDefault="00431FEA" w:rsidP="005E4110">
      <w:pPr>
        <w:spacing w:before="120" w:after="120" w:line="240" w:lineRule="auto"/>
        <w:jc w:val="both"/>
        <w:rPr>
          <w:rFonts w:ascii="Helvetica" w:eastAsia="Calibri" w:hAnsi="Helvetica" w:cs="Helvetica"/>
          <w:sz w:val="24"/>
          <w:szCs w:val="24"/>
        </w:rPr>
      </w:pPr>
      <w:r w:rsidRPr="00431FEA">
        <w:rPr>
          <w:rFonts w:ascii="Helvetica" w:eastAsia="Calibri" w:hAnsi="Helvetica" w:cs="Helvetica"/>
          <w:sz w:val="24"/>
          <w:szCs w:val="24"/>
        </w:rPr>
        <w:t>“La calidad del gasto público abarca aquellos elementos que garantizan un uso eficaz y eficiente de los recursos públicos, con lo objetivos de elevar el potencial de crecimiento de la economía y, en el caso particular de América Latina y el Caribe, de asegurar grados crecientes de equidad distributiva”.</w:t>
      </w:r>
      <w:r w:rsidR="005E4110">
        <w:rPr>
          <w:rStyle w:val="Refdenotaalpie"/>
          <w:rFonts w:ascii="Helvetica" w:eastAsia="Calibri" w:hAnsi="Helvetica" w:cs="Helvetica"/>
          <w:sz w:val="24"/>
          <w:szCs w:val="24"/>
        </w:rPr>
        <w:footnoteReference w:id="1"/>
      </w:r>
    </w:p>
    <w:p w14:paraId="03075A40" w14:textId="7B91A82A" w:rsidR="00431FEA" w:rsidRPr="00431FEA" w:rsidRDefault="00431FEA" w:rsidP="005E4110">
      <w:pPr>
        <w:autoSpaceDE w:val="0"/>
        <w:autoSpaceDN w:val="0"/>
        <w:adjustRightInd w:val="0"/>
        <w:spacing w:before="120" w:after="120" w:line="240" w:lineRule="auto"/>
        <w:jc w:val="both"/>
        <w:rPr>
          <w:rFonts w:ascii="Helvetica" w:eastAsia="Calibri" w:hAnsi="Helvetica" w:cs="Helvetica"/>
          <w:sz w:val="24"/>
          <w:szCs w:val="24"/>
        </w:rPr>
      </w:pPr>
      <w:r w:rsidRPr="00431FEA">
        <w:rPr>
          <w:rFonts w:ascii="Helvetica" w:eastAsia="Calibri" w:hAnsi="Helvetica" w:cs="Helvetica"/>
          <w:sz w:val="24"/>
          <w:szCs w:val="24"/>
        </w:rPr>
        <w:t xml:space="preserve">Se considera que la conjugación de los principios de eficiencia, eficacia y equidad, constituyen los parámetros necesarios para medir </w:t>
      </w:r>
      <w:r w:rsidR="005E4110">
        <w:rPr>
          <w:rFonts w:ascii="Helvetica" w:eastAsia="Calibri" w:hAnsi="Helvetica" w:cs="Helvetica"/>
          <w:sz w:val="24"/>
          <w:szCs w:val="24"/>
        </w:rPr>
        <w:t>c</w:t>
      </w:r>
      <w:r w:rsidRPr="00431FEA">
        <w:rPr>
          <w:rFonts w:ascii="Helvetica" w:eastAsia="Calibri" w:hAnsi="Helvetica" w:cs="Helvetica"/>
          <w:sz w:val="24"/>
          <w:szCs w:val="24"/>
        </w:rPr>
        <w:t xml:space="preserve">alidad del </w:t>
      </w:r>
      <w:r w:rsidR="005E4110">
        <w:rPr>
          <w:rFonts w:ascii="Helvetica" w:eastAsia="Calibri" w:hAnsi="Helvetica" w:cs="Helvetica"/>
          <w:sz w:val="24"/>
          <w:szCs w:val="24"/>
        </w:rPr>
        <w:t>g</w:t>
      </w:r>
      <w:r w:rsidRPr="00431FEA">
        <w:rPr>
          <w:rFonts w:ascii="Helvetica" w:eastAsia="Calibri" w:hAnsi="Helvetica" w:cs="Helvetica"/>
          <w:sz w:val="24"/>
          <w:szCs w:val="24"/>
        </w:rPr>
        <w:t>asto, entendiendo cada uno de estos principios de la manera siguiente:</w:t>
      </w:r>
    </w:p>
    <w:p w14:paraId="4C1DF65B" w14:textId="1E292AE4" w:rsidR="00431FEA" w:rsidRPr="00431FEA" w:rsidRDefault="00431FEA" w:rsidP="005E4110">
      <w:pPr>
        <w:numPr>
          <w:ilvl w:val="0"/>
          <w:numId w:val="8"/>
        </w:numPr>
        <w:autoSpaceDE w:val="0"/>
        <w:autoSpaceDN w:val="0"/>
        <w:adjustRightInd w:val="0"/>
        <w:spacing w:before="120" w:after="120" w:line="240" w:lineRule="auto"/>
        <w:jc w:val="both"/>
        <w:rPr>
          <w:rFonts w:ascii="Helvetica" w:eastAsia="Calibri" w:hAnsi="Helvetica" w:cs="Helvetica"/>
          <w:sz w:val="24"/>
          <w:szCs w:val="24"/>
        </w:rPr>
      </w:pPr>
      <w:r w:rsidRPr="00431FEA">
        <w:rPr>
          <w:rFonts w:ascii="Helvetica" w:eastAsia="Calibri" w:hAnsi="Helvetica" w:cs="Helvetica"/>
          <w:sz w:val="24"/>
          <w:szCs w:val="24"/>
        </w:rPr>
        <w:t>Eficiencia</w:t>
      </w:r>
    </w:p>
    <w:p w14:paraId="3480E83D" w14:textId="77777777" w:rsidR="00431FEA" w:rsidRPr="00431FEA" w:rsidRDefault="00431FEA" w:rsidP="005E4110">
      <w:pPr>
        <w:autoSpaceDE w:val="0"/>
        <w:autoSpaceDN w:val="0"/>
        <w:adjustRightInd w:val="0"/>
        <w:spacing w:before="120" w:after="120" w:line="240" w:lineRule="auto"/>
        <w:jc w:val="both"/>
        <w:rPr>
          <w:rFonts w:ascii="Helvetica" w:eastAsia="Calibri" w:hAnsi="Helvetica" w:cs="Helvetica"/>
          <w:sz w:val="24"/>
          <w:szCs w:val="24"/>
        </w:rPr>
      </w:pPr>
      <w:r w:rsidRPr="00431FEA">
        <w:rPr>
          <w:rFonts w:ascii="Helvetica" w:eastAsia="Calibri" w:hAnsi="Helvetica" w:cs="Helvetica"/>
          <w:sz w:val="24"/>
          <w:szCs w:val="24"/>
        </w:rPr>
        <w:t>Se define como la relación entre los recursos utilizados en un proyecto y los logros conseguidos con el mismo. Se da cuando se utilizan menos recursos para lograr un mismo objetivo o cuando se logran más objetivos con los mismos o menos recursos.</w:t>
      </w:r>
    </w:p>
    <w:p w14:paraId="505A3B35" w14:textId="2C5F2241" w:rsidR="00431FEA" w:rsidRPr="00431FEA" w:rsidRDefault="00431FEA" w:rsidP="005E4110">
      <w:pPr>
        <w:numPr>
          <w:ilvl w:val="0"/>
          <w:numId w:val="8"/>
        </w:numPr>
        <w:autoSpaceDE w:val="0"/>
        <w:autoSpaceDN w:val="0"/>
        <w:adjustRightInd w:val="0"/>
        <w:spacing w:before="120" w:after="120" w:line="240" w:lineRule="auto"/>
        <w:jc w:val="both"/>
        <w:rPr>
          <w:rFonts w:ascii="Helvetica" w:eastAsia="Calibri" w:hAnsi="Helvetica" w:cs="Helvetica"/>
          <w:sz w:val="24"/>
          <w:szCs w:val="24"/>
        </w:rPr>
      </w:pPr>
      <w:r w:rsidRPr="00431FEA">
        <w:rPr>
          <w:rFonts w:ascii="Helvetica" w:eastAsia="Calibri" w:hAnsi="Helvetica" w:cs="Helvetica"/>
          <w:sz w:val="24"/>
          <w:szCs w:val="24"/>
        </w:rPr>
        <w:t>Eficacia</w:t>
      </w:r>
    </w:p>
    <w:p w14:paraId="309E524C" w14:textId="7E52D985" w:rsidR="00431FEA" w:rsidRDefault="00DB5C36" w:rsidP="005E4110">
      <w:pPr>
        <w:spacing w:before="120" w:after="120" w:line="240" w:lineRule="auto"/>
        <w:jc w:val="both"/>
        <w:rPr>
          <w:rFonts w:ascii="Helvetica" w:eastAsia="Calibri" w:hAnsi="Helvetica" w:cs="Helvetica"/>
          <w:sz w:val="24"/>
          <w:szCs w:val="24"/>
        </w:rPr>
      </w:pPr>
      <w:r>
        <w:rPr>
          <w:rFonts w:ascii="Helvetica" w:eastAsia="Calibri" w:hAnsi="Helvetica" w:cs="Helvetica"/>
          <w:sz w:val="24"/>
          <w:szCs w:val="24"/>
        </w:rPr>
        <w:t>E</w:t>
      </w:r>
      <w:r w:rsidR="00431FEA" w:rsidRPr="00431FEA">
        <w:rPr>
          <w:rFonts w:ascii="Helvetica" w:eastAsia="Calibri" w:hAnsi="Helvetica" w:cs="Helvetica"/>
          <w:sz w:val="24"/>
          <w:szCs w:val="24"/>
        </w:rPr>
        <w:t xml:space="preserve">s el nivel de consecución de metas y objetivos. La eficacia hace referencia </w:t>
      </w:r>
      <w:r>
        <w:rPr>
          <w:rFonts w:ascii="Helvetica" w:eastAsia="Calibri" w:hAnsi="Helvetica" w:cs="Helvetica"/>
          <w:sz w:val="24"/>
          <w:szCs w:val="24"/>
        </w:rPr>
        <w:t>a</w:t>
      </w:r>
      <w:r w:rsidR="006A3648">
        <w:rPr>
          <w:rFonts w:ascii="Helvetica" w:eastAsia="Calibri" w:hAnsi="Helvetica" w:cs="Helvetica"/>
          <w:sz w:val="24"/>
          <w:szCs w:val="24"/>
        </w:rPr>
        <w:t xml:space="preserve"> la </w:t>
      </w:r>
      <w:r w:rsidR="00431FEA" w:rsidRPr="00431FEA">
        <w:rPr>
          <w:rFonts w:ascii="Helvetica" w:eastAsia="Calibri" w:hAnsi="Helvetica" w:cs="Helvetica"/>
          <w:sz w:val="24"/>
          <w:szCs w:val="24"/>
        </w:rPr>
        <w:t xml:space="preserve">capacidad para lograr lo </w:t>
      </w:r>
      <w:r w:rsidR="006A3648">
        <w:rPr>
          <w:rFonts w:ascii="Helvetica" w:eastAsia="Calibri" w:hAnsi="Helvetica" w:cs="Helvetica"/>
          <w:sz w:val="24"/>
          <w:szCs w:val="24"/>
        </w:rPr>
        <w:t>propuesto</w:t>
      </w:r>
      <w:r w:rsidR="00431FEA" w:rsidRPr="00431FEA">
        <w:rPr>
          <w:rFonts w:ascii="Helvetica" w:eastAsia="Calibri" w:hAnsi="Helvetica" w:cs="Helvetica"/>
          <w:sz w:val="24"/>
          <w:szCs w:val="24"/>
        </w:rPr>
        <w:t>.</w:t>
      </w:r>
    </w:p>
    <w:p w14:paraId="44C7F29E" w14:textId="58B1DEA5" w:rsidR="00431FEA" w:rsidRPr="00431FEA" w:rsidRDefault="00431FEA" w:rsidP="005E4110">
      <w:pPr>
        <w:numPr>
          <w:ilvl w:val="0"/>
          <w:numId w:val="8"/>
        </w:numPr>
        <w:spacing w:before="120" w:after="120" w:line="240" w:lineRule="auto"/>
        <w:jc w:val="both"/>
        <w:rPr>
          <w:rFonts w:ascii="Helvetica" w:eastAsia="Calibri" w:hAnsi="Helvetica" w:cs="Helvetica"/>
          <w:sz w:val="24"/>
          <w:szCs w:val="24"/>
        </w:rPr>
      </w:pPr>
      <w:r w:rsidRPr="00431FEA">
        <w:rPr>
          <w:rFonts w:ascii="Helvetica" w:eastAsia="Calibri" w:hAnsi="Helvetica" w:cs="Helvetica"/>
          <w:sz w:val="24"/>
          <w:szCs w:val="24"/>
        </w:rPr>
        <w:t>Equidad</w:t>
      </w:r>
    </w:p>
    <w:p w14:paraId="45B37C67" w14:textId="29B4B036" w:rsidR="00431FEA" w:rsidRPr="00431FEA" w:rsidRDefault="00431FEA" w:rsidP="005E4110">
      <w:pPr>
        <w:spacing w:before="120" w:after="120" w:line="240" w:lineRule="auto"/>
        <w:jc w:val="both"/>
        <w:rPr>
          <w:rFonts w:ascii="Helvetica" w:eastAsia="Calibri" w:hAnsi="Helvetica" w:cs="Helvetica"/>
          <w:sz w:val="24"/>
          <w:szCs w:val="24"/>
        </w:rPr>
      </w:pPr>
      <w:r w:rsidRPr="00431FEA">
        <w:rPr>
          <w:rFonts w:ascii="Helvetica" w:eastAsia="Calibri" w:hAnsi="Helvetica" w:cs="Helvetica"/>
          <w:sz w:val="24"/>
          <w:szCs w:val="24"/>
        </w:rPr>
        <w:t>Debe entenderse en relación con el establecimiento de metas que la sociedad sea capaz de alcanzar en estas áreas, tomando en cuenta su nivel de desarrollo. Es decir, su punto de referencia es lo realizable.</w:t>
      </w:r>
    </w:p>
    <w:p w14:paraId="4D966C36" w14:textId="77777777" w:rsidR="006A3648" w:rsidRDefault="006A3648" w:rsidP="006A3648">
      <w:pPr>
        <w:pStyle w:val="Ttulo1"/>
        <w:numPr>
          <w:ilvl w:val="0"/>
          <w:numId w:val="0"/>
        </w:numPr>
        <w:ind w:left="432" w:hanging="432"/>
        <w:rPr>
          <w:rFonts w:eastAsia="Times New Roman"/>
          <w:lang w:val="es-ES"/>
        </w:rPr>
      </w:pPr>
    </w:p>
    <w:p w14:paraId="7FD7C800" w14:textId="1EC23626" w:rsidR="00431FEA" w:rsidRPr="003B1BD8" w:rsidRDefault="00431FEA" w:rsidP="003B1BD8">
      <w:pPr>
        <w:pStyle w:val="normalinforme"/>
        <w:rPr>
          <w:rFonts w:ascii="Helvetica" w:hAnsi="Helvetica" w:cs="Helvetica"/>
          <w:b/>
          <w:bCs/>
          <w:color w:val="1F3864" w:themeColor="accent1" w:themeShade="80"/>
          <w:sz w:val="28"/>
          <w:szCs w:val="28"/>
        </w:rPr>
      </w:pPr>
      <w:r w:rsidRPr="003B1BD8">
        <w:rPr>
          <w:rFonts w:ascii="Helvetica" w:hAnsi="Helvetica" w:cs="Helvetica"/>
          <w:b/>
          <w:bCs/>
          <w:color w:val="1F3864" w:themeColor="accent1" w:themeShade="80"/>
          <w:sz w:val="28"/>
          <w:szCs w:val="28"/>
        </w:rPr>
        <w:t>Objetivos del Informe</w:t>
      </w:r>
    </w:p>
    <w:p w14:paraId="1420A67B" w14:textId="030C9A0F" w:rsidR="00431FEA" w:rsidRPr="00431FEA" w:rsidRDefault="00431FEA" w:rsidP="005E4110">
      <w:pPr>
        <w:jc w:val="both"/>
        <w:rPr>
          <w:rFonts w:ascii="Helvetica" w:eastAsia="Calibri" w:hAnsi="Helvetica" w:cs="Helvetica"/>
          <w:sz w:val="24"/>
          <w:szCs w:val="24"/>
        </w:rPr>
      </w:pPr>
      <w:r w:rsidRPr="00431FEA">
        <w:rPr>
          <w:rFonts w:ascii="Helvetica" w:eastAsia="Calibri" w:hAnsi="Helvetica" w:cs="Helvetica"/>
          <w:sz w:val="24"/>
          <w:szCs w:val="24"/>
        </w:rPr>
        <w:t>Con la elaboración del presente informe se procurarán los siguientes objetivos:</w:t>
      </w:r>
    </w:p>
    <w:p w14:paraId="439F8789" w14:textId="77777777" w:rsidR="00431FEA" w:rsidRPr="00431FEA" w:rsidRDefault="00431FEA" w:rsidP="005E4110">
      <w:pPr>
        <w:jc w:val="both"/>
        <w:rPr>
          <w:rFonts w:ascii="Helvetica" w:eastAsia="Calibri" w:hAnsi="Helvetica" w:cs="Helvetica"/>
          <w:sz w:val="24"/>
          <w:szCs w:val="24"/>
        </w:rPr>
      </w:pPr>
      <w:r w:rsidRPr="00431FEA">
        <w:rPr>
          <w:rFonts w:ascii="Helvetica" w:eastAsia="Calibri" w:hAnsi="Helvetica" w:cs="Helvetica"/>
          <w:sz w:val="24"/>
          <w:szCs w:val="24"/>
        </w:rPr>
        <w:t>Objetivo general:</w:t>
      </w:r>
    </w:p>
    <w:p w14:paraId="5A1F7E37" w14:textId="3AB74146" w:rsidR="00431FEA" w:rsidRDefault="00431FEA" w:rsidP="005E4110">
      <w:pPr>
        <w:numPr>
          <w:ilvl w:val="0"/>
          <w:numId w:val="6"/>
        </w:numPr>
        <w:contextualSpacing/>
        <w:jc w:val="both"/>
        <w:rPr>
          <w:rFonts w:ascii="Helvetica" w:eastAsia="Calibri" w:hAnsi="Helvetica" w:cs="Helvetica"/>
          <w:sz w:val="24"/>
          <w:szCs w:val="24"/>
        </w:rPr>
      </w:pPr>
      <w:r w:rsidRPr="00431FEA">
        <w:rPr>
          <w:rFonts w:ascii="Helvetica" w:eastAsia="Calibri" w:hAnsi="Helvetica" w:cs="Helvetica"/>
          <w:sz w:val="24"/>
          <w:szCs w:val="24"/>
        </w:rPr>
        <w:t xml:space="preserve">Evaluar la calidad del gasto público de las instituciones y las municipalidades durante el año 2020. </w:t>
      </w:r>
    </w:p>
    <w:p w14:paraId="6A8CF0C8" w14:textId="77777777" w:rsidR="006A3648" w:rsidRPr="00431FEA" w:rsidRDefault="006A3648" w:rsidP="006A3648">
      <w:pPr>
        <w:ind w:left="720"/>
        <w:contextualSpacing/>
        <w:rPr>
          <w:rFonts w:ascii="Helvetica" w:eastAsia="Calibri" w:hAnsi="Helvetica" w:cs="Helvetica"/>
          <w:sz w:val="24"/>
          <w:szCs w:val="24"/>
        </w:rPr>
      </w:pPr>
    </w:p>
    <w:p w14:paraId="0539EFF5" w14:textId="77777777" w:rsidR="00431FEA" w:rsidRPr="00431FEA" w:rsidRDefault="00431FEA" w:rsidP="00431FEA">
      <w:pPr>
        <w:rPr>
          <w:rFonts w:ascii="Helvetica" w:eastAsia="Calibri" w:hAnsi="Helvetica" w:cs="Helvetica"/>
          <w:sz w:val="24"/>
          <w:szCs w:val="24"/>
        </w:rPr>
      </w:pPr>
      <w:r w:rsidRPr="00431FEA">
        <w:rPr>
          <w:rFonts w:ascii="Helvetica" w:eastAsia="Calibri" w:hAnsi="Helvetica" w:cs="Helvetica"/>
          <w:sz w:val="24"/>
          <w:szCs w:val="24"/>
        </w:rPr>
        <w:t>Objetivos específicos:</w:t>
      </w:r>
    </w:p>
    <w:p w14:paraId="0145DA4D" w14:textId="3BFE13E1" w:rsidR="00431FEA" w:rsidRPr="006A3648" w:rsidRDefault="00431FEA" w:rsidP="00984BA9">
      <w:pPr>
        <w:pStyle w:val="Prrafodelista"/>
        <w:numPr>
          <w:ilvl w:val="0"/>
          <w:numId w:val="9"/>
        </w:numPr>
        <w:jc w:val="both"/>
        <w:rPr>
          <w:rFonts w:ascii="Helvetica" w:eastAsia="Calibri" w:hAnsi="Helvetica" w:cs="Helvetica"/>
          <w:sz w:val="24"/>
          <w:szCs w:val="24"/>
        </w:rPr>
      </w:pPr>
      <w:r w:rsidRPr="006A3648">
        <w:rPr>
          <w:rFonts w:ascii="Helvetica" w:eastAsia="Calibri" w:hAnsi="Helvetica" w:cs="Helvetica"/>
          <w:sz w:val="24"/>
          <w:szCs w:val="24"/>
        </w:rPr>
        <w:t xml:space="preserve">Mostrar la eficiencia del uso de los recursos mediante la </w:t>
      </w:r>
      <w:bookmarkStart w:id="6" w:name="_Hlk66182252"/>
      <w:r w:rsidRPr="006A3648">
        <w:rPr>
          <w:rFonts w:ascii="Helvetica" w:eastAsia="Calibri" w:hAnsi="Helvetica" w:cs="Helvetica"/>
          <w:sz w:val="24"/>
          <w:szCs w:val="24"/>
        </w:rPr>
        <w:t>comparación entre los resultados de la ejecución y la asignación presupuestaria institucional y municipal, incluyendo la inversión pública y la cooperación internacional</w:t>
      </w:r>
      <w:bookmarkEnd w:id="6"/>
      <w:r w:rsidRPr="006A3648">
        <w:rPr>
          <w:rFonts w:ascii="Helvetica" w:eastAsia="Calibri" w:hAnsi="Helvetica" w:cs="Helvetica"/>
          <w:sz w:val="24"/>
          <w:szCs w:val="24"/>
        </w:rPr>
        <w:t xml:space="preserve">.  </w:t>
      </w:r>
    </w:p>
    <w:p w14:paraId="441D7C71" w14:textId="77777777" w:rsidR="00431FEA" w:rsidRPr="006A3648" w:rsidRDefault="00431FEA" w:rsidP="00984BA9">
      <w:pPr>
        <w:pStyle w:val="Prrafodelista"/>
        <w:numPr>
          <w:ilvl w:val="0"/>
          <w:numId w:val="9"/>
        </w:numPr>
        <w:jc w:val="both"/>
        <w:rPr>
          <w:rFonts w:ascii="Helvetica" w:eastAsia="Calibri" w:hAnsi="Helvetica" w:cs="Helvetica"/>
          <w:sz w:val="24"/>
          <w:szCs w:val="24"/>
        </w:rPr>
      </w:pPr>
      <w:r w:rsidRPr="006A3648">
        <w:rPr>
          <w:rFonts w:ascii="Helvetica" w:eastAsia="Calibri" w:hAnsi="Helvetica" w:cs="Helvetica"/>
          <w:sz w:val="24"/>
          <w:szCs w:val="24"/>
        </w:rPr>
        <w:t>Mostrar la eficacia del uso de los recursos mediante la comparación entre las metas financieras vigentes alcanzadas y las metas programadas institucionales y municipales.</w:t>
      </w:r>
    </w:p>
    <w:p w14:paraId="24298317" w14:textId="20E0B2D7" w:rsidR="00431FEA" w:rsidRDefault="006A3648" w:rsidP="00984BA9">
      <w:pPr>
        <w:pStyle w:val="Prrafodelista"/>
        <w:numPr>
          <w:ilvl w:val="0"/>
          <w:numId w:val="9"/>
        </w:numPr>
        <w:jc w:val="both"/>
        <w:rPr>
          <w:rFonts w:ascii="Helvetica" w:eastAsia="Calibri" w:hAnsi="Helvetica" w:cs="Helvetica"/>
          <w:sz w:val="24"/>
          <w:szCs w:val="24"/>
        </w:rPr>
      </w:pPr>
      <w:r w:rsidRPr="006A3648">
        <w:rPr>
          <w:rFonts w:ascii="Helvetica" w:eastAsia="Calibri" w:hAnsi="Helvetica" w:cs="Helvetica"/>
          <w:sz w:val="24"/>
          <w:szCs w:val="24"/>
        </w:rPr>
        <w:t>Most</w:t>
      </w:r>
      <w:r w:rsidR="00431FEA" w:rsidRPr="006A3648">
        <w:rPr>
          <w:rFonts w:ascii="Helvetica" w:eastAsia="Calibri" w:hAnsi="Helvetica" w:cs="Helvetica"/>
          <w:sz w:val="24"/>
          <w:szCs w:val="24"/>
        </w:rPr>
        <w:t>rar la equidad del uso de los recursos a través de los resultados de las acciones implementadas para mejorar la calidad de vida de la población.</w:t>
      </w:r>
    </w:p>
    <w:p w14:paraId="368877FB" w14:textId="77777777" w:rsidR="0018772F" w:rsidRDefault="0018772F" w:rsidP="001F2C60">
      <w:pPr>
        <w:jc w:val="both"/>
        <w:rPr>
          <w:rFonts w:ascii="Helvetica" w:eastAsia="Calibri" w:hAnsi="Helvetica" w:cs="Helvetica"/>
          <w:sz w:val="24"/>
          <w:szCs w:val="24"/>
        </w:rPr>
      </w:pPr>
    </w:p>
    <w:p w14:paraId="696B958B" w14:textId="6704CDAF" w:rsidR="00DC2646" w:rsidRPr="00D80CD5" w:rsidRDefault="00DC2646" w:rsidP="00D80CD5">
      <w:pPr>
        <w:pStyle w:val="Ttulo1"/>
        <w:numPr>
          <w:ilvl w:val="0"/>
          <w:numId w:val="0"/>
        </w:numPr>
        <w:rPr>
          <w:rFonts w:eastAsia="Calibri"/>
          <w:color w:val="FF0000"/>
        </w:rPr>
      </w:pPr>
      <w:bookmarkStart w:id="7" w:name="_Toc67589086"/>
      <w:r w:rsidRPr="00D80CD5">
        <w:rPr>
          <w:rFonts w:eastAsia="Calibri"/>
        </w:rPr>
        <w:t>Resultados de la evaluación de la calidad del gasto público de las instituciones y municipalidades durante el año 2020</w:t>
      </w:r>
      <w:bookmarkEnd w:id="7"/>
      <w:r w:rsidR="00D80CD5">
        <w:rPr>
          <w:rFonts w:eastAsia="Calibri"/>
        </w:rPr>
        <w:t xml:space="preserve"> </w:t>
      </w:r>
    </w:p>
    <w:p w14:paraId="3D0E4E46" w14:textId="7F43664B" w:rsidR="00F85BD4" w:rsidRDefault="00F85BD4" w:rsidP="00431FEA">
      <w:pPr>
        <w:pStyle w:val="Ttulo1"/>
        <w:numPr>
          <w:ilvl w:val="0"/>
          <w:numId w:val="0"/>
        </w:numPr>
        <w:ind w:left="432" w:firstLine="276"/>
        <w:rPr>
          <w:rFonts w:eastAsia="Calibri"/>
        </w:rPr>
      </w:pPr>
    </w:p>
    <w:p w14:paraId="57B857CF" w14:textId="573059CA" w:rsidR="00F85BD4" w:rsidRPr="006936D2" w:rsidRDefault="006936D2" w:rsidP="00F85BD4">
      <w:pPr>
        <w:jc w:val="both"/>
        <w:rPr>
          <w:rFonts w:ascii="Helvetica" w:hAnsi="Helvetica" w:cs="Helvetica"/>
          <w:sz w:val="24"/>
          <w:szCs w:val="24"/>
        </w:rPr>
      </w:pPr>
      <w:r w:rsidRPr="006936D2">
        <w:rPr>
          <w:rFonts w:ascii="Helvetica" w:hAnsi="Helvetica" w:cs="Helvetica"/>
          <w:sz w:val="24"/>
          <w:szCs w:val="24"/>
        </w:rPr>
        <w:t>En el presente documento, se presentan los resultados de</w:t>
      </w:r>
      <w:r w:rsidR="00F85BD4" w:rsidRPr="006936D2">
        <w:rPr>
          <w:rFonts w:ascii="Helvetica" w:hAnsi="Helvetica" w:cs="Helvetica"/>
          <w:sz w:val="24"/>
          <w:szCs w:val="24"/>
        </w:rPr>
        <w:t>l desempeño de las instituciones y municipalidades durante el año 2020, respecto a la eficiencia, eficacia y equidad en la que fueron empleados los recursos públicos</w:t>
      </w:r>
      <w:r w:rsidRPr="006936D2">
        <w:rPr>
          <w:rFonts w:ascii="Helvetica" w:hAnsi="Helvetica" w:cs="Helvetica"/>
          <w:sz w:val="24"/>
          <w:szCs w:val="24"/>
        </w:rPr>
        <w:t>.</w:t>
      </w:r>
    </w:p>
    <w:p w14:paraId="66BCCE64" w14:textId="334410F9" w:rsidR="00BA17A3" w:rsidRPr="00431FEA" w:rsidRDefault="00BA17A3" w:rsidP="00BA17A3">
      <w:pPr>
        <w:pStyle w:val="Ttulo1"/>
        <w:numPr>
          <w:ilvl w:val="0"/>
          <w:numId w:val="0"/>
        </w:numPr>
        <w:ind w:left="432" w:hanging="432"/>
        <w:rPr>
          <w:rFonts w:eastAsia="Calibri"/>
        </w:rPr>
      </w:pPr>
      <w:bookmarkStart w:id="8" w:name="_Toc67589087"/>
      <w:r>
        <w:rPr>
          <w:rFonts w:eastAsia="Calibri"/>
        </w:rPr>
        <w:t xml:space="preserve">a. </w:t>
      </w:r>
      <w:r w:rsidRPr="00431FEA">
        <w:rPr>
          <w:rFonts w:eastAsia="Calibri"/>
        </w:rPr>
        <w:t>Eficacia</w:t>
      </w:r>
      <w:bookmarkEnd w:id="8"/>
      <w:r w:rsidR="00F61921">
        <w:rPr>
          <w:rFonts w:eastAsia="Calibri"/>
        </w:rPr>
        <w:t xml:space="preserve"> </w:t>
      </w:r>
    </w:p>
    <w:p w14:paraId="588C652B" w14:textId="5B019B87" w:rsidR="00BA17A3" w:rsidRPr="00431FEA" w:rsidRDefault="00BA17A3" w:rsidP="00127791">
      <w:pPr>
        <w:spacing w:before="120" w:after="120" w:line="240" w:lineRule="auto"/>
        <w:jc w:val="both"/>
        <w:rPr>
          <w:rFonts w:ascii="Helvetica" w:eastAsia="Calibri" w:hAnsi="Helvetica" w:cs="Helvetica"/>
          <w:sz w:val="24"/>
          <w:szCs w:val="24"/>
        </w:rPr>
      </w:pPr>
      <w:bookmarkStart w:id="9" w:name="_Hlk65823155"/>
      <w:r w:rsidRPr="00431FEA">
        <w:rPr>
          <w:rFonts w:ascii="Helvetica" w:eastAsia="Calibri" w:hAnsi="Helvetica" w:cs="Helvetica"/>
          <w:sz w:val="24"/>
          <w:szCs w:val="24"/>
        </w:rPr>
        <w:t xml:space="preserve">En este apartado del informe se </w:t>
      </w:r>
      <w:r w:rsidR="006936D2" w:rsidRPr="00431FEA">
        <w:rPr>
          <w:rFonts w:ascii="Helvetica" w:eastAsia="Calibri" w:hAnsi="Helvetica" w:cs="Helvetica"/>
          <w:sz w:val="24"/>
          <w:szCs w:val="24"/>
        </w:rPr>
        <w:t>refiere</w:t>
      </w:r>
      <w:r w:rsidR="006936D2">
        <w:rPr>
          <w:rFonts w:ascii="Helvetica" w:eastAsia="Calibri" w:hAnsi="Helvetica" w:cs="Helvetica"/>
          <w:sz w:val="24"/>
          <w:szCs w:val="24"/>
        </w:rPr>
        <w:t xml:space="preserve"> a</w:t>
      </w:r>
      <w:r w:rsidR="007E67C4">
        <w:rPr>
          <w:rFonts w:ascii="Helvetica" w:eastAsia="Calibri" w:hAnsi="Helvetica" w:cs="Helvetica"/>
          <w:sz w:val="24"/>
          <w:szCs w:val="24"/>
        </w:rPr>
        <w:t xml:space="preserve">l nivel de la consecución de las metas </w:t>
      </w:r>
      <w:r w:rsidR="00F61921">
        <w:rPr>
          <w:rFonts w:ascii="Helvetica" w:eastAsia="Calibri" w:hAnsi="Helvetica" w:cs="Helvetica"/>
          <w:sz w:val="24"/>
          <w:szCs w:val="24"/>
        </w:rPr>
        <w:t>respecto a</w:t>
      </w:r>
      <w:r w:rsidRPr="00431FEA">
        <w:rPr>
          <w:rFonts w:ascii="Helvetica" w:eastAsia="Calibri" w:hAnsi="Helvetica" w:cs="Helvetica"/>
          <w:sz w:val="24"/>
          <w:szCs w:val="24"/>
        </w:rPr>
        <w:t xml:space="preserve"> la ejecución financiera del Presupuesto General de Ingresos y Egresos del Estado </w:t>
      </w:r>
      <w:r w:rsidR="006936D2">
        <w:rPr>
          <w:rFonts w:ascii="Helvetica" w:eastAsia="Calibri" w:hAnsi="Helvetica" w:cs="Helvetica"/>
          <w:sz w:val="24"/>
          <w:szCs w:val="24"/>
        </w:rPr>
        <w:t xml:space="preserve">y </w:t>
      </w:r>
      <w:r w:rsidR="00F61921">
        <w:rPr>
          <w:rFonts w:ascii="Helvetica" w:eastAsia="Calibri" w:hAnsi="Helvetica" w:cs="Helvetica"/>
          <w:sz w:val="24"/>
          <w:szCs w:val="24"/>
        </w:rPr>
        <w:t xml:space="preserve">del presupuesto de </w:t>
      </w:r>
      <w:r w:rsidR="006936D2">
        <w:rPr>
          <w:rFonts w:ascii="Helvetica" w:eastAsia="Calibri" w:hAnsi="Helvetica" w:cs="Helvetica"/>
          <w:sz w:val="24"/>
          <w:szCs w:val="24"/>
        </w:rPr>
        <w:t xml:space="preserve">los gobiernos locales para el año 2020. </w:t>
      </w:r>
      <w:r w:rsidRPr="00431FEA">
        <w:rPr>
          <w:rFonts w:ascii="Helvetica" w:eastAsia="Calibri" w:hAnsi="Helvetica" w:cs="Helvetica"/>
          <w:sz w:val="24"/>
          <w:szCs w:val="24"/>
        </w:rPr>
        <w:t xml:space="preserve"> </w:t>
      </w:r>
    </w:p>
    <w:bookmarkEnd w:id="9"/>
    <w:p w14:paraId="656B4CA9" w14:textId="2889E898" w:rsidR="00BA17A3" w:rsidRPr="003B1BD8" w:rsidRDefault="00BA17A3" w:rsidP="003B1BD8">
      <w:pPr>
        <w:pStyle w:val="normalinforme"/>
        <w:rPr>
          <w:rFonts w:ascii="Helvetica" w:hAnsi="Helvetica" w:cs="Helvetica"/>
          <w:b/>
          <w:bCs/>
          <w:color w:val="1F3864" w:themeColor="accent1" w:themeShade="80"/>
          <w:sz w:val="28"/>
          <w:szCs w:val="28"/>
        </w:rPr>
      </w:pPr>
      <w:r w:rsidRPr="003B1BD8">
        <w:rPr>
          <w:rFonts w:ascii="Helvetica" w:hAnsi="Helvetica" w:cs="Helvetica"/>
          <w:b/>
          <w:bCs/>
          <w:color w:val="1F3864" w:themeColor="accent1" w:themeShade="80"/>
          <w:sz w:val="28"/>
          <w:szCs w:val="28"/>
        </w:rPr>
        <w:t>Presupuesto General de Ingresos y Egresos del Estado 2020</w:t>
      </w:r>
    </w:p>
    <w:p w14:paraId="2ABF9568" w14:textId="452FD819" w:rsidR="00BA17A3" w:rsidRDefault="00CE3D5C" w:rsidP="00BA17A3">
      <w:pPr>
        <w:jc w:val="both"/>
        <w:rPr>
          <w:rFonts w:ascii="Helvetica" w:hAnsi="Helvetica" w:cs="Helvetica"/>
          <w:sz w:val="24"/>
          <w:szCs w:val="24"/>
        </w:rPr>
      </w:pPr>
      <w:r>
        <w:rPr>
          <w:rFonts w:ascii="Helvetica" w:hAnsi="Helvetica" w:cs="Helvetica"/>
          <w:sz w:val="24"/>
          <w:szCs w:val="24"/>
        </w:rPr>
        <w:t>E</w:t>
      </w:r>
      <w:r w:rsidR="00BA17A3" w:rsidRPr="00BA17A3">
        <w:rPr>
          <w:rFonts w:ascii="Helvetica" w:hAnsi="Helvetica" w:cs="Helvetica"/>
          <w:sz w:val="24"/>
          <w:szCs w:val="24"/>
        </w:rPr>
        <w:t xml:space="preserve">l proyecto de presupuesto General de Ingresos y Egresos del Estado para el Ejercicio Fiscal 2020, no fue aprobado en el término que establece la Constitución Política de la Republica, razón por la cual, entró en vigor el presupuesto del ejercicio 2019, en consecuencia, al final del ejercicio, el presupuesto quedó con cifras como se muestra en </w:t>
      </w:r>
      <w:r w:rsidR="0004362D">
        <w:rPr>
          <w:rFonts w:ascii="Helvetica" w:hAnsi="Helvetica" w:cs="Helvetica"/>
          <w:sz w:val="24"/>
          <w:szCs w:val="24"/>
        </w:rPr>
        <w:t>la tabla</w:t>
      </w:r>
      <w:r w:rsidR="00BA17A3" w:rsidRPr="00BA17A3">
        <w:rPr>
          <w:rFonts w:ascii="Helvetica" w:hAnsi="Helvetica" w:cs="Helvetica"/>
          <w:sz w:val="24"/>
          <w:szCs w:val="24"/>
        </w:rPr>
        <w:t xml:space="preserve"> </w:t>
      </w:r>
      <w:r w:rsidR="003B0029">
        <w:rPr>
          <w:rFonts w:ascii="Helvetica" w:hAnsi="Helvetica" w:cs="Helvetica"/>
          <w:sz w:val="24"/>
          <w:szCs w:val="24"/>
        </w:rPr>
        <w:t>1</w:t>
      </w:r>
      <w:r w:rsidR="00BA17A3" w:rsidRPr="00BA17A3">
        <w:rPr>
          <w:rFonts w:ascii="Helvetica" w:hAnsi="Helvetica" w:cs="Helvetica"/>
          <w:sz w:val="24"/>
          <w:szCs w:val="24"/>
        </w:rPr>
        <w:t>.</w:t>
      </w:r>
    </w:p>
    <w:p w14:paraId="563DF984" w14:textId="19C017AB" w:rsidR="00BA17A3" w:rsidRPr="00016865" w:rsidRDefault="0004362D" w:rsidP="00016865">
      <w:pPr>
        <w:pStyle w:val="ttulosgrficas"/>
        <w:rPr>
          <w:rFonts w:eastAsia="Times New Roman"/>
          <w:color w:val="4472C4" w:themeColor="accent1"/>
          <w:lang w:val="es-ES"/>
        </w:rPr>
      </w:pPr>
      <w:bookmarkStart w:id="10" w:name="_Toc67589114"/>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BA17A3" w:rsidRPr="00016865">
        <w:rPr>
          <w:rFonts w:eastAsia="Times New Roman"/>
          <w:color w:val="4472C4" w:themeColor="accent1"/>
          <w:lang w:val="es-ES"/>
        </w:rPr>
        <w:t>Presupuesto General de Egresos del Estado</w:t>
      </w:r>
      <w:r w:rsidR="00CE3D5C" w:rsidRPr="00016865">
        <w:rPr>
          <w:rFonts w:eastAsia="Times New Roman"/>
          <w:color w:val="4472C4" w:themeColor="accent1"/>
          <w:lang w:val="es-ES"/>
        </w:rPr>
        <w:t xml:space="preserve"> 2020</w:t>
      </w:r>
      <w:bookmarkEnd w:id="10"/>
    </w:p>
    <w:p w14:paraId="41B5FB9A" w14:textId="77777777" w:rsidR="00D80CD5" w:rsidRPr="00C46A60" w:rsidRDefault="00D80CD5" w:rsidP="00D80CD5">
      <w:pPr>
        <w:pStyle w:val="ttulosgrficas"/>
        <w:spacing w:line="120" w:lineRule="auto"/>
      </w:pPr>
    </w:p>
    <w:tbl>
      <w:tblPr>
        <w:tblW w:w="4915" w:type="pct"/>
        <w:tblLayout w:type="fixed"/>
        <w:tblCellMar>
          <w:left w:w="70" w:type="dxa"/>
          <w:right w:w="70" w:type="dxa"/>
        </w:tblCellMar>
        <w:tblLook w:val="04A0" w:firstRow="1" w:lastRow="0" w:firstColumn="1" w:lastColumn="0" w:noHBand="0" w:noVBand="1"/>
      </w:tblPr>
      <w:tblGrid>
        <w:gridCol w:w="1793"/>
        <w:gridCol w:w="1154"/>
        <w:gridCol w:w="1513"/>
        <w:gridCol w:w="1295"/>
        <w:gridCol w:w="1297"/>
        <w:gridCol w:w="1152"/>
        <w:gridCol w:w="1179"/>
      </w:tblGrid>
      <w:tr w:rsidR="00BA17A3" w:rsidRPr="00E75D59" w14:paraId="3349C94A" w14:textId="77777777" w:rsidTr="00CE3D5C">
        <w:trPr>
          <w:trHeight w:val="340"/>
        </w:trPr>
        <w:tc>
          <w:tcPr>
            <w:tcW w:w="956" w:type="pc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6D0CB14E" w14:textId="77777777" w:rsidR="00BA17A3" w:rsidRPr="00E75D59" w:rsidRDefault="00BA17A3" w:rsidP="00CE3D5C">
            <w:pPr>
              <w:spacing w:after="0" w:line="240" w:lineRule="auto"/>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Tipo de gasto</w:t>
            </w:r>
          </w:p>
        </w:tc>
        <w:tc>
          <w:tcPr>
            <w:tcW w:w="615"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1AFAECAF" w14:textId="77777777" w:rsidR="00BA17A3" w:rsidRPr="00E75D59" w:rsidRDefault="00BA17A3" w:rsidP="00CE3D5C">
            <w:pPr>
              <w:spacing w:after="0" w:line="240" w:lineRule="auto"/>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Presupuesto asignado inicial</w:t>
            </w:r>
          </w:p>
        </w:tc>
        <w:tc>
          <w:tcPr>
            <w:tcW w:w="806"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756A60E" w14:textId="77777777" w:rsidR="00BA17A3" w:rsidRPr="00E75D59" w:rsidRDefault="00BA17A3" w:rsidP="00CE3D5C">
            <w:pPr>
              <w:spacing w:after="0" w:line="240" w:lineRule="auto"/>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Modificaciones</w:t>
            </w:r>
          </w:p>
        </w:tc>
        <w:tc>
          <w:tcPr>
            <w:tcW w:w="690"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22D2E91" w14:textId="77777777" w:rsidR="00BA17A3" w:rsidRPr="00E75D59" w:rsidRDefault="00BA17A3" w:rsidP="00CE3D5C">
            <w:pPr>
              <w:spacing w:after="0" w:line="240" w:lineRule="auto"/>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Presupuesto vigente</w:t>
            </w:r>
          </w:p>
        </w:tc>
        <w:tc>
          <w:tcPr>
            <w:tcW w:w="691"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5A605574" w14:textId="77777777" w:rsidR="00BA17A3" w:rsidRPr="00E75D59" w:rsidRDefault="00BA17A3" w:rsidP="00CE3D5C">
            <w:pPr>
              <w:spacing w:after="0" w:line="240" w:lineRule="auto"/>
              <w:ind w:left="-600"/>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 xml:space="preserve">         %</w:t>
            </w:r>
          </w:p>
          <w:p w14:paraId="3CBB28BE" w14:textId="77777777" w:rsidR="00BA17A3" w:rsidRPr="00E75D59" w:rsidRDefault="00BA17A3" w:rsidP="00CE3D5C">
            <w:pPr>
              <w:spacing w:after="0" w:line="240" w:lineRule="auto"/>
              <w:ind w:left="-600"/>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 xml:space="preserve">          Presupuesto</w:t>
            </w:r>
          </w:p>
          <w:p w14:paraId="7316E68C" w14:textId="77777777" w:rsidR="00BA17A3" w:rsidRPr="00E75D59" w:rsidRDefault="00BA17A3" w:rsidP="00CE3D5C">
            <w:pPr>
              <w:spacing w:after="0" w:line="240" w:lineRule="auto"/>
              <w:ind w:left="-600"/>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 xml:space="preserve">           vigente</w:t>
            </w:r>
          </w:p>
        </w:tc>
        <w:tc>
          <w:tcPr>
            <w:tcW w:w="614"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50978DC8" w14:textId="77777777" w:rsidR="00BA17A3" w:rsidRPr="00E75D59" w:rsidRDefault="00BA17A3" w:rsidP="00CE3D5C">
            <w:pPr>
              <w:spacing w:after="0" w:line="240" w:lineRule="auto"/>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Presupuesto ejecutado</w:t>
            </w:r>
          </w:p>
        </w:tc>
        <w:tc>
          <w:tcPr>
            <w:tcW w:w="628" w:type="pct"/>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6127147C" w14:textId="77777777" w:rsidR="00BA17A3" w:rsidRPr="00E75D59" w:rsidRDefault="00BA17A3" w:rsidP="00CE3D5C">
            <w:pPr>
              <w:spacing w:after="0" w:line="240" w:lineRule="auto"/>
              <w:jc w:val="center"/>
              <w:rPr>
                <w:rFonts w:ascii="Helvetica" w:eastAsia="Times New Roman" w:hAnsi="Helvetica" w:cs="Helvetica"/>
                <w:b/>
                <w:color w:val="000000"/>
                <w:sz w:val="16"/>
                <w:szCs w:val="16"/>
                <w:lang w:eastAsia="es-GT"/>
              </w:rPr>
            </w:pPr>
            <w:r w:rsidRPr="00E75D59">
              <w:rPr>
                <w:rFonts w:ascii="Helvetica" w:eastAsia="Times New Roman" w:hAnsi="Helvetica" w:cs="Helvetica"/>
                <w:b/>
                <w:color w:val="000000"/>
                <w:sz w:val="16"/>
                <w:szCs w:val="16"/>
                <w:lang w:eastAsia="es-GT"/>
              </w:rPr>
              <w:t>% presupuesto ejecutado</w:t>
            </w:r>
          </w:p>
        </w:tc>
      </w:tr>
      <w:tr w:rsidR="00BA17A3" w:rsidRPr="00E75D59" w14:paraId="6F059CA0"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vAlign w:val="center"/>
            <w:hideMark/>
          </w:tcPr>
          <w:p w14:paraId="30BBF978" w14:textId="77777777" w:rsidR="00BA17A3" w:rsidRPr="00E75D59" w:rsidRDefault="00BA17A3" w:rsidP="00CE3D5C">
            <w:pPr>
              <w:spacing w:after="0" w:line="240" w:lineRule="auto"/>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Funcionamiento</w:t>
            </w:r>
          </w:p>
        </w:tc>
        <w:tc>
          <w:tcPr>
            <w:tcW w:w="615" w:type="pct"/>
            <w:tcBorders>
              <w:top w:val="nil"/>
              <w:left w:val="nil"/>
              <w:bottom w:val="single" w:sz="4" w:space="0" w:color="auto"/>
              <w:right w:val="single" w:sz="4" w:space="0" w:color="auto"/>
            </w:tcBorders>
            <w:shd w:val="clear" w:color="auto" w:fill="auto"/>
            <w:noWrap/>
            <w:vAlign w:val="center"/>
            <w:hideMark/>
          </w:tcPr>
          <w:p w14:paraId="365E456A"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58,110.22</w:t>
            </w:r>
          </w:p>
        </w:tc>
        <w:tc>
          <w:tcPr>
            <w:tcW w:w="806" w:type="pct"/>
            <w:tcBorders>
              <w:top w:val="nil"/>
              <w:left w:val="nil"/>
              <w:bottom w:val="single" w:sz="4" w:space="0" w:color="auto"/>
              <w:right w:val="single" w:sz="4" w:space="0" w:color="auto"/>
            </w:tcBorders>
            <w:shd w:val="clear" w:color="auto" w:fill="auto"/>
            <w:noWrap/>
            <w:vAlign w:val="center"/>
            <w:hideMark/>
          </w:tcPr>
          <w:p w14:paraId="5999BEA9"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13,312.63</w:t>
            </w:r>
          </w:p>
        </w:tc>
        <w:tc>
          <w:tcPr>
            <w:tcW w:w="690" w:type="pct"/>
            <w:tcBorders>
              <w:top w:val="nil"/>
              <w:left w:val="nil"/>
              <w:bottom w:val="single" w:sz="4" w:space="0" w:color="auto"/>
              <w:right w:val="single" w:sz="4" w:space="0" w:color="auto"/>
            </w:tcBorders>
            <w:shd w:val="clear" w:color="auto" w:fill="auto"/>
            <w:noWrap/>
            <w:vAlign w:val="center"/>
            <w:hideMark/>
          </w:tcPr>
          <w:p w14:paraId="7A343A59"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71,422.85</w:t>
            </w:r>
          </w:p>
        </w:tc>
        <w:tc>
          <w:tcPr>
            <w:tcW w:w="691" w:type="pct"/>
            <w:tcBorders>
              <w:top w:val="nil"/>
              <w:left w:val="nil"/>
              <w:bottom w:val="single" w:sz="4" w:space="0" w:color="auto"/>
              <w:right w:val="single" w:sz="4" w:space="0" w:color="auto"/>
            </w:tcBorders>
            <w:shd w:val="clear" w:color="auto" w:fill="auto"/>
            <w:noWrap/>
            <w:vAlign w:val="center"/>
            <w:hideMark/>
          </w:tcPr>
          <w:p w14:paraId="40AF6A2F"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66.28</w:t>
            </w:r>
          </w:p>
        </w:tc>
        <w:tc>
          <w:tcPr>
            <w:tcW w:w="614" w:type="pct"/>
            <w:tcBorders>
              <w:top w:val="nil"/>
              <w:left w:val="nil"/>
              <w:bottom w:val="single" w:sz="4" w:space="0" w:color="auto"/>
              <w:right w:val="single" w:sz="4" w:space="0" w:color="auto"/>
            </w:tcBorders>
            <w:shd w:val="clear" w:color="auto" w:fill="auto"/>
            <w:noWrap/>
            <w:vAlign w:val="center"/>
            <w:hideMark/>
          </w:tcPr>
          <w:p w14:paraId="24895EAC"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65,237.61</w:t>
            </w:r>
          </w:p>
        </w:tc>
        <w:tc>
          <w:tcPr>
            <w:tcW w:w="628" w:type="pct"/>
            <w:tcBorders>
              <w:top w:val="nil"/>
              <w:left w:val="nil"/>
              <w:bottom w:val="single" w:sz="4" w:space="0" w:color="auto"/>
              <w:right w:val="single" w:sz="4" w:space="0" w:color="auto"/>
            </w:tcBorders>
            <w:shd w:val="clear" w:color="auto" w:fill="auto"/>
            <w:noWrap/>
            <w:vAlign w:val="center"/>
            <w:hideMark/>
          </w:tcPr>
          <w:p w14:paraId="4501BEE8"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91.34</w:t>
            </w:r>
          </w:p>
        </w:tc>
      </w:tr>
      <w:tr w:rsidR="00BA17A3" w:rsidRPr="00E75D59" w14:paraId="44BAC051"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vAlign w:val="center"/>
            <w:hideMark/>
          </w:tcPr>
          <w:p w14:paraId="455697DE" w14:textId="77777777" w:rsidR="00BA17A3" w:rsidRPr="00E75D59" w:rsidRDefault="00BA17A3" w:rsidP="00CE3D5C">
            <w:pPr>
              <w:spacing w:after="0" w:line="240" w:lineRule="auto"/>
              <w:ind w:firstLineChars="100" w:firstLine="200"/>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Administración</w:t>
            </w:r>
          </w:p>
        </w:tc>
        <w:tc>
          <w:tcPr>
            <w:tcW w:w="615" w:type="pct"/>
            <w:tcBorders>
              <w:top w:val="nil"/>
              <w:left w:val="nil"/>
              <w:bottom w:val="single" w:sz="4" w:space="0" w:color="auto"/>
              <w:right w:val="single" w:sz="4" w:space="0" w:color="auto"/>
            </w:tcBorders>
            <w:shd w:val="clear" w:color="auto" w:fill="auto"/>
            <w:noWrap/>
            <w:vAlign w:val="center"/>
            <w:hideMark/>
          </w:tcPr>
          <w:p w14:paraId="260CEF4D"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8,583.81</w:t>
            </w:r>
          </w:p>
        </w:tc>
        <w:tc>
          <w:tcPr>
            <w:tcW w:w="806" w:type="pct"/>
            <w:tcBorders>
              <w:top w:val="nil"/>
              <w:left w:val="nil"/>
              <w:bottom w:val="single" w:sz="4" w:space="0" w:color="auto"/>
              <w:right w:val="single" w:sz="4" w:space="0" w:color="auto"/>
            </w:tcBorders>
            <w:shd w:val="clear" w:color="auto" w:fill="auto"/>
            <w:noWrap/>
            <w:vAlign w:val="center"/>
            <w:hideMark/>
          </w:tcPr>
          <w:p w14:paraId="594513AB"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301.19</w:t>
            </w:r>
          </w:p>
        </w:tc>
        <w:tc>
          <w:tcPr>
            <w:tcW w:w="690" w:type="pct"/>
            <w:tcBorders>
              <w:top w:val="nil"/>
              <w:left w:val="nil"/>
              <w:bottom w:val="single" w:sz="4" w:space="0" w:color="auto"/>
              <w:right w:val="single" w:sz="4" w:space="0" w:color="auto"/>
            </w:tcBorders>
            <w:shd w:val="clear" w:color="auto" w:fill="auto"/>
            <w:noWrap/>
            <w:vAlign w:val="center"/>
            <w:hideMark/>
          </w:tcPr>
          <w:p w14:paraId="4A1077E3"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8,885.00</w:t>
            </w:r>
          </w:p>
        </w:tc>
        <w:tc>
          <w:tcPr>
            <w:tcW w:w="691" w:type="pct"/>
            <w:tcBorders>
              <w:top w:val="nil"/>
              <w:left w:val="nil"/>
              <w:bottom w:val="single" w:sz="4" w:space="0" w:color="auto"/>
              <w:right w:val="single" w:sz="4" w:space="0" w:color="auto"/>
            </w:tcBorders>
            <w:shd w:val="clear" w:color="auto" w:fill="auto"/>
            <w:noWrap/>
            <w:vAlign w:val="center"/>
            <w:hideMark/>
          </w:tcPr>
          <w:p w14:paraId="74D42776"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c>
          <w:tcPr>
            <w:tcW w:w="614" w:type="pct"/>
            <w:tcBorders>
              <w:top w:val="nil"/>
              <w:left w:val="nil"/>
              <w:bottom w:val="single" w:sz="4" w:space="0" w:color="auto"/>
              <w:right w:val="single" w:sz="4" w:space="0" w:color="auto"/>
            </w:tcBorders>
            <w:shd w:val="clear" w:color="auto" w:fill="auto"/>
            <w:noWrap/>
            <w:vAlign w:val="center"/>
            <w:hideMark/>
          </w:tcPr>
          <w:p w14:paraId="09FADE92"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7,282.54</w:t>
            </w:r>
          </w:p>
        </w:tc>
        <w:tc>
          <w:tcPr>
            <w:tcW w:w="628" w:type="pct"/>
            <w:tcBorders>
              <w:top w:val="nil"/>
              <w:left w:val="nil"/>
              <w:bottom w:val="single" w:sz="4" w:space="0" w:color="auto"/>
              <w:right w:val="single" w:sz="4" w:space="0" w:color="auto"/>
            </w:tcBorders>
            <w:shd w:val="clear" w:color="auto" w:fill="auto"/>
            <w:noWrap/>
            <w:vAlign w:val="center"/>
            <w:hideMark/>
          </w:tcPr>
          <w:p w14:paraId="78392E86"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r>
      <w:tr w:rsidR="00BA17A3" w:rsidRPr="00E75D59" w14:paraId="5439D4FC"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vAlign w:val="center"/>
            <w:hideMark/>
          </w:tcPr>
          <w:p w14:paraId="4B70C428" w14:textId="77777777" w:rsidR="00BA17A3" w:rsidRPr="00E75D59" w:rsidRDefault="00BA17A3" w:rsidP="00CE3D5C">
            <w:pPr>
              <w:spacing w:after="0" w:line="240" w:lineRule="auto"/>
              <w:ind w:firstLineChars="100" w:firstLine="200"/>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Desarrollo humano</w:t>
            </w:r>
          </w:p>
        </w:tc>
        <w:tc>
          <w:tcPr>
            <w:tcW w:w="615" w:type="pct"/>
            <w:tcBorders>
              <w:top w:val="nil"/>
              <w:left w:val="nil"/>
              <w:bottom w:val="single" w:sz="4" w:space="0" w:color="auto"/>
              <w:right w:val="single" w:sz="4" w:space="0" w:color="auto"/>
            </w:tcBorders>
            <w:shd w:val="clear" w:color="auto" w:fill="auto"/>
            <w:noWrap/>
            <w:vAlign w:val="center"/>
            <w:hideMark/>
          </w:tcPr>
          <w:p w14:paraId="40221F7A"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30,211.50</w:t>
            </w:r>
          </w:p>
        </w:tc>
        <w:tc>
          <w:tcPr>
            <w:tcW w:w="806" w:type="pct"/>
            <w:tcBorders>
              <w:top w:val="nil"/>
              <w:left w:val="nil"/>
              <w:bottom w:val="single" w:sz="4" w:space="0" w:color="auto"/>
              <w:right w:val="single" w:sz="4" w:space="0" w:color="auto"/>
            </w:tcBorders>
            <w:shd w:val="clear" w:color="auto" w:fill="auto"/>
            <w:noWrap/>
            <w:vAlign w:val="center"/>
            <w:hideMark/>
          </w:tcPr>
          <w:p w14:paraId="781E6934"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3,387.44</w:t>
            </w:r>
          </w:p>
        </w:tc>
        <w:tc>
          <w:tcPr>
            <w:tcW w:w="690" w:type="pct"/>
            <w:tcBorders>
              <w:top w:val="nil"/>
              <w:left w:val="nil"/>
              <w:bottom w:val="single" w:sz="4" w:space="0" w:color="auto"/>
              <w:right w:val="single" w:sz="4" w:space="0" w:color="auto"/>
            </w:tcBorders>
            <w:shd w:val="clear" w:color="auto" w:fill="auto"/>
            <w:noWrap/>
            <w:vAlign w:val="center"/>
            <w:hideMark/>
          </w:tcPr>
          <w:p w14:paraId="41B6E095"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33,598.94</w:t>
            </w:r>
          </w:p>
        </w:tc>
        <w:tc>
          <w:tcPr>
            <w:tcW w:w="691" w:type="pct"/>
            <w:tcBorders>
              <w:top w:val="nil"/>
              <w:left w:val="nil"/>
              <w:bottom w:val="single" w:sz="4" w:space="0" w:color="auto"/>
              <w:right w:val="single" w:sz="4" w:space="0" w:color="auto"/>
            </w:tcBorders>
            <w:shd w:val="clear" w:color="auto" w:fill="auto"/>
            <w:noWrap/>
            <w:vAlign w:val="center"/>
            <w:hideMark/>
          </w:tcPr>
          <w:p w14:paraId="1FD2952A"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c>
          <w:tcPr>
            <w:tcW w:w="614" w:type="pct"/>
            <w:tcBorders>
              <w:top w:val="nil"/>
              <w:left w:val="nil"/>
              <w:bottom w:val="single" w:sz="4" w:space="0" w:color="auto"/>
              <w:right w:val="single" w:sz="4" w:space="0" w:color="auto"/>
            </w:tcBorders>
            <w:shd w:val="clear" w:color="auto" w:fill="auto"/>
            <w:noWrap/>
            <w:vAlign w:val="center"/>
            <w:hideMark/>
          </w:tcPr>
          <w:p w14:paraId="6CB12859"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30,347.25</w:t>
            </w:r>
          </w:p>
        </w:tc>
        <w:tc>
          <w:tcPr>
            <w:tcW w:w="628" w:type="pct"/>
            <w:tcBorders>
              <w:top w:val="nil"/>
              <w:left w:val="nil"/>
              <w:bottom w:val="single" w:sz="4" w:space="0" w:color="auto"/>
              <w:right w:val="single" w:sz="4" w:space="0" w:color="auto"/>
            </w:tcBorders>
            <w:shd w:val="clear" w:color="auto" w:fill="auto"/>
            <w:noWrap/>
            <w:vAlign w:val="center"/>
            <w:hideMark/>
          </w:tcPr>
          <w:p w14:paraId="6365D218"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r>
      <w:tr w:rsidR="00BA17A3" w:rsidRPr="00E75D59" w14:paraId="0FB85331"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vAlign w:val="center"/>
            <w:hideMark/>
          </w:tcPr>
          <w:p w14:paraId="49ACA176" w14:textId="77777777" w:rsidR="00BA17A3" w:rsidRPr="00E75D59" w:rsidRDefault="00BA17A3" w:rsidP="00CE3D5C">
            <w:pPr>
              <w:spacing w:after="0" w:line="240" w:lineRule="auto"/>
              <w:ind w:firstLineChars="100" w:firstLine="200"/>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Transferencias corrientes</w:t>
            </w:r>
          </w:p>
        </w:tc>
        <w:tc>
          <w:tcPr>
            <w:tcW w:w="615" w:type="pct"/>
            <w:tcBorders>
              <w:top w:val="nil"/>
              <w:left w:val="nil"/>
              <w:bottom w:val="single" w:sz="4" w:space="0" w:color="auto"/>
              <w:right w:val="single" w:sz="4" w:space="0" w:color="auto"/>
            </w:tcBorders>
            <w:shd w:val="clear" w:color="auto" w:fill="auto"/>
            <w:noWrap/>
            <w:vAlign w:val="center"/>
            <w:hideMark/>
          </w:tcPr>
          <w:p w14:paraId="7EBB0481"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19,314.92</w:t>
            </w:r>
          </w:p>
        </w:tc>
        <w:tc>
          <w:tcPr>
            <w:tcW w:w="806" w:type="pct"/>
            <w:tcBorders>
              <w:top w:val="nil"/>
              <w:left w:val="nil"/>
              <w:bottom w:val="single" w:sz="4" w:space="0" w:color="auto"/>
              <w:right w:val="single" w:sz="4" w:space="0" w:color="auto"/>
            </w:tcBorders>
            <w:shd w:val="clear" w:color="auto" w:fill="auto"/>
            <w:noWrap/>
            <w:vAlign w:val="center"/>
            <w:hideMark/>
          </w:tcPr>
          <w:p w14:paraId="67A8C47E"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9,624.00</w:t>
            </w:r>
          </w:p>
        </w:tc>
        <w:tc>
          <w:tcPr>
            <w:tcW w:w="690" w:type="pct"/>
            <w:tcBorders>
              <w:top w:val="nil"/>
              <w:left w:val="nil"/>
              <w:bottom w:val="single" w:sz="4" w:space="0" w:color="auto"/>
              <w:right w:val="single" w:sz="4" w:space="0" w:color="auto"/>
            </w:tcBorders>
            <w:shd w:val="clear" w:color="auto" w:fill="auto"/>
            <w:noWrap/>
            <w:vAlign w:val="center"/>
            <w:hideMark/>
          </w:tcPr>
          <w:p w14:paraId="50870AE3"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28,938.92</w:t>
            </w:r>
          </w:p>
        </w:tc>
        <w:tc>
          <w:tcPr>
            <w:tcW w:w="691" w:type="pct"/>
            <w:tcBorders>
              <w:top w:val="nil"/>
              <w:left w:val="nil"/>
              <w:bottom w:val="single" w:sz="4" w:space="0" w:color="auto"/>
              <w:right w:val="single" w:sz="4" w:space="0" w:color="auto"/>
            </w:tcBorders>
            <w:shd w:val="clear" w:color="auto" w:fill="auto"/>
            <w:noWrap/>
            <w:vAlign w:val="center"/>
            <w:hideMark/>
          </w:tcPr>
          <w:p w14:paraId="67B97CA1"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c>
          <w:tcPr>
            <w:tcW w:w="614" w:type="pct"/>
            <w:tcBorders>
              <w:top w:val="nil"/>
              <w:left w:val="nil"/>
              <w:bottom w:val="single" w:sz="4" w:space="0" w:color="auto"/>
              <w:right w:val="single" w:sz="4" w:space="0" w:color="auto"/>
            </w:tcBorders>
            <w:shd w:val="clear" w:color="auto" w:fill="auto"/>
            <w:noWrap/>
            <w:vAlign w:val="center"/>
            <w:hideMark/>
          </w:tcPr>
          <w:p w14:paraId="51EF2858"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27,607.82</w:t>
            </w:r>
          </w:p>
        </w:tc>
        <w:tc>
          <w:tcPr>
            <w:tcW w:w="628" w:type="pct"/>
            <w:tcBorders>
              <w:top w:val="nil"/>
              <w:left w:val="nil"/>
              <w:bottom w:val="single" w:sz="4" w:space="0" w:color="auto"/>
              <w:right w:val="single" w:sz="4" w:space="0" w:color="auto"/>
            </w:tcBorders>
            <w:shd w:val="clear" w:color="auto" w:fill="auto"/>
            <w:noWrap/>
            <w:vAlign w:val="center"/>
            <w:hideMark/>
          </w:tcPr>
          <w:p w14:paraId="5EEB9B79"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r>
      <w:tr w:rsidR="00BA17A3" w:rsidRPr="00E75D59" w14:paraId="2D9E7814"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hideMark/>
          </w:tcPr>
          <w:p w14:paraId="2D5C374C" w14:textId="77777777" w:rsidR="00BA17A3" w:rsidRPr="00E75D59" w:rsidRDefault="00BA17A3" w:rsidP="00CE3D5C">
            <w:pPr>
              <w:spacing w:after="0" w:line="240" w:lineRule="auto"/>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Inversión</w:t>
            </w:r>
          </w:p>
        </w:tc>
        <w:tc>
          <w:tcPr>
            <w:tcW w:w="615" w:type="pct"/>
            <w:tcBorders>
              <w:top w:val="nil"/>
              <w:left w:val="nil"/>
              <w:bottom w:val="single" w:sz="4" w:space="0" w:color="auto"/>
              <w:right w:val="single" w:sz="4" w:space="0" w:color="auto"/>
            </w:tcBorders>
            <w:shd w:val="clear" w:color="auto" w:fill="auto"/>
            <w:noWrap/>
            <w:hideMark/>
          </w:tcPr>
          <w:p w14:paraId="45C236CD"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16,193.84</w:t>
            </w:r>
          </w:p>
        </w:tc>
        <w:tc>
          <w:tcPr>
            <w:tcW w:w="806" w:type="pct"/>
            <w:tcBorders>
              <w:top w:val="nil"/>
              <w:left w:val="nil"/>
              <w:bottom w:val="single" w:sz="4" w:space="0" w:color="auto"/>
              <w:right w:val="single" w:sz="4" w:space="0" w:color="auto"/>
            </w:tcBorders>
            <w:shd w:val="clear" w:color="auto" w:fill="auto"/>
            <w:noWrap/>
            <w:hideMark/>
          </w:tcPr>
          <w:p w14:paraId="46BD284B"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5,533.03</w:t>
            </w:r>
          </w:p>
        </w:tc>
        <w:tc>
          <w:tcPr>
            <w:tcW w:w="690" w:type="pct"/>
            <w:tcBorders>
              <w:top w:val="nil"/>
              <w:left w:val="nil"/>
              <w:bottom w:val="single" w:sz="4" w:space="0" w:color="auto"/>
              <w:right w:val="single" w:sz="4" w:space="0" w:color="auto"/>
            </w:tcBorders>
            <w:shd w:val="clear" w:color="auto" w:fill="auto"/>
            <w:noWrap/>
            <w:hideMark/>
          </w:tcPr>
          <w:p w14:paraId="61BFAC92"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21,726.87</w:t>
            </w:r>
          </w:p>
        </w:tc>
        <w:tc>
          <w:tcPr>
            <w:tcW w:w="691" w:type="pct"/>
            <w:tcBorders>
              <w:top w:val="nil"/>
              <w:left w:val="nil"/>
              <w:bottom w:val="single" w:sz="4" w:space="0" w:color="auto"/>
              <w:right w:val="single" w:sz="4" w:space="0" w:color="auto"/>
            </w:tcBorders>
            <w:shd w:val="clear" w:color="auto" w:fill="auto"/>
            <w:noWrap/>
            <w:vAlign w:val="center"/>
            <w:hideMark/>
          </w:tcPr>
          <w:p w14:paraId="114C4963"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20.16</w:t>
            </w:r>
          </w:p>
        </w:tc>
        <w:tc>
          <w:tcPr>
            <w:tcW w:w="614" w:type="pct"/>
            <w:tcBorders>
              <w:top w:val="nil"/>
              <w:left w:val="nil"/>
              <w:bottom w:val="single" w:sz="4" w:space="0" w:color="auto"/>
              <w:right w:val="single" w:sz="4" w:space="0" w:color="auto"/>
            </w:tcBorders>
            <w:shd w:val="clear" w:color="auto" w:fill="auto"/>
            <w:noWrap/>
            <w:hideMark/>
          </w:tcPr>
          <w:p w14:paraId="36A82778"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17,960.06</w:t>
            </w:r>
          </w:p>
        </w:tc>
        <w:tc>
          <w:tcPr>
            <w:tcW w:w="628" w:type="pct"/>
            <w:tcBorders>
              <w:top w:val="nil"/>
              <w:left w:val="nil"/>
              <w:bottom w:val="single" w:sz="4" w:space="0" w:color="auto"/>
              <w:right w:val="single" w:sz="4" w:space="0" w:color="auto"/>
            </w:tcBorders>
            <w:shd w:val="clear" w:color="auto" w:fill="auto"/>
            <w:noWrap/>
            <w:vAlign w:val="center"/>
            <w:hideMark/>
          </w:tcPr>
          <w:p w14:paraId="6BFEEB87"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82.66</w:t>
            </w:r>
          </w:p>
        </w:tc>
      </w:tr>
      <w:tr w:rsidR="00BA17A3" w:rsidRPr="00E75D59" w14:paraId="177206E7"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hideMark/>
          </w:tcPr>
          <w:p w14:paraId="33716F9B" w14:textId="77777777" w:rsidR="00BA17A3" w:rsidRPr="00E75D59" w:rsidRDefault="00BA17A3" w:rsidP="00CE3D5C">
            <w:pPr>
              <w:spacing w:after="0" w:line="240" w:lineRule="auto"/>
              <w:ind w:firstLineChars="100" w:firstLine="200"/>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Inversión física</w:t>
            </w:r>
          </w:p>
        </w:tc>
        <w:tc>
          <w:tcPr>
            <w:tcW w:w="615" w:type="pct"/>
            <w:tcBorders>
              <w:top w:val="nil"/>
              <w:left w:val="nil"/>
              <w:bottom w:val="single" w:sz="4" w:space="0" w:color="auto"/>
              <w:right w:val="single" w:sz="4" w:space="0" w:color="auto"/>
            </w:tcBorders>
            <w:shd w:val="clear" w:color="auto" w:fill="auto"/>
            <w:noWrap/>
            <w:hideMark/>
          </w:tcPr>
          <w:p w14:paraId="21D36D12"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4,396.11</w:t>
            </w:r>
          </w:p>
        </w:tc>
        <w:tc>
          <w:tcPr>
            <w:tcW w:w="806" w:type="pct"/>
            <w:tcBorders>
              <w:top w:val="nil"/>
              <w:left w:val="nil"/>
              <w:bottom w:val="single" w:sz="4" w:space="0" w:color="auto"/>
              <w:right w:val="single" w:sz="4" w:space="0" w:color="auto"/>
            </w:tcBorders>
            <w:shd w:val="clear" w:color="auto" w:fill="auto"/>
            <w:noWrap/>
            <w:hideMark/>
          </w:tcPr>
          <w:p w14:paraId="470C0442"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611.38</w:t>
            </w:r>
          </w:p>
        </w:tc>
        <w:tc>
          <w:tcPr>
            <w:tcW w:w="690" w:type="pct"/>
            <w:tcBorders>
              <w:top w:val="nil"/>
              <w:left w:val="nil"/>
              <w:bottom w:val="single" w:sz="4" w:space="0" w:color="auto"/>
              <w:right w:val="single" w:sz="4" w:space="0" w:color="auto"/>
            </w:tcBorders>
            <w:shd w:val="clear" w:color="auto" w:fill="auto"/>
            <w:noWrap/>
            <w:hideMark/>
          </w:tcPr>
          <w:p w14:paraId="330C4513"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5,007.49</w:t>
            </w:r>
          </w:p>
        </w:tc>
        <w:tc>
          <w:tcPr>
            <w:tcW w:w="691" w:type="pct"/>
            <w:tcBorders>
              <w:top w:val="nil"/>
              <w:left w:val="nil"/>
              <w:bottom w:val="single" w:sz="4" w:space="0" w:color="auto"/>
              <w:right w:val="single" w:sz="4" w:space="0" w:color="auto"/>
            </w:tcBorders>
            <w:shd w:val="clear" w:color="auto" w:fill="auto"/>
            <w:noWrap/>
            <w:hideMark/>
          </w:tcPr>
          <w:p w14:paraId="78C2AF5C"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c>
          <w:tcPr>
            <w:tcW w:w="614" w:type="pct"/>
            <w:tcBorders>
              <w:top w:val="nil"/>
              <w:left w:val="nil"/>
              <w:bottom w:val="single" w:sz="4" w:space="0" w:color="auto"/>
              <w:right w:val="single" w:sz="4" w:space="0" w:color="auto"/>
            </w:tcBorders>
            <w:shd w:val="clear" w:color="auto" w:fill="auto"/>
            <w:noWrap/>
            <w:hideMark/>
          </w:tcPr>
          <w:p w14:paraId="5FCE44DF"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2,928.20</w:t>
            </w:r>
          </w:p>
        </w:tc>
        <w:tc>
          <w:tcPr>
            <w:tcW w:w="628" w:type="pct"/>
            <w:tcBorders>
              <w:top w:val="nil"/>
              <w:left w:val="nil"/>
              <w:bottom w:val="single" w:sz="4" w:space="0" w:color="auto"/>
              <w:right w:val="single" w:sz="4" w:space="0" w:color="auto"/>
            </w:tcBorders>
            <w:shd w:val="clear" w:color="auto" w:fill="auto"/>
            <w:noWrap/>
            <w:vAlign w:val="center"/>
            <w:hideMark/>
          </w:tcPr>
          <w:p w14:paraId="073500F2"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r>
      <w:tr w:rsidR="00BA17A3" w:rsidRPr="00E75D59" w14:paraId="149BF45C"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hideMark/>
          </w:tcPr>
          <w:p w14:paraId="0C7F8E3C" w14:textId="77777777" w:rsidR="00BA17A3" w:rsidRPr="00E75D59" w:rsidRDefault="00BA17A3" w:rsidP="00CE3D5C">
            <w:pPr>
              <w:spacing w:after="0" w:line="240" w:lineRule="auto"/>
              <w:ind w:firstLineChars="100" w:firstLine="200"/>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Transferencias de capital</w:t>
            </w:r>
          </w:p>
        </w:tc>
        <w:tc>
          <w:tcPr>
            <w:tcW w:w="615" w:type="pct"/>
            <w:tcBorders>
              <w:top w:val="nil"/>
              <w:left w:val="nil"/>
              <w:bottom w:val="single" w:sz="4" w:space="0" w:color="auto"/>
              <w:right w:val="single" w:sz="4" w:space="0" w:color="auto"/>
            </w:tcBorders>
            <w:shd w:val="clear" w:color="auto" w:fill="auto"/>
            <w:noWrap/>
            <w:hideMark/>
          </w:tcPr>
          <w:p w14:paraId="14803DC2"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11,747.37</w:t>
            </w:r>
          </w:p>
        </w:tc>
        <w:tc>
          <w:tcPr>
            <w:tcW w:w="806" w:type="pct"/>
            <w:tcBorders>
              <w:top w:val="nil"/>
              <w:left w:val="nil"/>
              <w:bottom w:val="single" w:sz="4" w:space="0" w:color="auto"/>
              <w:right w:val="single" w:sz="4" w:space="0" w:color="auto"/>
            </w:tcBorders>
            <w:shd w:val="clear" w:color="auto" w:fill="auto"/>
            <w:noWrap/>
            <w:hideMark/>
          </w:tcPr>
          <w:p w14:paraId="16CE0A87"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1,111.01</w:t>
            </w:r>
          </w:p>
        </w:tc>
        <w:tc>
          <w:tcPr>
            <w:tcW w:w="690" w:type="pct"/>
            <w:tcBorders>
              <w:top w:val="nil"/>
              <w:left w:val="nil"/>
              <w:bottom w:val="single" w:sz="4" w:space="0" w:color="auto"/>
              <w:right w:val="single" w:sz="4" w:space="0" w:color="auto"/>
            </w:tcBorders>
            <w:shd w:val="clear" w:color="auto" w:fill="auto"/>
            <w:noWrap/>
            <w:hideMark/>
          </w:tcPr>
          <w:p w14:paraId="7976A8B8"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12,858.38</w:t>
            </w:r>
          </w:p>
        </w:tc>
        <w:tc>
          <w:tcPr>
            <w:tcW w:w="691" w:type="pct"/>
            <w:tcBorders>
              <w:top w:val="nil"/>
              <w:left w:val="nil"/>
              <w:bottom w:val="single" w:sz="4" w:space="0" w:color="auto"/>
              <w:right w:val="single" w:sz="4" w:space="0" w:color="auto"/>
            </w:tcBorders>
            <w:shd w:val="clear" w:color="auto" w:fill="auto"/>
            <w:noWrap/>
            <w:hideMark/>
          </w:tcPr>
          <w:p w14:paraId="58338637"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c>
          <w:tcPr>
            <w:tcW w:w="614" w:type="pct"/>
            <w:tcBorders>
              <w:top w:val="nil"/>
              <w:left w:val="nil"/>
              <w:bottom w:val="single" w:sz="4" w:space="0" w:color="auto"/>
              <w:right w:val="single" w:sz="4" w:space="0" w:color="auto"/>
            </w:tcBorders>
            <w:shd w:val="clear" w:color="auto" w:fill="auto"/>
            <w:noWrap/>
            <w:hideMark/>
          </w:tcPr>
          <w:p w14:paraId="4BB0D10F"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11,701.01</w:t>
            </w:r>
          </w:p>
        </w:tc>
        <w:tc>
          <w:tcPr>
            <w:tcW w:w="628" w:type="pct"/>
            <w:tcBorders>
              <w:top w:val="nil"/>
              <w:left w:val="nil"/>
              <w:bottom w:val="single" w:sz="4" w:space="0" w:color="auto"/>
              <w:right w:val="single" w:sz="4" w:space="0" w:color="auto"/>
            </w:tcBorders>
            <w:shd w:val="clear" w:color="auto" w:fill="auto"/>
            <w:noWrap/>
            <w:vAlign w:val="center"/>
            <w:hideMark/>
          </w:tcPr>
          <w:p w14:paraId="59510790"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r>
      <w:tr w:rsidR="00BA17A3" w:rsidRPr="00E75D59" w14:paraId="3043A4FC"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hideMark/>
          </w:tcPr>
          <w:p w14:paraId="3DFA271E" w14:textId="77777777" w:rsidR="00BA17A3" w:rsidRPr="00E75D59" w:rsidRDefault="00BA17A3" w:rsidP="00CE3D5C">
            <w:pPr>
              <w:spacing w:after="0" w:line="240" w:lineRule="auto"/>
              <w:ind w:firstLineChars="100" w:firstLine="200"/>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Inversión Financiera</w:t>
            </w:r>
          </w:p>
        </w:tc>
        <w:tc>
          <w:tcPr>
            <w:tcW w:w="615" w:type="pct"/>
            <w:tcBorders>
              <w:top w:val="nil"/>
              <w:left w:val="nil"/>
              <w:bottom w:val="single" w:sz="4" w:space="0" w:color="auto"/>
              <w:right w:val="single" w:sz="4" w:space="0" w:color="auto"/>
            </w:tcBorders>
            <w:shd w:val="clear" w:color="auto" w:fill="auto"/>
            <w:noWrap/>
            <w:hideMark/>
          </w:tcPr>
          <w:p w14:paraId="40BB7E7E"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50.37</w:t>
            </w:r>
          </w:p>
        </w:tc>
        <w:tc>
          <w:tcPr>
            <w:tcW w:w="806" w:type="pct"/>
            <w:tcBorders>
              <w:top w:val="nil"/>
              <w:left w:val="nil"/>
              <w:bottom w:val="single" w:sz="4" w:space="0" w:color="auto"/>
              <w:right w:val="single" w:sz="4" w:space="0" w:color="auto"/>
            </w:tcBorders>
            <w:shd w:val="clear" w:color="auto" w:fill="auto"/>
            <w:noWrap/>
            <w:hideMark/>
          </w:tcPr>
          <w:p w14:paraId="73F08462"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3,810.63</w:t>
            </w:r>
          </w:p>
        </w:tc>
        <w:tc>
          <w:tcPr>
            <w:tcW w:w="690" w:type="pct"/>
            <w:tcBorders>
              <w:top w:val="nil"/>
              <w:left w:val="nil"/>
              <w:bottom w:val="single" w:sz="4" w:space="0" w:color="auto"/>
              <w:right w:val="single" w:sz="4" w:space="0" w:color="auto"/>
            </w:tcBorders>
            <w:shd w:val="clear" w:color="auto" w:fill="auto"/>
            <w:noWrap/>
            <w:hideMark/>
          </w:tcPr>
          <w:p w14:paraId="6D1390EB"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3,860.99</w:t>
            </w:r>
          </w:p>
        </w:tc>
        <w:tc>
          <w:tcPr>
            <w:tcW w:w="691" w:type="pct"/>
            <w:tcBorders>
              <w:top w:val="nil"/>
              <w:left w:val="nil"/>
              <w:bottom w:val="single" w:sz="4" w:space="0" w:color="auto"/>
              <w:right w:val="single" w:sz="4" w:space="0" w:color="auto"/>
            </w:tcBorders>
            <w:shd w:val="clear" w:color="auto" w:fill="auto"/>
            <w:noWrap/>
            <w:hideMark/>
          </w:tcPr>
          <w:p w14:paraId="22AB882D"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c>
          <w:tcPr>
            <w:tcW w:w="614" w:type="pct"/>
            <w:tcBorders>
              <w:top w:val="nil"/>
              <w:left w:val="nil"/>
              <w:bottom w:val="single" w:sz="4" w:space="0" w:color="auto"/>
              <w:right w:val="single" w:sz="4" w:space="0" w:color="auto"/>
            </w:tcBorders>
            <w:shd w:val="clear" w:color="auto" w:fill="auto"/>
            <w:noWrap/>
            <w:hideMark/>
          </w:tcPr>
          <w:p w14:paraId="2993E31E" w14:textId="77777777" w:rsidR="00BA17A3" w:rsidRPr="00E75D59" w:rsidRDefault="00BA17A3" w:rsidP="00CE3D5C">
            <w:pPr>
              <w:spacing w:after="0" w:line="240" w:lineRule="auto"/>
              <w:jc w:val="right"/>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3,330.85</w:t>
            </w:r>
          </w:p>
        </w:tc>
        <w:tc>
          <w:tcPr>
            <w:tcW w:w="628" w:type="pct"/>
            <w:tcBorders>
              <w:top w:val="nil"/>
              <w:left w:val="nil"/>
              <w:bottom w:val="single" w:sz="4" w:space="0" w:color="auto"/>
              <w:right w:val="single" w:sz="4" w:space="0" w:color="auto"/>
            </w:tcBorders>
            <w:shd w:val="clear" w:color="auto" w:fill="auto"/>
            <w:noWrap/>
            <w:vAlign w:val="center"/>
            <w:hideMark/>
          </w:tcPr>
          <w:p w14:paraId="297CB54A" w14:textId="77777777" w:rsidR="00BA17A3" w:rsidRPr="00E75D59" w:rsidRDefault="00BA17A3" w:rsidP="00CE3D5C">
            <w:pPr>
              <w:spacing w:after="0" w:line="240" w:lineRule="auto"/>
              <w:jc w:val="center"/>
              <w:rPr>
                <w:rFonts w:ascii="Helvetica" w:eastAsia="Times New Roman" w:hAnsi="Helvetica" w:cs="Helvetica"/>
                <w:color w:val="000000"/>
                <w:sz w:val="20"/>
                <w:szCs w:val="20"/>
                <w:lang w:eastAsia="es-GT"/>
              </w:rPr>
            </w:pPr>
            <w:r w:rsidRPr="00E75D59">
              <w:rPr>
                <w:rFonts w:ascii="Helvetica" w:eastAsia="Times New Roman" w:hAnsi="Helvetica" w:cs="Helvetica"/>
                <w:color w:val="000000"/>
                <w:sz w:val="20"/>
                <w:szCs w:val="20"/>
                <w:lang w:eastAsia="es-GT"/>
              </w:rPr>
              <w:t> </w:t>
            </w:r>
          </w:p>
        </w:tc>
      </w:tr>
      <w:tr w:rsidR="00BA17A3" w:rsidRPr="00E75D59" w14:paraId="6934E802"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auto"/>
            <w:noWrap/>
            <w:hideMark/>
          </w:tcPr>
          <w:p w14:paraId="2E1D2DDE" w14:textId="77777777" w:rsidR="00BA17A3" w:rsidRPr="00E75D59" w:rsidRDefault="00BA17A3" w:rsidP="00CE3D5C">
            <w:pPr>
              <w:spacing w:after="0" w:line="240" w:lineRule="auto"/>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Deuda Publica</w:t>
            </w:r>
          </w:p>
        </w:tc>
        <w:tc>
          <w:tcPr>
            <w:tcW w:w="615" w:type="pct"/>
            <w:tcBorders>
              <w:top w:val="nil"/>
              <w:left w:val="nil"/>
              <w:bottom w:val="single" w:sz="4" w:space="0" w:color="auto"/>
              <w:right w:val="single" w:sz="4" w:space="0" w:color="auto"/>
            </w:tcBorders>
            <w:shd w:val="clear" w:color="auto" w:fill="auto"/>
            <w:noWrap/>
            <w:hideMark/>
          </w:tcPr>
          <w:p w14:paraId="30755AB7"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13,411.00</w:t>
            </w:r>
          </w:p>
        </w:tc>
        <w:tc>
          <w:tcPr>
            <w:tcW w:w="806" w:type="pct"/>
            <w:tcBorders>
              <w:top w:val="nil"/>
              <w:left w:val="nil"/>
              <w:bottom w:val="single" w:sz="4" w:space="0" w:color="auto"/>
              <w:right w:val="single" w:sz="4" w:space="0" w:color="auto"/>
            </w:tcBorders>
            <w:shd w:val="clear" w:color="auto" w:fill="auto"/>
            <w:noWrap/>
            <w:hideMark/>
          </w:tcPr>
          <w:p w14:paraId="2125F9BF"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1,200.00</w:t>
            </w:r>
          </w:p>
        </w:tc>
        <w:tc>
          <w:tcPr>
            <w:tcW w:w="690" w:type="pct"/>
            <w:tcBorders>
              <w:top w:val="nil"/>
              <w:left w:val="nil"/>
              <w:bottom w:val="single" w:sz="4" w:space="0" w:color="auto"/>
              <w:right w:val="single" w:sz="4" w:space="0" w:color="auto"/>
            </w:tcBorders>
            <w:shd w:val="clear" w:color="auto" w:fill="auto"/>
            <w:noWrap/>
            <w:hideMark/>
          </w:tcPr>
          <w:p w14:paraId="48EAD101"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14,611.00</w:t>
            </w:r>
          </w:p>
        </w:tc>
        <w:tc>
          <w:tcPr>
            <w:tcW w:w="691" w:type="pct"/>
            <w:tcBorders>
              <w:top w:val="nil"/>
              <w:left w:val="nil"/>
              <w:bottom w:val="single" w:sz="4" w:space="0" w:color="auto"/>
              <w:right w:val="single" w:sz="4" w:space="0" w:color="auto"/>
            </w:tcBorders>
            <w:shd w:val="clear" w:color="auto" w:fill="auto"/>
            <w:noWrap/>
            <w:vAlign w:val="center"/>
            <w:hideMark/>
          </w:tcPr>
          <w:p w14:paraId="7360EB2D"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13.56</w:t>
            </w:r>
          </w:p>
        </w:tc>
        <w:tc>
          <w:tcPr>
            <w:tcW w:w="614" w:type="pct"/>
            <w:tcBorders>
              <w:top w:val="nil"/>
              <w:left w:val="nil"/>
              <w:bottom w:val="single" w:sz="4" w:space="0" w:color="auto"/>
              <w:right w:val="single" w:sz="4" w:space="0" w:color="auto"/>
            </w:tcBorders>
            <w:shd w:val="clear" w:color="auto" w:fill="auto"/>
            <w:noWrap/>
            <w:hideMark/>
          </w:tcPr>
          <w:p w14:paraId="682B190D"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13,427.76</w:t>
            </w:r>
          </w:p>
        </w:tc>
        <w:tc>
          <w:tcPr>
            <w:tcW w:w="628" w:type="pct"/>
            <w:tcBorders>
              <w:top w:val="nil"/>
              <w:left w:val="nil"/>
              <w:bottom w:val="single" w:sz="4" w:space="0" w:color="auto"/>
              <w:right w:val="single" w:sz="4" w:space="0" w:color="auto"/>
            </w:tcBorders>
            <w:shd w:val="clear" w:color="auto" w:fill="auto"/>
            <w:noWrap/>
            <w:vAlign w:val="center"/>
            <w:hideMark/>
          </w:tcPr>
          <w:p w14:paraId="586D03BA"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91.90</w:t>
            </w:r>
          </w:p>
        </w:tc>
      </w:tr>
      <w:tr w:rsidR="00BA17A3" w:rsidRPr="00E75D59" w14:paraId="4DEA30C6" w14:textId="77777777" w:rsidTr="00CE3D5C">
        <w:trPr>
          <w:trHeight w:val="340"/>
        </w:trPr>
        <w:tc>
          <w:tcPr>
            <w:tcW w:w="956" w:type="pct"/>
            <w:tcBorders>
              <w:top w:val="nil"/>
              <w:left w:val="single" w:sz="4" w:space="0" w:color="auto"/>
              <w:bottom w:val="single" w:sz="4" w:space="0" w:color="auto"/>
              <w:right w:val="single" w:sz="4" w:space="0" w:color="auto"/>
            </w:tcBorders>
            <w:shd w:val="clear" w:color="auto" w:fill="D5DCE4" w:themeFill="text2" w:themeFillTint="33"/>
            <w:noWrap/>
            <w:hideMark/>
          </w:tcPr>
          <w:p w14:paraId="2DB59515" w14:textId="77777777" w:rsidR="00BA17A3" w:rsidRPr="00E75D59" w:rsidRDefault="00BA17A3" w:rsidP="00CE3D5C">
            <w:pPr>
              <w:spacing w:after="0" w:line="240" w:lineRule="auto"/>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Total</w:t>
            </w:r>
          </w:p>
        </w:tc>
        <w:tc>
          <w:tcPr>
            <w:tcW w:w="615" w:type="pct"/>
            <w:tcBorders>
              <w:top w:val="nil"/>
              <w:left w:val="nil"/>
              <w:bottom w:val="single" w:sz="4" w:space="0" w:color="auto"/>
              <w:right w:val="single" w:sz="4" w:space="0" w:color="auto"/>
            </w:tcBorders>
            <w:shd w:val="clear" w:color="auto" w:fill="D5DCE4" w:themeFill="text2" w:themeFillTint="33"/>
            <w:noWrap/>
            <w:hideMark/>
          </w:tcPr>
          <w:p w14:paraId="2A24FFE0"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87,715.06</w:t>
            </w:r>
          </w:p>
        </w:tc>
        <w:tc>
          <w:tcPr>
            <w:tcW w:w="806" w:type="pct"/>
            <w:tcBorders>
              <w:top w:val="nil"/>
              <w:left w:val="nil"/>
              <w:bottom w:val="single" w:sz="4" w:space="0" w:color="auto"/>
              <w:right w:val="single" w:sz="4" w:space="0" w:color="auto"/>
            </w:tcBorders>
            <w:shd w:val="clear" w:color="auto" w:fill="D5DCE4" w:themeFill="text2" w:themeFillTint="33"/>
            <w:noWrap/>
            <w:hideMark/>
          </w:tcPr>
          <w:p w14:paraId="68790585"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20,045.66</w:t>
            </w:r>
          </w:p>
        </w:tc>
        <w:tc>
          <w:tcPr>
            <w:tcW w:w="690" w:type="pct"/>
            <w:tcBorders>
              <w:top w:val="nil"/>
              <w:left w:val="nil"/>
              <w:bottom w:val="single" w:sz="4" w:space="0" w:color="auto"/>
              <w:right w:val="single" w:sz="4" w:space="0" w:color="auto"/>
            </w:tcBorders>
            <w:shd w:val="clear" w:color="auto" w:fill="D5DCE4" w:themeFill="text2" w:themeFillTint="33"/>
            <w:noWrap/>
            <w:hideMark/>
          </w:tcPr>
          <w:p w14:paraId="05D5B4A8"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107,760.72</w:t>
            </w:r>
          </w:p>
        </w:tc>
        <w:tc>
          <w:tcPr>
            <w:tcW w:w="691" w:type="pct"/>
            <w:tcBorders>
              <w:top w:val="nil"/>
              <w:left w:val="nil"/>
              <w:bottom w:val="single" w:sz="4" w:space="0" w:color="auto"/>
              <w:right w:val="single" w:sz="4" w:space="0" w:color="auto"/>
            </w:tcBorders>
            <w:shd w:val="clear" w:color="auto" w:fill="D5DCE4" w:themeFill="text2" w:themeFillTint="33"/>
            <w:noWrap/>
            <w:hideMark/>
          </w:tcPr>
          <w:p w14:paraId="728055BD"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100.00</w:t>
            </w:r>
          </w:p>
        </w:tc>
        <w:tc>
          <w:tcPr>
            <w:tcW w:w="614" w:type="pct"/>
            <w:tcBorders>
              <w:top w:val="nil"/>
              <w:left w:val="nil"/>
              <w:bottom w:val="single" w:sz="4" w:space="0" w:color="auto"/>
              <w:right w:val="single" w:sz="4" w:space="0" w:color="auto"/>
            </w:tcBorders>
            <w:shd w:val="clear" w:color="auto" w:fill="D5DCE4" w:themeFill="text2" w:themeFillTint="33"/>
            <w:noWrap/>
            <w:hideMark/>
          </w:tcPr>
          <w:p w14:paraId="40662327" w14:textId="77777777" w:rsidR="00BA17A3" w:rsidRPr="00E75D59" w:rsidRDefault="00BA17A3" w:rsidP="00CE3D5C">
            <w:pPr>
              <w:spacing w:after="0" w:line="240" w:lineRule="auto"/>
              <w:jc w:val="right"/>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96,625.44</w:t>
            </w:r>
          </w:p>
        </w:tc>
        <w:tc>
          <w:tcPr>
            <w:tcW w:w="628" w:type="pct"/>
            <w:tcBorders>
              <w:top w:val="nil"/>
              <w:left w:val="nil"/>
              <w:bottom w:val="single" w:sz="4" w:space="0" w:color="auto"/>
              <w:right w:val="single" w:sz="4" w:space="0" w:color="auto"/>
            </w:tcBorders>
            <w:shd w:val="clear" w:color="auto" w:fill="D5DCE4" w:themeFill="text2" w:themeFillTint="33"/>
            <w:noWrap/>
            <w:vAlign w:val="center"/>
            <w:hideMark/>
          </w:tcPr>
          <w:p w14:paraId="295F73CC" w14:textId="77777777" w:rsidR="00BA17A3" w:rsidRPr="00E75D59" w:rsidRDefault="00BA17A3" w:rsidP="00CE3D5C">
            <w:pPr>
              <w:spacing w:after="0" w:line="240" w:lineRule="auto"/>
              <w:jc w:val="center"/>
              <w:rPr>
                <w:rFonts w:ascii="Helvetica" w:eastAsia="Times New Roman" w:hAnsi="Helvetica" w:cs="Helvetica"/>
                <w:b/>
                <w:bCs/>
                <w:color w:val="000000"/>
                <w:sz w:val="20"/>
                <w:szCs w:val="20"/>
                <w:lang w:eastAsia="es-GT"/>
              </w:rPr>
            </w:pPr>
            <w:r w:rsidRPr="00E75D59">
              <w:rPr>
                <w:rFonts w:ascii="Helvetica" w:eastAsia="Times New Roman" w:hAnsi="Helvetica" w:cs="Helvetica"/>
                <w:b/>
                <w:bCs/>
                <w:color w:val="000000"/>
                <w:sz w:val="20"/>
                <w:szCs w:val="20"/>
                <w:lang w:eastAsia="es-GT"/>
              </w:rPr>
              <w:t>89.67</w:t>
            </w:r>
          </w:p>
        </w:tc>
      </w:tr>
    </w:tbl>
    <w:p w14:paraId="2C5E09B3" w14:textId="7938C747" w:rsidR="00BA17A3" w:rsidRPr="00D80CD5" w:rsidRDefault="00BA17A3" w:rsidP="00BA17A3">
      <w:pPr>
        <w:spacing w:after="0" w:line="240" w:lineRule="auto"/>
        <w:rPr>
          <w:rFonts w:ascii="Times New Roman" w:hAnsi="Times New Roman" w:cs="Times New Roman"/>
          <w:bCs/>
          <w:color w:val="000000"/>
          <w:spacing w:val="-3"/>
          <w:sz w:val="16"/>
          <w:szCs w:val="16"/>
        </w:rPr>
      </w:pPr>
      <w:r w:rsidRPr="00D80CD5">
        <w:rPr>
          <w:rFonts w:ascii="Times New Roman" w:hAnsi="Times New Roman" w:cs="Times New Roman"/>
          <w:bCs/>
          <w:color w:val="000000"/>
          <w:spacing w:val="-3"/>
          <w:sz w:val="16"/>
          <w:szCs w:val="16"/>
        </w:rPr>
        <w:t>Fuente: Elaboración SEGEPLAN con información del SICOIN</w:t>
      </w:r>
      <w:r w:rsidR="00D80CD5" w:rsidRPr="00D80CD5">
        <w:rPr>
          <w:rFonts w:ascii="Times New Roman" w:hAnsi="Times New Roman" w:cs="Times New Roman"/>
          <w:bCs/>
          <w:color w:val="000000"/>
          <w:spacing w:val="-3"/>
          <w:sz w:val="16"/>
          <w:szCs w:val="16"/>
        </w:rPr>
        <w:t>.</w:t>
      </w:r>
    </w:p>
    <w:p w14:paraId="2EA6F5D7" w14:textId="77777777" w:rsidR="00BA17A3" w:rsidRPr="001B0AC7" w:rsidRDefault="00BA17A3" w:rsidP="00BA17A3">
      <w:pPr>
        <w:spacing w:after="0" w:line="240" w:lineRule="auto"/>
        <w:ind w:left="62"/>
        <w:jc w:val="center"/>
        <w:rPr>
          <w:rFonts w:ascii="Times New Roman" w:hAnsi="Times New Roman" w:cs="Times New Roman"/>
          <w:sz w:val="18"/>
          <w:szCs w:val="18"/>
        </w:rPr>
      </w:pPr>
    </w:p>
    <w:p w14:paraId="5631FC77" w14:textId="0B49F0C9" w:rsidR="00BA17A3" w:rsidRPr="00CE3D5C" w:rsidRDefault="00BA17A3" w:rsidP="00BA17A3">
      <w:pPr>
        <w:jc w:val="both"/>
        <w:rPr>
          <w:rFonts w:ascii="Helvetica" w:hAnsi="Helvetica" w:cs="Helvetica"/>
          <w:sz w:val="24"/>
          <w:szCs w:val="24"/>
        </w:rPr>
      </w:pPr>
      <w:r w:rsidRPr="00CE3D5C">
        <w:rPr>
          <w:rFonts w:ascii="Helvetica" w:hAnsi="Helvetica" w:cs="Helvetica"/>
          <w:sz w:val="24"/>
          <w:szCs w:val="24"/>
        </w:rPr>
        <w:t xml:space="preserve">Como se puede observar en el cuadro, la composición de la estructura presupuestaria por tipo de gasto </w:t>
      </w:r>
      <w:r w:rsidR="00F61921">
        <w:rPr>
          <w:rFonts w:ascii="Helvetica" w:hAnsi="Helvetica" w:cs="Helvetica"/>
          <w:sz w:val="24"/>
          <w:szCs w:val="24"/>
        </w:rPr>
        <w:t>corresponde el 6</w:t>
      </w:r>
      <w:r w:rsidRPr="00CE3D5C">
        <w:rPr>
          <w:rFonts w:ascii="Helvetica" w:hAnsi="Helvetica" w:cs="Helvetica"/>
          <w:sz w:val="24"/>
          <w:szCs w:val="24"/>
        </w:rPr>
        <w:t>6</w:t>
      </w:r>
      <w:r w:rsidR="00F61921">
        <w:rPr>
          <w:rFonts w:ascii="Helvetica" w:hAnsi="Helvetica" w:cs="Helvetica"/>
          <w:sz w:val="24"/>
          <w:szCs w:val="24"/>
        </w:rPr>
        <w:t>.2</w:t>
      </w:r>
      <w:r w:rsidRPr="00CE3D5C">
        <w:rPr>
          <w:rFonts w:ascii="Helvetica" w:hAnsi="Helvetica" w:cs="Helvetica"/>
          <w:sz w:val="24"/>
          <w:szCs w:val="24"/>
        </w:rPr>
        <w:t xml:space="preserve">8% </w:t>
      </w:r>
      <w:r w:rsidR="00F61921">
        <w:rPr>
          <w:rFonts w:ascii="Helvetica" w:hAnsi="Helvetica" w:cs="Helvetica"/>
          <w:sz w:val="24"/>
          <w:szCs w:val="24"/>
        </w:rPr>
        <w:t>a</w:t>
      </w:r>
      <w:r w:rsidRPr="00CE3D5C">
        <w:rPr>
          <w:rFonts w:ascii="Helvetica" w:hAnsi="Helvetica" w:cs="Helvetica"/>
          <w:sz w:val="24"/>
          <w:szCs w:val="24"/>
        </w:rPr>
        <w:t xml:space="preserve"> gastos de funcionamiento, el 20.15% gastos de inversión y el 13.56% a gastos de la deuda pública, alcanzando en promedio una ejecución presupuestaria al 31 de diciembre del 2020 del 89.67%.     </w:t>
      </w:r>
    </w:p>
    <w:p w14:paraId="3B272A23" w14:textId="27672E75" w:rsidR="00CE3D5C" w:rsidRPr="003B1BD8" w:rsidRDefault="00CE3D5C" w:rsidP="003B1BD8">
      <w:pPr>
        <w:pStyle w:val="normalinforme"/>
        <w:rPr>
          <w:rFonts w:ascii="Helvetica" w:hAnsi="Helvetica" w:cs="Helvetica"/>
          <w:b/>
          <w:bCs/>
          <w:color w:val="1F3864" w:themeColor="accent1" w:themeShade="80"/>
          <w:sz w:val="28"/>
          <w:szCs w:val="28"/>
        </w:rPr>
      </w:pPr>
      <w:r w:rsidRPr="003B1BD8">
        <w:rPr>
          <w:rFonts w:ascii="Helvetica" w:hAnsi="Helvetica" w:cs="Helvetica"/>
          <w:b/>
          <w:bCs/>
          <w:color w:val="1F3864" w:themeColor="accent1" w:themeShade="80"/>
          <w:sz w:val="28"/>
          <w:szCs w:val="28"/>
        </w:rPr>
        <w:t>Presupuesto asignado a las Municipalidades 2020</w:t>
      </w:r>
    </w:p>
    <w:p w14:paraId="3ADD9460" w14:textId="0A172B58" w:rsidR="00693BD9" w:rsidRPr="00A318DA"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A318DA">
        <w:rPr>
          <w:rFonts w:ascii="Helvetica" w:eastAsia="Times New Roman" w:hAnsi="Helvetica" w:cs="Helvetica"/>
          <w:sz w:val="24"/>
          <w:szCs w:val="24"/>
          <w:lang w:val="es-ES"/>
        </w:rPr>
        <w:t xml:space="preserve">El presupuesto general de egresos 2020, relacionado a las municipalidades, muestra una ejecución nacional del 61.02%. La mayor asignación la tiene el departamento de Guatemala; no obstante, solo ejecutó el 52.91 % de su presupuesto vigente. Le continúa Quetzaltenango, con una ejecución del 56.50%. Por otro lado, los departamentos con menor asignación son: Jalapa y Baja Verapaz, con una ejecución del: 79.18% y 74.78%, respectivamente. Ver </w:t>
      </w:r>
      <w:r w:rsidR="0004362D">
        <w:rPr>
          <w:rFonts w:ascii="Helvetica" w:eastAsia="Times New Roman" w:hAnsi="Helvetica" w:cs="Helvetica"/>
          <w:sz w:val="24"/>
          <w:szCs w:val="24"/>
          <w:lang w:val="es-ES"/>
        </w:rPr>
        <w:t>tabla 2</w:t>
      </w:r>
    </w:p>
    <w:p w14:paraId="6192019D" w14:textId="52D90436"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2D42E40" w14:textId="2110BA19" w:rsidR="00693BD9" w:rsidRPr="00E92111" w:rsidRDefault="0004362D" w:rsidP="00016865">
      <w:pPr>
        <w:pStyle w:val="ttulosgrficas"/>
        <w:rPr>
          <w:rFonts w:eastAsia="Times New Roman"/>
          <w:b w:val="0"/>
          <w:lang w:val="es-ES"/>
        </w:rPr>
      </w:pPr>
      <w:bookmarkStart w:id="11" w:name="_Toc67589115"/>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Presupuestaria de Egresos Municipales año 2020</w:t>
      </w:r>
      <w:bookmarkEnd w:id="11"/>
    </w:p>
    <w:tbl>
      <w:tblPr>
        <w:tblpPr w:leftFromText="141" w:rightFromText="141" w:vertAnchor="text" w:horzAnchor="margin" w:tblpXSpec="center" w:tblpY="116"/>
        <w:tblW w:w="10053" w:type="dxa"/>
        <w:tblCellMar>
          <w:left w:w="70" w:type="dxa"/>
          <w:right w:w="70" w:type="dxa"/>
        </w:tblCellMar>
        <w:tblLook w:val="04A0" w:firstRow="1" w:lastRow="0" w:firstColumn="1" w:lastColumn="0" w:noHBand="0" w:noVBand="1"/>
      </w:tblPr>
      <w:tblGrid>
        <w:gridCol w:w="2179"/>
        <w:gridCol w:w="1777"/>
        <w:gridCol w:w="1632"/>
        <w:gridCol w:w="1782"/>
        <w:gridCol w:w="1782"/>
        <w:gridCol w:w="971"/>
      </w:tblGrid>
      <w:tr w:rsidR="00693BD9" w:rsidRPr="00A318DA" w14:paraId="776E8238" w14:textId="77777777" w:rsidTr="00D80CD5">
        <w:trPr>
          <w:trHeight w:val="900"/>
        </w:trPr>
        <w:tc>
          <w:tcPr>
            <w:tcW w:w="2179" w:type="dxa"/>
            <w:tcBorders>
              <w:top w:val="nil"/>
              <w:left w:val="nil"/>
              <w:bottom w:val="single" w:sz="12" w:space="0" w:color="FFFFFF"/>
              <w:right w:val="single" w:sz="4" w:space="0" w:color="FFFFFF"/>
            </w:tcBorders>
            <w:shd w:val="clear" w:color="4472C4" w:fill="4472C4"/>
            <w:noWrap/>
            <w:vAlign w:val="center"/>
            <w:hideMark/>
          </w:tcPr>
          <w:p w14:paraId="20FEF99C" w14:textId="77777777" w:rsidR="00693BD9" w:rsidRPr="00D80CD5" w:rsidRDefault="00693BD9" w:rsidP="00D80CD5">
            <w:pPr>
              <w:autoSpaceDE w:val="0"/>
              <w:autoSpaceDN w:val="0"/>
              <w:adjustRightInd w:val="0"/>
              <w:spacing w:after="0" w:line="240" w:lineRule="auto"/>
              <w:jc w:val="center"/>
              <w:rPr>
                <w:rFonts w:ascii="Helvetica" w:eastAsia="Times New Roman" w:hAnsi="Helvetica" w:cs="Helvetica"/>
                <w:b/>
                <w:bCs/>
                <w:sz w:val="18"/>
                <w:szCs w:val="24"/>
                <w:lang w:val="es-ES"/>
              </w:rPr>
            </w:pPr>
            <w:r w:rsidRPr="00D80CD5">
              <w:rPr>
                <w:rFonts w:ascii="Helvetica" w:eastAsia="Times New Roman" w:hAnsi="Helvetica" w:cs="Helvetica"/>
                <w:b/>
                <w:bCs/>
                <w:sz w:val="18"/>
                <w:szCs w:val="24"/>
                <w:lang w:val="es-ES"/>
              </w:rPr>
              <w:t>Departamento</w:t>
            </w:r>
          </w:p>
        </w:tc>
        <w:tc>
          <w:tcPr>
            <w:tcW w:w="1777" w:type="dxa"/>
            <w:tcBorders>
              <w:top w:val="nil"/>
              <w:left w:val="single" w:sz="4" w:space="0" w:color="FFFFFF"/>
              <w:bottom w:val="single" w:sz="12" w:space="0" w:color="FFFFFF"/>
              <w:right w:val="single" w:sz="4" w:space="0" w:color="FFFFFF"/>
            </w:tcBorders>
            <w:shd w:val="clear" w:color="4472C4" w:fill="4472C4"/>
            <w:noWrap/>
            <w:vAlign w:val="center"/>
            <w:hideMark/>
          </w:tcPr>
          <w:p w14:paraId="70BA9D87" w14:textId="77777777" w:rsidR="00693BD9" w:rsidRPr="00D80CD5" w:rsidRDefault="00693BD9" w:rsidP="00D80CD5">
            <w:pPr>
              <w:autoSpaceDE w:val="0"/>
              <w:autoSpaceDN w:val="0"/>
              <w:adjustRightInd w:val="0"/>
              <w:spacing w:after="0" w:line="240" w:lineRule="auto"/>
              <w:jc w:val="center"/>
              <w:rPr>
                <w:rFonts w:ascii="Helvetica" w:eastAsia="Times New Roman" w:hAnsi="Helvetica" w:cs="Helvetica"/>
                <w:b/>
                <w:bCs/>
                <w:sz w:val="18"/>
                <w:szCs w:val="24"/>
                <w:lang w:val="es-ES"/>
              </w:rPr>
            </w:pPr>
            <w:r w:rsidRPr="00D80CD5">
              <w:rPr>
                <w:rFonts w:ascii="Helvetica" w:eastAsia="Times New Roman" w:hAnsi="Helvetica" w:cs="Helvetica"/>
                <w:b/>
                <w:bCs/>
                <w:sz w:val="18"/>
                <w:szCs w:val="24"/>
                <w:lang w:val="es-ES"/>
              </w:rPr>
              <w:t>Asignado (Q.)</w:t>
            </w:r>
          </w:p>
        </w:tc>
        <w:tc>
          <w:tcPr>
            <w:tcW w:w="1632" w:type="dxa"/>
            <w:tcBorders>
              <w:top w:val="nil"/>
              <w:left w:val="single" w:sz="4" w:space="0" w:color="FFFFFF"/>
              <w:bottom w:val="single" w:sz="12" w:space="0" w:color="FFFFFF"/>
              <w:right w:val="single" w:sz="4" w:space="0" w:color="FFFFFF"/>
            </w:tcBorders>
            <w:shd w:val="clear" w:color="4472C4" w:fill="4472C4"/>
            <w:noWrap/>
            <w:vAlign w:val="center"/>
            <w:hideMark/>
          </w:tcPr>
          <w:p w14:paraId="423A3C4E" w14:textId="77777777" w:rsidR="00693BD9" w:rsidRPr="00D80CD5" w:rsidRDefault="00693BD9" w:rsidP="00D80CD5">
            <w:pPr>
              <w:autoSpaceDE w:val="0"/>
              <w:autoSpaceDN w:val="0"/>
              <w:adjustRightInd w:val="0"/>
              <w:spacing w:after="0" w:line="240" w:lineRule="auto"/>
              <w:jc w:val="center"/>
              <w:rPr>
                <w:rFonts w:ascii="Helvetica" w:eastAsia="Times New Roman" w:hAnsi="Helvetica" w:cs="Helvetica"/>
                <w:b/>
                <w:bCs/>
                <w:sz w:val="18"/>
                <w:szCs w:val="24"/>
                <w:lang w:val="es-ES"/>
              </w:rPr>
            </w:pPr>
            <w:r w:rsidRPr="00D80CD5">
              <w:rPr>
                <w:rFonts w:ascii="Helvetica" w:eastAsia="Times New Roman" w:hAnsi="Helvetica" w:cs="Helvetica"/>
                <w:b/>
                <w:bCs/>
                <w:sz w:val="18"/>
                <w:szCs w:val="24"/>
                <w:lang w:val="es-ES"/>
              </w:rPr>
              <w:t>Modificado (Q.)</w:t>
            </w:r>
          </w:p>
        </w:tc>
        <w:tc>
          <w:tcPr>
            <w:tcW w:w="1782" w:type="dxa"/>
            <w:tcBorders>
              <w:top w:val="nil"/>
              <w:left w:val="single" w:sz="4" w:space="0" w:color="FFFFFF"/>
              <w:bottom w:val="single" w:sz="12" w:space="0" w:color="FFFFFF"/>
              <w:right w:val="single" w:sz="4" w:space="0" w:color="FFFFFF"/>
            </w:tcBorders>
            <w:shd w:val="clear" w:color="4472C4" w:fill="4472C4"/>
            <w:noWrap/>
            <w:vAlign w:val="center"/>
            <w:hideMark/>
          </w:tcPr>
          <w:p w14:paraId="4F284457" w14:textId="77777777" w:rsidR="00693BD9" w:rsidRPr="00D80CD5" w:rsidRDefault="00693BD9" w:rsidP="00D80CD5">
            <w:pPr>
              <w:autoSpaceDE w:val="0"/>
              <w:autoSpaceDN w:val="0"/>
              <w:adjustRightInd w:val="0"/>
              <w:spacing w:after="0" w:line="240" w:lineRule="auto"/>
              <w:jc w:val="center"/>
              <w:rPr>
                <w:rFonts w:ascii="Helvetica" w:eastAsia="Times New Roman" w:hAnsi="Helvetica" w:cs="Helvetica"/>
                <w:b/>
                <w:bCs/>
                <w:sz w:val="18"/>
                <w:szCs w:val="24"/>
                <w:lang w:val="es-ES"/>
              </w:rPr>
            </w:pPr>
            <w:r w:rsidRPr="00D80CD5">
              <w:rPr>
                <w:rFonts w:ascii="Helvetica" w:eastAsia="Times New Roman" w:hAnsi="Helvetica" w:cs="Helvetica"/>
                <w:b/>
                <w:bCs/>
                <w:sz w:val="18"/>
                <w:szCs w:val="24"/>
                <w:lang w:val="es-ES"/>
              </w:rPr>
              <w:t>Vigente (Q.)</w:t>
            </w:r>
          </w:p>
        </w:tc>
        <w:tc>
          <w:tcPr>
            <w:tcW w:w="1782" w:type="dxa"/>
            <w:tcBorders>
              <w:top w:val="nil"/>
              <w:left w:val="single" w:sz="4" w:space="0" w:color="FFFFFF"/>
              <w:bottom w:val="single" w:sz="12" w:space="0" w:color="FFFFFF"/>
              <w:right w:val="single" w:sz="4" w:space="0" w:color="FFFFFF"/>
            </w:tcBorders>
            <w:shd w:val="clear" w:color="4472C4" w:fill="4472C4"/>
            <w:noWrap/>
            <w:vAlign w:val="center"/>
            <w:hideMark/>
          </w:tcPr>
          <w:p w14:paraId="56D2ACCC" w14:textId="77777777" w:rsidR="00693BD9" w:rsidRPr="00D80CD5" w:rsidRDefault="00693BD9" w:rsidP="00D80CD5">
            <w:pPr>
              <w:autoSpaceDE w:val="0"/>
              <w:autoSpaceDN w:val="0"/>
              <w:adjustRightInd w:val="0"/>
              <w:spacing w:after="0" w:line="240" w:lineRule="auto"/>
              <w:jc w:val="center"/>
              <w:rPr>
                <w:rFonts w:ascii="Helvetica" w:eastAsia="Times New Roman" w:hAnsi="Helvetica" w:cs="Helvetica"/>
                <w:b/>
                <w:bCs/>
                <w:sz w:val="18"/>
                <w:szCs w:val="24"/>
                <w:lang w:val="es-ES"/>
              </w:rPr>
            </w:pPr>
            <w:r w:rsidRPr="00D80CD5">
              <w:rPr>
                <w:rFonts w:ascii="Helvetica" w:eastAsia="Times New Roman" w:hAnsi="Helvetica" w:cs="Helvetica"/>
                <w:b/>
                <w:bCs/>
                <w:sz w:val="18"/>
                <w:szCs w:val="24"/>
                <w:lang w:val="es-ES"/>
              </w:rPr>
              <w:t>Devengado (Q.)</w:t>
            </w:r>
          </w:p>
        </w:tc>
        <w:tc>
          <w:tcPr>
            <w:tcW w:w="901" w:type="dxa"/>
            <w:tcBorders>
              <w:top w:val="nil"/>
              <w:left w:val="single" w:sz="4" w:space="0" w:color="FFFFFF"/>
              <w:bottom w:val="single" w:sz="12" w:space="0" w:color="FFFFFF"/>
              <w:right w:val="nil"/>
            </w:tcBorders>
            <w:shd w:val="clear" w:color="4472C4" w:fill="4472C4"/>
            <w:vAlign w:val="center"/>
            <w:hideMark/>
          </w:tcPr>
          <w:p w14:paraId="6B3BFD3A" w14:textId="77777777" w:rsidR="00693BD9" w:rsidRPr="00D80CD5" w:rsidRDefault="00693BD9" w:rsidP="00D80CD5">
            <w:pPr>
              <w:autoSpaceDE w:val="0"/>
              <w:autoSpaceDN w:val="0"/>
              <w:adjustRightInd w:val="0"/>
              <w:spacing w:after="0" w:line="240" w:lineRule="auto"/>
              <w:jc w:val="center"/>
              <w:rPr>
                <w:rFonts w:ascii="Helvetica" w:eastAsia="Times New Roman" w:hAnsi="Helvetica" w:cs="Helvetica"/>
                <w:b/>
                <w:bCs/>
                <w:sz w:val="18"/>
                <w:szCs w:val="24"/>
                <w:lang w:val="es-ES"/>
              </w:rPr>
            </w:pPr>
            <w:r w:rsidRPr="00D80CD5">
              <w:rPr>
                <w:rFonts w:ascii="Helvetica" w:eastAsia="Times New Roman" w:hAnsi="Helvetica" w:cs="Helvetica"/>
                <w:b/>
                <w:bCs/>
                <w:sz w:val="18"/>
                <w:szCs w:val="24"/>
                <w:lang w:val="es-ES"/>
              </w:rPr>
              <w:t>% de ejecución</w:t>
            </w:r>
          </w:p>
        </w:tc>
      </w:tr>
      <w:tr w:rsidR="00693BD9" w:rsidRPr="00A318DA" w14:paraId="471EFE74"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65868AC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GUATEMALA</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758654B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Q666,857,433.66</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D6E118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Q462,981,593.76</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42A368D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Q1,129,839,027.42</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11FA098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Q597,834,729.07</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404C387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52.91%</w:t>
            </w:r>
          </w:p>
        </w:tc>
      </w:tr>
      <w:tr w:rsidR="00693BD9" w:rsidRPr="00A318DA" w14:paraId="759FA1B9"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0B147E1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QUETZALTENANGO</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C35D29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Q322,664,985.25</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7DC67A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Q77,608,327.17</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4D8092F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Q400,273,312.42</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5892AA6D"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Q226,162,311.42</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0DA1073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56.50%</w:t>
            </w:r>
          </w:p>
        </w:tc>
      </w:tr>
      <w:tr w:rsidR="00693BD9" w:rsidRPr="00A318DA" w14:paraId="6BC8D3EC"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080C2BF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HUEHUETENANGO</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56009DC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Q219,058,671.90</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70B24B8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Q36,586,197.89</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0307C77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Q255,644,869.79</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5C7C093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Q163,706,883.91</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1D79FC1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64.04%</w:t>
            </w:r>
          </w:p>
        </w:tc>
      </w:tr>
      <w:tr w:rsidR="00693BD9" w:rsidRPr="00A318DA" w14:paraId="590A19CC"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1276EF3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SACATEPÉQUEZ</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77C3A27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Q213,891,647.39</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73B88E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-Q4,573,722.97</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31FF6361"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Q209,317,924.42</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D943DD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Q153,804,699.00</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2B14D3B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73.48%</w:t>
            </w:r>
          </w:p>
        </w:tc>
      </w:tr>
      <w:tr w:rsidR="00693BD9" w:rsidRPr="00A318DA" w14:paraId="28C4103B"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738C818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ESCUINTLA</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7052BAE9"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Q158,037,210.99</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0D981F1"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Q30,362,726.63</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235AD9C9"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Q188,399,937.62</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6F61C8B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Q146,059,568.05</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155CEB8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77.53%</w:t>
            </w:r>
          </w:p>
        </w:tc>
      </w:tr>
      <w:tr w:rsidR="00693BD9" w:rsidRPr="00A318DA" w14:paraId="7D600937"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04AF62C8" w14:textId="5A2ED325"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QUICH</w:t>
            </w:r>
            <w:r w:rsidR="00DB5C36">
              <w:rPr>
                <w:rFonts w:ascii="Helvetica" w:eastAsia="Times New Roman" w:hAnsi="Helvetica" w:cs="Helvetica"/>
                <w:sz w:val="18"/>
                <w:szCs w:val="24"/>
                <w:lang w:val="es-ES"/>
              </w:rPr>
              <w:t>É</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576D40B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Q135,095,242.87</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1559615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Q7,167,204.40</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0F7EF7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Q142,262,447.27</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62A99BAA"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Q75,076,856.95</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1FC5ABE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52.77%</w:t>
            </w:r>
          </w:p>
        </w:tc>
      </w:tr>
      <w:tr w:rsidR="00693BD9" w:rsidRPr="00A318DA" w14:paraId="4E1DB07C"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684E7671"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SAN MARCOS</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2522C9C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Q85,930,499.32</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42A4CE3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Q39,812,241.37</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4788AAF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Q125,742,740.69</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61129C8A"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Q55,208,925.78</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220C54C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43.91%</w:t>
            </w:r>
          </w:p>
        </w:tc>
      </w:tr>
      <w:tr w:rsidR="00693BD9" w:rsidRPr="00A318DA" w14:paraId="0D277FA0"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64085C7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SOLOLÁ</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FD1004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Q119,902,131.36</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0004679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-Q6,169,125.70</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4407678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Q113,733,005.66</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6B1C2F3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Q87,915,904.08</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334C320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77.30%</w:t>
            </w:r>
          </w:p>
        </w:tc>
      </w:tr>
      <w:tr w:rsidR="00693BD9" w:rsidRPr="00A318DA" w14:paraId="33FABC03"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3F57CB2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PETÉN</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26189F0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Q46,458,104.63</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199AD5C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Q64,067,166.22</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6407BFCE"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Q110,525,270.85</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1856287E"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Q80,829,590.70</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3C5C176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73.13%</w:t>
            </w:r>
          </w:p>
        </w:tc>
      </w:tr>
      <w:tr w:rsidR="00693BD9" w:rsidRPr="00A318DA" w14:paraId="1B9C0551"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350B80A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EL PROGRESO</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15535E0A"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Q90,507,409.81</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3A4B512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Q4,037,535.61</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7675A68D"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Q94,544,945.42</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1A83577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Q69,360,982.95</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3BBEA3B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73.36%</w:t>
            </w:r>
          </w:p>
        </w:tc>
      </w:tr>
      <w:tr w:rsidR="00693BD9" w:rsidRPr="00A318DA" w14:paraId="1080C291"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4B84B9B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ALTA VERAPAZ</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DD63BD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Q102,373,512.08</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5EC15E39"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-Q20,615,202.84</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B488B5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Q81,758,309.24</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69178D1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Q46,189,457.76</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478D3D9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56.50%</w:t>
            </w:r>
          </w:p>
        </w:tc>
      </w:tr>
      <w:tr w:rsidR="00693BD9" w:rsidRPr="00A318DA" w14:paraId="0F3BD554"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36B5000E"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SANTA ROSA</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58CFE89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Q74,376,420.52</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3B1A919E"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Q5,529,454.25</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05512D0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Q79,905,874.77</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1639E64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Q54,477,333.18</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4642E44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68.18%</w:t>
            </w:r>
          </w:p>
        </w:tc>
      </w:tr>
      <w:tr w:rsidR="00693BD9" w:rsidRPr="00A318DA" w14:paraId="0B7E3E45"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0573BC1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SUCHITEPÉQUEZ</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4403067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Q75,490,474.84</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431BA36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-Q11,999,219.37</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165770C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Q63,491,255.47</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38EEA3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Q52,992,954.53</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0CBB60D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83.46%</w:t>
            </w:r>
          </w:p>
        </w:tc>
      </w:tr>
      <w:tr w:rsidR="00693BD9" w:rsidRPr="00A318DA" w14:paraId="162DE6BC"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052798B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JUTIAPA</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5B1A481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Q68,180,052.07</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1A4BBF1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-Q6,268,621.12</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66EECC6A"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Q61,911,430.95</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7224F06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Q45,059,295.26</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0E27567E"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72.78%</w:t>
            </w:r>
          </w:p>
        </w:tc>
      </w:tr>
      <w:tr w:rsidR="00693BD9" w:rsidRPr="00A318DA" w14:paraId="75BC093B"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79F96E4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CHIMALTENANGO</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710935B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Q44,773,761.10</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095DD0A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Q1,672,832.61</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6F1A21D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Q46,446,593.71</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5890C4B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Q29,680,092.88</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44D68BB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63.90%</w:t>
            </w:r>
          </w:p>
        </w:tc>
      </w:tr>
      <w:tr w:rsidR="00693BD9" w:rsidRPr="00A318DA" w14:paraId="4242089D"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49BB1D6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CHIQUIMULA</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A6329A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Q38,893,928.00</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394262A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Q6,911,231.26</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42CEAEB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Q45,805,159.26</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0E10FEA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Q33,826,678.84</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3D06A05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73.85%</w:t>
            </w:r>
          </w:p>
        </w:tc>
      </w:tr>
      <w:tr w:rsidR="00693BD9" w:rsidRPr="00A318DA" w14:paraId="6BE5EE30"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7A515529"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TOTONICAPÁN</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1D3CF5D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Q35,554,541.44</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46AFFAF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Q4,078,582.98</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683BC8F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Q39,633,124.42</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5899B9DE"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Q19,934,082.10</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1C7C697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50.30%</w:t>
            </w:r>
          </w:p>
        </w:tc>
      </w:tr>
      <w:tr w:rsidR="00693BD9" w:rsidRPr="00A318DA" w14:paraId="652E6E2F"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6EEF94F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RETALHULEU</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78335099"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Q21,725,081.17</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63A801AE"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Q5,202,242.08</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3F55530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Q26,927,323.25</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475F96E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Q20,551,024.72</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392BECF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76.32%</w:t>
            </w:r>
          </w:p>
        </w:tc>
      </w:tr>
      <w:tr w:rsidR="00693BD9" w:rsidRPr="00A318DA" w14:paraId="6EB2BA0E"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4145F29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IZABAL</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3786BD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Q13,449,564.99</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2DCCE60D"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-Q2,257,511.46</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28A2523F"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Q11,192,053.53</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763A065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Q9,222,833.29</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2B120E1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82.41%</w:t>
            </w:r>
          </w:p>
        </w:tc>
      </w:tr>
      <w:tr w:rsidR="00693BD9" w:rsidRPr="00A318DA" w14:paraId="03CEC01F"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59988C0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ZACAPA</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4C415DA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Q9,031,697.01</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02B1EF50"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-Q1,402,313.77</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7F36934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Q7,629,383.24</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6BBCBBA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Q5,005,734.03</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4277AA5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65.61%</w:t>
            </w:r>
          </w:p>
        </w:tc>
      </w:tr>
      <w:tr w:rsidR="00693BD9" w:rsidRPr="00A318DA" w14:paraId="4BBE6662"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B4C6E7" w:fill="B4C6E7"/>
            <w:noWrap/>
            <w:vAlign w:val="center"/>
            <w:hideMark/>
          </w:tcPr>
          <w:p w14:paraId="2DAD2A0C"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JALAPA</w:t>
            </w:r>
          </w:p>
        </w:tc>
        <w:tc>
          <w:tcPr>
            <w:tcW w:w="1777"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6732DE7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Q5,497,490.00</w:t>
            </w:r>
          </w:p>
        </w:tc>
        <w:tc>
          <w:tcPr>
            <w:tcW w:w="163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258D0F03"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-Q1,405,783.92</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2F85BE22"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Q4,091,706.08</w:t>
            </w:r>
          </w:p>
        </w:tc>
        <w:tc>
          <w:tcPr>
            <w:tcW w:w="1782"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8DBE23D"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Q3,239,695.10</w:t>
            </w:r>
          </w:p>
        </w:tc>
        <w:tc>
          <w:tcPr>
            <w:tcW w:w="901" w:type="dxa"/>
            <w:tcBorders>
              <w:top w:val="single" w:sz="4" w:space="0" w:color="FFFFFF"/>
              <w:left w:val="single" w:sz="4" w:space="0" w:color="FFFFFF"/>
              <w:bottom w:val="single" w:sz="4" w:space="0" w:color="FFFFFF"/>
              <w:right w:val="nil"/>
            </w:tcBorders>
            <w:shd w:val="clear" w:color="B4C6E7" w:fill="B4C6E7"/>
            <w:noWrap/>
            <w:vAlign w:val="bottom"/>
            <w:hideMark/>
          </w:tcPr>
          <w:p w14:paraId="6683075D"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79.18%</w:t>
            </w:r>
          </w:p>
        </w:tc>
      </w:tr>
      <w:tr w:rsidR="00693BD9" w:rsidRPr="00A318DA" w14:paraId="3A2D9575" w14:textId="77777777" w:rsidTr="00D80CD5">
        <w:trPr>
          <w:trHeight w:val="300"/>
        </w:trPr>
        <w:tc>
          <w:tcPr>
            <w:tcW w:w="2179" w:type="dxa"/>
            <w:tcBorders>
              <w:top w:val="single" w:sz="4" w:space="0" w:color="FFFFFF"/>
              <w:left w:val="nil"/>
              <w:bottom w:val="single" w:sz="4" w:space="0" w:color="FFFFFF"/>
              <w:right w:val="single" w:sz="4" w:space="0" w:color="FFFFFF"/>
            </w:tcBorders>
            <w:shd w:val="clear" w:color="D9E1F2" w:fill="D9E1F2"/>
            <w:noWrap/>
            <w:vAlign w:val="center"/>
            <w:hideMark/>
          </w:tcPr>
          <w:p w14:paraId="626A9125"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BAJA VERAPAZ</w:t>
            </w:r>
          </w:p>
        </w:tc>
        <w:tc>
          <w:tcPr>
            <w:tcW w:w="1777"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D4F2696"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Q3,351,786.64</w:t>
            </w:r>
          </w:p>
        </w:tc>
        <w:tc>
          <w:tcPr>
            <w:tcW w:w="163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508822C8"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-Q366,409.45</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11AB27C7"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Q2,985,377.19</w:t>
            </w:r>
          </w:p>
        </w:tc>
        <w:tc>
          <w:tcPr>
            <w:tcW w:w="1782"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6E21BDF4"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Q2,232,505.52</w:t>
            </w:r>
          </w:p>
        </w:tc>
        <w:tc>
          <w:tcPr>
            <w:tcW w:w="901" w:type="dxa"/>
            <w:tcBorders>
              <w:top w:val="single" w:sz="4" w:space="0" w:color="FFFFFF"/>
              <w:left w:val="single" w:sz="4" w:space="0" w:color="FFFFFF"/>
              <w:bottom w:val="single" w:sz="4" w:space="0" w:color="FFFFFF"/>
              <w:right w:val="nil"/>
            </w:tcBorders>
            <w:shd w:val="clear" w:color="D9E1F2" w:fill="D9E1F2"/>
            <w:noWrap/>
            <w:vAlign w:val="bottom"/>
            <w:hideMark/>
          </w:tcPr>
          <w:p w14:paraId="1F81307B" w14:textId="77777777" w:rsidR="00693BD9" w:rsidRPr="00A318DA" w:rsidRDefault="00693BD9" w:rsidP="00D219CB">
            <w:pPr>
              <w:autoSpaceDE w:val="0"/>
              <w:autoSpaceDN w:val="0"/>
              <w:adjustRightInd w:val="0"/>
              <w:spacing w:after="0" w:line="240" w:lineRule="auto"/>
              <w:jc w:val="both"/>
              <w:rPr>
                <w:rFonts w:ascii="Helvetica" w:eastAsia="Times New Roman" w:hAnsi="Helvetica" w:cs="Helvetica"/>
                <w:sz w:val="18"/>
                <w:szCs w:val="24"/>
                <w:lang w:val="es-ES"/>
              </w:rPr>
            </w:pPr>
            <w:r w:rsidRPr="00A318DA">
              <w:rPr>
                <w:rFonts w:ascii="Helvetica" w:eastAsia="Times New Roman" w:hAnsi="Helvetica" w:cs="Helvetica"/>
                <w:sz w:val="18"/>
                <w:szCs w:val="24"/>
                <w:lang w:val="es-ES"/>
              </w:rPr>
              <w:t>74.78%</w:t>
            </w:r>
          </w:p>
        </w:tc>
      </w:tr>
      <w:tr w:rsidR="00693BD9" w:rsidRPr="00A318DA" w14:paraId="33CA08D7" w14:textId="77777777" w:rsidTr="00127791">
        <w:trPr>
          <w:trHeight w:val="300"/>
        </w:trPr>
        <w:tc>
          <w:tcPr>
            <w:tcW w:w="2179" w:type="dxa"/>
            <w:tcBorders>
              <w:top w:val="single" w:sz="4" w:space="0" w:color="FFFFFF"/>
              <w:left w:val="nil"/>
              <w:bottom w:val="nil"/>
              <w:right w:val="single" w:sz="4" w:space="0" w:color="FFFFFF"/>
            </w:tcBorders>
            <w:shd w:val="clear" w:color="B4C6E7" w:fill="B4C6E7"/>
            <w:noWrap/>
            <w:vAlign w:val="center"/>
            <w:hideMark/>
          </w:tcPr>
          <w:p w14:paraId="01CB7AE1" w14:textId="77777777" w:rsidR="00693BD9" w:rsidRPr="00127791" w:rsidRDefault="00693BD9" w:rsidP="00D219CB">
            <w:pPr>
              <w:autoSpaceDE w:val="0"/>
              <w:autoSpaceDN w:val="0"/>
              <w:adjustRightInd w:val="0"/>
              <w:spacing w:after="0" w:line="240" w:lineRule="auto"/>
              <w:jc w:val="both"/>
              <w:rPr>
                <w:rFonts w:ascii="Helvetica" w:eastAsia="Times New Roman" w:hAnsi="Helvetica" w:cs="Helvetica"/>
                <w:b/>
                <w:sz w:val="18"/>
                <w:szCs w:val="24"/>
                <w:lang w:val="es-ES"/>
              </w:rPr>
            </w:pPr>
            <w:r w:rsidRPr="00127791">
              <w:rPr>
                <w:rFonts w:ascii="Helvetica" w:eastAsia="Times New Roman" w:hAnsi="Helvetica" w:cs="Helvetica"/>
                <w:b/>
                <w:sz w:val="18"/>
                <w:szCs w:val="24"/>
                <w:lang w:val="es-ES"/>
              </w:rPr>
              <w:t>TOTAL</w:t>
            </w:r>
          </w:p>
        </w:tc>
        <w:tc>
          <w:tcPr>
            <w:tcW w:w="1777" w:type="dxa"/>
            <w:tcBorders>
              <w:top w:val="single" w:sz="4" w:space="0" w:color="FFFFFF"/>
              <w:left w:val="single" w:sz="4" w:space="0" w:color="FFFFFF"/>
              <w:bottom w:val="nil"/>
              <w:right w:val="single" w:sz="4" w:space="0" w:color="FFFFFF"/>
            </w:tcBorders>
            <w:shd w:val="clear" w:color="B4C6E7" w:fill="B4C6E7"/>
            <w:noWrap/>
            <w:vAlign w:val="center"/>
            <w:hideMark/>
          </w:tcPr>
          <w:p w14:paraId="7635C740" w14:textId="77777777" w:rsidR="00693BD9" w:rsidRPr="00127791" w:rsidRDefault="00693BD9" w:rsidP="00127791">
            <w:pPr>
              <w:autoSpaceDE w:val="0"/>
              <w:autoSpaceDN w:val="0"/>
              <w:adjustRightInd w:val="0"/>
              <w:spacing w:after="0" w:line="240" w:lineRule="auto"/>
              <w:jc w:val="center"/>
              <w:rPr>
                <w:rFonts w:ascii="Helvetica" w:eastAsia="Times New Roman" w:hAnsi="Helvetica" w:cs="Helvetica"/>
                <w:b/>
                <w:sz w:val="18"/>
                <w:szCs w:val="24"/>
                <w:lang w:val="es-ES"/>
              </w:rPr>
            </w:pPr>
            <w:r w:rsidRPr="00127791">
              <w:rPr>
                <w:rFonts w:ascii="Helvetica" w:eastAsia="Times New Roman" w:hAnsi="Helvetica" w:cs="Helvetica"/>
                <w:b/>
                <w:sz w:val="18"/>
                <w:szCs w:val="24"/>
                <w:lang w:val="es-ES"/>
              </w:rPr>
              <w:t>Q2,551,101,647.04</w:t>
            </w:r>
          </w:p>
        </w:tc>
        <w:tc>
          <w:tcPr>
            <w:tcW w:w="1632" w:type="dxa"/>
            <w:tcBorders>
              <w:top w:val="single" w:sz="4" w:space="0" w:color="FFFFFF"/>
              <w:left w:val="single" w:sz="4" w:space="0" w:color="FFFFFF"/>
              <w:bottom w:val="nil"/>
              <w:right w:val="single" w:sz="4" w:space="0" w:color="FFFFFF"/>
            </w:tcBorders>
            <w:shd w:val="clear" w:color="B4C6E7" w:fill="B4C6E7"/>
            <w:noWrap/>
            <w:vAlign w:val="center"/>
            <w:hideMark/>
          </w:tcPr>
          <w:p w14:paraId="0829E754" w14:textId="77777777" w:rsidR="00693BD9" w:rsidRPr="00127791" w:rsidRDefault="00693BD9" w:rsidP="00127791">
            <w:pPr>
              <w:autoSpaceDE w:val="0"/>
              <w:autoSpaceDN w:val="0"/>
              <w:adjustRightInd w:val="0"/>
              <w:spacing w:after="0" w:line="240" w:lineRule="auto"/>
              <w:jc w:val="center"/>
              <w:rPr>
                <w:rFonts w:ascii="Helvetica" w:eastAsia="Times New Roman" w:hAnsi="Helvetica" w:cs="Helvetica"/>
                <w:b/>
                <w:sz w:val="18"/>
                <w:szCs w:val="24"/>
                <w:lang w:val="es-ES"/>
              </w:rPr>
            </w:pPr>
            <w:r w:rsidRPr="00127791">
              <w:rPr>
                <w:rFonts w:ascii="Helvetica" w:eastAsia="Times New Roman" w:hAnsi="Helvetica" w:cs="Helvetica"/>
                <w:b/>
                <w:sz w:val="18"/>
                <w:szCs w:val="24"/>
                <w:lang w:val="es-ES"/>
              </w:rPr>
              <w:t>Q690,959,425.63</w:t>
            </w:r>
          </w:p>
        </w:tc>
        <w:tc>
          <w:tcPr>
            <w:tcW w:w="1782" w:type="dxa"/>
            <w:tcBorders>
              <w:top w:val="single" w:sz="4" w:space="0" w:color="FFFFFF"/>
              <w:left w:val="single" w:sz="4" w:space="0" w:color="FFFFFF"/>
              <w:bottom w:val="nil"/>
              <w:right w:val="single" w:sz="4" w:space="0" w:color="FFFFFF"/>
            </w:tcBorders>
            <w:shd w:val="clear" w:color="B4C6E7" w:fill="B4C6E7"/>
            <w:noWrap/>
            <w:vAlign w:val="center"/>
            <w:hideMark/>
          </w:tcPr>
          <w:p w14:paraId="4A9C3C7C" w14:textId="77777777" w:rsidR="00693BD9" w:rsidRPr="00127791" w:rsidRDefault="00693BD9" w:rsidP="00127791">
            <w:pPr>
              <w:autoSpaceDE w:val="0"/>
              <w:autoSpaceDN w:val="0"/>
              <w:adjustRightInd w:val="0"/>
              <w:spacing w:after="0" w:line="240" w:lineRule="auto"/>
              <w:jc w:val="center"/>
              <w:rPr>
                <w:rFonts w:ascii="Helvetica" w:eastAsia="Times New Roman" w:hAnsi="Helvetica" w:cs="Helvetica"/>
                <w:b/>
                <w:sz w:val="18"/>
                <w:szCs w:val="24"/>
                <w:lang w:val="es-ES"/>
              </w:rPr>
            </w:pPr>
            <w:r w:rsidRPr="00127791">
              <w:rPr>
                <w:rFonts w:ascii="Helvetica" w:eastAsia="Times New Roman" w:hAnsi="Helvetica" w:cs="Helvetica"/>
                <w:b/>
                <w:sz w:val="18"/>
                <w:szCs w:val="24"/>
                <w:lang w:val="es-ES"/>
              </w:rPr>
              <w:t>Q3,242,061,072.67</w:t>
            </w:r>
          </w:p>
        </w:tc>
        <w:tc>
          <w:tcPr>
            <w:tcW w:w="1782" w:type="dxa"/>
            <w:tcBorders>
              <w:top w:val="single" w:sz="4" w:space="0" w:color="FFFFFF"/>
              <w:left w:val="single" w:sz="4" w:space="0" w:color="FFFFFF"/>
              <w:bottom w:val="nil"/>
              <w:right w:val="single" w:sz="4" w:space="0" w:color="FFFFFF"/>
            </w:tcBorders>
            <w:shd w:val="clear" w:color="B4C6E7" w:fill="B4C6E7"/>
            <w:noWrap/>
            <w:vAlign w:val="center"/>
            <w:hideMark/>
          </w:tcPr>
          <w:p w14:paraId="66C93903" w14:textId="77777777" w:rsidR="00693BD9" w:rsidRPr="00127791" w:rsidRDefault="00693BD9" w:rsidP="00127791">
            <w:pPr>
              <w:autoSpaceDE w:val="0"/>
              <w:autoSpaceDN w:val="0"/>
              <w:adjustRightInd w:val="0"/>
              <w:spacing w:after="0" w:line="240" w:lineRule="auto"/>
              <w:jc w:val="center"/>
              <w:rPr>
                <w:rFonts w:ascii="Helvetica" w:eastAsia="Times New Roman" w:hAnsi="Helvetica" w:cs="Helvetica"/>
                <w:b/>
                <w:sz w:val="18"/>
                <w:szCs w:val="24"/>
                <w:lang w:val="es-ES"/>
              </w:rPr>
            </w:pPr>
            <w:r w:rsidRPr="00127791">
              <w:rPr>
                <w:rFonts w:ascii="Helvetica" w:eastAsia="Times New Roman" w:hAnsi="Helvetica" w:cs="Helvetica"/>
                <w:b/>
                <w:sz w:val="18"/>
                <w:szCs w:val="24"/>
                <w:lang w:val="es-ES"/>
              </w:rPr>
              <w:t>Q1,978,372,139.12</w:t>
            </w:r>
          </w:p>
        </w:tc>
        <w:tc>
          <w:tcPr>
            <w:tcW w:w="901" w:type="dxa"/>
            <w:tcBorders>
              <w:top w:val="single" w:sz="4" w:space="0" w:color="FFFFFF"/>
              <w:left w:val="single" w:sz="4" w:space="0" w:color="FFFFFF"/>
              <w:bottom w:val="nil"/>
              <w:right w:val="nil"/>
            </w:tcBorders>
            <w:shd w:val="clear" w:color="B4C6E7" w:fill="B4C6E7"/>
            <w:noWrap/>
            <w:vAlign w:val="center"/>
            <w:hideMark/>
          </w:tcPr>
          <w:p w14:paraId="509D0B5F" w14:textId="77777777" w:rsidR="00693BD9" w:rsidRPr="00127791" w:rsidRDefault="00693BD9" w:rsidP="00127791">
            <w:pPr>
              <w:autoSpaceDE w:val="0"/>
              <w:autoSpaceDN w:val="0"/>
              <w:adjustRightInd w:val="0"/>
              <w:spacing w:after="0" w:line="240" w:lineRule="auto"/>
              <w:jc w:val="center"/>
              <w:rPr>
                <w:rFonts w:ascii="Helvetica" w:eastAsia="Times New Roman" w:hAnsi="Helvetica" w:cs="Helvetica"/>
                <w:b/>
                <w:sz w:val="18"/>
                <w:szCs w:val="24"/>
                <w:lang w:val="es-ES"/>
              </w:rPr>
            </w:pPr>
            <w:r w:rsidRPr="00127791">
              <w:rPr>
                <w:rFonts w:ascii="Helvetica" w:eastAsia="Times New Roman" w:hAnsi="Helvetica" w:cs="Helvetica"/>
                <w:b/>
                <w:sz w:val="18"/>
                <w:szCs w:val="24"/>
                <w:lang w:val="es-ES"/>
              </w:rPr>
              <w:t>61.02%</w:t>
            </w:r>
          </w:p>
        </w:tc>
      </w:tr>
    </w:tbl>
    <w:p w14:paraId="68C1E4F6" w14:textId="77777777" w:rsidR="00693BD9" w:rsidRPr="00127791" w:rsidRDefault="00693BD9" w:rsidP="00693BD9">
      <w:pPr>
        <w:autoSpaceDE w:val="0"/>
        <w:autoSpaceDN w:val="0"/>
        <w:adjustRightInd w:val="0"/>
        <w:spacing w:after="0" w:line="240" w:lineRule="auto"/>
        <w:jc w:val="both"/>
        <w:rPr>
          <w:rFonts w:ascii="Helvetica" w:eastAsia="Times New Roman" w:hAnsi="Helvetica" w:cs="Helvetica"/>
          <w:sz w:val="18"/>
          <w:szCs w:val="20"/>
          <w:lang w:val="es-ES"/>
        </w:rPr>
      </w:pPr>
      <w:r w:rsidRPr="00127791">
        <w:rPr>
          <w:rFonts w:ascii="Helvetica" w:eastAsia="Times New Roman" w:hAnsi="Helvetica" w:cs="Helvetica"/>
          <w:sz w:val="18"/>
          <w:szCs w:val="20"/>
          <w:lang w:val="es-ES"/>
        </w:rPr>
        <w:t>Fuente: https://portalgl.minfin.gob.gt/index.php/reporte-de-gastos/</w:t>
      </w:r>
    </w:p>
    <w:p w14:paraId="2C3A74A1" w14:textId="77777777" w:rsidR="00693BD9" w:rsidRPr="00A318DA"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A318DA">
        <w:rPr>
          <w:rFonts w:ascii="Helvetica" w:eastAsia="Times New Roman" w:hAnsi="Helvetica" w:cs="Helvetica"/>
          <w:sz w:val="24"/>
          <w:szCs w:val="24"/>
          <w:lang w:val="es-ES"/>
        </w:rPr>
        <w:t xml:space="preserve">Respecto a los ingresos municipales por fuente de financiamiento, se observa que los ingresos propios son la mayor fuente de financiamiento, con el 46%. </w:t>
      </w:r>
    </w:p>
    <w:p w14:paraId="59990BD2" w14:textId="77777777" w:rsidR="00693BD9" w:rsidRPr="00A318DA"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F674E21" w14:textId="033E004E" w:rsidR="00693BD9" w:rsidRPr="00A318DA"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A318DA">
        <w:rPr>
          <w:rFonts w:ascii="Helvetica" w:eastAsia="Times New Roman" w:hAnsi="Helvetica" w:cs="Helvetica"/>
          <w:sz w:val="24"/>
          <w:szCs w:val="24"/>
          <w:lang w:val="es-ES"/>
        </w:rPr>
        <w:t>Según la fuente de financiamiento, los gobiernos locales reportan ingresos por un monto vigente al año 2020 de Q 19,760 Millones. De los cuales, se puede observar que los ingresos propios representan la principal fuente de financiamiento con Q 9,084 Millones (46%), le siguen los ingresos tributarios IVA Paz con Q 4,044 Millones (21%) y los ingresos ordinarios de aporte constitucional con Q 3,405 Millones (17%). Lo anterior, permite concluir que las municipalidades han implementado mecanismos que les permite percibir más de un tercio de su presupuesto total, por medio de ingresos municipales.</w:t>
      </w:r>
      <w:r w:rsidR="002A0798">
        <w:rPr>
          <w:rFonts w:ascii="Helvetica" w:eastAsia="Times New Roman" w:hAnsi="Helvetica" w:cs="Helvetica"/>
          <w:sz w:val="24"/>
          <w:szCs w:val="24"/>
          <w:lang w:val="es-ES"/>
        </w:rPr>
        <w:t xml:space="preserve"> Ver gráfica 1.</w:t>
      </w:r>
    </w:p>
    <w:p w14:paraId="261CFDFA" w14:textId="48D3FB86" w:rsidR="0018772F" w:rsidRDefault="0018772F" w:rsidP="0018772F">
      <w:pPr>
        <w:pStyle w:val="Epgrafe"/>
        <w:spacing w:after="0" w:line="240" w:lineRule="auto"/>
        <w:jc w:val="center"/>
        <w:rPr>
          <w:rFonts w:ascii="Helvetica" w:eastAsia="Times New Roman" w:hAnsi="Helvetica" w:cs="Helvetica"/>
          <w:caps w:val="0"/>
          <w:spacing w:val="0"/>
          <w:sz w:val="24"/>
          <w:szCs w:val="24"/>
          <w:lang w:val="es-ES" w:eastAsia="en-US"/>
        </w:rPr>
      </w:pPr>
    </w:p>
    <w:p w14:paraId="58D02AE1" w14:textId="71EDACF6" w:rsidR="00693BD9" w:rsidRPr="00016865" w:rsidRDefault="0018772F" w:rsidP="00016865">
      <w:pPr>
        <w:pStyle w:val="ttulosgrficas"/>
        <w:rPr>
          <w:b w:val="0"/>
          <w:color w:val="4472C4" w:themeColor="accent1"/>
          <w:lang w:val="es-ES"/>
        </w:rPr>
      </w:pPr>
      <w:bookmarkStart w:id="12" w:name="_Toc67376500"/>
      <w:bookmarkStart w:id="13" w:name="_Toc67376518"/>
      <w:bookmarkStart w:id="14" w:name="_Toc67376558"/>
      <w:bookmarkStart w:id="15" w:name="_Toc67377808"/>
      <w:bookmarkStart w:id="16" w:name="_Toc67381551"/>
      <w:bookmarkStart w:id="17" w:name="_Toc67589101"/>
      <w:r w:rsidRPr="00016865">
        <w:rPr>
          <w:rFonts w:eastAsia="Times New Roman"/>
          <w:color w:val="4472C4" w:themeColor="accent1"/>
          <w:lang w:val="es-ES"/>
        </w:rPr>
        <w:t xml:space="preserve">Gráfica </w:t>
      </w:r>
      <w:r w:rsidRPr="00016865">
        <w:rPr>
          <w:rFonts w:eastAsia="Times New Roman"/>
          <w:color w:val="4472C4" w:themeColor="accent1"/>
          <w:lang w:val="es-ES"/>
        </w:rPr>
        <w:fldChar w:fldCharType="begin"/>
      </w:r>
      <w:r w:rsidRPr="00016865">
        <w:rPr>
          <w:rFonts w:eastAsia="Times New Roman"/>
          <w:color w:val="4472C4" w:themeColor="accent1"/>
          <w:lang w:val="es-ES"/>
        </w:rPr>
        <w:instrText xml:space="preserve"> SEQ Gráfica \* ARABIC </w:instrText>
      </w:r>
      <w:r w:rsidRPr="00016865">
        <w:rPr>
          <w:rFonts w:eastAsia="Times New Roman"/>
          <w:color w:val="4472C4" w:themeColor="accent1"/>
          <w:lang w:val="es-ES"/>
        </w:rPr>
        <w:fldChar w:fldCharType="separate"/>
      </w:r>
      <w:r w:rsidR="00AA2593" w:rsidRPr="00016865">
        <w:rPr>
          <w:rFonts w:eastAsia="Times New Roman"/>
          <w:color w:val="4472C4" w:themeColor="accent1"/>
          <w:lang w:val="es-ES"/>
        </w:rPr>
        <w:t>1</w:t>
      </w:r>
      <w:bookmarkEnd w:id="12"/>
      <w:bookmarkEnd w:id="13"/>
      <w:bookmarkEnd w:id="14"/>
      <w:bookmarkEnd w:id="15"/>
      <w:bookmarkEnd w:id="16"/>
      <w:r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693BD9" w:rsidRPr="00016865">
        <w:rPr>
          <w:rFonts w:eastAsia="Times New Roman"/>
          <w:color w:val="4472C4" w:themeColor="accent1"/>
          <w:lang w:val="es-ES"/>
        </w:rPr>
        <w:t>Presupuesto de ingreso municipal, por fuente de financiamiento</w:t>
      </w:r>
      <w:bookmarkEnd w:id="17"/>
    </w:p>
    <w:p w14:paraId="7260982A" w14:textId="77777777" w:rsidR="000B241B" w:rsidRPr="00A318DA" w:rsidRDefault="000B241B" w:rsidP="000B241B">
      <w:pPr>
        <w:pStyle w:val="ttulosgrficas"/>
        <w:spacing w:line="120" w:lineRule="auto"/>
        <w:rPr>
          <w:lang w:val="es-ES"/>
        </w:rPr>
      </w:pPr>
    </w:p>
    <w:p w14:paraId="4509D84C" w14:textId="77777777" w:rsidR="00693BD9" w:rsidRPr="00A318DA" w:rsidRDefault="00693BD9" w:rsidP="000B241B">
      <w:pPr>
        <w:autoSpaceDE w:val="0"/>
        <w:autoSpaceDN w:val="0"/>
        <w:adjustRightInd w:val="0"/>
        <w:spacing w:after="0" w:line="240" w:lineRule="auto"/>
        <w:jc w:val="center"/>
        <w:rPr>
          <w:rFonts w:ascii="Helvetica" w:eastAsia="Times New Roman" w:hAnsi="Helvetica" w:cs="Helvetica"/>
          <w:sz w:val="24"/>
          <w:szCs w:val="24"/>
          <w:lang w:val="es-ES"/>
        </w:rPr>
      </w:pPr>
      <w:r w:rsidRPr="00A318DA">
        <w:rPr>
          <w:rFonts w:ascii="Calibri" w:eastAsia="Calibri" w:hAnsi="Calibri" w:cs="Times New Roman"/>
          <w:noProof/>
          <w:lang w:eastAsia="es-GT"/>
        </w:rPr>
        <w:drawing>
          <wp:inline distT="0" distB="0" distL="0" distR="0" wp14:anchorId="2E7FFF31" wp14:editId="3B5CAA0C">
            <wp:extent cx="5612130" cy="3698240"/>
            <wp:effectExtent l="0" t="0" r="7620" b="16510"/>
            <wp:docPr id="24" name="Gráfico 2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C95B38-0212-45AF-8107-7AE7E9BA9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A37C80D" w14:textId="25BBBE4B" w:rsidR="00BA17A3" w:rsidRPr="000B241B" w:rsidRDefault="00693BD9" w:rsidP="006A389A">
      <w:pPr>
        <w:ind w:firstLine="708"/>
        <w:jc w:val="both"/>
        <w:rPr>
          <w:rFonts w:ascii="Helvetica" w:hAnsi="Helvetica" w:cs="Helvetica"/>
          <w:sz w:val="18"/>
          <w:szCs w:val="18"/>
        </w:rPr>
      </w:pPr>
      <w:r w:rsidRPr="000B241B">
        <w:rPr>
          <w:rFonts w:ascii="Helvetica" w:eastAsia="Times New Roman" w:hAnsi="Helvetica" w:cs="Helvetica"/>
          <w:sz w:val="20"/>
          <w:szCs w:val="20"/>
          <w:lang w:val="es-ES"/>
        </w:rPr>
        <w:t>Fuente: https://portalgl.minfin.gob.gt/index.php/reporte-de-ingresos/</w:t>
      </w:r>
    </w:p>
    <w:p w14:paraId="62017EA9" w14:textId="6E64F34E" w:rsidR="00BA17A3" w:rsidRDefault="00BA17A3" w:rsidP="00F85BD4">
      <w:pPr>
        <w:jc w:val="both"/>
        <w:rPr>
          <w:rFonts w:ascii="Helvetica" w:hAnsi="Helvetica" w:cs="Helvetica"/>
        </w:rPr>
      </w:pPr>
    </w:p>
    <w:p w14:paraId="31D6F657" w14:textId="1EB53CF3" w:rsidR="00BA17A3" w:rsidRDefault="00BA17A3" w:rsidP="00F85BD4">
      <w:pPr>
        <w:jc w:val="both"/>
        <w:rPr>
          <w:rFonts w:ascii="Helvetica" w:hAnsi="Helvetica" w:cs="Helvetica"/>
        </w:rPr>
      </w:pPr>
    </w:p>
    <w:p w14:paraId="29F00BD9" w14:textId="790347F0" w:rsidR="00BA17A3" w:rsidRDefault="00BA17A3" w:rsidP="00F85BD4">
      <w:pPr>
        <w:jc w:val="both"/>
        <w:rPr>
          <w:rFonts w:ascii="Helvetica" w:hAnsi="Helvetica" w:cs="Helvetica"/>
        </w:rPr>
      </w:pPr>
    </w:p>
    <w:p w14:paraId="0DEBC6AA" w14:textId="293120A1" w:rsidR="00BA17A3" w:rsidRDefault="00BA17A3" w:rsidP="00F85BD4">
      <w:pPr>
        <w:jc w:val="both"/>
        <w:rPr>
          <w:rFonts w:ascii="Helvetica" w:hAnsi="Helvetica" w:cs="Helvetica"/>
        </w:rPr>
      </w:pPr>
    </w:p>
    <w:p w14:paraId="5CBD9528" w14:textId="7010031C" w:rsidR="00BA17A3" w:rsidRDefault="00BA17A3" w:rsidP="00F85BD4">
      <w:pPr>
        <w:jc w:val="both"/>
        <w:rPr>
          <w:rFonts w:ascii="Helvetica" w:hAnsi="Helvetica" w:cs="Helvetica"/>
        </w:rPr>
      </w:pPr>
    </w:p>
    <w:p w14:paraId="3154325F" w14:textId="15FF3AA3" w:rsidR="00BA17A3" w:rsidRDefault="00BA17A3" w:rsidP="00F85BD4">
      <w:pPr>
        <w:jc w:val="both"/>
        <w:rPr>
          <w:rFonts w:ascii="Helvetica" w:hAnsi="Helvetica" w:cs="Helvetica"/>
        </w:rPr>
      </w:pPr>
    </w:p>
    <w:p w14:paraId="261241F5" w14:textId="0AFF8C36" w:rsidR="00431FEA" w:rsidRPr="00431FEA" w:rsidRDefault="00BA17A3" w:rsidP="00F85BD4">
      <w:pPr>
        <w:pStyle w:val="Ttulo1"/>
        <w:numPr>
          <w:ilvl w:val="0"/>
          <w:numId w:val="0"/>
        </w:numPr>
        <w:rPr>
          <w:rFonts w:eastAsia="Calibri"/>
        </w:rPr>
      </w:pPr>
      <w:bookmarkStart w:id="18" w:name="_Toc67589088"/>
      <w:r>
        <w:rPr>
          <w:rFonts w:eastAsia="Calibri"/>
        </w:rPr>
        <w:t>b</w:t>
      </w:r>
      <w:r w:rsidR="00F85BD4">
        <w:rPr>
          <w:rFonts w:eastAsia="Calibri"/>
        </w:rPr>
        <w:t>.</w:t>
      </w:r>
      <w:r w:rsidR="00431FEA" w:rsidRPr="00431FEA">
        <w:rPr>
          <w:rFonts w:eastAsia="Calibri"/>
        </w:rPr>
        <w:t xml:space="preserve"> Eficiencia</w:t>
      </w:r>
      <w:bookmarkEnd w:id="18"/>
    </w:p>
    <w:p w14:paraId="2790A235" w14:textId="77777777" w:rsidR="00431FEA" w:rsidRDefault="00431FEA" w:rsidP="00431FEA">
      <w:pPr>
        <w:ind w:left="720"/>
        <w:contextualSpacing/>
        <w:jc w:val="both"/>
        <w:rPr>
          <w:rFonts w:ascii="Helvetica" w:eastAsia="Calibri" w:hAnsi="Helvetica" w:cs="Helvetica"/>
          <w:b/>
          <w:bCs/>
          <w:sz w:val="24"/>
          <w:szCs w:val="24"/>
        </w:rPr>
      </w:pPr>
    </w:p>
    <w:p w14:paraId="25790F6D" w14:textId="6024079F" w:rsidR="00431FEA" w:rsidRPr="00431FEA" w:rsidRDefault="00431FEA" w:rsidP="00F85BD4">
      <w:pPr>
        <w:contextualSpacing/>
        <w:jc w:val="both"/>
        <w:rPr>
          <w:rFonts w:ascii="Helvetica" w:eastAsia="Calibri" w:hAnsi="Helvetica" w:cs="Helvetica"/>
          <w:sz w:val="24"/>
          <w:szCs w:val="24"/>
        </w:rPr>
      </w:pPr>
      <w:r w:rsidRPr="006A3648">
        <w:rPr>
          <w:rFonts w:ascii="Helvetica" w:eastAsia="Calibri" w:hAnsi="Helvetica" w:cs="Helvetica"/>
          <w:sz w:val="24"/>
          <w:szCs w:val="24"/>
        </w:rPr>
        <w:t>El presente apar</w:t>
      </w:r>
      <w:r w:rsidR="00F61921">
        <w:rPr>
          <w:rFonts w:ascii="Helvetica" w:eastAsia="Calibri" w:hAnsi="Helvetica" w:cs="Helvetica"/>
          <w:sz w:val="24"/>
          <w:szCs w:val="24"/>
        </w:rPr>
        <w:t>t</w:t>
      </w:r>
      <w:r w:rsidRPr="006A3648">
        <w:rPr>
          <w:rFonts w:ascii="Helvetica" w:eastAsia="Calibri" w:hAnsi="Helvetica" w:cs="Helvetica"/>
          <w:sz w:val="24"/>
          <w:szCs w:val="24"/>
        </w:rPr>
        <w:t>ado</w:t>
      </w:r>
      <w:r w:rsidR="00DB5C36">
        <w:rPr>
          <w:rFonts w:ascii="Helvetica" w:eastAsia="Calibri" w:hAnsi="Helvetica" w:cs="Helvetica"/>
          <w:sz w:val="24"/>
          <w:szCs w:val="24"/>
        </w:rPr>
        <w:t>,</w:t>
      </w:r>
      <w:r w:rsidRPr="006A3648">
        <w:rPr>
          <w:rFonts w:ascii="Helvetica" w:eastAsia="Calibri" w:hAnsi="Helvetica" w:cs="Helvetica"/>
          <w:sz w:val="24"/>
          <w:szCs w:val="24"/>
        </w:rPr>
        <w:t xml:space="preserve"> se refiere a los r</w:t>
      </w:r>
      <w:r w:rsidRPr="00431FEA">
        <w:rPr>
          <w:rFonts w:ascii="Helvetica" w:eastAsia="Calibri" w:hAnsi="Helvetica" w:cs="Helvetica"/>
          <w:sz w:val="24"/>
          <w:szCs w:val="24"/>
        </w:rPr>
        <w:t xml:space="preserve">esultados de la comparación entre los resultados de la ejecución y la asignación presupuestaria institucional y municipal, incluyendo la inversión pública y la cooperación internacional. </w:t>
      </w:r>
    </w:p>
    <w:p w14:paraId="2258BD07" w14:textId="3A279858" w:rsidR="00F85BD4" w:rsidRPr="008D1CB6" w:rsidRDefault="00F85BD4" w:rsidP="00984BA9">
      <w:pPr>
        <w:pStyle w:val="Ttulo1"/>
        <w:numPr>
          <w:ilvl w:val="0"/>
          <w:numId w:val="11"/>
        </w:numPr>
      </w:pPr>
      <w:bookmarkStart w:id="19" w:name="_Toc67589089"/>
      <w:r>
        <w:t xml:space="preserve">Avance de metas y cumplimiento de la calidad del </w:t>
      </w:r>
      <w:r w:rsidRPr="008D1CB6">
        <w:t>gasto</w:t>
      </w:r>
      <w:r>
        <w:t xml:space="preserve"> d</w:t>
      </w:r>
      <w:r w:rsidRPr="008D1CB6">
        <w:t>e las instituciones</w:t>
      </w:r>
      <w:r>
        <w:t xml:space="preserve"> </w:t>
      </w:r>
      <w:r w:rsidRPr="008D1CB6">
        <w:t>del sector público</w:t>
      </w:r>
      <w:bookmarkEnd w:id="19"/>
    </w:p>
    <w:p w14:paraId="2C65318D" w14:textId="61455645" w:rsidR="00A87EEB" w:rsidRPr="00B02736" w:rsidRDefault="00A87EEB" w:rsidP="00A87EEB">
      <w:pPr>
        <w:spacing w:before="120" w:after="120" w:line="240" w:lineRule="auto"/>
        <w:jc w:val="both"/>
        <w:rPr>
          <w:rFonts w:ascii="Helvetica" w:eastAsia="Candara" w:hAnsi="Helvetica" w:cs="Helvetica"/>
          <w:sz w:val="24"/>
          <w:szCs w:val="24"/>
          <w:lang w:eastAsia="es-GT"/>
        </w:rPr>
      </w:pPr>
      <w:bookmarkStart w:id="20" w:name="_Toc66379896"/>
      <w:r w:rsidRPr="00B02736">
        <w:rPr>
          <w:rFonts w:ascii="Helvetica" w:eastAsia="Candara" w:hAnsi="Helvetica" w:cs="Helvetica"/>
          <w:sz w:val="24"/>
          <w:szCs w:val="24"/>
          <w:lang w:eastAsia="es-GT"/>
        </w:rPr>
        <w:t xml:space="preserve">En esta sección se presenta el análisis de los resultados de la ejecución de metas financieras de </w:t>
      </w:r>
      <w:r w:rsidRPr="00B02736">
        <w:rPr>
          <w:rFonts w:ascii="Helvetica" w:eastAsia="Candara" w:hAnsi="Helvetica" w:cs="Helvetica"/>
          <w:iCs/>
          <w:sz w:val="24"/>
          <w:szCs w:val="24"/>
          <w:lang w:eastAsia="es-GT"/>
        </w:rPr>
        <w:t>128 instituciones del sector público</w:t>
      </w:r>
      <w:r w:rsidRPr="00B02736">
        <w:rPr>
          <w:rFonts w:ascii="Helvetica" w:eastAsia="Candara" w:hAnsi="Helvetica" w:cs="Helvetica"/>
          <w:b/>
          <w:bCs/>
          <w:sz w:val="24"/>
          <w:szCs w:val="24"/>
          <w:lang w:eastAsia="es-GT"/>
        </w:rPr>
        <w:t xml:space="preserve"> </w:t>
      </w:r>
      <w:r w:rsidRPr="00B02736">
        <w:rPr>
          <w:rFonts w:ascii="Helvetica" w:eastAsia="Candara" w:hAnsi="Helvetica" w:cs="Helvetica"/>
          <w:iCs/>
          <w:sz w:val="24"/>
          <w:szCs w:val="24"/>
          <w:lang w:eastAsia="es-GT"/>
        </w:rPr>
        <w:t>(Ministerios, Secretarías, Entidades descentralizadas y autónomas y Entidades deportivas)</w:t>
      </w:r>
      <w:r w:rsidRPr="00B02736">
        <w:rPr>
          <w:rFonts w:ascii="Helvetica" w:eastAsia="Candara" w:hAnsi="Helvetica" w:cs="Helvetica"/>
          <w:sz w:val="24"/>
          <w:szCs w:val="24"/>
          <w:lang w:eastAsia="es-GT"/>
        </w:rPr>
        <w:t xml:space="preserve"> que cumplieron con la entrega del tercer informe cuatrimestral y acumulado 2020 a través del Sistema de Planes Institucionales -SIPLAN-. Los resultados corresponden a la ejecución financiera de la producción institucional de cada </w:t>
      </w:r>
      <w:r>
        <w:rPr>
          <w:rFonts w:ascii="Helvetica" w:eastAsia="Candara" w:hAnsi="Helvetica" w:cs="Helvetica"/>
          <w:sz w:val="24"/>
          <w:szCs w:val="24"/>
          <w:lang w:eastAsia="es-GT"/>
        </w:rPr>
        <w:t>entidad</w:t>
      </w:r>
      <w:r w:rsidRPr="00B02736">
        <w:rPr>
          <w:rFonts w:ascii="Helvetica" w:eastAsia="Candara" w:hAnsi="Helvetica" w:cs="Helvetica"/>
          <w:sz w:val="24"/>
          <w:szCs w:val="24"/>
          <w:lang w:eastAsia="es-GT"/>
        </w:rPr>
        <w:t>, se presenta la meta financiera vigente, la ejecución financiera</w:t>
      </w:r>
      <w:r>
        <w:rPr>
          <w:rFonts w:ascii="Helvetica" w:eastAsia="Candara" w:hAnsi="Helvetica" w:cs="Helvetica"/>
          <w:sz w:val="24"/>
          <w:szCs w:val="24"/>
          <w:lang w:eastAsia="es-GT"/>
        </w:rPr>
        <w:t>,</w:t>
      </w:r>
      <w:r w:rsidRPr="00B02736">
        <w:rPr>
          <w:rFonts w:ascii="Helvetica" w:eastAsia="Candara" w:hAnsi="Helvetica" w:cs="Helvetica"/>
          <w:sz w:val="24"/>
          <w:szCs w:val="24"/>
          <w:lang w:eastAsia="es-GT"/>
        </w:rPr>
        <w:t xml:space="preserve"> que incluye la del tercer cuatrimestre y el acumulado anual y por último</w:t>
      </w:r>
      <w:r w:rsidR="00DB5C36">
        <w:rPr>
          <w:rFonts w:ascii="Helvetica" w:eastAsia="Candara" w:hAnsi="Helvetica" w:cs="Helvetica"/>
          <w:sz w:val="24"/>
          <w:szCs w:val="24"/>
          <w:lang w:eastAsia="es-GT"/>
        </w:rPr>
        <w:t>,</w:t>
      </w:r>
      <w:r w:rsidRPr="00B02736">
        <w:rPr>
          <w:rFonts w:ascii="Helvetica" w:eastAsia="Candara" w:hAnsi="Helvetica" w:cs="Helvetica"/>
          <w:sz w:val="24"/>
          <w:szCs w:val="24"/>
          <w:lang w:eastAsia="es-GT"/>
        </w:rPr>
        <w:t xml:space="preserve"> el porcentaje de ejecución respecto de la meta financiera vigente programada. </w:t>
      </w:r>
    </w:p>
    <w:p w14:paraId="412AAC90" w14:textId="77777777" w:rsidR="00A87EEB" w:rsidRPr="00CB4191" w:rsidRDefault="00A87EEB" w:rsidP="00A87EEB">
      <w:pPr>
        <w:spacing w:before="120" w:after="120" w:line="240" w:lineRule="auto"/>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El porcentaje de ejecución financiera alcanzado por cada institución permitió realizar el análisis de eficiencia institucional como un indicador de la calidad del gasto público según lo recursos asignados.</w:t>
      </w:r>
    </w:p>
    <w:p w14:paraId="1D2AEEF3" w14:textId="77777777" w:rsidR="00A87EEB" w:rsidRPr="00CB4191" w:rsidRDefault="00A87EEB" w:rsidP="00A87EEB">
      <w:pPr>
        <w:spacing w:before="240" w:after="240" w:line="240" w:lineRule="auto"/>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Es importante mencionar que</w:t>
      </w:r>
      <w:r>
        <w:rPr>
          <w:rFonts w:ascii="Helvetica" w:eastAsia="Candara" w:hAnsi="Helvetica" w:cs="Helvetica"/>
          <w:sz w:val="24"/>
          <w:szCs w:val="24"/>
          <w:lang w:eastAsia="es-GT"/>
        </w:rPr>
        <w:t>,</w:t>
      </w:r>
      <w:r w:rsidRPr="00CB4191">
        <w:rPr>
          <w:rFonts w:ascii="Helvetica" w:eastAsia="Candara" w:hAnsi="Helvetica" w:cs="Helvetica"/>
          <w:sz w:val="24"/>
          <w:szCs w:val="24"/>
          <w:lang w:eastAsia="es-GT"/>
        </w:rPr>
        <w:t xml:space="preserve"> a través de SIPLAN, las instituciones registraron los avances cuatrimestrales de la ejecución financiera, con lo cual, al final del ejercicio fiscal se obtuvo el porcentaje de avance respecto a las metas financieras programadas en el sistema. Así también, las instituciones tuvieron varias modificaciones presupuestarias en el año, lo cual dio como resultado, realizar las reprogramaciones de metas físicas y financieras necesarias para ajustar el presupuesto institucional.  No obstante, los registros de SIPLAN</w:t>
      </w:r>
      <w:r>
        <w:rPr>
          <w:rFonts w:ascii="Helvetica" w:eastAsia="Candara" w:hAnsi="Helvetica" w:cs="Helvetica"/>
          <w:sz w:val="24"/>
          <w:szCs w:val="24"/>
          <w:lang w:eastAsia="es-GT"/>
        </w:rPr>
        <w:t xml:space="preserve"> podrían reflejar en casos muy puntuales </w:t>
      </w:r>
      <w:r w:rsidRPr="00CB4191">
        <w:rPr>
          <w:rFonts w:ascii="Helvetica" w:eastAsia="Candara" w:hAnsi="Helvetica" w:cs="Helvetica"/>
          <w:sz w:val="24"/>
          <w:szCs w:val="24"/>
          <w:lang w:eastAsia="es-GT"/>
        </w:rPr>
        <w:t>algunas variaciones respecto a los registros obtenidos de</w:t>
      </w:r>
      <w:r>
        <w:rPr>
          <w:rFonts w:ascii="Helvetica" w:eastAsia="Candara" w:hAnsi="Helvetica" w:cs="Helvetica"/>
          <w:sz w:val="24"/>
          <w:szCs w:val="24"/>
          <w:lang w:eastAsia="es-GT"/>
        </w:rPr>
        <w:t>l Sistema de Contabilidad Integrada -</w:t>
      </w:r>
      <w:r w:rsidRPr="00CB4191">
        <w:rPr>
          <w:rFonts w:ascii="Helvetica" w:eastAsia="Candara" w:hAnsi="Helvetica" w:cs="Helvetica"/>
          <w:sz w:val="24"/>
          <w:szCs w:val="24"/>
          <w:lang w:eastAsia="es-GT"/>
        </w:rPr>
        <w:t>SICOIN</w:t>
      </w:r>
      <w:r>
        <w:rPr>
          <w:rFonts w:ascii="Helvetica" w:eastAsia="Candara" w:hAnsi="Helvetica" w:cs="Helvetica"/>
          <w:sz w:val="24"/>
          <w:szCs w:val="24"/>
          <w:lang w:eastAsia="es-GT"/>
        </w:rPr>
        <w:t>-</w:t>
      </w:r>
      <w:r w:rsidRPr="00CB4191">
        <w:rPr>
          <w:rFonts w:ascii="Helvetica" w:eastAsia="Candara" w:hAnsi="Helvetica" w:cs="Helvetica"/>
          <w:sz w:val="24"/>
          <w:szCs w:val="24"/>
          <w:lang w:eastAsia="es-GT"/>
        </w:rPr>
        <w:t>,</w:t>
      </w:r>
      <w:r>
        <w:rPr>
          <w:rFonts w:ascii="Helvetica" w:eastAsia="Candara" w:hAnsi="Helvetica" w:cs="Helvetica"/>
          <w:sz w:val="24"/>
          <w:szCs w:val="24"/>
          <w:lang w:eastAsia="es-GT"/>
        </w:rPr>
        <w:t xml:space="preserve"> por lo que también se incluyen estos últimos, a manera de complemento y para tener una visión más completa y rigurosa utilizando los datos de ambos sistemas.</w:t>
      </w:r>
    </w:p>
    <w:p w14:paraId="131DA391" w14:textId="77777777" w:rsidR="00A87EEB" w:rsidRPr="006123B7" w:rsidRDefault="00A87EEB" w:rsidP="00A87EEB">
      <w:pPr>
        <w:spacing w:before="240" w:after="240" w:line="240" w:lineRule="auto"/>
        <w:jc w:val="both"/>
        <w:rPr>
          <w:rFonts w:ascii="Helvetica" w:eastAsia="Candara" w:hAnsi="Helvetica" w:cs="Helvetica"/>
          <w:b/>
          <w:bCs/>
          <w:iCs/>
          <w:sz w:val="24"/>
          <w:szCs w:val="24"/>
          <w:highlight w:val="yellow"/>
          <w:lang w:eastAsia="es-GT"/>
        </w:rPr>
      </w:pPr>
      <w:r w:rsidRPr="006123B7">
        <w:rPr>
          <w:rFonts w:ascii="Helvetica" w:eastAsia="Candara" w:hAnsi="Helvetica" w:cs="Helvetica"/>
          <w:sz w:val="24"/>
          <w:szCs w:val="24"/>
          <w:lang w:eastAsia="es-GT"/>
        </w:rPr>
        <w:t xml:space="preserve">Derivado de lo anterior, se considera necesario incluir como parte de este análisis, los resultados comparativos de </w:t>
      </w:r>
      <w:r w:rsidRPr="006123B7">
        <w:rPr>
          <w:rFonts w:ascii="Helvetica" w:eastAsia="Candara" w:hAnsi="Helvetica" w:cs="Helvetica"/>
          <w:iCs/>
          <w:sz w:val="24"/>
          <w:szCs w:val="24"/>
          <w:lang w:eastAsia="es-GT"/>
        </w:rPr>
        <w:t>las metas financieras vigentes, la ejecución financiera en el año y el porcentaje (%) de ejecución de la meta financiera vigente</w:t>
      </w:r>
      <w:r w:rsidRPr="006123B7">
        <w:rPr>
          <w:rFonts w:ascii="Helvetica" w:eastAsia="Candara" w:hAnsi="Helvetica" w:cs="Helvetica"/>
          <w:sz w:val="24"/>
          <w:szCs w:val="24"/>
          <w:lang w:eastAsia="es-GT"/>
        </w:rPr>
        <w:t xml:space="preserve"> según SIPLAN y SICOIN.</w:t>
      </w:r>
    </w:p>
    <w:p w14:paraId="7318A97F" w14:textId="77777777" w:rsidR="00A87EEB" w:rsidRPr="008D1CB6" w:rsidRDefault="00A87EEB" w:rsidP="00A87EEB">
      <w:pPr>
        <w:pStyle w:val="Ttulo1"/>
        <w:numPr>
          <w:ilvl w:val="0"/>
          <w:numId w:val="0"/>
        </w:numPr>
      </w:pPr>
      <w:bookmarkStart w:id="21" w:name="_Toc50824680"/>
      <w:bookmarkStart w:id="22" w:name="_Toc66952605"/>
      <w:bookmarkStart w:id="23" w:name="_Toc67589090"/>
      <w:r w:rsidRPr="008D1CB6">
        <w:t>Ministerios</w:t>
      </w:r>
      <w:bookmarkEnd w:id="21"/>
      <w:bookmarkEnd w:id="22"/>
      <w:bookmarkEnd w:id="23"/>
    </w:p>
    <w:p w14:paraId="142B5358" w14:textId="77777777" w:rsidR="00A87EEB" w:rsidRPr="009F70BA" w:rsidRDefault="00A87EEB" w:rsidP="00A87EEB">
      <w:pPr>
        <w:spacing w:before="240" w:after="240" w:line="240" w:lineRule="auto"/>
        <w:jc w:val="both"/>
        <w:rPr>
          <w:rFonts w:ascii="Helvetica" w:eastAsia="Candara" w:hAnsi="Helvetica" w:cs="Helvetica"/>
          <w:sz w:val="24"/>
          <w:szCs w:val="24"/>
          <w:lang w:eastAsia="es-GT"/>
        </w:rPr>
      </w:pPr>
      <w:r w:rsidRPr="009F70BA">
        <w:rPr>
          <w:rFonts w:ascii="Helvetica" w:eastAsia="Candara" w:hAnsi="Helvetica" w:cs="Helvetica"/>
          <w:sz w:val="24"/>
          <w:szCs w:val="24"/>
          <w:lang w:eastAsia="es-GT"/>
        </w:rPr>
        <w:t xml:space="preserve">Se presentan los resultados de la ejecución financiera del ejercicio fiscal 2020 de los </w:t>
      </w:r>
      <w:r w:rsidRPr="009F70BA">
        <w:rPr>
          <w:rFonts w:ascii="Helvetica" w:eastAsia="Candara" w:hAnsi="Helvetica" w:cs="Helvetica"/>
          <w:iCs/>
          <w:sz w:val="24"/>
          <w:szCs w:val="24"/>
          <w:lang w:eastAsia="es-GT"/>
        </w:rPr>
        <w:t>14 Ministerios</w:t>
      </w:r>
      <w:r w:rsidRPr="009F70BA">
        <w:rPr>
          <w:rFonts w:ascii="Helvetica" w:eastAsia="Candara" w:hAnsi="Helvetica" w:cs="Helvetica"/>
          <w:sz w:val="24"/>
          <w:szCs w:val="24"/>
          <w:lang w:eastAsia="es-GT"/>
        </w:rPr>
        <w:t>, a través de un cuadro comparativo según los registros realizados en el SIPLAN y en el SICOIN.  En dichas plataformas informáticas, los ministerios realizaron los registros correspondientes a la formulación de la planificación, la programación y reprogramación de metas físicas y financieras y la ejecución de metas en cada cuatrimestre del 2020 como lo establece la normativa vigente.</w:t>
      </w:r>
    </w:p>
    <w:p w14:paraId="5D290127" w14:textId="77777777" w:rsidR="00A87EEB" w:rsidRPr="00CB4191" w:rsidRDefault="00A87EEB" w:rsidP="00A87EEB">
      <w:pPr>
        <w:spacing w:before="240" w:after="240" w:line="240" w:lineRule="auto"/>
        <w:jc w:val="both"/>
        <w:rPr>
          <w:rFonts w:ascii="Helvetica" w:eastAsia="Candara" w:hAnsi="Helvetica" w:cs="Helvetica"/>
          <w:sz w:val="24"/>
          <w:szCs w:val="24"/>
          <w:lang w:eastAsia="es-GT"/>
        </w:rPr>
      </w:pPr>
      <w:r>
        <w:rPr>
          <w:rFonts w:ascii="Helvetica" w:eastAsia="Candara" w:hAnsi="Helvetica" w:cs="Helvetica"/>
          <w:sz w:val="24"/>
          <w:szCs w:val="24"/>
          <w:lang w:eastAsia="es-GT"/>
        </w:rPr>
        <w:t xml:space="preserve">En el cuadro a </w:t>
      </w:r>
      <w:r w:rsidRPr="00CB4191">
        <w:rPr>
          <w:rFonts w:ascii="Helvetica" w:eastAsia="Candara" w:hAnsi="Helvetica" w:cs="Helvetica"/>
          <w:sz w:val="24"/>
          <w:szCs w:val="24"/>
          <w:lang w:eastAsia="es-GT"/>
        </w:rPr>
        <w:t xml:space="preserve">continuación, se presenta por cada ministerio los datos siguientes: </w:t>
      </w:r>
    </w:p>
    <w:p w14:paraId="091E1920" w14:textId="77777777" w:rsidR="00A87EEB" w:rsidRPr="001F4FBD" w:rsidRDefault="00A87EEB" w:rsidP="00A87EEB">
      <w:pPr>
        <w:pStyle w:val="Prrafodelista"/>
        <w:numPr>
          <w:ilvl w:val="0"/>
          <w:numId w:val="19"/>
        </w:numPr>
        <w:spacing w:before="120" w:after="120" w:line="240" w:lineRule="auto"/>
        <w:ind w:left="714" w:hanging="357"/>
        <w:contextualSpacing w:val="0"/>
        <w:jc w:val="both"/>
        <w:rPr>
          <w:rFonts w:ascii="Helvetica" w:eastAsia="Candara" w:hAnsi="Helvetica" w:cs="Helvetica"/>
          <w:b/>
          <w:bCs/>
          <w:iCs/>
          <w:sz w:val="24"/>
          <w:szCs w:val="24"/>
          <w:lang w:eastAsia="es-GT"/>
        </w:rPr>
      </w:pPr>
      <w:r w:rsidRPr="001F4FBD">
        <w:rPr>
          <w:rFonts w:ascii="Helvetica" w:eastAsia="Candara" w:hAnsi="Helvetica" w:cs="Helvetica"/>
          <w:b/>
          <w:bCs/>
          <w:iCs/>
          <w:sz w:val="24"/>
          <w:szCs w:val="24"/>
          <w:lang w:eastAsia="es-GT"/>
        </w:rPr>
        <w:t>Nombre del ministerio</w:t>
      </w:r>
      <w:r>
        <w:rPr>
          <w:rFonts w:ascii="Helvetica" w:eastAsia="Candara" w:hAnsi="Helvetica" w:cs="Helvetica"/>
          <w:b/>
          <w:bCs/>
          <w:iCs/>
          <w:sz w:val="24"/>
          <w:szCs w:val="24"/>
          <w:lang w:eastAsia="es-GT"/>
        </w:rPr>
        <w:t>.</w:t>
      </w:r>
      <w:r w:rsidRPr="001F4FBD">
        <w:rPr>
          <w:rFonts w:ascii="Helvetica" w:eastAsia="Candara" w:hAnsi="Helvetica" w:cs="Helvetica"/>
          <w:b/>
          <w:bCs/>
          <w:iCs/>
          <w:sz w:val="24"/>
          <w:szCs w:val="24"/>
          <w:lang w:eastAsia="es-GT"/>
        </w:rPr>
        <w:t xml:space="preserve"> </w:t>
      </w:r>
    </w:p>
    <w:p w14:paraId="62B69FF0" w14:textId="77777777" w:rsidR="00A87EEB" w:rsidRPr="001F4FBD" w:rsidRDefault="00A87EEB" w:rsidP="00A87EEB">
      <w:pPr>
        <w:pStyle w:val="Prrafodelista"/>
        <w:numPr>
          <w:ilvl w:val="0"/>
          <w:numId w:val="19"/>
        </w:numPr>
        <w:spacing w:before="120" w:after="120" w:line="240" w:lineRule="auto"/>
        <w:ind w:left="714" w:hanging="357"/>
        <w:contextualSpacing w:val="0"/>
        <w:jc w:val="both"/>
        <w:rPr>
          <w:rFonts w:ascii="Helvetica" w:eastAsia="Candara" w:hAnsi="Helvetica" w:cs="Helvetica"/>
          <w:iCs/>
          <w:sz w:val="24"/>
          <w:szCs w:val="24"/>
          <w:lang w:eastAsia="es-GT"/>
        </w:rPr>
      </w:pPr>
      <w:r w:rsidRPr="001F4FBD">
        <w:rPr>
          <w:rFonts w:ascii="Helvetica" w:eastAsia="Candara" w:hAnsi="Helvetica" w:cs="Helvetica"/>
          <w:b/>
          <w:bCs/>
          <w:iCs/>
          <w:sz w:val="24"/>
          <w:szCs w:val="24"/>
          <w:lang w:eastAsia="es-GT"/>
        </w:rPr>
        <w:t>Meta financiera vigente:</w:t>
      </w:r>
      <w:r w:rsidRPr="001F4FBD">
        <w:rPr>
          <w:rFonts w:ascii="Helvetica" w:eastAsia="Candara" w:hAnsi="Helvetica" w:cs="Helvetica"/>
          <w:iCs/>
          <w:sz w:val="24"/>
          <w:szCs w:val="24"/>
          <w:lang w:eastAsia="es-GT"/>
        </w:rPr>
        <w:t xml:space="preserve"> se refiere al presupuesto inicial programado, incluyendo las disminuciones y/o aumentos como resultado de reprogramaciones de metas financieras o modificaciones presupuestarias.</w:t>
      </w:r>
    </w:p>
    <w:p w14:paraId="1322A6B0" w14:textId="77777777" w:rsidR="00A87EEB" w:rsidRPr="001F4FBD" w:rsidRDefault="00A87EEB" w:rsidP="00A87EEB">
      <w:pPr>
        <w:pStyle w:val="Prrafodelista"/>
        <w:numPr>
          <w:ilvl w:val="0"/>
          <w:numId w:val="19"/>
        </w:numPr>
        <w:spacing w:before="120" w:after="120" w:line="240" w:lineRule="auto"/>
        <w:ind w:left="714" w:hanging="357"/>
        <w:contextualSpacing w:val="0"/>
        <w:jc w:val="both"/>
        <w:rPr>
          <w:rFonts w:ascii="Helvetica" w:eastAsia="Candara" w:hAnsi="Helvetica" w:cs="Helvetica"/>
          <w:iCs/>
          <w:sz w:val="24"/>
          <w:szCs w:val="24"/>
          <w:lang w:eastAsia="es-GT"/>
        </w:rPr>
      </w:pPr>
      <w:r w:rsidRPr="001F4FBD">
        <w:rPr>
          <w:rFonts w:ascii="Helvetica" w:eastAsia="Candara" w:hAnsi="Helvetica" w:cs="Helvetica"/>
          <w:b/>
          <w:bCs/>
          <w:iCs/>
          <w:sz w:val="24"/>
          <w:szCs w:val="24"/>
          <w:lang w:eastAsia="es-GT"/>
        </w:rPr>
        <w:t>Ejecución financiera:</w:t>
      </w:r>
      <w:r w:rsidRPr="001F4FBD">
        <w:rPr>
          <w:rFonts w:ascii="Helvetica" w:eastAsia="Candara" w:hAnsi="Helvetica" w:cs="Helvetica"/>
          <w:iCs/>
          <w:sz w:val="24"/>
          <w:szCs w:val="24"/>
          <w:lang w:eastAsia="es-GT"/>
        </w:rPr>
        <w:t xml:space="preserve"> se refiere a la meta financiera ejecutada o presupuesto ejecutado, que incluye la ejecución de los tres cuatrimestres del 2020.</w:t>
      </w:r>
    </w:p>
    <w:p w14:paraId="33616204" w14:textId="7C9E6BFA" w:rsidR="00A87EEB" w:rsidRPr="002A0798" w:rsidRDefault="00A87EEB" w:rsidP="00A87EEB">
      <w:pPr>
        <w:pStyle w:val="Prrafodelista"/>
        <w:numPr>
          <w:ilvl w:val="0"/>
          <w:numId w:val="19"/>
        </w:numPr>
        <w:spacing w:before="120" w:after="120" w:line="240" w:lineRule="auto"/>
        <w:ind w:left="714" w:hanging="357"/>
        <w:contextualSpacing w:val="0"/>
        <w:jc w:val="both"/>
        <w:rPr>
          <w:rFonts w:ascii="Helvetica" w:eastAsia="Candara" w:hAnsi="Helvetica" w:cs="Helvetica"/>
          <w:sz w:val="24"/>
          <w:szCs w:val="24"/>
          <w:lang w:eastAsia="es-GT"/>
        </w:rPr>
      </w:pPr>
      <w:r w:rsidRPr="001F4FBD">
        <w:rPr>
          <w:rFonts w:ascii="Helvetica" w:eastAsia="Candara" w:hAnsi="Helvetica" w:cs="Helvetica"/>
          <w:b/>
          <w:bCs/>
          <w:iCs/>
          <w:sz w:val="24"/>
          <w:szCs w:val="24"/>
          <w:lang w:eastAsia="es-GT"/>
        </w:rPr>
        <w:t>Porcentaje (%) de ejecución de la meta financiera vigente:</w:t>
      </w:r>
      <w:r w:rsidRPr="001F4FBD">
        <w:rPr>
          <w:rFonts w:ascii="Helvetica" w:eastAsia="Candara" w:hAnsi="Helvetica" w:cs="Helvetica"/>
          <w:iCs/>
          <w:sz w:val="24"/>
          <w:szCs w:val="24"/>
          <w:lang w:eastAsia="es-GT"/>
        </w:rPr>
        <w:t xml:space="preserve"> el porcentaje muestra cuánto se ejecutó respecto de la meta financiera vigente, lo que permite inferir que </w:t>
      </w:r>
      <w:r w:rsidRPr="001F4FBD">
        <w:rPr>
          <w:rFonts w:ascii="Helvetica" w:hAnsi="Helvetica" w:cs="Helvetica"/>
          <w:sz w:val="24"/>
          <w:szCs w:val="24"/>
        </w:rPr>
        <w:t>a mayor porcentaje de ejecución habrá mayor eficiencia en la calidad del gasto público como un indicador d</w:t>
      </w:r>
      <w:r w:rsidRPr="001F4FBD">
        <w:rPr>
          <w:rFonts w:ascii="Helvetica" w:eastAsia="Candara" w:hAnsi="Helvetica" w:cs="Helvetica"/>
          <w:iCs/>
          <w:sz w:val="24"/>
          <w:szCs w:val="24"/>
          <w:lang w:eastAsia="es-GT"/>
        </w:rPr>
        <w:t xml:space="preserve">el desempeño institucional. </w:t>
      </w:r>
    </w:p>
    <w:p w14:paraId="64A14623" w14:textId="77777777" w:rsidR="002A0798" w:rsidRPr="002A0798" w:rsidRDefault="002A0798" w:rsidP="002A0798">
      <w:pPr>
        <w:spacing w:before="120" w:after="120" w:line="240" w:lineRule="auto"/>
        <w:ind w:left="357"/>
        <w:jc w:val="both"/>
        <w:rPr>
          <w:rFonts w:ascii="Helvetica" w:eastAsia="Candara" w:hAnsi="Helvetica" w:cs="Helvetica"/>
          <w:sz w:val="24"/>
          <w:szCs w:val="24"/>
          <w:lang w:eastAsia="es-GT"/>
        </w:rPr>
      </w:pPr>
    </w:p>
    <w:p w14:paraId="3C33ACD5" w14:textId="46114F01" w:rsidR="00A87EEB" w:rsidRPr="00016865" w:rsidRDefault="002A0798" w:rsidP="00016865">
      <w:pPr>
        <w:pStyle w:val="ttulosgrficas"/>
        <w:rPr>
          <w:rFonts w:eastAsia="Times New Roman"/>
          <w:color w:val="4472C4" w:themeColor="accent1"/>
          <w:lang w:val="es-ES"/>
        </w:rPr>
      </w:pPr>
      <w:bookmarkStart w:id="24" w:name="_Toc67589116"/>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A87EEB" w:rsidRPr="00016865">
        <w:rPr>
          <w:rFonts w:eastAsia="Times New Roman"/>
          <w:color w:val="4472C4" w:themeColor="accent1"/>
          <w:lang w:val="es-ES"/>
        </w:rPr>
        <w:t>Ejecución financiera</w:t>
      </w:r>
      <w:r w:rsidR="00F61921" w:rsidRPr="00016865">
        <w:rPr>
          <w:rFonts w:eastAsia="Times New Roman"/>
          <w:color w:val="4472C4" w:themeColor="accent1"/>
          <w:lang w:val="es-ES"/>
        </w:rPr>
        <w:t xml:space="preserve"> </w:t>
      </w:r>
      <w:r w:rsidR="00A87EEB" w:rsidRPr="00016865">
        <w:rPr>
          <w:rFonts w:eastAsia="Times New Roman"/>
          <w:color w:val="4472C4" w:themeColor="accent1"/>
          <w:lang w:val="es-ES"/>
        </w:rPr>
        <w:t>Ministerios</w:t>
      </w:r>
      <w:r w:rsidR="00554324" w:rsidRPr="00016865">
        <w:rPr>
          <w:rFonts w:eastAsia="Times New Roman"/>
          <w:color w:val="4472C4" w:themeColor="accent1"/>
          <w:lang w:val="es-ES"/>
        </w:rPr>
        <w:t xml:space="preserve"> 2020</w:t>
      </w:r>
      <w:bookmarkEnd w:id="24"/>
    </w:p>
    <w:p w14:paraId="257A487D" w14:textId="77777777" w:rsidR="00A87EEB" w:rsidRPr="00BF18C8" w:rsidRDefault="00A87EEB" w:rsidP="00A87EEB">
      <w:pPr>
        <w:spacing w:after="0" w:line="120" w:lineRule="auto"/>
        <w:jc w:val="center"/>
        <w:rPr>
          <w:rFonts w:ascii="Candara" w:eastAsia="Candara" w:hAnsi="Candara" w:cs="Candara"/>
          <w:sz w:val="20"/>
          <w:lang w:eastAsia="es-GT"/>
        </w:rPr>
      </w:pPr>
    </w:p>
    <w:p w14:paraId="5F3BA678" w14:textId="77777777" w:rsidR="00A87EEB" w:rsidRDefault="00A87EEB" w:rsidP="00A87EEB">
      <w:pPr>
        <w:jc w:val="both"/>
        <w:rPr>
          <w:rFonts w:ascii="Candara" w:eastAsia="Candara" w:hAnsi="Candara" w:cs="Candara"/>
          <w:sz w:val="16"/>
          <w:szCs w:val="16"/>
          <w:lang w:eastAsia="es-GT"/>
        </w:rPr>
      </w:pPr>
      <w:r w:rsidRPr="00F61921">
        <w:rPr>
          <w:rFonts w:ascii="Helvetica" w:hAnsi="Helvetica" w:cs="Helvetica"/>
          <w:noProof/>
          <w:lang w:eastAsia="es-GT"/>
        </w:rPr>
        <w:drawing>
          <wp:inline distT="0" distB="0" distL="0" distR="0" wp14:anchorId="7C826C45" wp14:editId="32808914">
            <wp:extent cx="5943600" cy="3040636"/>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040636"/>
                    </a:xfrm>
                    <a:prstGeom prst="rect">
                      <a:avLst/>
                    </a:prstGeom>
                    <a:noFill/>
                    <a:ln>
                      <a:noFill/>
                    </a:ln>
                  </pic:spPr>
                </pic:pic>
              </a:graphicData>
            </a:graphic>
          </wp:inline>
        </w:drawing>
      </w:r>
      <w:r w:rsidRPr="00505461">
        <w:rPr>
          <w:rFonts w:ascii="Candara" w:eastAsia="Candara" w:hAnsi="Candara" w:cs="Candara"/>
          <w:sz w:val="16"/>
          <w:szCs w:val="16"/>
          <w:lang w:eastAsia="es-GT"/>
        </w:rPr>
        <w:t>Fuente: Elabora</w:t>
      </w:r>
      <w:r>
        <w:rPr>
          <w:rFonts w:ascii="Candara" w:eastAsia="Candara" w:hAnsi="Candara" w:cs="Candara"/>
          <w:sz w:val="16"/>
          <w:szCs w:val="16"/>
          <w:lang w:eastAsia="es-GT"/>
        </w:rPr>
        <w:t>do por SEGEPLAN,</w:t>
      </w:r>
      <w:r w:rsidRPr="00505461">
        <w:rPr>
          <w:rFonts w:ascii="Candara" w:eastAsia="Candara" w:hAnsi="Candara" w:cs="Candara"/>
          <w:sz w:val="16"/>
          <w:szCs w:val="16"/>
          <w:lang w:eastAsia="es-GT"/>
        </w:rPr>
        <w:t xml:space="preserve"> con base a registros de</w:t>
      </w:r>
      <w:r>
        <w:rPr>
          <w:rFonts w:ascii="Candara" w:eastAsia="Candara" w:hAnsi="Candara" w:cs="Candara"/>
          <w:sz w:val="16"/>
          <w:szCs w:val="16"/>
          <w:lang w:eastAsia="es-GT"/>
        </w:rPr>
        <w:t xml:space="preserve"> </w:t>
      </w:r>
      <w:r w:rsidRPr="00505461">
        <w:rPr>
          <w:rFonts w:ascii="Candara" w:eastAsia="Candara" w:hAnsi="Candara" w:cs="Candara"/>
          <w:sz w:val="16"/>
          <w:szCs w:val="16"/>
          <w:lang w:eastAsia="es-GT"/>
        </w:rPr>
        <w:t>SIPLAN</w:t>
      </w:r>
      <w:r>
        <w:rPr>
          <w:rFonts w:ascii="Candara" w:eastAsia="Candara" w:hAnsi="Candara" w:cs="Candara"/>
          <w:sz w:val="16"/>
          <w:szCs w:val="16"/>
          <w:lang w:eastAsia="es-GT"/>
        </w:rPr>
        <w:t xml:space="preserve"> y SICOIN. Año 2020.</w:t>
      </w:r>
    </w:p>
    <w:p w14:paraId="0E6E393E" w14:textId="5818D5FC" w:rsidR="00A87EEB" w:rsidRDefault="00A87EEB" w:rsidP="00A87EEB">
      <w:pPr>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 xml:space="preserve">En </w:t>
      </w:r>
      <w:r w:rsidR="002A0798">
        <w:rPr>
          <w:rFonts w:ascii="Helvetica" w:eastAsia="Candara" w:hAnsi="Helvetica" w:cs="Helvetica"/>
          <w:sz w:val="24"/>
          <w:szCs w:val="24"/>
          <w:lang w:eastAsia="es-GT"/>
        </w:rPr>
        <w:t>la tabla</w:t>
      </w:r>
      <w:r w:rsidRPr="00CB4191">
        <w:rPr>
          <w:rFonts w:ascii="Helvetica" w:eastAsia="Candara" w:hAnsi="Helvetica" w:cs="Helvetica"/>
          <w:sz w:val="24"/>
          <w:szCs w:val="24"/>
          <w:lang w:eastAsia="es-GT"/>
        </w:rPr>
        <w:t xml:space="preserve"> </w:t>
      </w:r>
      <w:r w:rsidR="003B0029">
        <w:rPr>
          <w:rFonts w:ascii="Helvetica" w:eastAsia="Candara" w:hAnsi="Helvetica" w:cs="Helvetica"/>
          <w:sz w:val="24"/>
          <w:szCs w:val="24"/>
          <w:lang w:eastAsia="es-GT"/>
        </w:rPr>
        <w:t>3</w:t>
      </w:r>
      <w:r w:rsidRPr="00CB4191">
        <w:rPr>
          <w:rFonts w:ascii="Helvetica" w:eastAsia="Candara" w:hAnsi="Helvetica" w:cs="Helvetica"/>
          <w:sz w:val="24"/>
          <w:szCs w:val="24"/>
          <w:lang w:eastAsia="es-GT"/>
        </w:rPr>
        <w:t>, se observa con color verde a los ministerios que lograron la mayor ejecución presupuestaria y en color rojo los de menor ejecución respecto a la meta financiera vigente.</w:t>
      </w:r>
    </w:p>
    <w:p w14:paraId="6F52B035" w14:textId="77777777"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 xml:space="preserve">Según datos de SICOIN, se observa que el valor máximo del porcentaje (%) de ejecución respecto a la meta financiera vigente lo alcanzó el Ministerio de Economía (MINECO) con 96.70%, mientras que el valor mínimo lo presenta el Ministerio de Cultura y Deportes (MCD) con 65.39%.  </w:t>
      </w:r>
    </w:p>
    <w:p w14:paraId="523ECFC6" w14:textId="4AA5265A" w:rsidR="00A87EEB" w:rsidRPr="00CB4191" w:rsidRDefault="00A87EEB" w:rsidP="00A87EEB">
      <w:pPr>
        <w:jc w:val="both"/>
        <w:rPr>
          <w:rFonts w:ascii="Helvetica" w:eastAsia="Candara" w:hAnsi="Helvetica" w:cs="Helvetica"/>
          <w:b/>
          <w:i/>
          <w:iCs/>
          <w:sz w:val="24"/>
          <w:szCs w:val="24"/>
          <w:lang w:eastAsia="es-GT"/>
        </w:rPr>
      </w:pPr>
      <w:r w:rsidRPr="00CB4191">
        <w:rPr>
          <w:rFonts w:ascii="Helvetica" w:eastAsia="Candara" w:hAnsi="Helvetica" w:cs="Helvetica"/>
          <w:bCs/>
          <w:iCs/>
          <w:sz w:val="24"/>
          <w:szCs w:val="24"/>
          <w:lang w:eastAsia="es-GT"/>
        </w:rPr>
        <w:t xml:space="preserve">Se aprecia también, que cinco ministerios cuentan con la mayor ejecución presupuestaria; entre 91.60% a 96.70% y cinco ministerios con la menor ejecución; entre 65.39% a </w:t>
      </w:r>
      <w:r w:rsidR="00F41C9C">
        <w:rPr>
          <w:rFonts w:ascii="Helvetica" w:eastAsia="Candara" w:hAnsi="Helvetica" w:cs="Helvetica"/>
          <w:bCs/>
          <w:iCs/>
          <w:sz w:val="24"/>
          <w:szCs w:val="24"/>
          <w:lang w:eastAsia="es-GT"/>
        </w:rPr>
        <w:t>78</w:t>
      </w:r>
      <w:r w:rsidRPr="00CB4191">
        <w:rPr>
          <w:rFonts w:ascii="Helvetica" w:eastAsia="Candara" w:hAnsi="Helvetica" w:cs="Helvetica"/>
          <w:bCs/>
          <w:iCs/>
          <w:sz w:val="24"/>
          <w:szCs w:val="24"/>
          <w:lang w:eastAsia="es-GT"/>
        </w:rPr>
        <w:t>.</w:t>
      </w:r>
      <w:r w:rsidR="00F41C9C">
        <w:rPr>
          <w:rFonts w:ascii="Helvetica" w:eastAsia="Candara" w:hAnsi="Helvetica" w:cs="Helvetica"/>
          <w:bCs/>
          <w:iCs/>
          <w:sz w:val="24"/>
          <w:szCs w:val="24"/>
          <w:lang w:eastAsia="es-GT"/>
        </w:rPr>
        <w:t>08</w:t>
      </w:r>
      <w:r w:rsidRPr="00CB4191">
        <w:rPr>
          <w:rFonts w:ascii="Helvetica" w:eastAsia="Candara" w:hAnsi="Helvetica" w:cs="Helvetica"/>
          <w:bCs/>
          <w:iCs/>
          <w:sz w:val="24"/>
          <w:szCs w:val="24"/>
          <w:lang w:eastAsia="es-GT"/>
        </w:rPr>
        <w:t xml:space="preserve">%. </w:t>
      </w:r>
      <w:r w:rsidRPr="00CB4191">
        <w:rPr>
          <w:rFonts w:ascii="Helvetica" w:eastAsia="Candara" w:hAnsi="Helvetica" w:cs="Helvetica"/>
          <w:b/>
          <w:iCs/>
          <w:sz w:val="24"/>
          <w:szCs w:val="24"/>
          <w:lang w:eastAsia="es-GT"/>
        </w:rPr>
        <w:t>Ningún ministerio se encuentra por debajo de 65% de ejecución</w:t>
      </w:r>
      <w:r>
        <w:rPr>
          <w:rFonts w:ascii="Helvetica" w:eastAsia="Candara" w:hAnsi="Helvetica" w:cs="Helvetica"/>
          <w:b/>
          <w:iCs/>
          <w:sz w:val="24"/>
          <w:szCs w:val="24"/>
          <w:lang w:eastAsia="es-GT"/>
        </w:rPr>
        <w:t>, lo cual constituye un balance muy favorable en comparación con años anteriores.</w:t>
      </w:r>
    </w:p>
    <w:p w14:paraId="4EB5B5C5" w14:textId="77777777"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A continuación, se presentan los principales resultados de la ejecución financiera con base a SICOIN:</w:t>
      </w:r>
    </w:p>
    <w:p w14:paraId="2C0B346A" w14:textId="77777777" w:rsidR="00A87EEB" w:rsidRPr="00CB4191" w:rsidRDefault="00A87EEB" w:rsidP="00A87EEB">
      <w:pPr>
        <w:pStyle w:val="Prrafodelista"/>
        <w:numPr>
          <w:ilvl w:val="0"/>
          <w:numId w:val="21"/>
        </w:numPr>
        <w:jc w:val="both"/>
        <w:rPr>
          <w:rFonts w:ascii="Helvetica" w:eastAsia="Candara" w:hAnsi="Helvetica" w:cs="Helvetica"/>
          <w:iCs/>
          <w:sz w:val="24"/>
          <w:szCs w:val="24"/>
          <w:lang w:eastAsia="es-GT"/>
        </w:rPr>
      </w:pPr>
      <w:r w:rsidRPr="00CB4191">
        <w:rPr>
          <w:rFonts w:ascii="Helvetica" w:eastAsia="Candara" w:hAnsi="Helvetica" w:cs="Helvetica"/>
          <w:i/>
          <w:iCs/>
          <w:sz w:val="24"/>
          <w:szCs w:val="24"/>
          <w:u w:val="single"/>
          <w:lang w:eastAsia="es-GT"/>
        </w:rPr>
        <w:t>Ministerios con mayor asignación presupuestaria:</w:t>
      </w:r>
      <w:r w:rsidRPr="00CB4191">
        <w:rPr>
          <w:rFonts w:ascii="Helvetica" w:eastAsia="Candara" w:hAnsi="Helvetica" w:cs="Helvetica"/>
          <w:sz w:val="24"/>
          <w:szCs w:val="24"/>
          <w:lang w:eastAsia="es-GT"/>
        </w:rPr>
        <w:t xml:space="preserve"> Los 5 ministerios que tuvieron la mayor asignación presupuestaria en el 2020 según SIPLAN y SICOIN fueron:</w:t>
      </w:r>
      <w:r w:rsidRPr="00CB4191">
        <w:rPr>
          <w:rFonts w:ascii="Helvetica" w:eastAsia="Candara" w:hAnsi="Helvetica" w:cs="Helvetica"/>
          <w:b/>
          <w:sz w:val="24"/>
          <w:szCs w:val="24"/>
          <w:lang w:eastAsia="es-GT"/>
        </w:rPr>
        <w:t xml:space="preserve"> </w:t>
      </w:r>
      <w:r w:rsidRPr="003104D9">
        <w:rPr>
          <w:rFonts w:ascii="Helvetica" w:eastAsia="Candara" w:hAnsi="Helvetica" w:cs="Helvetica"/>
          <w:iCs/>
          <w:sz w:val="24"/>
          <w:szCs w:val="24"/>
          <w:lang w:eastAsia="es-GT"/>
        </w:rPr>
        <w:t>MINEDUC con la mayor asignación presupuestaria de Q.</w:t>
      </w:r>
      <w:r w:rsidRPr="003104D9">
        <w:rPr>
          <w:rFonts w:ascii="Helvetica" w:hAnsi="Helvetica" w:cs="Helvetica"/>
          <w:iCs/>
          <w:sz w:val="24"/>
          <w:szCs w:val="24"/>
        </w:rPr>
        <w:t xml:space="preserve"> </w:t>
      </w:r>
      <w:r w:rsidRPr="003104D9">
        <w:rPr>
          <w:rFonts w:ascii="Helvetica" w:eastAsia="Candara" w:hAnsi="Helvetica" w:cs="Helvetica"/>
          <w:iCs/>
          <w:sz w:val="24"/>
          <w:szCs w:val="24"/>
          <w:lang w:eastAsia="es-GT"/>
        </w:rPr>
        <w:t>17,789,020,686,</w:t>
      </w:r>
      <w:r w:rsidRPr="003104D9">
        <w:rPr>
          <w:rFonts w:ascii="Helvetica" w:eastAsia="Candara" w:hAnsi="Helvetica" w:cs="Helvetica"/>
          <w:sz w:val="24"/>
          <w:szCs w:val="24"/>
          <w:lang w:eastAsia="es-GT"/>
        </w:rPr>
        <w:t xml:space="preserve"> seguido del </w:t>
      </w:r>
      <w:r w:rsidRPr="003104D9">
        <w:rPr>
          <w:rFonts w:ascii="Helvetica" w:eastAsia="Candara" w:hAnsi="Helvetica" w:cs="Helvetica"/>
          <w:iCs/>
          <w:sz w:val="24"/>
          <w:szCs w:val="24"/>
          <w:lang w:eastAsia="es-GT"/>
        </w:rPr>
        <w:t>MSPAS con Q.</w:t>
      </w:r>
      <w:r w:rsidRPr="003104D9">
        <w:rPr>
          <w:rFonts w:ascii="Helvetica" w:hAnsi="Helvetica" w:cs="Helvetica"/>
          <w:iCs/>
          <w:sz w:val="24"/>
          <w:szCs w:val="24"/>
        </w:rPr>
        <w:t xml:space="preserve"> </w:t>
      </w:r>
      <w:r w:rsidRPr="003104D9">
        <w:rPr>
          <w:rFonts w:ascii="Helvetica" w:eastAsia="Candara" w:hAnsi="Helvetica" w:cs="Helvetica"/>
          <w:iCs/>
          <w:sz w:val="24"/>
          <w:szCs w:val="24"/>
          <w:lang w:eastAsia="es-GT"/>
        </w:rPr>
        <w:t>9,963,157,000, MIDES con Q.</w:t>
      </w:r>
      <w:r w:rsidRPr="003104D9">
        <w:rPr>
          <w:rFonts w:ascii="Helvetica" w:hAnsi="Helvetica" w:cs="Helvetica"/>
          <w:iCs/>
          <w:sz w:val="24"/>
          <w:szCs w:val="24"/>
        </w:rPr>
        <w:t xml:space="preserve"> </w:t>
      </w:r>
      <w:r w:rsidRPr="003104D9">
        <w:rPr>
          <w:rFonts w:ascii="Helvetica" w:eastAsia="Candara" w:hAnsi="Helvetica" w:cs="Helvetica"/>
          <w:iCs/>
          <w:sz w:val="24"/>
          <w:szCs w:val="24"/>
          <w:lang w:eastAsia="es-GT"/>
        </w:rPr>
        <w:t>7,443,943,230, CIV con Q.</w:t>
      </w:r>
      <w:r w:rsidRPr="003104D9">
        <w:rPr>
          <w:rFonts w:ascii="Helvetica" w:hAnsi="Helvetica" w:cs="Helvetica"/>
          <w:iCs/>
          <w:sz w:val="24"/>
          <w:szCs w:val="24"/>
        </w:rPr>
        <w:t xml:space="preserve"> </w:t>
      </w:r>
      <w:r w:rsidRPr="003104D9">
        <w:rPr>
          <w:rFonts w:ascii="Helvetica" w:eastAsia="Candara" w:hAnsi="Helvetica" w:cs="Helvetica"/>
          <w:iCs/>
          <w:sz w:val="24"/>
          <w:szCs w:val="24"/>
          <w:lang w:eastAsia="es-GT"/>
        </w:rPr>
        <w:t>6,919,234,570 y MINGOB con un monto de Q.</w:t>
      </w:r>
      <w:r w:rsidRPr="003104D9">
        <w:rPr>
          <w:rFonts w:ascii="Helvetica" w:hAnsi="Helvetica" w:cs="Helvetica"/>
          <w:iCs/>
          <w:sz w:val="24"/>
          <w:szCs w:val="24"/>
        </w:rPr>
        <w:t xml:space="preserve"> </w:t>
      </w:r>
      <w:r w:rsidRPr="003104D9">
        <w:rPr>
          <w:rFonts w:ascii="Helvetica" w:eastAsia="Candara" w:hAnsi="Helvetica" w:cs="Helvetica"/>
          <w:iCs/>
          <w:sz w:val="24"/>
          <w:szCs w:val="24"/>
          <w:lang w:eastAsia="es-GT"/>
        </w:rPr>
        <w:t>6,024,809,100</w:t>
      </w:r>
      <w:r w:rsidRPr="003104D9">
        <w:rPr>
          <w:rStyle w:val="Refdenotaalpie"/>
          <w:rFonts w:ascii="Helvetica" w:eastAsia="Candara" w:hAnsi="Helvetica" w:cs="Helvetica"/>
          <w:sz w:val="24"/>
          <w:szCs w:val="24"/>
          <w:lang w:eastAsia="es-GT"/>
        </w:rPr>
        <w:footnoteReference w:id="2"/>
      </w:r>
      <w:r w:rsidRPr="003104D9">
        <w:rPr>
          <w:rFonts w:ascii="Helvetica" w:eastAsia="Candara" w:hAnsi="Helvetica" w:cs="Helvetica"/>
          <w:sz w:val="24"/>
          <w:szCs w:val="24"/>
          <w:lang w:eastAsia="es-GT"/>
        </w:rPr>
        <w:t>.</w:t>
      </w:r>
      <w:r w:rsidRPr="00CB4191">
        <w:rPr>
          <w:rFonts w:ascii="Helvetica" w:eastAsia="Candara" w:hAnsi="Helvetica" w:cs="Helvetica"/>
          <w:b/>
          <w:sz w:val="24"/>
          <w:szCs w:val="24"/>
          <w:lang w:eastAsia="es-GT"/>
        </w:rPr>
        <w:t xml:space="preserve"> </w:t>
      </w:r>
    </w:p>
    <w:p w14:paraId="44E684EC" w14:textId="77777777" w:rsidR="00A87EEB" w:rsidRPr="00CB4191" w:rsidRDefault="00A87EEB" w:rsidP="00A87EEB">
      <w:pPr>
        <w:pStyle w:val="Prrafodelista"/>
        <w:jc w:val="both"/>
        <w:rPr>
          <w:rFonts w:ascii="Helvetica" w:eastAsia="Candara" w:hAnsi="Helvetica" w:cs="Helvetica"/>
          <w:iCs/>
          <w:sz w:val="24"/>
          <w:szCs w:val="24"/>
          <w:lang w:eastAsia="es-GT"/>
        </w:rPr>
      </w:pPr>
      <w:r w:rsidRPr="00CB4191">
        <w:rPr>
          <w:rFonts w:ascii="Helvetica" w:eastAsia="Candara" w:hAnsi="Helvetica" w:cs="Helvetica"/>
          <w:b/>
          <w:sz w:val="24"/>
          <w:szCs w:val="24"/>
          <w:lang w:eastAsia="es-GT"/>
        </w:rPr>
        <w:tab/>
      </w:r>
    </w:p>
    <w:p w14:paraId="5A863756" w14:textId="77777777" w:rsidR="00A87EEB" w:rsidRPr="00CB4191" w:rsidRDefault="00A87EEB" w:rsidP="00A87EEB">
      <w:pPr>
        <w:pStyle w:val="Prrafodelista"/>
        <w:numPr>
          <w:ilvl w:val="0"/>
          <w:numId w:val="21"/>
        </w:numPr>
        <w:jc w:val="both"/>
        <w:rPr>
          <w:rFonts w:ascii="Helvetica" w:eastAsia="Candara" w:hAnsi="Helvetica" w:cs="Helvetica"/>
          <w:b/>
          <w:sz w:val="24"/>
          <w:szCs w:val="24"/>
          <w:lang w:eastAsia="es-GT"/>
        </w:rPr>
      </w:pPr>
      <w:r w:rsidRPr="00CB4191">
        <w:rPr>
          <w:rFonts w:ascii="Helvetica" w:eastAsia="Candara" w:hAnsi="Helvetica" w:cs="Helvetica"/>
          <w:i/>
          <w:iCs/>
          <w:sz w:val="24"/>
          <w:szCs w:val="24"/>
          <w:u w:val="single"/>
          <w:lang w:eastAsia="es-GT"/>
        </w:rPr>
        <w:t>Ministerios con mayor porcentaje de ejecución financiera:</w:t>
      </w:r>
      <w:r w:rsidRPr="00CB4191">
        <w:rPr>
          <w:rFonts w:ascii="Helvetica" w:eastAsia="Candara" w:hAnsi="Helvetica" w:cs="Helvetica"/>
          <w:i/>
          <w:iCs/>
          <w:sz w:val="24"/>
          <w:szCs w:val="24"/>
          <w:lang w:eastAsia="es-GT"/>
        </w:rPr>
        <w:t xml:space="preserve"> </w:t>
      </w:r>
      <w:r w:rsidRPr="00CB4191">
        <w:rPr>
          <w:rFonts w:ascii="Helvetica" w:eastAsia="Candara" w:hAnsi="Helvetica" w:cs="Helvetica"/>
          <w:sz w:val="24"/>
          <w:szCs w:val="24"/>
          <w:lang w:eastAsia="es-GT"/>
        </w:rPr>
        <w:t xml:space="preserve">En el párrafo anterior se mencionaron los ministerios con la mayor asignación de presupuesto, sin embargo, no fueron estos en su totalidad quienes lograron la mayor ejecución. </w:t>
      </w:r>
      <w:r w:rsidRPr="00CB4191">
        <w:rPr>
          <w:rFonts w:ascii="Helvetica" w:eastAsia="Candara" w:hAnsi="Helvetica" w:cs="Helvetica"/>
          <w:bCs/>
          <w:sz w:val="24"/>
          <w:szCs w:val="24"/>
          <w:lang w:eastAsia="es-GT"/>
        </w:rPr>
        <w:t xml:space="preserve">Los </w:t>
      </w:r>
      <w:r w:rsidRPr="00C60BCA">
        <w:rPr>
          <w:rFonts w:ascii="Helvetica" w:eastAsia="Candara" w:hAnsi="Helvetica" w:cs="Helvetica"/>
          <w:bCs/>
          <w:sz w:val="24"/>
          <w:szCs w:val="24"/>
          <w:lang w:eastAsia="es-GT"/>
        </w:rPr>
        <w:t>5 ministerios que alcanzaron el porcentaje más alto de ejecución financiera fueron:</w:t>
      </w:r>
      <w:r w:rsidRPr="00C60BCA">
        <w:rPr>
          <w:rFonts w:ascii="Helvetica" w:eastAsia="Candara" w:hAnsi="Helvetica" w:cs="Helvetica"/>
          <w:sz w:val="24"/>
          <w:szCs w:val="24"/>
          <w:lang w:eastAsia="es-GT"/>
        </w:rPr>
        <w:t xml:space="preserve"> </w:t>
      </w:r>
      <w:r w:rsidRPr="00C60BCA">
        <w:rPr>
          <w:rFonts w:ascii="Helvetica" w:eastAsia="Candara" w:hAnsi="Helvetica" w:cs="Helvetica"/>
          <w:iCs/>
          <w:sz w:val="24"/>
          <w:szCs w:val="24"/>
          <w:lang w:eastAsia="es-GT"/>
        </w:rPr>
        <w:t>MINECO, MIDES, MINDEF, MINEDUC y MINEX</w:t>
      </w:r>
      <w:r w:rsidRPr="00C60BCA">
        <w:rPr>
          <w:rFonts w:ascii="Helvetica" w:eastAsia="Candara" w:hAnsi="Helvetica" w:cs="Helvetica"/>
          <w:sz w:val="24"/>
          <w:szCs w:val="24"/>
          <w:lang w:eastAsia="es-GT"/>
        </w:rPr>
        <w:t>.</w:t>
      </w:r>
      <w:r w:rsidRPr="00CB4191">
        <w:rPr>
          <w:rFonts w:ascii="Helvetica" w:eastAsia="Candara" w:hAnsi="Helvetica" w:cs="Helvetica"/>
          <w:b/>
          <w:sz w:val="24"/>
          <w:szCs w:val="24"/>
          <w:lang w:eastAsia="es-GT"/>
        </w:rPr>
        <w:t xml:space="preserve"> </w:t>
      </w:r>
    </w:p>
    <w:p w14:paraId="6A05C3C5" w14:textId="77777777" w:rsidR="00A87EEB" w:rsidRPr="00CB4191" w:rsidRDefault="00A87EEB" w:rsidP="00A87EEB">
      <w:pPr>
        <w:ind w:left="708"/>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 xml:space="preserve">Es importante resaltar que, tanto el MINEDUC como el MIDES además de haber contado con una mayor asignación de recursos financieros principalmente derivado de incrementos al presupuesto para la atención de la emergencia del COVID-19, lograron ubicarse dentro de los cinco ministerios con mayor ejecución. </w:t>
      </w:r>
      <w:r w:rsidRPr="00CB4191">
        <w:rPr>
          <w:rFonts w:ascii="Helvetica" w:eastAsia="Candara" w:hAnsi="Helvetica" w:cs="Helvetica"/>
          <w:bCs/>
          <w:sz w:val="24"/>
          <w:szCs w:val="24"/>
          <w:lang w:eastAsia="es-GT"/>
        </w:rPr>
        <w:t>En primer lugar, se ubica el MINECO</w:t>
      </w:r>
      <w:r w:rsidRPr="00CB4191">
        <w:rPr>
          <w:rFonts w:ascii="Helvetica" w:eastAsia="Candara" w:hAnsi="Helvetica" w:cs="Helvetica"/>
          <w:sz w:val="24"/>
          <w:szCs w:val="24"/>
          <w:lang w:eastAsia="es-GT"/>
        </w:rPr>
        <w:t>, con 96.70% de ejecución respecto a la meta financiera vigente, seguido del MIDES con un 96.09%, MINDEF 94.84%, MINEDUC 94.06% y MINEX con 91.60% de ejecución.</w:t>
      </w:r>
    </w:p>
    <w:p w14:paraId="7A343B1F" w14:textId="05C30CD6" w:rsidR="00A87EEB" w:rsidRDefault="00A87EEB" w:rsidP="00A87EEB">
      <w:pPr>
        <w:pStyle w:val="Prrafodelista"/>
        <w:numPr>
          <w:ilvl w:val="0"/>
          <w:numId w:val="21"/>
        </w:numPr>
        <w:jc w:val="both"/>
        <w:rPr>
          <w:rFonts w:ascii="Helvetica" w:eastAsia="Candara" w:hAnsi="Helvetica" w:cs="Helvetica"/>
          <w:iCs/>
          <w:sz w:val="24"/>
          <w:szCs w:val="24"/>
          <w:lang w:eastAsia="es-GT"/>
        </w:rPr>
      </w:pPr>
      <w:r w:rsidRPr="00CB4191">
        <w:rPr>
          <w:rFonts w:ascii="Helvetica" w:eastAsia="Candara" w:hAnsi="Helvetica" w:cs="Helvetica"/>
          <w:i/>
          <w:iCs/>
          <w:sz w:val="24"/>
          <w:szCs w:val="24"/>
          <w:u w:val="single"/>
          <w:lang w:eastAsia="es-GT"/>
        </w:rPr>
        <w:t xml:space="preserve">Ministerios con menor porcentaje de ejecución financiera: </w:t>
      </w:r>
      <w:r w:rsidRPr="00CB4191">
        <w:rPr>
          <w:rFonts w:ascii="Helvetica" w:eastAsia="Candara" w:hAnsi="Helvetica" w:cs="Helvetica"/>
          <w:iCs/>
          <w:sz w:val="24"/>
          <w:szCs w:val="24"/>
          <w:lang w:eastAsia="es-GT"/>
        </w:rPr>
        <w:t>Se observa a cinco ministerios con la ejecución más baja; el</w:t>
      </w:r>
      <w:r w:rsidRPr="00CB4191">
        <w:rPr>
          <w:rFonts w:ascii="Helvetica" w:eastAsia="Candara" w:hAnsi="Helvetica" w:cs="Helvetica"/>
          <w:b/>
          <w:iCs/>
          <w:sz w:val="24"/>
          <w:szCs w:val="24"/>
          <w:lang w:eastAsia="es-GT"/>
        </w:rPr>
        <w:t xml:space="preserve"> </w:t>
      </w:r>
      <w:r w:rsidRPr="00CB4191">
        <w:rPr>
          <w:rFonts w:ascii="Helvetica" w:eastAsia="Candara" w:hAnsi="Helvetica" w:cs="Helvetica"/>
          <w:bCs/>
          <w:iCs/>
          <w:sz w:val="24"/>
          <w:szCs w:val="24"/>
          <w:lang w:eastAsia="es-GT"/>
        </w:rPr>
        <w:t>MCD con 65.39%,</w:t>
      </w:r>
      <w:r w:rsidRPr="00CB4191">
        <w:rPr>
          <w:rFonts w:ascii="Helvetica" w:eastAsia="Candara" w:hAnsi="Helvetica" w:cs="Helvetica"/>
          <w:iCs/>
          <w:sz w:val="24"/>
          <w:szCs w:val="24"/>
          <w:lang w:eastAsia="es-GT"/>
        </w:rPr>
        <w:t xml:space="preserve"> </w:t>
      </w:r>
      <w:r w:rsidRPr="00CB4191">
        <w:rPr>
          <w:rFonts w:ascii="Helvetica" w:eastAsia="Candara" w:hAnsi="Helvetica" w:cs="Helvetica"/>
          <w:bCs/>
          <w:iCs/>
          <w:sz w:val="24"/>
          <w:szCs w:val="24"/>
          <w:lang w:eastAsia="es-GT"/>
        </w:rPr>
        <w:t xml:space="preserve">siendo el </w:t>
      </w:r>
      <w:r>
        <w:rPr>
          <w:rFonts w:ascii="Helvetica" w:eastAsia="Candara" w:hAnsi="Helvetica" w:cs="Helvetica"/>
          <w:bCs/>
          <w:iCs/>
          <w:sz w:val="24"/>
          <w:szCs w:val="24"/>
          <w:lang w:eastAsia="es-GT"/>
        </w:rPr>
        <w:t>M</w:t>
      </w:r>
      <w:r w:rsidRPr="00CB4191">
        <w:rPr>
          <w:rFonts w:ascii="Helvetica" w:eastAsia="Candara" w:hAnsi="Helvetica" w:cs="Helvetica"/>
          <w:bCs/>
          <w:iCs/>
          <w:sz w:val="24"/>
          <w:szCs w:val="24"/>
          <w:lang w:eastAsia="es-GT"/>
        </w:rPr>
        <w:t>inisterio con la ejecución más baja,</w:t>
      </w:r>
      <w:r w:rsidRPr="00CB4191">
        <w:rPr>
          <w:rFonts w:ascii="Helvetica" w:eastAsia="Candara" w:hAnsi="Helvetica" w:cs="Helvetica"/>
          <w:iCs/>
          <w:sz w:val="24"/>
          <w:szCs w:val="24"/>
          <w:lang w:eastAsia="es-GT"/>
        </w:rPr>
        <w:t xml:space="preserve"> seguido del CIV con 69.56%, MAGA; 70.72%, MINFIN; 75.92% y MEM; 78.08%.</w:t>
      </w:r>
    </w:p>
    <w:p w14:paraId="40CD1D4E" w14:textId="77777777" w:rsidR="00A87EEB" w:rsidRDefault="00A87EEB" w:rsidP="00A87EEB">
      <w:pPr>
        <w:pStyle w:val="Prrafodelista"/>
        <w:jc w:val="both"/>
        <w:rPr>
          <w:rFonts w:ascii="Helvetica" w:eastAsia="Candara" w:hAnsi="Helvetica" w:cs="Helvetica"/>
          <w:iCs/>
          <w:sz w:val="24"/>
          <w:szCs w:val="24"/>
          <w:lang w:eastAsia="es-GT"/>
        </w:rPr>
      </w:pPr>
    </w:p>
    <w:p w14:paraId="17EA1BB8" w14:textId="14872AFE" w:rsidR="00A87EEB" w:rsidRDefault="00A87EEB" w:rsidP="00A87EEB">
      <w:pPr>
        <w:pStyle w:val="Prrafodelista"/>
        <w:numPr>
          <w:ilvl w:val="0"/>
          <w:numId w:val="21"/>
        </w:numPr>
        <w:jc w:val="both"/>
        <w:rPr>
          <w:rFonts w:ascii="Helvetica" w:eastAsia="Candara" w:hAnsi="Helvetica" w:cs="Helvetica"/>
          <w:iCs/>
          <w:sz w:val="24"/>
          <w:szCs w:val="24"/>
          <w:lang w:eastAsia="es-GT"/>
        </w:rPr>
      </w:pPr>
      <w:r w:rsidRPr="008B34B5">
        <w:rPr>
          <w:rFonts w:ascii="Helvetica" w:eastAsia="Candara" w:hAnsi="Helvetica" w:cs="Helvetica"/>
          <w:iCs/>
          <w:sz w:val="24"/>
          <w:szCs w:val="24"/>
          <w:u w:val="single"/>
          <w:lang w:eastAsia="es-GT"/>
        </w:rPr>
        <w:t>Reprogramaciones financieras:</w:t>
      </w:r>
      <w:r>
        <w:rPr>
          <w:rFonts w:ascii="Helvetica" w:eastAsia="Candara" w:hAnsi="Helvetica" w:cs="Helvetica"/>
          <w:iCs/>
          <w:sz w:val="24"/>
          <w:szCs w:val="24"/>
          <w:lang w:eastAsia="es-GT"/>
        </w:rPr>
        <w:t xml:space="preserve"> las modificaciones presupuestarias realizadas por los ministerios</w:t>
      </w:r>
      <w:r w:rsidR="00DB5C36">
        <w:rPr>
          <w:rFonts w:ascii="Helvetica" w:eastAsia="Candara" w:hAnsi="Helvetica" w:cs="Helvetica"/>
          <w:iCs/>
          <w:sz w:val="24"/>
          <w:szCs w:val="24"/>
          <w:lang w:eastAsia="es-GT"/>
        </w:rPr>
        <w:t xml:space="preserve">, provocaron </w:t>
      </w:r>
      <w:r>
        <w:rPr>
          <w:rFonts w:ascii="Helvetica" w:eastAsia="Candara" w:hAnsi="Helvetica" w:cs="Helvetica"/>
          <w:iCs/>
          <w:sz w:val="24"/>
          <w:szCs w:val="24"/>
          <w:lang w:eastAsia="es-GT"/>
        </w:rPr>
        <w:t xml:space="preserve">que se reprogramaran las metas financieras para disminuir o aumentar el presupuesto asignado inicialmente. Este cambio afecta de manera positiva o negativa el desempeño en la ejecución financiera según las capacidades institucionales. </w:t>
      </w:r>
    </w:p>
    <w:p w14:paraId="0B362848" w14:textId="77777777" w:rsidR="00A87EEB" w:rsidRDefault="00A87EEB" w:rsidP="00A87EEB">
      <w:pPr>
        <w:pStyle w:val="Prrafodelista"/>
        <w:jc w:val="both"/>
        <w:rPr>
          <w:rFonts w:ascii="Helvetica" w:eastAsia="Candara" w:hAnsi="Helvetica" w:cs="Helvetica"/>
          <w:iCs/>
          <w:sz w:val="24"/>
          <w:szCs w:val="24"/>
          <w:lang w:eastAsia="es-GT"/>
        </w:rPr>
      </w:pPr>
    </w:p>
    <w:p w14:paraId="37B3FBBE" w14:textId="77777777" w:rsidR="00A87EEB" w:rsidRPr="009F70BA" w:rsidRDefault="00A87EEB" w:rsidP="00A87EEB">
      <w:pPr>
        <w:pStyle w:val="Prrafodelista"/>
        <w:spacing w:before="120" w:after="120" w:line="240" w:lineRule="auto"/>
        <w:contextualSpacing w:val="0"/>
        <w:jc w:val="both"/>
        <w:rPr>
          <w:rFonts w:ascii="Helvetica" w:eastAsia="Candara" w:hAnsi="Helvetica" w:cs="Helvetica"/>
          <w:iCs/>
          <w:sz w:val="24"/>
          <w:szCs w:val="24"/>
          <w:lang w:eastAsia="es-GT"/>
        </w:rPr>
      </w:pPr>
      <w:r>
        <w:rPr>
          <w:rFonts w:ascii="Helvetica" w:eastAsia="Candara" w:hAnsi="Helvetica" w:cs="Helvetica"/>
          <w:iCs/>
          <w:sz w:val="24"/>
          <w:szCs w:val="24"/>
          <w:lang w:eastAsia="es-GT"/>
        </w:rPr>
        <w:t xml:space="preserve">Según SICOIN, los 14 ministerios reportaron modificaciones presupuestarias, 3 ministerios sufrieron disminuciones en su presupuesto asignado, siendo estos: el </w:t>
      </w:r>
      <w:r w:rsidRPr="009F70BA">
        <w:rPr>
          <w:rFonts w:ascii="Helvetica" w:eastAsia="Candara" w:hAnsi="Helvetica" w:cs="Helvetica"/>
          <w:bCs/>
          <w:iCs/>
          <w:sz w:val="24"/>
          <w:szCs w:val="24"/>
          <w:lang w:eastAsia="es-GT"/>
        </w:rPr>
        <w:t>MCD</w:t>
      </w:r>
      <w:r w:rsidRPr="009F70BA">
        <w:rPr>
          <w:rFonts w:ascii="Helvetica" w:eastAsia="Candara" w:hAnsi="Helvetica" w:cs="Helvetica"/>
          <w:iCs/>
          <w:sz w:val="24"/>
          <w:szCs w:val="24"/>
          <w:lang w:eastAsia="es-GT"/>
        </w:rPr>
        <w:t xml:space="preserve"> con un monto de Q.74,209,832.00, seguido de </w:t>
      </w:r>
      <w:r w:rsidRPr="009F70BA">
        <w:rPr>
          <w:rFonts w:ascii="Helvetica" w:eastAsia="Candara" w:hAnsi="Helvetica" w:cs="Helvetica"/>
          <w:bCs/>
          <w:iCs/>
          <w:sz w:val="24"/>
          <w:szCs w:val="24"/>
          <w:lang w:eastAsia="es-GT"/>
        </w:rPr>
        <w:t>MINTRAB</w:t>
      </w:r>
      <w:r w:rsidRPr="009F70BA">
        <w:rPr>
          <w:rFonts w:ascii="Helvetica" w:eastAsia="Candara" w:hAnsi="Helvetica" w:cs="Helvetica"/>
          <w:iCs/>
          <w:sz w:val="24"/>
          <w:szCs w:val="24"/>
          <w:lang w:eastAsia="es-GT"/>
        </w:rPr>
        <w:t xml:space="preserve"> con Q.37,470,674.00 y </w:t>
      </w:r>
      <w:r w:rsidRPr="009F70BA">
        <w:rPr>
          <w:rFonts w:ascii="Helvetica" w:eastAsia="Candara" w:hAnsi="Helvetica" w:cs="Helvetica"/>
          <w:bCs/>
          <w:iCs/>
          <w:sz w:val="24"/>
          <w:szCs w:val="24"/>
          <w:lang w:eastAsia="es-GT"/>
        </w:rPr>
        <w:t>MINFIN</w:t>
      </w:r>
      <w:r w:rsidRPr="009F70BA">
        <w:rPr>
          <w:rFonts w:ascii="Helvetica" w:eastAsia="Candara" w:hAnsi="Helvetica" w:cs="Helvetica"/>
          <w:iCs/>
          <w:sz w:val="24"/>
          <w:szCs w:val="24"/>
          <w:lang w:eastAsia="es-GT"/>
        </w:rPr>
        <w:t xml:space="preserve"> con Q.7,230,800.00.</w:t>
      </w:r>
    </w:p>
    <w:p w14:paraId="0ECD7A99" w14:textId="77777777" w:rsidR="00A87EEB" w:rsidRPr="009F70BA" w:rsidRDefault="00A87EEB" w:rsidP="00A87EEB">
      <w:pPr>
        <w:pStyle w:val="Prrafodelista"/>
        <w:spacing w:before="120" w:after="120" w:line="240" w:lineRule="auto"/>
        <w:contextualSpacing w:val="0"/>
        <w:jc w:val="both"/>
        <w:rPr>
          <w:rFonts w:ascii="Helvetica" w:eastAsia="Candara" w:hAnsi="Helvetica" w:cs="Helvetica"/>
          <w:iCs/>
          <w:sz w:val="24"/>
          <w:szCs w:val="24"/>
          <w:lang w:eastAsia="es-GT"/>
        </w:rPr>
      </w:pPr>
      <w:r w:rsidRPr="009F70BA">
        <w:rPr>
          <w:rFonts w:ascii="Helvetica" w:eastAsia="Candara" w:hAnsi="Helvetica" w:cs="Helvetica"/>
          <w:iCs/>
          <w:sz w:val="24"/>
          <w:szCs w:val="24"/>
          <w:lang w:eastAsia="es-GT"/>
        </w:rPr>
        <w:t xml:space="preserve">Los 11 ministerios que reportaron incrementos en el presupuesto asignado o inicial fueron: el </w:t>
      </w:r>
      <w:r w:rsidRPr="009F70BA">
        <w:rPr>
          <w:rFonts w:ascii="Helvetica" w:eastAsia="Candara" w:hAnsi="Helvetica" w:cs="Helvetica"/>
          <w:bCs/>
          <w:iCs/>
          <w:sz w:val="24"/>
          <w:szCs w:val="24"/>
          <w:lang w:eastAsia="es-GT"/>
        </w:rPr>
        <w:t>MIDES</w:t>
      </w:r>
      <w:r w:rsidRPr="009F70BA">
        <w:rPr>
          <w:rFonts w:ascii="Helvetica" w:eastAsia="Candara" w:hAnsi="Helvetica" w:cs="Helvetica"/>
          <w:iCs/>
          <w:sz w:val="24"/>
          <w:szCs w:val="24"/>
          <w:lang w:eastAsia="es-GT"/>
        </w:rPr>
        <w:t xml:space="preserve"> con el mayor monto de modificación presupuestaria de Q.6,284,876,230.00, seguido de </w:t>
      </w:r>
      <w:r w:rsidRPr="009F70BA">
        <w:rPr>
          <w:rFonts w:ascii="Helvetica" w:eastAsia="Candara" w:hAnsi="Helvetica" w:cs="Helvetica"/>
          <w:bCs/>
          <w:iCs/>
          <w:sz w:val="24"/>
          <w:szCs w:val="24"/>
          <w:lang w:eastAsia="es-GT"/>
        </w:rPr>
        <w:t>MINECO</w:t>
      </w:r>
      <w:r w:rsidRPr="009F70BA">
        <w:rPr>
          <w:rFonts w:ascii="Helvetica" w:eastAsia="Candara" w:hAnsi="Helvetica" w:cs="Helvetica"/>
          <w:iCs/>
          <w:sz w:val="24"/>
          <w:szCs w:val="24"/>
          <w:lang w:eastAsia="es-GT"/>
        </w:rPr>
        <w:t xml:space="preserve"> con Q.</w:t>
      </w:r>
      <w:r w:rsidRPr="009F70BA">
        <w:t xml:space="preserve"> </w:t>
      </w:r>
      <w:r w:rsidRPr="009F70BA">
        <w:rPr>
          <w:rFonts w:ascii="Helvetica" w:eastAsia="Candara" w:hAnsi="Helvetica" w:cs="Helvetica"/>
          <w:iCs/>
          <w:sz w:val="24"/>
          <w:szCs w:val="24"/>
          <w:lang w:eastAsia="es-GT"/>
        </w:rPr>
        <w:t xml:space="preserve">3,121,719,156.00, </w:t>
      </w:r>
      <w:r w:rsidRPr="009F70BA">
        <w:rPr>
          <w:rFonts w:ascii="Helvetica" w:eastAsia="Candara" w:hAnsi="Helvetica" w:cs="Helvetica"/>
          <w:bCs/>
          <w:iCs/>
          <w:sz w:val="24"/>
          <w:szCs w:val="24"/>
          <w:lang w:eastAsia="es-GT"/>
        </w:rPr>
        <w:t xml:space="preserve">MSPAS </w:t>
      </w:r>
      <w:r w:rsidRPr="009F70BA">
        <w:rPr>
          <w:rFonts w:ascii="Helvetica" w:eastAsia="Candara" w:hAnsi="Helvetica" w:cs="Helvetica"/>
          <w:iCs/>
          <w:sz w:val="24"/>
          <w:szCs w:val="24"/>
          <w:lang w:eastAsia="es-GT"/>
        </w:rPr>
        <w:t>Q.</w:t>
      </w:r>
      <w:r w:rsidRPr="009F70BA">
        <w:t xml:space="preserve"> </w:t>
      </w:r>
      <w:r w:rsidRPr="009F70BA">
        <w:rPr>
          <w:rFonts w:ascii="Helvetica" w:eastAsia="Candara" w:hAnsi="Helvetica" w:cs="Helvetica"/>
          <w:iCs/>
          <w:sz w:val="24"/>
          <w:szCs w:val="24"/>
          <w:lang w:eastAsia="es-GT"/>
        </w:rPr>
        <w:t xml:space="preserve">1,766,000,000.00, </w:t>
      </w:r>
      <w:r w:rsidRPr="009F70BA">
        <w:rPr>
          <w:rFonts w:ascii="Helvetica" w:eastAsia="Candara" w:hAnsi="Helvetica" w:cs="Helvetica"/>
          <w:bCs/>
          <w:iCs/>
          <w:sz w:val="24"/>
          <w:szCs w:val="24"/>
          <w:lang w:eastAsia="es-GT"/>
        </w:rPr>
        <w:t>MINEDUC</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 xml:space="preserve">1,258,434,261.00, </w:t>
      </w:r>
      <w:r w:rsidRPr="009F70BA">
        <w:rPr>
          <w:rFonts w:ascii="Helvetica" w:eastAsia="Candara" w:hAnsi="Helvetica" w:cs="Helvetica"/>
          <w:bCs/>
          <w:iCs/>
          <w:sz w:val="24"/>
          <w:szCs w:val="24"/>
          <w:lang w:eastAsia="es-GT"/>
        </w:rPr>
        <w:t>CIV</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 xml:space="preserve">865,854,570.00, </w:t>
      </w:r>
      <w:r w:rsidRPr="009F70BA">
        <w:rPr>
          <w:rFonts w:ascii="Helvetica" w:eastAsia="Candara" w:hAnsi="Helvetica" w:cs="Helvetica"/>
          <w:bCs/>
          <w:iCs/>
          <w:sz w:val="24"/>
          <w:szCs w:val="24"/>
          <w:lang w:eastAsia="es-GT"/>
        </w:rPr>
        <w:t>MINGOB</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 xml:space="preserve">680,000,000.00, </w:t>
      </w:r>
      <w:r w:rsidRPr="009F70BA">
        <w:rPr>
          <w:rFonts w:ascii="Helvetica" w:eastAsia="Candara" w:hAnsi="Helvetica" w:cs="Helvetica"/>
          <w:bCs/>
          <w:iCs/>
          <w:sz w:val="24"/>
          <w:szCs w:val="24"/>
          <w:lang w:eastAsia="es-GT"/>
        </w:rPr>
        <w:t>MAGA</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 xml:space="preserve">221,691,204.00, </w:t>
      </w:r>
      <w:r w:rsidRPr="009F70BA">
        <w:rPr>
          <w:rFonts w:ascii="Helvetica" w:eastAsia="Candara" w:hAnsi="Helvetica" w:cs="Helvetica"/>
          <w:bCs/>
          <w:iCs/>
          <w:sz w:val="24"/>
          <w:szCs w:val="24"/>
          <w:lang w:eastAsia="es-GT"/>
        </w:rPr>
        <w:t>MINEX</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 xml:space="preserve">20,000,000.00, </w:t>
      </w:r>
      <w:r w:rsidRPr="009F70BA">
        <w:rPr>
          <w:rFonts w:ascii="Helvetica" w:eastAsia="Candara" w:hAnsi="Helvetica" w:cs="Helvetica"/>
          <w:bCs/>
          <w:iCs/>
          <w:sz w:val="24"/>
          <w:szCs w:val="24"/>
          <w:lang w:eastAsia="es-GT"/>
        </w:rPr>
        <w:t>MINDEF</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 xml:space="preserve">18,822,778.00, </w:t>
      </w:r>
      <w:r w:rsidRPr="009F70BA">
        <w:rPr>
          <w:rFonts w:ascii="Helvetica" w:eastAsia="Candara" w:hAnsi="Helvetica" w:cs="Helvetica"/>
          <w:bCs/>
          <w:iCs/>
          <w:sz w:val="24"/>
          <w:szCs w:val="24"/>
          <w:lang w:eastAsia="es-GT"/>
        </w:rPr>
        <w:t>MARN</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 xml:space="preserve">15,000,000.00 y </w:t>
      </w:r>
      <w:r w:rsidRPr="009F70BA">
        <w:rPr>
          <w:rFonts w:ascii="Helvetica" w:eastAsia="Candara" w:hAnsi="Helvetica" w:cs="Helvetica"/>
          <w:bCs/>
          <w:iCs/>
          <w:sz w:val="24"/>
          <w:szCs w:val="24"/>
          <w:lang w:eastAsia="es-GT"/>
        </w:rPr>
        <w:t>MEM</w:t>
      </w:r>
      <w:r w:rsidRPr="009F70BA">
        <w:rPr>
          <w:rFonts w:ascii="Helvetica" w:eastAsia="Candara" w:hAnsi="Helvetica" w:cs="Helvetica"/>
          <w:iCs/>
          <w:sz w:val="24"/>
          <w:szCs w:val="24"/>
          <w:lang w:eastAsia="es-GT"/>
        </w:rPr>
        <w:t xml:space="preserve"> Q.</w:t>
      </w:r>
      <w:r w:rsidRPr="009F70BA">
        <w:t xml:space="preserve"> </w:t>
      </w:r>
      <w:r w:rsidRPr="009F70BA">
        <w:rPr>
          <w:rFonts w:ascii="Helvetica" w:eastAsia="Candara" w:hAnsi="Helvetica" w:cs="Helvetica"/>
          <w:iCs/>
          <w:sz w:val="24"/>
          <w:szCs w:val="24"/>
          <w:lang w:eastAsia="es-GT"/>
        </w:rPr>
        <w:t>7,230,800.00.</w:t>
      </w:r>
    </w:p>
    <w:p w14:paraId="7BE4F980" w14:textId="77777777" w:rsidR="00A87EEB" w:rsidRPr="008D1CB6" w:rsidRDefault="00A87EEB" w:rsidP="00A87EEB">
      <w:pPr>
        <w:pStyle w:val="Ttulo1"/>
        <w:numPr>
          <w:ilvl w:val="0"/>
          <w:numId w:val="0"/>
        </w:numPr>
        <w:ind w:left="432" w:hanging="432"/>
      </w:pPr>
      <w:bookmarkStart w:id="25" w:name="_Toc50824681"/>
      <w:bookmarkStart w:id="26" w:name="_Toc66952606"/>
      <w:bookmarkStart w:id="27" w:name="_Toc67589091"/>
      <w:r w:rsidRPr="008D1CB6">
        <w:t>Secretarías</w:t>
      </w:r>
      <w:bookmarkEnd w:id="25"/>
      <w:bookmarkEnd w:id="26"/>
      <w:bookmarkEnd w:id="27"/>
    </w:p>
    <w:p w14:paraId="1A448D00" w14:textId="77777777" w:rsidR="00A87EEB" w:rsidRPr="00D60E12" w:rsidRDefault="00A87EEB" w:rsidP="00A87EEB">
      <w:pPr>
        <w:spacing w:before="240" w:after="240" w:line="240" w:lineRule="auto"/>
        <w:jc w:val="both"/>
        <w:rPr>
          <w:rFonts w:ascii="Helvetica" w:eastAsia="Candara" w:hAnsi="Helvetica" w:cs="Helvetica"/>
          <w:sz w:val="24"/>
          <w:szCs w:val="24"/>
          <w:lang w:eastAsia="es-GT"/>
        </w:rPr>
      </w:pPr>
      <w:bookmarkStart w:id="28" w:name="_Toc50824682"/>
      <w:r w:rsidRPr="00D60E12">
        <w:rPr>
          <w:rFonts w:ascii="Helvetica" w:eastAsia="Candara" w:hAnsi="Helvetica" w:cs="Helvetica"/>
          <w:sz w:val="24"/>
          <w:szCs w:val="24"/>
          <w:lang w:eastAsia="es-GT"/>
        </w:rPr>
        <w:t>Se presentan los resultados de la ejecución financiera del ejercicio fiscal 2020 de 17</w:t>
      </w:r>
      <w:r w:rsidRPr="00D60E12">
        <w:rPr>
          <w:rFonts w:ascii="Helvetica" w:eastAsia="Candara" w:hAnsi="Helvetica" w:cs="Helvetica"/>
          <w:iCs/>
          <w:sz w:val="24"/>
          <w:szCs w:val="24"/>
          <w:lang w:eastAsia="es-GT"/>
        </w:rPr>
        <w:t xml:space="preserve"> Secretarías</w:t>
      </w:r>
      <w:r w:rsidRPr="00D60E12">
        <w:rPr>
          <w:rFonts w:ascii="Helvetica" w:eastAsia="Candara" w:hAnsi="Helvetica" w:cs="Helvetica"/>
          <w:sz w:val="24"/>
          <w:szCs w:val="24"/>
          <w:lang w:eastAsia="es-GT"/>
        </w:rPr>
        <w:t>, a través de un cuadro comparativo según los registros realizados en el SIPLAN y el SICOIN.  En dichas plataformas informáticas, las secretarías realizaron los registros correspondientes a la formulación de la planificación, la programación y reprogramación de metas físicas y financieras y la ejecución de metas en cada cuatrimestre del 2020 como lo establece la normativa vigente.</w:t>
      </w:r>
    </w:p>
    <w:p w14:paraId="52E2093F" w14:textId="77777777" w:rsidR="00A87EEB" w:rsidRPr="00CB4191" w:rsidRDefault="00A87EEB" w:rsidP="00A87EEB">
      <w:pPr>
        <w:spacing w:before="240" w:after="240" w:line="240" w:lineRule="auto"/>
        <w:jc w:val="both"/>
        <w:rPr>
          <w:rFonts w:ascii="Helvetica" w:eastAsia="Candara" w:hAnsi="Helvetica" w:cs="Helvetica"/>
          <w:sz w:val="24"/>
          <w:szCs w:val="24"/>
          <w:lang w:eastAsia="es-GT"/>
        </w:rPr>
      </w:pPr>
      <w:r>
        <w:rPr>
          <w:rFonts w:ascii="Helvetica" w:eastAsia="Candara" w:hAnsi="Helvetica" w:cs="Helvetica"/>
          <w:sz w:val="24"/>
          <w:szCs w:val="24"/>
          <w:lang w:eastAsia="es-GT"/>
        </w:rPr>
        <w:t xml:space="preserve">En el cuadro a </w:t>
      </w:r>
      <w:r w:rsidRPr="00CB4191">
        <w:rPr>
          <w:rFonts w:ascii="Helvetica" w:eastAsia="Candara" w:hAnsi="Helvetica" w:cs="Helvetica"/>
          <w:sz w:val="24"/>
          <w:szCs w:val="24"/>
          <w:lang w:eastAsia="es-GT"/>
        </w:rPr>
        <w:t xml:space="preserve">continuación, se presenta por cada secretaría los datos siguientes: </w:t>
      </w:r>
    </w:p>
    <w:p w14:paraId="4489A455" w14:textId="77777777" w:rsidR="00A87EEB" w:rsidRPr="00841508" w:rsidRDefault="00A87EEB" w:rsidP="00A87EEB">
      <w:pPr>
        <w:pStyle w:val="Prrafodelista"/>
        <w:numPr>
          <w:ilvl w:val="0"/>
          <w:numId w:val="20"/>
        </w:numPr>
        <w:spacing w:before="120" w:after="120" w:line="240" w:lineRule="auto"/>
        <w:contextualSpacing w:val="0"/>
        <w:jc w:val="both"/>
        <w:rPr>
          <w:rFonts w:ascii="Helvetica" w:eastAsia="Candara" w:hAnsi="Helvetica" w:cs="Helvetica"/>
          <w:iCs/>
          <w:sz w:val="24"/>
          <w:szCs w:val="24"/>
          <w:lang w:eastAsia="es-GT"/>
        </w:rPr>
      </w:pPr>
      <w:r w:rsidRPr="00841508">
        <w:rPr>
          <w:rFonts w:ascii="Helvetica" w:eastAsia="Candara" w:hAnsi="Helvetica" w:cs="Helvetica"/>
          <w:b/>
          <w:bCs/>
          <w:iCs/>
          <w:sz w:val="24"/>
          <w:szCs w:val="24"/>
          <w:lang w:eastAsia="es-GT"/>
        </w:rPr>
        <w:t>Nombre de la secretaría</w:t>
      </w:r>
      <w:r>
        <w:rPr>
          <w:rFonts w:ascii="Helvetica" w:eastAsia="Candara" w:hAnsi="Helvetica" w:cs="Helvetica"/>
          <w:b/>
          <w:bCs/>
          <w:iCs/>
          <w:sz w:val="24"/>
          <w:szCs w:val="24"/>
          <w:lang w:eastAsia="es-GT"/>
        </w:rPr>
        <w:t>.</w:t>
      </w:r>
    </w:p>
    <w:p w14:paraId="6F7220AD" w14:textId="77777777" w:rsidR="00A87EEB" w:rsidRPr="00841508" w:rsidRDefault="00A87EEB" w:rsidP="00A87EEB">
      <w:pPr>
        <w:pStyle w:val="Prrafodelista"/>
        <w:numPr>
          <w:ilvl w:val="0"/>
          <w:numId w:val="20"/>
        </w:numPr>
        <w:spacing w:before="120" w:after="120" w:line="240" w:lineRule="auto"/>
        <w:ind w:left="714" w:hanging="357"/>
        <w:contextualSpacing w:val="0"/>
        <w:jc w:val="both"/>
        <w:rPr>
          <w:rFonts w:ascii="Helvetica" w:eastAsia="Candara" w:hAnsi="Helvetica" w:cs="Helvetica"/>
          <w:iCs/>
          <w:sz w:val="24"/>
          <w:szCs w:val="24"/>
          <w:lang w:eastAsia="es-GT"/>
        </w:rPr>
      </w:pPr>
      <w:r w:rsidRPr="00841508">
        <w:rPr>
          <w:rFonts w:ascii="Helvetica" w:eastAsia="Candara" w:hAnsi="Helvetica" w:cs="Helvetica"/>
          <w:b/>
          <w:bCs/>
          <w:iCs/>
          <w:sz w:val="24"/>
          <w:szCs w:val="24"/>
          <w:lang w:eastAsia="es-GT"/>
        </w:rPr>
        <w:t>Meta financiera vigente:</w:t>
      </w:r>
      <w:r w:rsidRPr="00841508">
        <w:rPr>
          <w:rFonts w:ascii="Helvetica" w:eastAsia="Candara" w:hAnsi="Helvetica" w:cs="Helvetica"/>
          <w:iCs/>
          <w:sz w:val="24"/>
          <w:szCs w:val="24"/>
          <w:lang w:eastAsia="es-GT"/>
        </w:rPr>
        <w:t xml:space="preserve"> se refiere al presupuesto inicial programado, incluyendo las disminuciones y/o aumentos como resultado de reprogramaciones de metas financieras o modificaciones presupuestarias.</w:t>
      </w:r>
    </w:p>
    <w:p w14:paraId="085C77D9" w14:textId="77777777" w:rsidR="00A87EEB" w:rsidRPr="00841508" w:rsidRDefault="00A87EEB" w:rsidP="00A87EEB">
      <w:pPr>
        <w:pStyle w:val="Prrafodelista"/>
        <w:numPr>
          <w:ilvl w:val="0"/>
          <w:numId w:val="20"/>
        </w:numPr>
        <w:spacing w:before="120" w:after="120" w:line="240" w:lineRule="auto"/>
        <w:ind w:left="714" w:hanging="357"/>
        <w:contextualSpacing w:val="0"/>
        <w:jc w:val="both"/>
        <w:rPr>
          <w:rFonts w:ascii="Helvetica" w:eastAsia="Candara" w:hAnsi="Helvetica" w:cs="Helvetica"/>
          <w:b/>
          <w:bCs/>
          <w:iCs/>
          <w:sz w:val="24"/>
          <w:szCs w:val="24"/>
          <w:lang w:eastAsia="es-GT"/>
        </w:rPr>
      </w:pPr>
      <w:r w:rsidRPr="00841508">
        <w:rPr>
          <w:rFonts w:ascii="Helvetica" w:eastAsia="Candara" w:hAnsi="Helvetica" w:cs="Helvetica"/>
          <w:b/>
          <w:bCs/>
          <w:iCs/>
          <w:sz w:val="24"/>
          <w:szCs w:val="24"/>
          <w:lang w:eastAsia="es-GT"/>
        </w:rPr>
        <w:t xml:space="preserve">Ejecución financiera: </w:t>
      </w:r>
      <w:r w:rsidRPr="00841508">
        <w:rPr>
          <w:rFonts w:ascii="Helvetica" w:eastAsia="Candara" w:hAnsi="Helvetica" w:cs="Helvetica"/>
          <w:iCs/>
          <w:sz w:val="24"/>
          <w:szCs w:val="24"/>
          <w:lang w:eastAsia="es-GT"/>
        </w:rPr>
        <w:t>se refiere a la meta financiera ejecutada o presupuesto ejecutado, que incluye la ejecución de los tres cuatrimestres del 2020.</w:t>
      </w:r>
    </w:p>
    <w:p w14:paraId="5E6E81FE" w14:textId="433E55E9" w:rsidR="00A87EEB" w:rsidRPr="00A87EEB" w:rsidRDefault="00A87EEB" w:rsidP="00A87EEB">
      <w:pPr>
        <w:pStyle w:val="Prrafodelista"/>
        <w:numPr>
          <w:ilvl w:val="0"/>
          <w:numId w:val="20"/>
        </w:numPr>
        <w:spacing w:before="120" w:after="120" w:line="240" w:lineRule="auto"/>
        <w:ind w:left="714" w:hanging="357"/>
        <w:contextualSpacing w:val="0"/>
        <w:jc w:val="both"/>
        <w:rPr>
          <w:rFonts w:ascii="Helvetica" w:eastAsia="Candara" w:hAnsi="Helvetica" w:cs="Helvetica"/>
          <w:b/>
          <w:bCs/>
          <w:sz w:val="24"/>
          <w:szCs w:val="24"/>
          <w:lang w:eastAsia="es-GT"/>
        </w:rPr>
      </w:pPr>
      <w:r w:rsidRPr="00841508">
        <w:rPr>
          <w:rFonts w:ascii="Helvetica" w:eastAsia="Candara" w:hAnsi="Helvetica" w:cs="Helvetica"/>
          <w:b/>
          <w:bCs/>
          <w:iCs/>
          <w:sz w:val="24"/>
          <w:szCs w:val="24"/>
          <w:lang w:eastAsia="es-GT"/>
        </w:rPr>
        <w:t xml:space="preserve">Porcentaje (%) de ejecución de la meta financiera vigente: </w:t>
      </w:r>
      <w:r w:rsidRPr="00841508">
        <w:rPr>
          <w:rFonts w:ascii="Helvetica" w:eastAsia="Candara" w:hAnsi="Helvetica" w:cs="Helvetica"/>
          <w:iCs/>
          <w:sz w:val="24"/>
          <w:szCs w:val="24"/>
          <w:lang w:eastAsia="es-GT"/>
        </w:rPr>
        <w:t xml:space="preserve">el porcentaje muestra cuánto se ejecutó respecto de la meta financiera vigente, lo que permite inferir que </w:t>
      </w:r>
      <w:r w:rsidRPr="00841508">
        <w:rPr>
          <w:rFonts w:ascii="Helvetica" w:hAnsi="Helvetica" w:cs="Helvetica"/>
          <w:sz w:val="24"/>
          <w:szCs w:val="24"/>
        </w:rPr>
        <w:t>a mayor porcentaje de ejecución habrá mayor eficiencia en la calidad del gasto público como un indicador d</w:t>
      </w:r>
      <w:r w:rsidRPr="00841508">
        <w:rPr>
          <w:rFonts w:ascii="Helvetica" w:eastAsia="Candara" w:hAnsi="Helvetica" w:cs="Helvetica"/>
          <w:iCs/>
          <w:sz w:val="24"/>
          <w:szCs w:val="24"/>
          <w:lang w:eastAsia="es-GT"/>
        </w:rPr>
        <w:t xml:space="preserve">el desempeño institucional. </w:t>
      </w:r>
    </w:p>
    <w:p w14:paraId="4972A5A2" w14:textId="3E0F71AA" w:rsidR="00A87EEB" w:rsidRDefault="00A87EEB" w:rsidP="00A87EEB">
      <w:pPr>
        <w:spacing w:before="120" w:after="120" w:line="240" w:lineRule="auto"/>
        <w:jc w:val="both"/>
        <w:rPr>
          <w:rFonts w:ascii="Helvetica" w:eastAsia="Candara" w:hAnsi="Helvetica" w:cs="Helvetica"/>
          <w:b/>
          <w:bCs/>
          <w:sz w:val="24"/>
          <w:szCs w:val="24"/>
          <w:lang w:eastAsia="es-GT"/>
        </w:rPr>
      </w:pPr>
    </w:p>
    <w:p w14:paraId="71885E6C" w14:textId="179B4302" w:rsidR="00A87EEB" w:rsidRDefault="00A87EEB" w:rsidP="00A87EEB">
      <w:pPr>
        <w:spacing w:before="120" w:after="120" w:line="240" w:lineRule="auto"/>
        <w:jc w:val="both"/>
        <w:rPr>
          <w:rFonts w:ascii="Helvetica" w:eastAsia="Candara" w:hAnsi="Helvetica" w:cs="Helvetica"/>
          <w:b/>
          <w:bCs/>
          <w:sz w:val="24"/>
          <w:szCs w:val="24"/>
          <w:lang w:eastAsia="es-GT"/>
        </w:rPr>
      </w:pPr>
    </w:p>
    <w:p w14:paraId="3A665B40" w14:textId="2882E997" w:rsidR="00A87EEB" w:rsidRDefault="00A87EEB" w:rsidP="00A87EEB">
      <w:pPr>
        <w:spacing w:before="120" w:after="120" w:line="240" w:lineRule="auto"/>
        <w:jc w:val="both"/>
        <w:rPr>
          <w:rFonts w:ascii="Helvetica" w:eastAsia="Candara" w:hAnsi="Helvetica" w:cs="Helvetica"/>
          <w:b/>
          <w:bCs/>
          <w:sz w:val="24"/>
          <w:szCs w:val="24"/>
          <w:lang w:eastAsia="es-GT"/>
        </w:rPr>
      </w:pPr>
    </w:p>
    <w:p w14:paraId="41480924" w14:textId="03938844" w:rsidR="00554324" w:rsidRDefault="00554324" w:rsidP="00A87EEB">
      <w:pPr>
        <w:spacing w:before="120" w:after="120" w:line="240" w:lineRule="auto"/>
        <w:jc w:val="both"/>
        <w:rPr>
          <w:rFonts w:ascii="Helvetica" w:eastAsia="Candara" w:hAnsi="Helvetica" w:cs="Helvetica"/>
          <w:b/>
          <w:bCs/>
          <w:sz w:val="24"/>
          <w:szCs w:val="24"/>
          <w:lang w:eastAsia="es-GT"/>
        </w:rPr>
      </w:pPr>
    </w:p>
    <w:p w14:paraId="4DDF588B" w14:textId="0C549D0C" w:rsidR="00554324" w:rsidRDefault="00554324" w:rsidP="00A87EEB">
      <w:pPr>
        <w:spacing w:before="120" w:after="120" w:line="240" w:lineRule="auto"/>
        <w:jc w:val="both"/>
        <w:rPr>
          <w:rFonts w:ascii="Helvetica" w:eastAsia="Candara" w:hAnsi="Helvetica" w:cs="Helvetica"/>
          <w:b/>
          <w:bCs/>
          <w:sz w:val="24"/>
          <w:szCs w:val="24"/>
          <w:lang w:eastAsia="es-GT"/>
        </w:rPr>
      </w:pPr>
    </w:p>
    <w:p w14:paraId="251992F4" w14:textId="612759F4" w:rsidR="00554324" w:rsidRDefault="00554324" w:rsidP="00A87EEB">
      <w:pPr>
        <w:spacing w:before="120" w:after="120" w:line="240" w:lineRule="auto"/>
        <w:jc w:val="both"/>
        <w:rPr>
          <w:rFonts w:ascii="Helvetica" w:eastAsia="Candara" w:hAnsi="Helvetica" w:cs="Helvetica"/>
          <w:b/>
          <w:bCs/>
          <w:sz w:val="24"/>
          <w:szCs w:val="24"/>
          <w:lang w:eastAsia="es-GT"/>
        </w:rPr>
      </w:pPr>
    </w:p>
    <w:p w14:paraId="3DB2D223" w14:textId="10346328" w:rsidR="00554324" w:rsidRDefault="00554324" w:rsidP="00A87EEB">
      <w:pPr>
        <w:spacing w:before="120" w:after="120" w:line="240" w:lineRule="auto"/>
        <w:jc w:val="both"/>
        <w:rPr>
          <w:rFonts w:ascii="Helvetica" w:eastAsia="Candara" w:hAnsi="Helvetica" w:cs="Helvetica"/>
          <w:b/>
          <w:bCs/>
          <w:sz w:val="24"/>
          <w:szCs w:val="24"/>
          <w:lang w:eastAsia="es-GT"/>
        </w:rPr>
      </w:pPr>
    </w:p>
    <w:p w14:paraId="44CCB239" w14:textId="7BDE137D" w:rsidR="00554324" w:rsidRDefault="00554324" w:rsidP="00A87EEB">
      <w:pPr>
        <w:spacing w:before="120" w:after="120" w:line="240" w:lineRule="auto"/>
        <w:jc w:val="both"/>
        <w:rPr>
          <w:rFonts w:ascii="Helvetica" w:eastAsia="Candara" w:hAnsi="Helvetica" w:cs="Helvetica"/>
          <w:b/>
          <w:bCs/>
          <w:sz w:val="24"/>
          <w:szCs w:val="24"/>
          <w:lang w:eastAsia="es-GT"/>
        </w:rPr>
      </w:pPr>
    </w:p>
    <w:p w14:paraId="119E9A00" w14:textId="0BDCC906" w:rsidR="00554324" w:rsidRDefault="00554324" w:rsidP="00A87EEB">
      <w:pPr>
        <w:spacing w:before="120" w:after="120" w:line="240" w:lineRule="auto"/>
        <w:jc w:val="both"/>
        <w:rPr>
          <w:rFonts w:ascii="Helvetica" w:eastAsia="Candara" w:hAnsi="Helvetica" w:cs="Helvetica"/>
          <w:b/>
          <w:bCs/>
          <w:sz w:val="24"/>
          <w:szCs w:val="24"/>
          <w:lang w:eastAsia="es-GT"/>
        </w:rPr>
      </w:pPr>
    </w:p>
    <w:p w14:paraId="3018B55C" w14:textId="3EF25D85" w:rsidR="00AD5ABC" w:rsidRDefault="00AD5ABC" w:rsidP="00A87EEB">
      <w:pPr>
        <w:spacing w:before="120" w:after="120" w:line="240" w:lineRule="auto"/>
        <w:jc w:val="both"/>
        <w:rPr>
          <w:rFonts w:ascii="Helvetica" w:eastAsia="Candara" w:hAnsi="Helvetica" w:cs="Helvetica"/>
          <w:b/>
          <w:bCs/>
          <w:sz w:val="24"/>
          <w:szCs w:val="24"/>
          <w:lang w:eastAsia="es-GT"/>
        </w:rPr>
      </w:pPr>
    </w:p>
    <w:p w14:paraId="72FA7BA6" w14:textId="77777777" w:rsidR="00AD5ABC" w:rsidRDefault="00AD5ABC" w:rsidP="00A87EEB">
      <w:pPr>
        <w:spacing w:before="120" w:after="120" w:line="240" w:lineRule="auto"/>
        <w:jc w:val="both"/>
        <w:rPr>
          <w:rFonts w:ascii="Helvetica" w:eastAsia="Candara" w:hAnsi="Helvetica" w:cs="Helvetica"/>
          <w:b/>
          <w:bCs/>
          <w:sz w:val="24"/>
          <w:szCs w:val="24"/>
          <w:lang w:eastAsia="es-GT"/>
        </w:rPr>
      </w:pPr>
    </w:p>
    <w:p w14:paraId="23F191B8" w14:textId="0570095A" w:rsidR="00554324" w:rsidRDefault="00554324" w:rsidP="00A87EEB">
      <w:pPr>
        <w:spacing w:before="120" w:after="120" w:line="240" w:lineRule="auto"/>
        <w:jc w:val="both"/>
        <w:rPr>
          <w:rFonts w:ascii="Helvetica" w:eastAsia="Candara" w:hAnsi="Helvetica" w:cs="Helvetica"/>
          <w:b/>
          <w:bCs/>
          <w:sz w:val="24"/>
          <w:szCs w:val="24"/>
          <w:lang w:eastAsia="es-GT"/>
        </w:rPr>
      </w:pPr>
    </w:p>
    <w:p w14:paraId="356A1F85" w14:textId="454E8FC1" w:rsidR="00A87EEB" w:rsidRPr="00016865" w:rsidRDefault="002A0798" w:rsidP="00016865">
      <w:pPr>
        <w:pStyle w:val="ttulosgrficas"/>
        <w:rPr>
          <w:rFonts w:eastAsia="Times New Roman"/>
          <w:color w:val="4472C4" w:themeColor="accent1"/>
          <w:lang w:val="es-ES"/>
        </w:rPr>
      </w:pPr>
      <w:bookmarkStart w:id="29" w:name="_Toc67589117"/>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4</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A87EEB" w:rsidRPr="00016865">
        <w:rPr>
          <w:rFonts w:eastAsia="Times New Roman"/>
          <w:color w:val="4472C4" w:themeColor="accent1"/>
          <w:lang w:val="es-ES"/>
        </w:rPr>
        <w:t>Ejecución financiera</w:t>
      </w:r>
      <w:r w:rsidR="00554324" w:rsidRPr="00016865">
        <w:rPr>
          <w:rFonts w:eastAsia="Times New Roman"/>
          <w:color w:val="4472C4" w:themeColor="accent1"/>
          <w:lang w:val="es-ES"/>
        </w:rPr>
        <w:t xml:space="preserve"> </w:t>
      </w:r>
      <w:r w:rsidR="00A87EEB" w:rsidRPr="00016865">
        <w:rPr>
          <w:rFonts w:eastAsia="Times New Roman"/>
          <w:color w:val="4472C4" w:themeColor="accent1"/>
          <w:lang w:val="es-ES"/>
        </w:rPr>
        <w:t>Secretarías</w:t>
      </w:r>
      <w:r w:rsidR="00554324" w:rsidRPr="00016865">
        <w:rPr>
          <w:rFonts w:eastAsia="Times New Roman"/>
          <w:color w:val="4472C4" w:themeColor="accent1"/>
          <w:lang w:val="es-ES"/>
        </w:rPr>
        <w:t xml:space="preserve"> 2020</w:t>
      </w:r>
      <w:bookmarkEnd w:id="29"/>
    </w:p>
    <w:p w14:paraId="751568D0" w14:textId="73AF3471" w:rsidR="00A87EEB" w:rsidRDefault="00A87EEB" w:rsidP="00A87EEB">
      <w:pPr>
        <w:spacing w:before="240" w:after="240" w:line="240" w:lineRule="auto"/>
        <w:jc w:val="both"/>
        <w:rPr>
          <w:rFonts w:ascii="Candara" w:eastAsia="Candara" w:hAnsi="Candara" w:cs="Candara"/>
          <w:lang w:eastAsia="es-GT"/>
        </w:rPr>
      </w:pPr>
      <w:r w:rsidRPr="00A87EEB">
        <w:rPr>
          <w:noProof/>
          <w:sz w:val="18"/>
          <w:lang w:eastAsia="es-GT"/>
        </w:rPr>
        <w:drawing>
          <wp:inline distT="0" distB="0" distL="0" distR="0" wp14:anchorId="0817A168" wp14:editId="4EDC7A0D">
            <wp:extent cx="5698540" cy="6914966"/>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98540" cy="6914966"/>
                    </a:xfrm>
                    <a:prstGeom prst="rect">
                      <a:avLst/>
                    </a:prstGeom>
                    <a:noFill/>
                    <a:ln>
                      <a:noFill/>
                    </a:ln>
                  </pic:spPr>
                </pic:pic>
              </a:graphicData>
            </a:graphic>
          </wp:inline>
        </w:drawing>
      </w:r>
      <w:r w:rsidRPr="00505461">
        <w:rPr>
          <w:rFonts w:ascii="Candara" w:eastAsia="Candara" w:hAnsi="Candara" w:cs="Candara"/>
          <w:sz w:val="16"/>
          <w:szCs w:val="16"/>
          <w:lang w:eastAsia="es-GT"/>
        </w:rPr>
        <w:t>Fuente: Elabora</w:t>
      </w:r>
      <w:r>
        <w:rPr>
          <w:rFonts w:ascii="Candara" w:eastAsia="Candara" w:hAnsi="Candara" w:cs="Candara"/>
          <w:sz w:val="16"/>
          <w:szCs w:val="16"/>
          <w:lang w:eastAsia="es-GT"/>
        </w:rPr>
        <w:t>do por SEGEPLAN,</w:t>
      </w:r>
      <w:r w:rsidRPr="00505461">
        <w:rPr>
          <w:rFonts w:ascii="Candara" w:eastAsia="Candara" w:hAnsi="Candara" w:cs="Candara"/>
          <w:sz w:val="16"/>
          <w:szCs w:val="16"/>
          <w:lang w:eastAsia="es-GT"/>
        </w:rPr>
        <w:t xml:space="preserve"> con base a registros de</w:t>
      </w:r>
      <w:r>
        <w:rPr>
          <w:rFonts w:ascii="Candara" w:eastAsia="Candara" w:hAnsi="Candara" w:cs="Candara"/>
          <w:sz w:val="16"/>
          <w:szCs w:val="16"/>
          <w:lang w:eastAsia="es-GT"/>
        </w:rPr>
        <w:t xml:space="preserve"> </w:t>
      </w:r>
      <w:r w:rsidRPr="00505461">
        <w:rPr>
          <w:rFonts w:ascii="Candara" w:eastAsia="Candara" w:hAnsi="Candara" w:cs="Candara"/>
          <w:sz w:val="16"/>
          <w:szCs w:val="16"/>
          <w:lang w:eastAsia="es-GT"/>
        </w:rPr>
        <w:t>SIPLAN</w:t>
      </w:r>
      <w:r>
        <w:rPr>
          <w:rFonts w:ascii="Candara" w:eastAsia="Candara" w:hAnsi="Candara" w:cs="Candara"/>
          <w:sz w:val="16"/>
          <w:szCs w:val="16"/>
          <w:lang w:eastAsia="es-GT"/>
        </w:rPr>
        <w:t xml:space="preserve"> y SICOIN. Año 2020.</w:t>
      </w:r>
    </w:p>
    <w:p w14:paraId="59711781" w14:textId="48FDBC12" w:rsidR="00A87EEB" w:rsidRPr="00554324" w:rsidRDefault="00A87EEB" w:rsidP="00554324">
      <w:pPr>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 xml:space="preserve">En </w:t>
      </w:r>
      <w:r w:rsidR="002A0798">
        <w:rPr>
          <w:rFonts w:ascii="Helvetica" w:eastAsia="Candara" w:hAnsi="Helvetica" w:cs="Helvetica"/>
          <w:sz w:val="24"/>
          <w:szCs w:val="24"/>
          <w:lang w:eastAsia="es-GT"/>
        </w:rPr>
        <w:t>la tabla</w:t>
      </w:r>
      <w:r w:rsidRPr="00CB4191">
        <w:rPr>
          <w:rFonts w:ascii="Helvetica" w:eastAsia="Candara" w:hAnsi="Helvetica" w:cs="Helvetica"/>
          <w:sz w:val="24"/>
          <w:szCs w:val="24"/>
          <w:lang w:eastAsia="es-GT"/>
        </w:rPr>
        <w:t xml:space="preserve"> </w:t>
      </w:r>
      <w:r w:rsidR="003B0029">
        <w:rPr>
          <w:rFonts w:ascii="Helvetica" w:eastAsia="Candara" w:hAnsi="Helvetica" w:cs="Helvetica"/>
          <w:sz w:val="24"/>
          <w:szCs w:val="24"/>
          <w:lang w:eastAsia="es-GT"/>
        </w:rPr>
        <w:t>4</w:t>
      </w:r>
      <w:r w:rsidRPr="00CB4191">
        <w:rPr>
          <w:rFonts w:ascii="Helvetica" w:eastAsia="Candara" w:hAnsi="Helvetica" w:cs="Helvetica"/>
          <w:sz w:val="24"/>
          <w:szCs w:val="24"/>
          <w:lang w:eastAsia="es-GT"/>
        </w:rPr>
        <w:t>, se observa con color verde a las secretarías que lograron la mayor ejecución presupuestaria y en color rojo las de menor ejecución respecto a la meta financiera vigente.</w:t>
      </w:r>
    </w:p>
    <w:p w14:paraId="629F9850" w14:textId="77777777"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 xml:space="preserve">Según datos de SICOIN, se observa que el valor máximo del porcentaje (%) de ejecución respecto a la meta financiera vigente corresponde a la Secretaría Técnica del Consejo Nacional de Seguridad (STCNS) con 99.54%, mientras que el valor mínimo lo presenta la Secretaría Nacional de Ciencia y Tecnología (SENACYT) con 53.50%.  </w:t>
      </w:r>
    </w:p>
    <w:p w14:paraId="1FA316D9" w14:textId="77777777" w:rsidR="00A87EEB" w:rsidRPr="00CB4191" w:rsidRDefault="00A87EEB" w:rsidP="00A87EEB">
      <w:pPr>
        <w:jc w:val="both"/>
        <w:rPr>
          <w:rFonts w:ascii="Helvetica" w:eastAsia="Candara" w:hAnsi="Helvetica" w:cs="Helvetica"/>
          <w:b/>
          <w:i/>
          <w:iCs/>
          <w:sz w:val="24"/>
          <w:szCs w:val="24"/>
          <w:lang w:eastAsia="es-GT"/>
        </w:rPr>
      </w:pPr>
      <w:r w:rsidRPr="00CB4191">
        <w:rPr>
          <w:rFonts w:ascii="Helvetica" w:eastAsia="Candara" w:hAnsi="Helvetica" w:cs="Helvetica"/>
          <w:bCs/>
          <w:iCs/>
          <w:sz w:val="24"/>
          <w:szCs w:val="24"/>
          <w:lang w:eastAsia="es-GT"/>
        </w:rPr>
        <w:t xml:space="preserve">También se observa a las cinco secretarías con la mayor ejecución presupuestaria; de 94.27% a 99.54% y las cinco secretarías con la menor ejecución; de 53.50% a 78.06%. </w:t>
      </w:r>
      <w:r w:rsidRPr="00CB4191">
        <w:rPr>
          <w:rFonts w:ascii="Helvetica" w:eastAsia="Candara" w:hAnsi="Helvetica" w:cs="Helvetica"/>
          <w:b/>
          <w:iCs/>
          <w:sz w:val="24"/>
          <w:szCs w:val="24"/>
          <w:lang w:eastAsia="es-GT"/>
        </w:rPr>
        <w:t>Ninguna de las secretarías se encuentra por debajo del 53% de ejecución.</w:t>
      </w:r>
      <w:r>
        <w:rPr>
          <w:rFonts w:ascii="Helvetica" w:eastAsia="Candara" w:hAnsi="Helvetica" w:cs="Helvetica"/>
          <w:b/>
          <w:iCs/>
          <w:sz w:val="24"/>
          <w:szCs w:val="24"/>
          <w:lang w:eastAsia="es-GT"/>
        </w:rPr>
        <w:t xml:space="preserve"> El balance es igualmente positivo respecto a años anteriores, pero no tan favorable como el de los ministerios.</w:t>
      </w:r>
    </w:p>
    <w:p w14:paraId="4EB037E1" w14:textId="77777777"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A continuación, se presentan los principales resultados de la ejecución financiera con base a SICOIN:</w:t>
      </w:r>
    </w:p>
    <w:p w14:paraId="595CA3A7" w14:textId="77777777" w:rsidR="00A87EEB" w:rsidRPr="00464F42" w:rsidRDefault="00A87EEB" w:rsidP="00A87EEB">
      <w:pPr>
        <w:pStyle w:val="Prrafodelista"/>
        <w:numPr>
          <w:ilvl w:val="0"/>
          <w:numId w:val="21"/>
        </w:numPr>
        <w:jc w:val="both"/>
        <w:rPr>
          <w:rFonts w:ascii="Helvetica" w:eastAsia="Candara" w:hAnsi="Helvetica" w:cs="Helvetica"/>
          <w:iCs/>
          <w:sz w:val="24"/>
          <w:szCs w:val="24"/>
          <w:lang w:eastAsia="es-GT"/>
        </w:rPr>
      </w:pPr>
      <w:r w:rsidRPr="00CB4191">
        <w:rPr>
          <w:rFonts w:ascii="Helvetica" w:eastAsia="Candara" w:hAnsi="Helvetica" w:cs="Helvetica"/>
          <w:i/>
          <w:iCs/>
          <w:sz w:val="24"/>
          <w:szCs w:val="24"/>
          <w:u w:val="single"/>
          <w:lang w:eastAsia="es-GT"/>
        </w:rPr>
        <w:t>Secretarías con mayor asignación presupuestaria:</w:t>
      </w:r>
      <w:r w:rsidRPr="00CB4191">
        <w:rPr>
          <w:rFonts w:ascii="Helvetica" w:eastAsia="Candara" w:hAnsi="Helvetica" w:cs="Helvetica"/>
          <w:sz w:val="24"/>
          <w:szCs w:val="24"/>
          <w:lang w:eastAsia="es-GT"/>
        </w:rPr>
        <w:t xml:space="preserve"> </w:t>
      </w:r>
      <w:r w:rsidRPr="00464F42">
        <w:rPr>
          <w:rFonts w:ascii="Helvetica" w:eastAsia="Candara" w:hAnsi="Helvetica" w:cs="Helvetica"/>
          <w:sz w:val="24"/>
          <w:szCs w:val="24"/>
          <w:lang w:eastAsia="es-GT"/>
        </w:rPr>
        <w:t>Las 5 secretarías que tuvieron la mayor asignación presupuestaria en el 2020 según SICOIN fueron:</w:t>
      </w:r>
      <w:r w:rsidRPr="00464F42">
        <w:rPr>
          <w:rFonts w:ascii="Helvetica" w:eastAsia="Candara" w:hAnsi="Helvetica" w:cs="Helvetica"/>
          <w:b/>
          <w:sz w:val="24"/>
          <w:szCs w:val="24"/>
          <w:lang w:eastAsia="es-GT"/>
        </w:rPr>
        <w:t xml:space="preserve"> </w:t>
      </w:r>
      <w:r w:rsidRPr="00464F42">
        <w:rPr>
          <w:rFonts w:ascii="Helvetica" w:eastAsia="Candara" w:hAnsi="Helvetica" w:cs="Helvetica"/>
          <w:sz w:val="24"/>
          <w:szCs w:val="24"/>
          <w:lang w:eastAsia="es-GT"/>
        </w:rPr>
        <w:t xml:space="preserve">Secretaría de Bienestar Social de la </w:t>
      </w:r>
      <w:r w:rsidRPr="00B81916">
        <w:rPr>
          <w:rFonts w:ascii="Helvetica" w:eastAsia="Candara" w:hAnsi="Helvetica" w:cs="Helvetica"/>
          <w:sz w:val="24"/>
          <w:szCs w:val="24"/>
          <w:lang w:eastAsia="es-GT"/>
        </w:rPr>
        <w:t xml:space="preserve">Presidencia (SBS) con la mayor asignación presupuestaria de Q. </w:t>
      </w:r>
      <w:r w:rsidRPr="00B81916">
        <w:rPr>
          <w:rFonts w:ascii="Helvetica" w:eastAsia="Candara" w:hAnsi="Helvetica" w:cs="Helvetica"/>
          <w:iCs/>
          <w:sz w:val="24"/>
          <w:szCs w:val="24"/>
          <w:lang w:eastAsia="es-GT"/>
        </w:rPr>
        <w:t>Q.</w:t>
      </w:r>
      <w:r w:rsidRPr="00B81916">
        <w:rPr>
          <w:rFonts w:ascii="Helvetica" w:hAnsi="Helvetica" w:cs="Helvetica"/>
          <w:iCs/>
          <w:sz w:val="24"/>
          <w:szCs w:val="24"/>
        </w:rPr>
        <w:t xml:space="preserve"> </w:t>
      </w:r>
      <w:r w:rsidRPr="00B81916">
        <w:rPr>
          <w:rFonts w:ascii="Helvetica" w:eastAsia="Candara" w:hAnsi="Helvetica" w:cs="Helvetica"/>
          <w:iCs/>
          <w:sz w:val="24"/>
          <w:szCs w:val="24"/>
          <w:lang w:eastAsia="es-GT"/>
        </w:rPr>
        <w:t xml:space="preserve">298,250,000, seguido de </w:t>
      </w:r>
      <w:r w:rsidRPr="00B81916">
        <w:rPr>
          <w:rFonts w:ascii="Helvetica" w:eastAsia="Candara" w:hAnsi="Helvetica" w:cs="Helvetica"/>
          <w:sz w:val="24"/>
          <w:szCs w:val="24"/>
          <w:lang w:eastAsia="es-GT"/>
        </w:rPr>
        <w:t>la Secretaría de Obras Sociales de la Esposa del Presidente (SOSEP)</w:t>
      </w:r>
      <w:r w:rsidRPr="00B81916">
        <w:rPr>
          <w:rFonts w:ascii="Helvetica" w:eastAsia="Candara" w:hAnsi="Helvetica" w:cs="Helvetica"/>
          <w:iCs/>
          <w:sz w:val="24"/>
          <w:szCs w:val="24"/>
          <w:lang w:eastAsia="es-GT"/>
        </w:rPr>
        <w:t xml:space="preserve"> con Q.</w:t>
      </w:r>
      <w:r w:rsidRPr="00B81916">
        <w:rPr>
          <w:rFonts w:ascii="Helvetica" w:hAnsi="Helvetica" w:cs="Helvetica"/>
          <w:iCs/>
          <w:sz w:val="24"/>
          <w:szCs w:val="24"/>
        </w:rPr>
        <w:t xml:space="preserve"> </w:t>
      </w:r>
      <w:r w:rsidRPr="00B81916">
        <w:rPr>
          <w:rFonts w:ascii="Helvetica" w:eastAsia="Candara" w:hAnsi="Helvetica" w:cs="Helvetica"/>
          <w:iCs/>
          <w:sz w:val="24"/>
          <w:szCs w:val="24"/>
          <w:lang w:eastAsia="es-GT"/>
        </w:rPr>
        <w:t>175,353,000, Secretaria de Asuntos de Administración de Seguridad (SAAS) con Q.</w:t>
      </w:r>
      <w:r w:rsidRPr="00B81916">
        <w:rPr>
          <w:rFonts w:ascii="Helvetica" w:hAnsi="Helvetica" w:cs="Helvetica"/>
          <w:sz w:val="24"/>
          <w:szCs w:val="24"/>
        </w:rPr>
        <w:t xml:space="preserve"> </w:t>
      </w:r>
      <w:r w:rsidRPr="00B81916">
        <w:rPr>
          <w:rFonts w:ascii="Helvetica" w:eastAsia="Candara" w:hAnsi="Helvetica" w:cs="Helvetica"/>
          <w:iCs/>
          <w:sz w:val="24"/>
          <w:szCs w:val="24"/>
          <w:lang w:eastAsia="es-GT"/>
        </w:rPr>
        <w:t>162,000,000, Secretaría de Planificación y Programación de la Presidencia (SEGEPLAN) con Q.</w:t>
      </w:r>
      <w:r w:rsidRPr="00B81916">
        <w:rPr>
          <w:rFonts w:ascii="Helvetica" w:hAnsi="Helvetica" w:cs="Helvetica"/>
          <w:iCs/>
          <w:sz w:val="24"/>
          <w:szCs w:val="24"/>
        </w:rPr>
        <w:t xml:space="preserve"> </w:t>
      </w:r>
      <w:r w:rsidRPr="00B81916">
        <w:rPr>
          <w:rFonts w:ascii="Helvetica" w:eastAsia="Candara" w:hAnsi="Helvetica" w:cs="Helvetica"/>
          <w:iCs/>
          <w:sz w:val="24"/>
          <w:szCs w:val="24"/>
          <w:lang w:eastAsia="es-GT"/>
        </w:rPr>
        <w:t>94,243,000 y Secretaría de Coordinación Ejecutiva de la Presidencia (SCEP) con Q.</w:t>
      </w:r>
      <w:r w:rsidRPr="00B81916">
        <w:rPr>
          <w:rFonts w:ascii="Helvetica" w:hAnsi="Helvetica" w:cs="Helvetica"/>
          <w:sz w:val="24"/>
          <w:szCs w:val="24"/>
        </w:rPr>
        <w:t xml:space="preserve"> </w:t>
      </w:r>
      <w:r w:rsidRPr="00B81916">
        <w:rPr>
          <w:rFonts w:ascii="Helvetica" w:eastAsia="Candara" w:hAnsi="Helvetica" w:cs="Helvetica"/>
          <w:iCs/>
          <w:sz w:val="24"/>
          <w:szCs w:val="24"/>
          <w:lang w:eastAsia="es-GT"/>
        </w:rPr>
        <w:t>65,000,000.</w:t>
      </w:r>
    </w:p>
    <w:p w14:paraId="51FF339B" w14:textId="77777777" w:rsidR="00A87EEB" w:rsidRPr="00CB4191" w:rsidRDefault="00A87EEB" w:rsidP="00A87EEB">
      <w:pPr>
        <w:pStyle w:val="Prrafodelista"/>
        <w:jc w:val="both"/>
        <w:rPr>
          <w:rFonts w:ascii="Helvetica" w:eastAsia="Candara" w:hAnsi="Helvetica" w:cs="Helvetica"/>
          <w:i/>
          <w:iCs/>
          <w:sz w:val="24"/>
          <w:szCs w:val="24"/>
          <w:lang w:eastAsia="es-GT"/>
        </w:rPr>
      </w:pPr>
    </w:p>
    <w:p w14:paraId="466B9767" w14:textId="77777777" w:rsidR="00A87EEB" w:rsidRPr="00B81916" w:rsidRDefault="00A87EEB" w:rsidP="00A87EEB">
      <w:pPr>
        <w:pStyle w:val="Prrafodelista"/>
        <w:numPr>
          <w:ilvl w:val="0"/>
          <w:numId w:val="21"/>
        </w:numPr>
        <w:ind w:left="708"/>
        <w:jc w:val="both"/>
        <w:rPr>
          <w:rFonts w:ascii="Helvetica" w:eastAsia="Candara" w:hAnsi="Helvetica" w:cs="Helvetica"/>
          <w:sz w:val="24"/>
          <w:szCs w:val="24"/>
          <w:lang w:eastAsia="es-GT"/>
        </w:rPr>
      </w:pPr>
      <w:r w:rsidRPr="00CB4191">
        <w:rPr>
          <w:rFonts w:ascii="Helvetica" w:eastAsia="Candara" w:hAnsi="Helvetica" w:cs="Helvetica"/>
          <w:i/>
          <w:iCs/>
          <w:sz w:val="24"/>
          <w:szCs w:val="24"/>
          <w:u w:val="single"/>
          <w:lang w:eastAsia="es-GT"/>
        </w:rPr>
        <w:t>Secretarías con mayor porcentaje de ejecución financiera:</w:t>
      </w:r>
      <w:r w:rsidRPr="00CB4191">
        <w:rPr>
          <w:rFonts w:ascii="Helvetica" w:eastAsia="Candara" w:hAnsi="Helvetica" w:cs="Helvetica"/>
          <w:i/>
          <w:iCs/>
          <w:sz w:val="24"/>
          <w:szCs w:val="24"/>
          <w:lang w:eastAsia="es-GT"/>
        </w:rPr>
        <w:t xml:space="preserve"> </w:t>
      </w:r>
      <w:r w:rsidRPr="00464F42">
        <w:rPr>
          <w:rFonts w:ascii="Helvetica" w:eastAsia="Candara" w:hAnsi="Helvetica" w:cs="Helvetica"/>
          <w:iCs/>
          <w:sz w:val="24"/>
          <w:szCs w:val="24"/>
          <w:lang w:eastAsia="es-GT"/>
        </w:rPr>
        <w:t xml:space="preserve">Las </w:t>
      </w:r>
      <w:r w:rsidRPr="00464F42">
        <w:rPr>
          <w:rFonts w:ascii="Helvetica" w:eastAsia="Candara" w:hAnsi="Helvetica" w:cs="Helvetica"/>
          <w:bCs/>
          <w:iCs/>
          <w:sz w:val="24"/>
          <w:szCs w:val="24"/>
          <w:lang w:eastAsia="es-GT"/>
        </w:rPr>
        <w:t xml:space="preserve">cinco secretarías </w:t>
      </w:r>
      <w:r w:rsidRPr="00464F42">
        <w:rPr>
          <w:rFonts w:ascii="Helvetica" w:eastAsia="Candara" w:hAnsi="Helvetica" w:cs="Helvetica"/>
          <w:bCs/>
          <w:sz w:val="24"/>
          <w:szCs w:val="24"/>
          <w:lang w:eastAsia="es-GT"/>
        </w:rPr>
        <w:t>que lograron el mayor porcentaje de ejecución financiera</w:t>
      </w:r>
      <w:r w:rsidRPr="00464F42">
        <w:rPr>
          <w:rFonts w:ascii="Helvetica" w:eastAsia="Candara" w:hAnsi="Helvetica" w:cs="Helvetica"/>
          <w:sz w:val="24"/>
          <w:szCs w:val="24"/>
          <w:lang w:eastAsia="es-GT"/>
        </w:rPr>
        <w:t xml:space="preserve"> respecto a la meta financiera vigente fueron: en primer lugar, la </w:t>
      </w:r>
      <w:r w:rsidRPr="00B81916">
        <w:rPr>
          <w:rFonts w:ascii="Helvetica" w:eastAsia="Candara" w:hAnsi="Helvetica" w:cs="Helvetica"/>
          <w:sz w:val="24"/>
          <w:szCs w:val="24"/>
          <w:lang w:eastAsia="es-GT"/>
        </w:rPr>
        <w:t>STCNS con 99.54% de ejecución respecto a la meta financiera vigente, seguido por la SCEP con 98.09%, SEGEPLAN con 96.82%, SENABED con 95.15% y SBS con 94.27% de ejecución.</w:t>
      </w:r>
    </w:p>
    <w:p w14:paraId="289C18F2" w14:textId="77777777" w:rsidR="00A87EEB" w:rsidRPr="00A059E4" w:rsidRDefault="00A87EEB" w:rsidP="00A87EEB">
      <w:pPr>
        <w:pStyle w:val="Prrafodelista"/>
        <w:rPr>
          <w:rFonts w:ascii="Helvetica" w:eastAsia="Candara" w:hAnsi="Helvetica" w:cs="Helvetica"/>
          <w:sz w:val="24"/>
          <w:szCs w:val="24"/>
          <w:lang w:eastAsia="es-GT"/>
        </w:rPr>
      </w:pPr>
    </w:p>
    <w:p w14:paraId="0775BD2E" w14:textId="77777777" w:rsidR="00A87EEB" w:rsidRPr="00464F42" w:rsidRDefault="00A87EEB" w:rsidP="00A87EEB">
      <w:pPr>
        <w:pStyle w:val="Prrafodelista"/>
        <w:numPr>
          <w:ilvl w:val="0"/>
          <w:numId w:val="21"/>
        </w:numPr>
        <w:tabs>
          <w:tab w:val="left" w:pos="2776"/>
        </w:tabs>
        <w:jc w:val="both"/>
        <w:rPr>
          <w:rFonts w:ascii="Helvetica" w:eastAsia="Candara" w:hAnsi="Helvetica" w:cs="Helvetica"/>
          <w:sz w:val="24"/>
          <w:szCs w:val="24"/>
          <w:lang w:eastAsia="es-GT"/>
        </w:rPr>
      </w:pPr>
      <w:r w:rsidRPr="00A059E4">
        <w:rPr>
          <w:rFonts w:ascii="Helvetica" w:eastAsia="Candara" w:hAnsi="Helvetica" w:cs="Helvetica"/>
          <w:i/>
          <w:iCs/>
          <w:sz w:val="24"/>
          <w:szCs w:val="24"/>
          <w:u w:val="single"/>
          <w:lang w:eastAsia="es-GT"/>
        </w:rPr>
        <w:t>Secretarías con menor porcentaje de ejecución financiera:</w:t>
      </w:r>
      <w:r w:rsidRPr="00A059E4">
        <w:rPr>
          <w:rFonts w:ascii="Helvetica" w:eastAsia="Candara" w:hAnsi="Helvetica" w:cs="Helvetica"/>
          <w:i/>
          <w:iCs/>
          <w:sz w:val="24"/>
          <w:szCs w:val="24"/>
          <w:lang w:eastAsia="es-GT"/>
        </w:rPr>
        <w:t xml:space="preserve"> </w:t>
      </w:r>
      <w:r w:rsidRPr="00464F42">
        <w:rPr>
          <w:rFonts w:ascii="Helvetica" w:eastAsia="Candara" w:hAnsi="Helvetica" w:cs="Helvetica"/>
          <w:iCs/>
          <w:sz w:val="24"/>
          <w:szCs w:val="24"/>
          <w:lang w:eastAsia="es-GT"/>
        </w:rPr>
        <w:t>Cinco secretarías cuentan con la ejecución más baja; el</w:t>
      </w:r>
      <w:r w:rsidRPr="00464F42">
        <w:rPr>
          <w:rFonts w:ascii="Helvetica" w:eastAsia="Candara" w:hAnsi="Helvetica" w:cs="Helvetica"/>
          <w:b/>
          <w:iCs/>
          <w:sz w:val="24"/>
          <w:szCs w:val="24"/>
          <w:lang w:eastAsia="es-GT"/>
        </w:rPr>
        <w:t xml:space="preserve"> </w:t>
      </w:r>
      <w:r w:rsidRPr="00464F42">
        <w:rPr>
          <w:rFonts w:ascii="Helvetica" w:eastAsia="Candara" w:hAnsi="Helvetica" w:cs="Helvetica"/>
          <w:bCs/>
          <w:iCs/>
          <w:sz w:val="24"/>
          <w:szCs w:val="24"/>
          <w:lang w:eastAsia="es-GT"/>
        </w:rPr>
        <w:t>SENACYT 53.50%, siendo la secretaría con la ejecución más baja</w:t>
      </w:r>
      <w:r w:rsidRPr="00464F42">
        <w:rPr>
          <w:rFonts w:ascii="Helvetica" w:eastAsia="Candara" w:hAnsi="Helvetica" w:cs="Helvetica"/>
          <w:iCs/>
          <w:sz w:val="24"/>
          <w:szCs w:val="24"/>
          <w:lang w:eastAsia="es-GT"/>
        </w:rPr>
        <w:t>, seguida de la Secretaría Privada de la Presidencia de la República (SPP) con 66.51%, Secretaría Presidencial de la mujer (SEPREM) con 71.63%, Secretaría General de la Presidencia de la República (SGP) con 78.03% y la Secretaría Contra la Violencia Sexual, Explotación y Trata de Personas (SVET) con 78.06%.</w:t>
      </w:r>
    </w:p>
    <w:p w14:paraId="4AE74934" w14:textId="77777777" w:rsidR="00A87EEB" w:rsidRPr="00631599" w:rsidRDefault="00A87EEB" w:rsidP="00A87EEB">
      <w:pPr>
        <w:pStyle w:val="Prrafodelista"/>
        <w:rPr>
          <w:rFonts w:ascii="Helvetica" w:eastAsia="Candara" w:hAnsi="Helvetica" w:cs="Helvetica"/>
          <w:sz w:val="24"/>
          <w:szCs w:val="24"/>
          <w:lang w:eastAsia="es-GT"/>
        </w:rPr>
      </w:pPr>
    </w:p>
    <w:p w14:paraId="25F03246" w14:textId="77777777" w:rsidR="00A87EEB" w:rsidRDefault="00A87EEB" w:rsidP="00A87EEB">
      <w:pPr>
        <w:pStyle w:val="Prrafodelista"/>
        <w:numPr>
          <w:ilvl w:val="0"/>
          <w:numId w:val="21"/>
        </w:numPr>
        <w:jc w:val="both"/>
        <w:rPr>
          <w:rFonts w:ascii="Helvetica" w:eastAsia="Candara" w:hAnsi="Helvetica" w:cs="Helvetica"/>
          <w:iCs/>
          <w:sz w:val="24"/>
          <w:szCs w:val="24"/>
          <w:lang w:eastAsia="es-GT"/>
        </w:rPr>
      </w:pPr>
      <w:r w:rsidRPr="008B34B5">
        <w:rPr>
          <w:rFonts w:ascii="Helvetica" w:eastAsia="Candara" w:hAnsi="Helvetica" w:cs="Helvetica"/>
          <w:iCs/>
          <w:sz w:val="24"/>
          <w:szCs w:val="24"/>
          <w:u w:val="single"/>
          <w:lang w:eastAsia="es-GT"/>
        </w:rPr>
        <w:t>Reprogramaciones financieras:</w:t>
      </w:r>
      <w:r>
        <w:rPr>
          <w:rFonts w:ascii="Helvetica" w:eastAsia="Candara" w:hAnsi="Helvetica" w:cs="Helvetica"/>
          <w:iCs/>
          <w:sz w:val="24"/>
          <w:szCs w:val="24"/>
          <w:lang w:eastAsia="es-GT"/>
        </w:rPr>
        <w:t xml:space="preserve"> las modificaciones presupuestarias realizadas por las secretarías hicieron que se reprogramaran las metas financieras para disminuir o aumentar el presupuesto asignado inicialmente. Por lo tanto, esto afecta de manera positiva o negativa el desempeño en la ejecución financiera según las capacidades institucionales. </w:t>
      </w:r>
    </w:p>
    <w:p w14:paraId="0AC56DDE" w14:textId="77777777" w:rsidR="00A87EEB" w:rsidRDefault="00A87EEB" w:rsidP="00A87EEB">
      <w:pPr>
        <w:pStyle w:val="Prrafodelista"/>
        <w:jc w:val="both"/>
        <w:rPr>
          <w:rFonts w:ascii="Helvetica" w:eastAsia="Candara" w:hAnsi="Helvetica" w:cs="Helvetica"/>
          <w:iCs/>
          <w:sz w:val="24"/>
          <w:szCs w:val="24"/>
          <w:lang w:eastAsia="es-GT"/>
        </w:rPr>
      </w:pPr>
    </w:p>
    <w:p w14:paraId="5314873C" w14:textId="77777777" w:rsidR="00A87EEB" w:rsidRPr="00B81916" w:rsidRDefault="00A87EEB" w:rsidP="00A87EEB">
      <w:pPr>
        <w:pStyle w:val="Prrafodelista"/>
        <w:spacing w:before="120" w:after="120" w:line="240" w:lineRule="auto"/>
        <w:contextualSpacing w:val="0"/>
        <w:jc w:val="both"/>
        <w:rPr>
          <w:rFonts w:ascii="Helvetica" w:eastAsia="Candara" w:hAnsi="Helvetica" w:cs="Helvetica"/>
          <w:iCs/>
          <w:sz w:val="24"/>
          <w:szCs w:val="24"/>
          <w:lang w:eastAsia="es-GT"/>
        </w:rPr>
      </w:pPr>
      <w:r>
        <w:rPr>
          <w:rFonts w:ascii="Helvetica" w:eastAsia="Candara" w:hAnsi="Helvetica" w:cs="Helvetica"/>
          <w:iCs/>
          <w:sz w:val="24"/>
          <w:szCs w:val="24"/>
          <w:lang w:eastAsia="es-GT"/>
        </w:rPr>
        <w:t xml:space="preserve">Según SICOIN, de las 8 secretarias que reportaron modificaciones presupuestarias, 2 secretarías sufrieron disminuciones en su presupuesto asignado, siendo estas: la </w:t>
      </w:r>
      <w:r w:rsidRPr="00B81916">
        <w:rPr>
          <w:rFonts w:ascii="Helvetica" w:eastAsia="Candara" w:hAnsi="Helvetica" w:cs="Helvetica"/>
          <w:bCs/>
          <w:iCs/>
          <w:sz w:val="24"/>
          <w:szCs w:val="24"/>
          <w:lang w:eastAsia="es-GT"/>
        </w:rPr>
        <w:t>SOSEP</w:t>
      </w:r>
      <w:r w:rsidRPr="00B81916">
        <w:rPr>
          <w:rFonts w:ascii="Helvetica" w:eastAsia="Candara" w:hAnsi="Helvetica" w:cs="Helvetica"/>
          <w:iCs/>
          <w:sz w:val="24"/>
          <w:szCs w:val="24"/>
          <w:lang w:eastAsia="es-GT"/>
        </w:rPr>
        <w:t xml:space="preserve"> con un monto de Q.</w:t>
      </w:r>
      <w:r w:rsidRPr="00B81916">
        <w:t xml:space="preserve"> </w:t>
      </w:r>
      <w:r w:rsidRPr="00B81916">
        <w:rPr>
          <w:rFonts w:ascii="Helvetica" w:eastAsia="Candara" w:hAnsi="Helvetica" w:cs="Helvetica"/>
          <w:iCs/>
          <w:sz w:val="24"/>
          <w:szCs w:val="24"/>
          <w:lang w:eastAsia="es-GT"/>
        </w:rPr>
        <w:t xml:space="preserve">25,000,000 y </w:t>
      </w:r>
      <w:r w:rsidRPr="00B81916">
        <w:rPr>
          <w:rFonts w:ascii="Helvetica" w:eastAsia="Candara" w:hAnsi="Helvetica" w:cs="Helvetica"/>
          <w:bCs/>
          <w:iCs/>
          <w:sz w:val="24"/>
          <w:szCs w:val="24"/>
          <w:lang w:eastAsia="es-GT"/>
        </w:rPr>
        <w:t>SEGEPLAN</w:t>
      </w:r>
      <w:r w:rsidRPr="00B81916">
        <w:rPr>
          <w:rFonts w:ascii="Helvetica" w:eastAsia="Candara" w:hAnsi="Helvetica" w:cs="Helvetica"/>
          <w:iCs/>
          <w:sz w:val="24"/>
          <w:szCs w:val="24"/>
          <w:lang w:eastAsia="es-GT"/>
        </w:rPr>
        <w:t xml:space="preserve"> con Q.</w:t>
      </w:r>
      <w:r w:rsidRPr="00B81916">
        <w:t xml:space="preserve"> </w:t>
      </w:r>
      <w:r w:rsidRPr="00B81916">
        <w:rPr>
          <w:rFonts w:ascii="Helvetica" w:eastAsia="Candara" w:hAnsi="Helvetica" w:cs="Helvetica"/>
          <w:iCs/>
          <w:sz w:val="24"/>
          <w:szCs w:val="24"/>
          <w:lang w:eastAsia="es-GT"/>
        </w:rPr>
        <w:t>8,650,000.</w:t>
      </w:r>
    </w:p>
    <w:p w14:paraId="5594DB5E" w14:textId="77777777" w:rsidR="00A87EEB" w:rsidRPr="00B81916" w:rsidRDefault="00A87EEB" w:rsidP="00A87EEB">
      <w:pPr>
        <w:pStyle w:val="Prrafodelista"/>
        <w:spacing w:before="120" w:after="120" w:line="240" w:lineRule="auto"/>
        <w:contextualSpacing w:val="0"/>
        <w:jc w:val="both"/>
        <w:rPr>
          <w:rFonts w:ascii="Helvetica" w:eastAsia="Candara" w:hAnsi="Helvetica" w:cs="Helvetica"/>
          <w:iCs/>
          <w:sz w:val="24"/>
          <w:szCs w:val="24"/>
          <w:lang w:eastAsia="es-GT"/>
        </w:rPr>
      </w:pPr>
      <w:r w:rsidRPr="00B81916">
        <w:rPr>
          <w:rFonts w:ascii="Helvetica" w:eastAsia="Candara" w:hAnsi="Helvetica" w:cs="Helvetica"/>
          <w:iCs/>
          <w:sz w:val="24"/>
          <w:szCs w:val="24"/>
          <w:lang w:eastAsia="es-GT"/>
        </w:rPr>
        <w:t xml:space="preserve">Las 6 secretarías que reportaron incrementos en el presupuesto asignado o inicial fueron: la </w:t>
      </w:r>
      <w:r w:rsidRPr="00B81916">
        <w:rPr>
          <w:rFonts w:ascii="Helvetica" w:eastAsia="Candara" w:hAnsi="Helvetica" w:cs="Helvetica"/>
          <w:bCs/>
          <w:iCs/>
          <w:sz w:val="24"/>
          <w:szCs w:val="24"/>
          <w:lang w:eastAsia="es-GT"/>
        </w:rPr>
        <w:t>SGP</w:t>
      </w:r>
      <w:r w:rsidRPr="00B81916">
        <w:rPr>
          <w:rFonts w:ascii="Helvetica" w:eastAsia="Candara" w:hAnsi="Helvetica" w:cs="Helvetica"/>
          <w:iCs/>
          <w:sz w:val="24"/>
          <w:szCs w:val="24"/>
          <w:lang w:eastAsia="es-GT"/>
        </w:rPr>
        <w:t xml:space="preserve"> con el mayor monto de modificación presupuestaria de Q.</w:t>
      </w:r>
      <w:r w:rsidRPr="00B81916">
        <w:t xml:space="preserve"> </w:t>
      </w:r>
      <w:r w:rsidRPr="00B81916">
        <w:rPr>
          <w:rFonts w:ascii="Helvetica" w:eastAsia="Candara" w:hAnsi="Helvetica" w:cs="Helvetica"/>
          <w:iCs/>
          <w:sz w:val="24"/>
          <w:szCs w:val="24"/>
          <w:lang w:eastAsia="es-GT"/>
        </w:rPr>
        <w:t xml:space="preserve">25,000,000, seguido de </w:t>
      </w:r>
      <w:r w:rsidRPr="00B81916">
        <w:rPr>
          <w:rFonts w:ascii="Helvetica" w:eastAsia="Candara" w:hAnsi="Helvetica" w:cs="Helvetica"/>
          <w:bCs/>
          <w:iCs/>
          <w:sz w:val="24"/>
          <w:szCs w:val="24"/>
          <w:lang w:eastAsia="es-GT"/>
        </w:rPr>
        <w:t>SENABED</w:t>
      </w:r>
      <w:r w:rsidRPr="00B81916">
        <w:rPr>
          <w:rFonts w:ascii="Helvetica" w:eastAsia="Candara" w:hAnsi="Helvetica" w:cs="Helvetica"/>
          <w:iCs/>
          <w:sz w:val="24"/>
          <w:szCs w:val="24"/>
          <w:lang w:eastAsia="es-GT"/>
        </w:rPr>
        <w:t xml:space="preserve"> con Q.</w:t>
      </w:r>
      <w:r w:rsidRPr="00B81916">
        <w:t xml:space="preserve"> </w:t>
      </w:r>
      <w:r w:rsidRPr="00B81916">
        <w:rPr>
          <w:rFonts w:ascii="Helvetica" w:eastAsia="Candara" w:hAnsi="Helvetica" w:cs="Helvetica"/>
          <w:iCs/>
          <w:sz w:val="24"/>
          <w:szCs w:val="24"/>
          <w:lang w:eastAsia="es-GT"/>
        </w:rPr>
        <w:t xml:space="preserve">18,875,767, </w:t>
      </w:r>
      <w:r w:rsidRPr="00B81916">
        <w:rPr>
          <w:rFonts w:ascii="Helvetica" w:eastAsia="Candara" w:hAnsi="Helvetica" w:cs="Helvetica"/>
          <w:bCs/>
          <w:iCs/>
          <w:sz w:val="24"/>
          <w:szCs w:val="24"/>
          <w:lang w:eastAsia="es-GT"/>
        </w:rPr>
        <w:t>SCSPR</w:t>
      </w:r>
      <w:r w:rsidRPr="00B81916">
        <w:rPr>
          <w:rFonts w:ascii="Helvetica" w:eastAsia="Candara" w:hAnsi="Helvetica" w:cs="Helvetica"/>
          <w:iCs/>
          <w:sz w:val="24"/>
          <w:szCs w:val="24"/>
          <w:lang w:eastAsia="es-GT"/>
        </w:rPr>
        <w:t xml:space="preserve"> con Q.</w:t>
      </w:r>
      <w:r w:rsidRPr="00B81916">
        <w:t xml:space="preserve"> </w:t>
      </w:r>
      <w:r w:rsidRPr="00B81916">
        <w:rPr>
          <w:rFonts w:ascii="Helvetica" w:eastAsia="Candara" w:hAnsi="Helvetica" w:cs="Helvetica"/>
          <w:iCs/>
          <w:sz w:val="24"/>
          <w:szCs w:val="24"/>
          <w:lang w:eastAsia="es-GT"/>
        </w:rPr>
        <w:t xml:space="preserve">18,000,000, </w:t>
      </w:r>
      <w:r w:rsidRPr="00B81916">
        <w:rPr>
          <w:rFonts w:ascii="Helvetica" w:eastAsia="Candara" w:hAnsi="Helvetica" w:cs="Helvetica"/>
          <w:bCs/>
          <w:iCs/>
          <w:sz w:val="24"/>
          <w:szCs w:val="24"/>
          <w:lang w:eastAsia="es-GT"/>
        </w:rPr>
        <w:t xml:space="preserve">SBS </w:t>
      </w:r>
      <w:r w:rsidRPr="00B81916">
        <w:rPr>
          <w:rFonts w:ascii="Helvetica" w:eastAsia="Candara" w:hAnsi="Helvetica" w:cs="Helvetica"/>
          <w:iCs/>
          <w:sz w:val="24"/>
          <w:szCs w:val="24"/>
          <w:lang w:eastAsia="es-GT"/>
        </w:rPr>
        <w:t>con Q.</w:t>
      </w:r>
      <w:r w:rsidRPr="00B81916">
        <w:t xml:space="preserve"> </w:t>
      </w:r>
      <w:r w:rsidRPr="00B81916">
        <w:rPr>
          <w:rFonts w:ascii="Helvetica" w:eastAsia="Candara" w:hAnsi="Helvetica" w:cs="Helvetica"/>
          <w:iCs/>
          <w:sz w:val="24"/>
          <w:szCs w:val="24"/>
          <w:lang w:eastAsia="es-GT"/>
        </w:rPr>
        <w:t xml:space="preserve">3,000,000, </w:t>
      </w:r>
      <w:r w:rsidRPr="00B81916">
        <w:rPr>
          <w:rFonts w:ascii="Helvetica" w:eastAsia="Candara" w:hAnsi="Helvetica" w:cs="Helvetica"/>
          <w:bCs/>
          <w:iCs/>
          <w:sz w:val="24"/>
          <w:szCs w:val="24"/>
          <w:lang w:eastAsia="es-GT"/>
        </w:rPr>
        <w:t>SPP</w:t>
      </w:r>
      <w:r w:rsidRPr="00B81916">
        <w:rPr>
          <w:rFonts w:ascii="Helvetica" w:eastAsia="Candara" w:hAnsi="Helvetica" w:cs="Helvetica"/>
          <w:iCs/>
          <w:sz w:val="24"/>
          <w:szCs w:val="24"/>
          <w:lang w:eastAsia="es-GT"/>
        </w:rPr>
        <w:t xml:space="preserve"> con Q.</w:t>
      </w:r>
      <w:r w:rsidRPr="00B81916">
        <w:t xml:space="preserve"> </w:t>
      </w:r>
      <w:r w:rsidRPr="00B81916">
        <w:rPr>
          <w:rFonts w:ascii="Helvetica" w:eastAsia="Candara" w:hAnsi="Helvetica" w:cs="Helvetica"/>
          <w:iCs/>
          <w:sz w:val="24"/>
          <w:szCs w:val="24"/>
          <w:lang w:eastAsia="es-GT"/>
        </w:rPr>
        <w:t xml:space="preserve">2,500,000 y la </w:t>
      </w:r>
      <w:r w:rsidRPr="00B81916">
        <w:rPr>
          <w:rFonts w:ascii="Helvetica" w:eastAsia="Candara" w:hAnsi="Helvetica" w:cs="Helvetica"/>
          <w:bCs/>
          <w:iCs/>
          <w:sz w:val="24"/>
          <w:szCs w:val="24"/>
          <w:lang w:eastAsia="es-GT"/>
        </w:rPr>
        <w:t>SCEP</w:t>
      </w:r>
      <w:r w:rsidRPr="00B81916">
        <w:rPr>
          <w:rFonts w:ascii="Helvetica" w:eastAsia="Candara" w:hAnsi="Helvetica" w:cs="Helvetica"/>
          <w:iCs/>
          <w:sz w:val="24"/>
          <w:szCs w:val="24"/>
          <w:lang w:eastAsia="es-GT"/>
        </w:rPr>
        <w:t xml:space="preserve"> con Q.</w:t>
      </w:r>
      <w:r w:rsidRPr="00B81916">
        <w:t xml:space="preserve"> </w:t>
      </w:r>
      <w:r w:rsidRPr="00B81916">
        <w:rPr>
          <w:rFonts w:ascii="Helvetica" w:eastAsia="Candara" w:hAnsi="Helvetica" w:cs="Helvetica"/>
          <w:iCs/>
          <w:sz w:val="24"/>
          <w:szCs w:val="24"/>
          <w:lang w:eastAsia="es-GT"/>
        </w:rPr>
        <w:t>2,000,000.</w:t>
      </w:r>
    </w:p>
    <w:p w14:paraId="4AB0856E" w14:textId="77777777" w:rsidR="00A87EEB" w:rsidRPr="008D1CB6" w:rsidRDefault="00A87EEB" w:rsidP="00A87EEB">
      <w:pPr>
        <w:pStyle w:val="Ttulo1"/>
        <w:numPr>
          <w:ilvl w:val="0"/>
          <w:numId w:val="0"/>
        </w:numPr>
        <w:ind w:left="432" w:hanging="432"/>
      </w:pPr>
      <w:bookmarkStart w:id="30" w:name="_Toc66952607"/>
      <w:bookmarkStart w:id="31" w:name="_Toc67589092"/>
      <w:r w:rsidRPr="008D1CB6">
        <w:t>Entidades Descentralizadas y Autónomas</w:t>
      </w:r>
      <w:bookmarkEnd w:id="28"/>
      <w:bookmarkEnd w:id="30"/>
      <w:bookmarkEnd w:id="31"/>
    </w:p>
    <w:p w14:paraId="70FBB675" w14:textId="77777777" w:rsidR="00A87EEB" w:rsidRPr="00A25755" w:rsidRDefault="00A87EEB" w:rsidP="00A87EEB">
      <w:pPr>
        <w:spacing w:before="240" w:after="240" w:line="240" w:lineRule="auto"/>
        <w:jc w:val="both"/>
        <w:rPr>
          <w:rFonts w:ascii="Helvetica" w:eastAsia="Candara" w:hAnsi="Helvetica" w:cs="Helvetica"/>
          <w:sz w:val="24"/>
          <w:szCs w:val="24"/>
          <w:lang w:eastAsia="es-GT"/>
        </w:rPr>
      </w:pPr>
      <w:bookmarkStart w:id="32" w:name="_Toc50824683"/>
      <w:r w:rsidRPr="00A25755">
        <w:rPr>
          <w:rFonts w:ascii="Helvetica" w:eastAsia="Candara" w:hAnsi="Helvetica" w:cs="Helvetica"/>
          <w:sz w:val="24"/>
          <w:szCs w:val="24"/>
          <w:lang w:eastAsia="es-GT"/>
        </w:rPr>
        <w:t>Se presentan los resultados de la ejecución financiera del ejercicio fiscal 2020 de 68</w:t>
      </w:r>
      <w:r w:rsidRPr="00A25755">
        <w:rPr>
          <w:rFonts w:ascii="Helvetica" w:eastAsia="Candara" w:hAnsi="Helvetica" w:cs="Helvetica"/>
          <w:iCs/>
          <w:sz w:val="24"/>
          <w:szCs w:val="24"/>
          <w:lang w:eastAsia="es-GT"/>
        </w:rPr>
        <w:t xml:space="preserve"> Entidades descentralizadas y autónomas</w:t>
      </w:r>
      <w:r w:rsidRPr="00A25755">
        <w:rPr>
          <w:rFonts w:ascii="Helvetica" w:eastAsia="Candara" w:hAnsi="Helvetica" w:cs="Helvetica"/>
          <w:sz w:val="24"/>
          <w:szCs w:val="24"/>
          <w:lang w:eastAsia="es-GT"/>
        </w:rPr>
        <w:t>, a través de un cuadro comparativo según los registros realizados en el SIPLAN y el SICOIN. En dichas plataformas informáticas, las entidades realizaron los registros correspondientes a la formulación de la planificación, la programación y reprogramación de metas físicas y financieras y la ejecución de metas en cada cuatrimestre del 2020 como lo establece la normativa vigente.</w:t>
      </w:r>
    </w:p>
    <w:p w14:paraId="03939D1F" w14:textId="77777777" w:rsidR="00A87EEB" w:rsidRPr="00CB4191" w:rsidRDefault="00A87EEB" w:rsidP="00A87EEB">
      <w:pPr>
        <w:spacing w:before="240" w:after="240" w:line="240" w:lineRule="auto"/>
        <w:jc w:val="both"/>
        <w:rPr>
          <w:rFonts w:ascii="Helvetica" w:eastAsia="Candara" w:hAnsi="Helvetica" w:cs="Helvetica"/>
          <w:sz w:val="24"/>
          <w:szCs w:val="24"/>
          <w:lang w:eastAsia="es-GT"/>
        </w:rPr>
      </w:pPr>
      <w:r>
        <w:rPr>
          <w:rFonts w:ascii="Helvetica" w:eastAsia="Candara" w:hAnsi="Helvetica" w:cs="Helvetica"/>
          <w:sz w:val="24"/>
          <w:szCs w:val="24"/>
          <w:lang w:eastAsia="es-GT"/>
        </w:rPr>
        <w:t xml:space="preserve">En el cuadro a </w:t>
      </w:r>
      <w:r w:rsidRPr="00CB4191">
        <w:rPr>
          <w:rFonts w:ascii="Helvetica" w:eastAsia="Candara" w:hAnsi="Helvetica" w:cs="Helvetica"/>
          <w:sz w:val="24"/>
          <w:szCs w:val="24"/>
          <w:lang w:eastAsia="es-GT"/>
        </w:rPr>
        <w:t xml:space="preserve">continuación, se presenta por cada entidad los datos siguientes: </w:t>
      </w:r>
    </w:p>
    <w:p w14:paraId="50FF500E" w14:textId="77777777" w:rsidR="00A87EEB" w:rsidRPr="00CF0036" w:rsidRDefault="00A87EEB" w:rsidP="00A87EEB">
      <w:pPr>
        <w:pStyle w:val="Prrafodelista"/>
        <w:numPr>
          <w:ilvl w:val="0"/>
          <w:numId w:val="23"/>
        </w:numPr>
        <w:spacing w:before="120" w:after="120" w:line="240" w:lineRule="auto"/>
        <w:ind w:left="714" w:hanging="357"/>
        <w:contextualSpacing w:val="0"/>
        <w:jc w:val="both"/>
        <w:rPr>
          <w:rFonts w:ascii="Helvetica" w:eastAsia="Candara" w:hAnsi="Helvetica" w:cs="Helvetica"/>
          <w:iCs/>
          <w:sz w:val="24"/>
          <w:szCs w:val="24"/>
          <w:lang w:eastAsia="es-GT"/>
        </w:rPr>
      </w:pPr>
      <w:r w:rsidRPr="00CF0036">
        <w:rPr>
          <w:rFonts w:ascii="Helvetica" w:eastAsia="Candara" w:hAnsi="Helvetica" w:cs="Helvetica"/>
          <w:b/>
          <w:bCs/>
          <w:iCs/>
          <w:sz w:val="24"/>
          <w:szCs w:val="24"/>
          <w:lang w:eastAsia="es-GT"/>
        </w:rPr>
        <w:t>Nombre de la institución</w:t>
      </w:r>
      <w:r>
        <w:rPr>
          <w:rFonts w:ascii="Helvetica" w:eastAsia="Candara" w:hAnsi="Helvetica" w:cs="Helvetica"/>
          <w:b/>
          <w:bCs/>
          <w:iCs/>
          <w:sz w:val="24"/>
          <w:szCs w:val="24"/>
          <w:lang w:eastAsia="es-GT"/>
        </w:rPr>
        <w:t>.</w:t>
      </w:r>
    </w:p>
    <w:p w14:paraId="6DAEFFDA" w14:textId="77777777" w:rsidR="00A87EEB" w:rsidRPr="00CF0036" w:rsidRDefault="00A87EEB" w:rsidP="00A87EEB">
      <w:pPr>
        <w:pStyle w:val="Prrafodelista"/>
        <w:numPr>
          <w:ilvl w:val="0"/>
          <w:numId w:val="23"/>
        </w:numPr>
        <w:spacing w:before="120" w:after="120" w:line="240" w:lineRule="auto"/>
        <w:ind w:left="714" w:hanging="357"/>
        <w:contextualSpacing w:val="0"/>
        <w:jc w:val="both"/>
        <w:rPr>
          <w:rFonts w:ascii="Helvetica" w:eastAsia="Candara" w:hAnsi="Helvetica" w:cs="Helvetica"/>
          <w:iCs/>
          <w:sz w:val="24"/>
          <w:szCs w:val="24"/>
          <w:lang w:eastAsia="es-GT"/>
        </w:rPr>
      </w:pPr>
      <w:r w:rsidRPr="00CF0036">
        <w:rPr>
          <w:rFonts w:ascii="Helvetica" w:eastAsia="Candara" w:hAnsi="Helvetica" w:cs="Helvetica"/>
          <w:b/>
          <w:bCs/>
          <w:iCs/>
          <w:sz w:val="24"/>
          <w:szCs w:val="24"/>
          <w:lang w:eastAsia="es-GT"/>
        </w:rPr>
        <w:t>Meta financiera vigente:</w:t>
      </w:r>
      <w:r w:rsidRPr="00CF0036">
        <w:rPr>
          <w:rFonts w:ascii="Helvetica" w:eastAsia="Candara" w:hAnsi="Helvetica" w:cs="Helvetica"/>
          <w:iCs/>
          <w:sz w:val="24"/>
          <w:szCs w:val="24"/>
          <w:lang w:eastAsia="es-GT"/>
        </w:rPr>
        <w:t xml:space="preserve"> se refiere al presupuesto inicial programado, incluyendo las disminuciones y/o aumentos como resultado de reprogramaciones de metas financieras o modificaciones presupuestarias.</w:t>
      </w:r>
    </w:p>
    <w:p w14:paraId="6D9A3512" w14:textId="77777777" w:rsidR="00A87EEB" w:rsidRPr="00CF0036" w:rsidRDefault="00A87EEB" w:rsidP="00A87EEB">
      <w:pPr>
        <w:pStyle w:val="Prrafodelista"/>
        <w:numPr>
          <w:ilvl w:val="0"/>
          <w:numId w:val="23"/>
        </w:numPr>
        <w:spacing w:before="120" w:after="120" w:line="240" w:lineRule="auto"/>
        <w:ind w:left="714" w:hanging="357"/>
        <w:contextualSpacing w:val="0"/>
        <w:jc w:val="both"/>
        <w:rPr>
          <w:rFonts w:ascii="Helvetica" w:eastAsia="Candara" w:hAnsi="Helvetica" w:cs="Helvetica"/>
          <w:b/>
          <w:bCs/>
          <w:iCs/>
          <w:sz w:val="24"/>
          <w:szCs w:val="24"/>
          <w:lang w:eastAsia="es-GT"/>
        </w:rPr>
      </w:pPr>
      <w:r w:rsidRPr="00CF0036">
        <w:rPr>
          <w:rFonts w:ascii="Helvetica" w:eastAsia="Candara" w:hAnsi="Helvetica" w:cs="Helvetica"/>
          <w:b/>
          <w:bCs/>
          <w:iCs/>
          <w:sz w:val="24"/>
          <w:szCs w:val="24"/>
          <w:lang w:eastAsia="es-GT"/>
        </w:rPr>
        <w:t xml:space="preserve">Ejecución financiera: </w:t>
      </w:r>
      <w:r w:rsidRPr="00CF0036">
        <w:rPr>
          <w:rFonts w:ascii="Helvetica" w:eastAsia="Candara" w:hAnsi="Helvetica" w:cs="Helvetica"/>
          <w:iCs/>
          <w:sz w:val="24"/>
          <w:szCs w:val="24"/>
          <w:lang w:eastAsia="es-GT"/>
        </w:rPr>
        <w:t>se refiere a la meta financiera ejecutada o presupuesto ejecutado, que incluye la ejecución de los tres cuatrimestres del 2020.</w:t>
      </w:r>
    </w:p>
    <w:p w14:paraId="4FF2DC83" w14:textId="57BC25AC" w:rsidR="00A87EEB" w:rsidRPr="00A87EEB" w:rsidRDefault="00A87EEB" w:rsidP="00A87EEB">
      <w:pPr>
        <w:pStyle w:val="Prrafodelista"/>
        <w:numPr>
          <w:ilvl w:val="0"/>
          <w:numId w:val="23"/>
        </w:numPr>
        <w:spacing w:before="120" w:after="120" w:line="240" w:lineRule="auto"/>
        <w:ind w:left="714" w:hanging="357"/>
        <w:contextualSpacing w:val="0"/>
        <w:jc w:val="both"/>
        <w:rPr>
          <w:rFonts w:ascii="Helvetica" w:eastAsia="Candara" w:hAnsi="Helvetica" w:cs="Helvetica"/>
          <w:b/>
          <w:bCs/>
          <w:sz w:val="24"/>
          <w:szCs w:val="24"/>
          <w:lang w:eastAsia="es-GT"/>
        </w:rPr>
      </w:pPr>
      <w:r w:rsidRPr="00CF0036">
        <w:rPr>
          <w:rFonts w:ascii="Helvetica" w:eastAsia="Candara" w:hAnsi="Helvetica" w:cs="Helvetica"/>
          <w:b/>
          <w:bCs/>
          <w:iCs/>
          <w:sz w:val="24"/>
          <w:szCs w:val="24"/>
          <w:lang w:eastAsia="es-GT"/>
        </w:rPr>
        <w:t xml:space="preserve">Porcentaje (%) de ejecución de la meta financiera vigente: </w:t>
      </w:r>
      <w:r w:rsidRPr="00CF0036">
        <w:rPr>
          <w:rFonts w:ascii="Helvetica" w:eastAsia="Candara" w:hAnsi="Helvetica" w:cs="Helvetica"/>
          <w:iCs/>
          <w:sz w:val="24"/>
          <w:szCs w:val="24"/>
          <w:lang w:eastAsia="es-GT"/>
        </w:rPr>
        <w:t xml:space="preserve">el porcentaje muestra cuánto se ejecutó respecto de la meta financiera vigente, lo que permite inferir que </w:t>
      </w:r>
      <w:r w:rsidRPr="00CF0036">
        <w:rPr>
          <w:rFonts w:ascii="Helvetica" w:hAnsi="Helvetica" w:cs="Helvetica"/>
          <w:sz w:val="24"/>
          <w:szCs w:val="24"/>
        </w:rPr>
        <w:t>a mayor porcentaje de ejecución habrá mayor eficiencia en la calidad del gasto público como un indicador d</w:t>
      </w:r>
      <w:r w:rsidRPr="00CF0036">
        <w:rPr>
          <w:rFonts w:ascii="Helvetica" w:eastAsia="Candara" w:hAnsi="Helvetica" w:cs="Helvetica"/>
          <w:iCs/>
          <w:sz w:val="24"/>
          <w:szCs w:val="24"/>
          <w:lang w:eastAsia="es-GT"/>
        </w:rPr>
        <w:t xml:space="preserve">el desempeño institucional. </w:t>
      </w:r>
    </w:p>
    <w:p w14:paraId="67FE2840" w14:textId="61328C44" w:rsidR="00A87EEB" w:rsidRDefault="00A87EEB" w:rsidP="00A87EEB">
      <w:pPr>
        <w:spacing w:before="120" w:after="120" w:line="240" w:lineRule="auto"/>
        <w:jc w:val="both"/>
        <w:rPr>
          <w:rFonts w:ascii="Helvetica" w:eastAsia="Candara" w:hAnsi="Helvetica" w:cs="Helvetica"/>
          <w:b/>
          <w:bCs/>
          <w:sz w:val="24"/>
          <w:szCs w:val="24"/>
          <w:lang w:eastAsia="es-GT"/>
        </w:rPr>
      </w:pPr>
    </w:p>
    <w:p w14:paraId="6B3BF2FA" w14:textId="75E55EB2" w:rsidR="00A87EEB" w:rsidRDefault="00A87EEB" w:rsidP="00A87EEB">
      <w:pPr>
        <w:spacing w:before="120" w:after="120" w:line="240" w:lineRule="auto"/>
        <w:jc w:val="both"/>
        <w:rPr>
          <w:rFonts w:ascii="Helvetica" w:eastAsia="Candara" w:hAnsi="Helvetica" w:cs="Helvetica"/>
          <w:b/>
          <w:bCs/>
          <w:sz w:val="24"/>
          <w:szCs w:val="24"/>
          <w:lang w:eastAsia="es-GT"/>
        </w:rPr>
      </w:pPr>
    </w:p>
    <w:p w14:paraId="7B6ED8DB" w14:textId="0D8260AE" w:rsidR="00A87EEB" w:rsidRDefault="00A87EEB" w:rsidP="00A87EEB">
      <w:pPr>
        <w:spacing w:before="120" w:after="120" w:line="240" w:lineRule="auto"/>
        <w:jc w:val="both"/>
        <w:rPr>
          <w:rFonts w:ascii="Helvetica" w:eastAsia="Candara" w:hAnsi="Helvetica" w:cs="Helvetica"/>
          <w:b/>
          <w:bCs/>
          <w:sz w:val="24"/>
          <w:szCs w:val="24"/>
          <w:lang w:eastAsia="es-GT"/>
        </w:rPr>
      </w:pPr>
    </w:p>
    <w:p w14:paraId="5DC3A915" w14:textId="77777777" w:rsidR="002A0798" w:rsidRDefault="002A0798" w:rsidP="00A87EEB">
      <w:pPr>
        <w:spacing w:before="120" w:after="120" w:line="240" w:lineRule="auto"/>
        <w:jc w:val="both"/>
        <w:rPr>
          <w:rFonts w:ascii="Helvetica" w:eastAsia="Candara" w:hAnsi="Helvetica" w:cs="Helvetica"/>
          <w:b/>
          <w:bCs/>
          <w:sz w:val="24"/>
          <w:szCs w:val="24"/>
          <w:lang w:eastAsia="es-GT"/>
        </w:rPr>
      </w:pPr>
    </w:p>
    <w:p w14:paraId="312BFA61" w14:textId="77777777" w:rsidR="00A87EEB" w:rsidRPr="00A87EEB" w:rsidRDefault="00A87EEB" w:rsidP="00A87EEB">
      <w:pPr>
        <w:spacing w:before="120" w:after="120" w:line="240" w:lineRule="auto"/>
        <w:jc w:val="both"/>
        <w:rPr>
          <w:rFonts w:ascii="Helvetica" w:eastAsia="Candara" w:hAnsi="Helvetica" w:cs="Helvetica"/>
          <w:b/>
          <w:bCs/>
          <w:sz w:val="24"/>
          <w:szCs w:val="24"/>
          <w:lang w:eastAsia="es-GT"/>
        </w:rPr>
      </w:pPr>
    </w:p>
    <w:p w14:paraId="330279DD" w14:textId="77777777" w:rsidR="00A87EEB" w:rsidRDefault="00A87EEB" w:rsidP="00A87EEB">
      <w:pPr>
        <w:spacing w:after="0" w:line="240" w:lineRule="auto"/>
        <w:jc w:val="center"/>
        <w:rPr>
          <w:rFonts w:ascii="Candara" w:eastAsia="Candara" w:hAnsi="Candara" w:cs="Candara"/>
          <w:bCs/>
          <w:lang w:eastAsia="es-GT"/>
        </w:rPr>
      </w:pPr>
    </w:p>
    <w:p w14:paraId="0109D8D3" w14:textId="44E318AA" w:rsidR="00A87EEB" w:rsidRDefault="00A87EEB" w:rsidP="00A87EEB">
      <w:pPr>
        <w:spacing w:after="0" w:line="240" w:lineRule="auto"/>
        <w:jc w:val="center"/>
        <w:rPr>
          <w:rFonts w:ascii="Candara" w:eastAsia="Candara" w:hAnsi="Candara" w:cs="Candara"/>
          <w:bCs/>
          <w:lang w:eastAsia="es-GT"/>
        </w:rPr>
      </w:pPr>
    </w:p>
    <w:p w14:paraId="57360899" w14:textId="4EF4C36D" w:rsidR="00554324" w:rsidRDefault="00554324" w:rsidP="00A87EEB">
      <w:pPr>
        <w:spacing w:after="0" w:line="240" w:lineRule="auto"/>
        <w:jc w:val="center"/>
        <w:rPr>
          <w:rFonts w:ascii="Candara" w:eastAsia="Candara" w:hAnsi="Candara" w:cs="Candara"/>
          <w:bCs/>
          <w:lang w:eastAsia="es-GT"/>
        </w:rPr>
      </w:pPr>
    </w:p>
    <w:p w14:paraId="2772C8F8" w14:textId="77777777" w:rsidR="00E92111" w:rsidRDefault="00E92111" w:rsidP="00E92111">
      <w:pPr>
        <w:pStyle w:val="Prrafodelista"/>
        <w:spacing w:before="120" w:after="120" w:line="240" w:lineRule="auto"/>
        <w:ind w:left="714"/>
        <w:contextualSpacing w:val="0"/>
        <w:jc w:val="both"/>
        <w:rPr>
          <w:rFonts w:ascii="Helvetica" w:hAnsi="Helvetica" w:cs="Helvetica"/>
          <w:b/>
          <w:sz w:val="24"/>
          <w:szCs w:val="24"/>
        </w:rPr>
      </w:pPr>
    </w:p>
    <w:p w14:paraId="54AC42FE" w14:textId="77777777" w:rsidR="00E92111" w:rsidRDefault="00E92111" w:rsidP="00E92111">
      <w:pPr>
        <w:pStyle w:val="Prrafodelista"/>
        <w:spacing w:before="120" w:after="120" w:line="240" w:lineRule="auto"/>
        <w:ind w:left="714"/>
        <w:contextualSpacing w:val="0"/>
        <w:jc w:val="both"/>
        <w:rPr>
          <w:rFonts w:ascii="Helvetica" w:hAnsi="Helvetica" w:cs="Helvetica"/>
          <w:b/>
          <w:sz w:val="24"/>
          <w:szCs w:val="24"/>
        </w:rPr>
      </w:pPr>
    </w:p>
    <w:p w14:paraId="103701D1" w14:textId="6A3D1B56" w:rsidR="00A87EEB" w:rsidRPr="00016865" w:rsidRDefault="002A0798" w:rsidP="00016865">
      <w:pPr>
        <w:pStyle w:val="ttulosgrficas"/>
        <w:rPr>
          <w:rFonts w:eastAsia="Times New Roman"/>
          <w:color w:val="4472C4" w:themeColor="accent1"/>
          <w:lang w:val="es-ES"/>
        </w:rPr>
      </w:pPr>
      <w:bookmarkStart w:id="33" w:name="_Toc67589118"/>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5</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A87EEB" w:rsidRPr="00016865">
        <w:rPr>
          <w:rFonts w:eastAsia="Times New Roman"/>
          <w:color w:val="4472C4" w:themeColor="accent1"/>
          <w:lang w:val="es-ES"/>
        </w:rPr>
        <w:t>Ejecución financiera</w:t>
      </w:r>
      <w:r w:rsidR="00554324" w:rsidRPr="00016865">
        <w:rPr>
          <w:rFonts w:eastAsia="Times New Roman"/>
          <w:color w:val="4472C4" w:themeColor="accent1"/>
          <w:lang w:val="es-ES"/>
        </w:rPr>
        <w:t xml:space="preserve"> </w:t>
      </w:r>
      <w:r w:rsidR="00A87EEB" w:rsidRPr="00016865">
        <w:rPr>
          <w:rFonts w:eastAsia="Times New Roman"/>
          <w:color w:val="4472C4" w:themeColor="accent1"/>
          <w:lang w:val="es-ES"/>
        </w:rPr>
        <w:t>Entidades Descentralizadas y Autónomas</w:t>
      </w:r>
      <w:r w:rsidR="00554324" w:rsidRPr="00016865">
        <w:rPr>
          <w:rFonts w:eastAsia="Times New Roman"/>
          <w:color w:val="4472C4" w:themeColor="accent1"/>
          <w:lang w:val="es-ES"/>
        </w:rPr>
        <w:t xml:space="preserve"> 2020</w:t>
      </w:r>
      <w:bookmarkEnd w:id="33"/>
    </w:p>
    <w:p w14:paraId="390605BD" w14:textId="77777777" w:rsidR="00A87EEB" w:rsidRDefault="00A87EEB" w:rsidP="00A87EEB">
      <w:pPr>
        <w:spacing w:before="240" w:after="240" w:line="240" w:lineRule="auto"/>
        <w:jc w:val="both"/>
        <w:rPr>
          <w:rFonts w:ascii="Candara" w:eastAsia="Candara" w:hAnsi="Candara" w:cs="Candara"/>
          <w:sz w:val="16"/>
          <w:szCs w:val="16"/>
          <w:lang w:eastAsia="es-GT"/>
        </w:rPr>
      </w:pPr>
      <w:r w:rsidRPr="009F6762">
        <w:rPr>
          <w:noProof/>
          <w:lang w:eastAsia="es-GT"/>
        </w:rPr>
        <w:drawing>
          <wp:inline distT="0" distB="0" distL="0" distR="0" wp14:anchorId="1158D244" wp14:editId="1787330D">
            <wp:extent cx="5943600" cy="6977351"/>
            <wp:effectExtent l="19050" t="19050" r="19050" b="146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6977351"/>
                    </a:xfrm>
                    <a:prstGeom prst="rect">
                      <a:avLst/>
                    </a:prstGeom>
                    <a:noFill/>
                    <a:ln w="3175">
                      <a:solidFill>
                        <a:schemeClr val="tx1"/>
                      </a:solidFill>
                    </a:ln>
                  </pic:spPr>
                </pic:pic>
              </a:graphicData>
            </a:graphic>
          </wp:inline>
        </w:drawing>
      </w:r>
    </w:p>
    <w:p w14:paraId="371701B2" w14:textId="77777777" w:rsidR="00A87EEB" w:rsidRDefault="00A87EEB" w:rsidP="00A87EEB">
      <w:pPr>
        <w:spacing w:before="240" w:after="240" w:line="240" w:lineRule="auto"/>
        <w:jc w:val="both"/>
        <w:rPr>
          <w:rFonts w:ascii="Candara" w:eastAsia="Candara" w:hAnsi="Candara" w:cs="Candara"/>
          <w:sz w:val="16"/>
          <w:szCs w:val="16"/>
          <w:lang w:eastAsia="es-GT"/>
        </w:rPr>
      </w:pPr>
      <w:r w:rsidRPr="009F6762">
        <w:rPr>
          <w:noProof/>
          <w:lang w:eastAsia="es-GT"/>
        </w:rPr>
        <w:drawing>
          <wp:anchor distT="0" distB="0" distL="114300" distR="114300" simplePos="0" relativeHeight="251663360" behindDoc="0" locked="0" layoutInCell="1" allowOverlap="1" wp14:anchorId="38BE43FA" wp14:editId="593B329A">
            <wp:simplePos x="0" y="0"/>
            <wp:positionH relativeFrom="column">
              <wp:posOffset>-206934</wp:posOffset>
            </wp:positionH>
            <wp:positionV relativeFrom="paragraph">
              <wp:posOffset>19050</wp:posOffset>
            </wp:positionV>
            <wp:extent cx="5943600" cy="8451525"/>
            <wp:effectExtent l="19050" t="19050" r="19050" b="26035"/>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84515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08DDBA75" w14:textId="77777777" w:rsidR="00A87EEB" w:rsidRDefault="00A87EEB" w:rsidP="00A87EEB">
      <w:pPr>
        <w:spacing w:before="240" w:after="240" w:line="240" w:lineRule="auto"/>
        <w:jc w:val="both"/>
        <w:rPr>
          <w:rFonts w:ascii="Candara" w:eastAsia="Candara" w:hAnsi="Candara" w:cs="Candara"/>
          <w:lang w:eastAsia="es-GT"/>
        </w:rPr>
      </w:pPr>
      <w:r w:rsidRPr="009F6762">
        <w:rPr>
          <w:noProof/>
          <w:lang w:eastAsia="es-GT"/>
        </w:rPr>
        <w:drawing>
          <wp:inline distT="0" distB="0" distL="0" distR="0" wp14:anchorId="762F6FAD" wp14:editId="14DC3351">
            <wp:extent cx="5943600" cy="5191738"/>
            <wp:effectExtent l="19050" t="19050" r="19050" b="285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5191738"/>
                    </a:xfrm>
                    <a:prstGeom prst="rect">
                      <a:avLst/>
                    </a:prstGeom>
                    <a:noFill/>
                    <a:ln w="3175">
                      <a:solidFill>
                        <a:schemeClr val="tx1"/>
                      </a:solidFill>
                    </a:ln>
                  </pic:spPr>
                </pic:pic>
              </a:graphicData>
            </a:graphic>
          </wp:inline>
        </w:drawing>
      </w:r>
      <w:r w:rsidRPr="00505461">
        <w:rPr>
          <w:rFonts w:ascii="Candara" w:eastAsia="Candara" w:hAnsi="Candara" w:cs="Candara"/>
          <w:sz w:val="16"/>
          <w:szCs w:val="16"/>
          <w:lang w:eastAsia="es-GT"/>
        </w:rPr>
        <w:t>Fuente: Elabora</w:t>
      </w:r>
      <w:r>
        <w:rPr>
          <w:rFonts w:ascii="Candara" w:eastAsia="Candara" w:hAnsi="Candara" w:cs="Candara"/>
          <w:sz w:val="16"/>
          <w:szCs w:val="16"/>
          <w:lang w:eastAsia="es-GT"/>
        </w:rPr>
        <w:t>do por SEGEPLAN,</w:t>
      </w:r>
      <w:r w:rsidRPr="00505461">
        <w:rPr>
          <w:rFonts w:ascii="Candara" w:eastAsia="Candara" w:hAnsi="Candara" w:cs="Candara"/>
          <w:sz w:val="16"/>
          <w:szCs w:val="16"/>
          <w:lang w:eastAsia="es-GT"/>
        </w:rPr>
        <w:t xml:space="preserve"> con base a registros de</w:t>
      </w:r>
      <w:r>
        <w:rPr>
          <w:rFonts w:ascii="Candara" w:eastAsia="Candara" w:hAnsi="Candara" w:cs="Candara"/>
          <w:sz w:val="16"/>
          <w:szCs w:val="16"/>
          <w:lang w:eastAsia="es-GT"/>
        </w:rPr>
        <w:t xml:space="preserve"> </w:t>
      </w:r>
      <w:r w:rsidRPr="00505461">
        <w:rPr>
          <w:rFonts w:ascii="Candara" w:eastAsia="Candara" w:hAnsi="Candara" w:cs="Candara"/>
          <w:sz w:val="16"/>
          <w:szCs w:val="16"/>
          <w:lang w:eastAsia="es-GT"/>
        </w:rPr>
        <w:t>SIPLAN</w:t>
      </w:r>
      <w:r>
        <w:rPr>
          <w:rFonts w:ascii="Candara" w:eastAsia="Candara" w:hAnsi="Candara" w:cs="Candara"/>
          <w:sz w:val="16"/>
          <w:szCs w:val="16"/>
          <w:lang w:eastAsia="es-GT"/>
        </w:rPr>
        <w:t xml:space="preserve"> y SICOIN. Año 2020.</w:t>
      </w:r>
    </w:p>
    <w:p w14:paraId="3D46E0DD" w14:textId="12FF16D6" w:rsidR="00A87EEB" w:rsidRPr="00CB4191" w:rsidRDefault="00A87EEB" w:rsidP="00A87EEB">
      <w:pPr>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En l</w:t>
      </w:r>
      <w:r w:rsidR="002A0798">
        <w:rPr>
          <w:rFonts w:ascii="Helvetica" w:eastAsia="Candara" w:hAnsi="Helvetica" w:cs="Helvetica"/>
          <w:sz w:val="24"/>
          <w:szCs w:val="24"/>
          <w:lang w:eastAsia="es-GT"/>
        </w:rPr>
        <w:t>as tablas</w:t>
      </w:r>
      <w:r w:rsidRPr="00CB4191">
        <w:rPr>
          <w:rFonts w:ascii="Helvetica" w:eastAsia="Candara" w:hAnsi="Helvetica" w:cs="Helvetica"/>
          <w:sz w:val="24"/>
          <w:szCs w:val="24"/>
          <w:lang w:eastAsia="es-GT"/>
        </w:rPr>
        <w:t xml:space="preserve"> anteriores, se observa con color verde a las instituciones que lograron la mayor ejecución presupuestaria y en color rojo las de menor ejecución respecto a la meta financiera vigente.</w:t>
      </w:r>
    </w:p>
    <w:p w14:paraId="5B13D265" w14:textId="5341CAB8"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 xml:space="preserve">Según datos de SICOIN, se observa que el valor máximo del porcentaje (%) de ejecución respecto a la meta financiera vigente </w:t>
      </w:r>
      <w:r w:rsidR="00DB5C36">
        <w:rPr>
          <w:rFonts w:ascii="Helvetica" w:eastAsia="Candara" w:hAnsi="Helvetica" w:cs="Helvetica"/>
          <w:bCs/>
          <w:iCs/>
          <w:sz w:val="24"/>
          <w:szCs w:val="24"/>
          <w:lang w:eastAsia="es-GT"/>
        </w:rPr>
        <w:t xml:space="preserve">corresponde a la </w:t>
      </w:r>
      <w:r w:rsidRPr="00CB4191">
        <w:rPr>
          <w:rFonts w:ascii="Helvetica" w:eastAsia="Candara" w:hAnsi="Helvetica" w:cs="Helvetica"/>
          <w:bCs/>
          <w:iCs/>
          <w:sz w:val="24"/>
          <w:szCs w:val="24"/>
          <w:lang w:eastAsia="es-GT"/>
        </w:rPr>
        <w:t>Empresa Guatemalteca de Telecomunicaciones (GUATEL) con 98.77%, mientras que el valor mínimo lo tiene el Instituto de Fomento de Hipotecas Aseguradas y el Crédito Hipotecario Nacional de Guatemala con 0.00%, debido a que en el reporte de SICOIN no hay registros de ejecución. Sin embargo, el FHA y CHN, muestran en SIPLAN, 55.55% y 104.33% de ejecución respectivamente.</w:t>
      </w:r>
    </w:p>
    <w:p w14:paraId="227B4C9A" w14:textId="77777777"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A continuación, se presentan los principales resultados de la ejecución financiera con base a SICOIN:</w:t>
      </w:r>
    </w:p>
    <w:p w14:paraId="6F36769A" w14:textId="564EAFA2" w:rsidR="00A87EEB" w:rsidRPr="00CB4191" w:rsidRDefault="00A87EEB" w:rsidP="00A87EEB">
      <w:pPr>
        <w:pStyle w:val="Prrafodelista"/>
        <w:numPr>
          <w:ilvl w:val="0"/>
          <w:numId w:val="21"/>
        </w:numPr>
        <w:jc w:val="both"/>
        <w:rPr>
          <w:rFonts w:ascii="Helvetica" w:eastAsia="Candara" w:hAnsi="Helvetica" w:cs="Helvetica"/>
          <w:bCs/>
          <w:i/>
          <w:iCs/>
          <w:sz w:val="24"/>
          <w:szCs w:val="24"/>
          <w:lang w:eastAsia="es-GT"/>
        </w:rPr>
      </w:pPr>
      <w:r w:rsidRPr="00CB4191">
        <w:rPr>
          <w:rFonts w:ascii="Helvetica" w:eastAsia="Candara" w:hAnsi="Helvetica" w:cs="Helvetica"/>
          <w:i/>
          <w:iCs/>
          <w:sz w:val="24"/>
          <w:szCs w:val="24"/>
          <w:u w:val="single"/>
          <w:lang w:eastAsia="es-GT"/>
        </w:rPr>
        <w:t>Entidades con mayor asignación presupuestaria:</w:t>
      </w:r>
      <w:r w:rsidRPr="00CB4191">
        <w:rPr>
          <w:rFonts w:ascii="Helvetica" w:eastAsia="Candara" w:hAnsi="Helvetica" w:cs="Helvetica"/>
          <w:sz w:val="24"/>
          <w:szCs w:val="24"/>
          <w:lang w:eastAsia="es-GT"/>
        </w:rPr>
        <w:t xml:space="preserve"> Las 5 instituciones que tuvieron la mayor asignación presupuestaria en el 2020 según SICOIN fueron:</w:t>
      </w:r>
      <w:r w:rsidRPr="00CB4191">
        <w:rPr>
          <w:rFonts w:ascii="Helvetica" w:eastAsia="Candara" w:hAnsi="Helvetica" w:cs="Helvetica"/>
          <w:b/>
          <w:sz w:val="24"/>
          <w:szCs w:val="24"/>
          <w:lang w:eastAsia="es-GT"/>
        </w:rPr>
        <w:t xml:space="preserve"> </w:t>
      </w:r>
      <w:r w:rsidRPr="00CB4191">
        <w:rPr>
          <w:rFonts w:ascii="Helvetica" w:eastAsia="Candara" w:hAnsi="Helvetica" w:cs="Helvetica"/>
          <w:bCs/>
          <w:sz w:val="24"/>
          <w:szCs w:val="24"/>
          <w:lang w:eastAsia="es-GT"/>
        </w:rPr>
        <w:t>el Instituto Guatemalteco de Seguridad Socia</w:t>
      </w:r>
      <w:r w:rsidRPr="00567BCE">
        <w:rPr>
          <w:rFonts w:ascii="Helvetica" w:eastAsia="Candara" w:hAnsi="Helvetica" w:cs="Helvetica"/>
          <w:bCs/>
          <w:sz w:val="24"/>
          <w:szCs w:val="24"/>
          <w:lang w:eastAsia="es-GT"/>
        </w:rPr>
        <w:t xml:space="preserve">l </w:t>
      </w:r>
      <w:r w:rsidRPr="00567BCE">
        <w:rPr>
          <w:rFonts w:ascii="Helvetica" w:eastAsia="Candara" w:hAnsi="Helvetica" w:cs="Helvetica"/>
          <w:sz w:val="24"/>
          <w:szCs w:val="24"/>
          <w:lang w:eastAsia="es-GT"/>
        </w:rPr>
        <w:t>(IGSS)</w:t>
      </w:r>
      <w:r w:rsidRPr="00567BCE">
        <w:rPr>
          <w:rFonts w:ascii="Helvetica" w:eastAsia="Candara" w:hAnsi="Helvetica" w:cs="Helvetica"/>
          <w:bCs/>
          <w:sz w:val="24"/>
          <w:szCs w:val="24"/>
          <w:lang w:eastAsia="es-GT"/>
        </w:rPr>
        <w:t xml:space="preserve"> con Q.13,604,954,591</w:t>
      </w:r>
      <w:r w:rsidR="00DB5C36">
        <w:rPr>
          <w:rFonts w:ascii="Helvetica" w:eastAsia="Candara" w:hAnsi="Helvetica" w:cs="Helvetica"/>
          <w:bCs/>
          <w:sz w:val="24"/>
          <w:szCs w:val="24"/>
          <w:lang w:eastAsia="es-GT"/>
        </w:rPr>
        <w:t>;</w:t>
      </w:r>
      <w:r w:rsidRPr="00567BCE">
        <w:rPr>
          <w:rFonts w:ascii="Helvetica" w:eastAsia="Candara" w:hAnsi="Helvetica" w:cs="Helvetica"/>
          <w:bCs/>
          <w:sz w:val="24"/>
          <w:szCs w:val="24"/>
          <w:lang w:eastAsia="es-GT"/>
        </w:rPr>
        <w:t xml:space="preserve"> seguido del Organismo Judicial</w:t>
      </w:r>
      <w:r w:rsidRPr="00567BCE">
        <w:rPr>
          <w:rFonts w:ascii="Helvetica" w:eastAsia="Candara" w:hAnsi="Helvetica" w:cs="Helvetica"/>
          <w:sz w:val="24"/>
          <w:szCs w:val="24"/>
          <w:lang w:eastAsia="es-GT"/>
        </w:rPr>
        <w:t xml:space="preserve"> (OJ) </w:t>
      </w:r>
      <w:r w:rsidRPr="00567BCE">
        <w:rPr>
          <w:rFonts w:ascii="Helvetica" w:eastAsia="Candara" w:hAnsi="Helvetica" w:cs="Helvetica"/>
          <w:bCs/>
          <w:sz w:val="24"/>
          <w:szCs w:val="24"/>
          <w:lang w:eastAsia="es-GT"/>
        </w:rPr>
        <w:t>con Q.</w:t>
      </w:r>
      <w:r w:rsidRPr="00567BCE">
        <w:rPr>
          <w:rFonts w:ascii="Helvetica" w:hAnsi="Helvetica" w:cs="Helvetica"/>
          <w:sz w:val="24"/>
          <w:szCs w:val="24"/>
        </w:rPr>
        <w:t xml:space="preserve"> </w:t>
      </w:r>
      <w:r w:rsidRPr="00567BCE">
        <w:rPr>
          <w:rFonts w:ascii="Helvetica" w:eastAsia="Candara" w:hAnsi="Helvetica" w:cs="Helvetica"/>
          <w:bCs/>
          <w:sz w:val="24"/>
          <w:szCs w:val="24"/>
          <w:lang w:eastAsia="es-GT"/>
        </w:rPr>
        <w:t>3,234,215,943</w:t>
      </w:r>
      <w:r w:rsidR="00DB5C36">
        <w:rPr>
          <w:rFonts w:ascii="Helvetica" w:eastAsia="Candara" w:hAnsi="Helvetica" w:cs="Helvetica"/>
          <w:bCs/>
          <w:sz w:val="24"/>
          <w:szCs w:val="24"/>
          <w:lang w:eastAsia="es-GT"/>
        </w:rPr>
        <w:t>;</w:t>
      </w:r>
      <w:r w:rsidRPr="00567BCE">
        <w:rPr>
          <w:rFonts w:ascii="Helvetica" w:eastAsia="Candara" w:hAnsi="Helvetica" w:cs="Helvetica"/>
          <w:bCs/>
          <w:sz w:val="24"/>
          <w:szCs w:val="24"/>
          <w:lang w:eastAsia="es-GT"/>
        </w:rPr>
        <w:t xml:space="preserve"> Instituto Nacional de Electrificación </w:t>
      </w:r>
      <w:r w:rsidRPr="00567BCE">
        <w:rPr>
          <w:rFonts w:ascii="Helvetica" w:eastAsia="Candara" w:hAnsi="Helvetica" w:cs="Helvetica"/>
          <w:sz w:val="24"/>
          <w:szCs w:val="24"/>
          <w:lang w:eastAsia="es-GT"/>
        </w:rPr>
        <w:t>(INDE)</w:t>
      </w:r>
      <w:r w:rsidRPr="00567BCE">
        <w:rPr>
          <w:rFonts w:ascii="Helvetica" w:eastAsia="Candara" w:hAnsi="Helvetica" w:cs="Helvetica"/>
          <w:bCs/>
          <w:sz w:val="24"/>
          <w:szCs w:val="24"/>
          <w:lang w:eastAsia="es-GT"/>
        </w:rPr>
        <w:t xml:space="preserve"> con Q.</w:t>
      </w:r>
      <w:r w:rsidRPr="00567BCE">
        <w:rPr>
          <w:rFonts w:ascii="Helvetica" w:hAnsi="Helvetica" w:cs="Helvetica"/>
          <w:sz w:val="24"/>
          <w:szCs w:val="24"/>
        </w:rPr>
        <w:t xml:space="preserve"> </w:t>
      </w:r>
      <w:r w:rsidRPr="00567BCE">
        <w:rPr>
          <w:rFonts w:ascii="Helvetica" w:eastAsia="Candara" w:hAnsi="Helvetica" w:cs="Helvetica"/>
          <w:bCs/>
          <w:sz w:val="24"/>
          <w:szCs w:val="24"/>
          <w:lang w:eastAsia="es-GT"/>
        </w:rPr>
        <w:t>2,925,894,000</w:t>
      </w:r>
      <w:r w:rsidR="00DB5C36">
        <w:rPr>
          <w:rFonts w:ascii="Helvetica" w:eastAsia="Candara" w:hAnsi="Helvetica" w:cs="Helvetica"/>
          <w:bCs/>
          <w:sz w:val="24"/>
          <w:szCs w:val="24"/>
          <w:lang w:eastAsia="es-GT"/>
        </w:rPr>
        <w:t>;</w:t>
      </w:r>
      <w:r w:rsidRPr="00567BCE">
        <w:rPr>
          <w:rFonts w:ascii="Helvetica" w:eastAsia="Candara" w:hAnsi="Helvetica" w:cs="Helvetica"/>
          <w:bCs/>
          <w:sz w:val="24"/>
          <w:szCs w:val="24"/>
          <w:lang w:eastAsia="es-GT"/>
        </w:rPr>
        <w:t xml:space="preserve"> Ministerio Público </w:t>
      </w:r>
      <w:r w:rsidRPr="00567BCE">
        <w:rPr>
          <w:rFonts w:ascii="Helvetica" w:eastAsia="Candara" w:hAnsi="Helvetica" w:cs="Helvetica"/>
          <w:sz w:val="24"/>
          <w:szCs w:val="24"/>
          <w:lang w:eastAsia="es-GT"/>
        </w:rPr>
        <w:t>(MP)</w:t>
      </w:r>
      <w:r w:rsidRPr="00567BCE">
        <w:rPr>
          <w:rFonts w:ascii="Helvetica" w:eastAsia="Candara" w:hAnsi="Helvetica" w:cs="Helvetica"/>
          <w:bCs/>
          <w:sz w:val="24"/>
          <w:szCs w:val="24"/>
          <w:lang w:eastAsia="es-GT"/>
        </w:rPr>
        <w:t xml:space="preserve"> con Q.</w:t>
      </w:r>
      <w:r w:rsidRPr="00567BCE">
        <w:rPr>
          <w:rFonts w:ascii="Helvetica" w:hAnsi="Helvetica" w:cs="Helvetica"/>
          <w:sz w:val="24"/>
          <w:szCs w:val="24"/>
        </w:rPr>
        <w:t xml:space="preserve"> </w:t>
      </w:r>
      <w:r w:rsidRPr="00567BCE">
        <w:rPr>
          <w:rFonts w:ascii="Helvetica" w:eastAsia="Candara" w:hAnsi="Helvetica" w:cs="Helvetica"/>
          <w:bCs/>
          <w:sz w:val="24"/>
          <w:szCs w:val="24"/>
          <w:lang w:eastAsia="es-GT"/>
        </w:rPr>
        <w:t xml:space="preserve">2,678,355,826 y Superintendencia de Administración Tributaria </w:t>
      </w:r>
      <w:r w:rsidRPr="00567BCE">
        <w:rPr>
          <w:rFonts w:ascii="Helvetica" w:eastAsia="Candara" w:hAnsi="Helvetica" w:cs="Helvetica"/>
          <w:sz w:val="24"/>
          <w:szCs w:val="24"/>
          <w:lang w:eastAsia="es-GT"/>
        </w:rPr>
        <w:t xml:space="preserve">(SAT) </w:t>
      </w:r>
      <w:r w:rsidRPr="00567BCE">
        <w:rPr>
          <w:rFonts w:ascii="Helvetica" w:eastAsia="Candara" w:hAnsi="Helvetica" w:cs="Helvetica"/>
          <w:bCs/>
          <w:sz w:val="24"/>
          <w:szCs w:val="24"/>
          <w:lang w:eastAsia="es-GT"/>
        </w:rPr>
        <w:t>con Q.</w:t>
      </w:r>
      <w:r w:rsidRPr="00567BCE">
        <w:rPr>
          <w:rFonts w:ascii="Helvetica" w:hAnsi="Helvetica" w:cs="Helvetica"/>
          <w:sz w:val="24"/>
          <w:szCs w:val="24"/>
        </w:rPr>
        <w:t xml:space="preserve"> </w:t>
      </w:r>
      <w:r w:rsidRPr="00567BCE">
        <w:rPr>
          <w:rFonts w:ascii="Helvetica" w:eastAsia="Candara" w:hAnsi="Helvetica" w:cs="Helvetica"/>
          <w:bCs/>
          <w:sz w:val="24"/>
          <w:szCs w:val="24"/>
          <w:lang w:eastAsia="es-GT"/>
        </w:rPr>
        <w:t xml:space="preserve">1,763,337,000. </w:t>
      </w:r>
    </w:p>
    <w:p w14:paraId="1770D6CD" w14:textId="77777777" w:rsidR="00A87EEB" w:rsidRPr="00CB4191" w:rsidRDefault="00A87EEB" w:rsidP="00A87EEB">
      <w:pPr>
        <w:pStyle w:val="Prrafodelista"/>
        <w:jc w:val="both"/>
        <w:rPr>
          <w:rFonts w:ascii="Helvetica" w:eastAsia="Candara" w:hAnsi="Helvetica" w:cs="Helvetica"/>
          <w:i/>
          <w:iCs/>
          <w:sz w:val="24"/>
          <w:szCs w:val="24"/>
          <w:lang w:eastAsia="es-GT"/>
        </w:rPr>
      </w:pPr>
    </w:p>
    <w:p w14:paraId="5EED3CD4" w14:textId="247DCBC1" w:rsidR="00A87EEB" w:rsidRPr="00567BCE" w:rsidRDefault="00A87EEB" w:rsidP="00A87EEB">
      <w:pPr>
        <w:pStyle w:val="Prrafodelista"/>
        <w:numPr>
          <w:ilvl w:val="0"/>
          <w:numId w:val="21"/>
        </w:numPr>
        <w:ind w:left="708"/>
        <w:jc w:val="both"/>
        <w:rPr>
          <w:rFonts w:ascii="Helvetica" w:eastAsia="Candara" w:hAnsi="Helvetica" w:cs="Helvetica"/>
          <w:sz w:val="24"/>
          <w:szCs w:val="24"/>
          <w:lang w:eastAsia="es-GT"/>
        </w:rPr>
      </w:pPr>
      <w:r w:rsidRPr="00CB4191">
        <w:rPr>
          <w:rFonts w:ascii="Helvetica" w:eastAsia="Candara" w:hAnsi="Helvetica" w:cs="Helvetica"/>
          <w:i/>
          <w:iCs/>
          <w:sz w:val="24"/>
          <w:szCs w:val="24"/>
          <w:u w:val="single"/>
          <w:lang w:eastAsia="es-GT"/>
        </w:rPr>
        <w:t>Entidades con mayor porcentaje de ejecución financiera:</w:t>
      </w:r>
      <w:r w:rsidRPr="00CB4191">
        <w:rPr>
          <w:rFonts w:ascii="Helvetica" w:eastAsia="Candara" w:hAnsi="Helvetica" w:cs="Helvetica"/>
          <w:i/>
          <w:iCs/>
          <w:sz w:val="24"/>
          <w:szCs w:val="24"/>
          <w:lang w:eastAsia="es-GT"/>
        </w:rPr>
        <w:t xml:space="preserve"> Las </w:t>
      </w:r>
      <w:r w:rsidRPr="00CB4191">
        <w:rPr>
          <w:rFonts w:ascii="Helvetica" w:eastAsia="Candara" w:hAnsi="Helvetica" w:cs="Helvetica"/>
          <w:bCs/>
          <w:i/>
          <w:iCs/>
          <w:sz w:val="24"/>
          <w:szCs w:val="24"/>
          <w:lang w:eastAsia="es-GT"/>
        </w:rPr>
        <w:t xml:space="preserve">cinco instituciones </w:t>
      </w:r>
      <w:r w:rsidRPr="00CB4191">
        <w:rPr>
          <w:rFonts w:ascii="Helvetica" w:eastAsia="Candara" w:hAnsi="Helvetica" w:cs="Helvetica"/>
          <w:bCs/>
          <w:sz w:val="24"/>
          <w:szCs w:val="24"/>
          <w:lang w:eastAsia="es-GT"/>
        </w:rPr>
        <w:t>que lograron el mayor porcentaje de ejecución financiera respecto</w:t>
      </w:r>
      <w:r w:rsidRPr="00CB4191">
        <w:rPr>
          <w:rFonts w:ascii="Helvetica" w:eastAsia="Candara" w:hAnsi="Helvetica" w:cs="Helvetica"/>
          <w:sz w:val="24"/>
          <w:szCs w:val="24"/>
          <w:lang w:eastAsia="es-GT"/>
        </w:rPr>
        <w:t xml:space="preserve"> a la meta financiera vigente fueron: en primer lugar, </w:t>
      </w:r>
      <w:r w:rsidRPr="00567BCE">
        <w:rPr>
          <w:rFonts w:ascii="Helvetica" w:eastAsia="Candara" w:hAnsi="Helvetica" w:cs="Helvetica"/>
          <w:bCs/>
          <w:sz w:val="24"/>
          <w:szCs w:val="24"/>
          <w:lang w:eastAsia="es-GT"/>
        </w:rPr>
        <w:t>GUATEL</w:t>
      </w:r>
      <w:r w:rsidRPr="00567BCE">
        <w:rPr>
          <w:rFonts w:ascii="Helvetica" w:eastAsia="Candara" w:hAnsi="Helvetica" w:cs="Helvetica"/>
          <w:sz w:val="24"/>
          <w:szCs w:val="24"/>
          <w:lang w:eastAsia="es-GT"/>
        </w:rPr>
        <w:t xml:space="preserve"> con 98.77% de ejecución respecto a la meta financiera vigente, seguido por Oficina Nacional de Servicio Civil</w:t>
      </w:r>
      <w:r w:rsidRPr="00567BCE">
        <w:rPr>
          <w:rFonts w:ascii="Helvetica" w:eastAsia="Candara" w:hAnsi="Helvetica" w:cs="Helvetica"/>
          <w:bCs/>
          <w:sz w:val="24"/>
          <w:szCs w:val="24"/>
          <w:lang w:eastAsia="es-GT"/>
        </w:rPr>
        <w:t xml:space="preserve"> (ONSEC) </w:t>
      </w:r>
      <w:r w:rsidRPr="00567BCE">
        <w:rPr>
          <w:rFonts w:ascii="Helvetica" w:eastAsia="Candara" w:hAnsi="Helvetica" w:cs="Helvetica"/>
          <w:sz w:val="24"/>
          <w:szCs w:val="24"/>
          <w:lang w:eastAsia="es-GT"/>
        </w:rPr>
        <w:t>con 98.70%</w:t>
      </w:r>
      <w:r w:rsidR="00DB5C36">
        <w:rPr>
          <w:rFonts w:ascii="Helvetica" w:eastAsia="Candara" w:hAnsi="Helvetica" w:cs="Helvetica"/>
          <w:sz w:val="24"/>
          <w:szCs w:val="24"/>
          <w:lang w:eastAsia="es-GT"/>
        </w:rPr>
        <w:t>;</w:t>
      </w:r>
      <w:r w:rsidRPr="00567BCE">
        <w:rPr>
          <w:rFonts w:ascii="Helvetica" w:eastAsia="Candara" w:hAnsi="Helvetica" w:cs="Helvetica"/>
          <w:sz w:val="24"/>
          <w:szCs w:val="24"/>
          <w:lang w:eastAsia="es-GT"/>
        </w:rPr>
        <w:t xml:space="preserve"> Benemérito Cuerpo Voluntario de Bomberos de Guatemala </w:t>
      </w:r>
      <w:r w:rsidRPr="00567BCE">
        <w:rPr>
          <w:rFonts w:ascii="Helvetica" w:eastAsia="Candara" w:hAnsi="Helvetica" w:cs="Helvetica"/>
          <w:bCs/>
          <w:sz w:val="24"/>
          <w:szCs w:val="24"/>
          <w:lang w:eastAsia="es-GT"/>
        </w:rPr>
        <w:t xml:space="preserve">(CVB) </w:t>
      </w:r>
      <w:r w:rsidRPr="00567BCE">
        <w:rPr>
          <w:rFonts w:ascii="Helvetica" w:eastAsia="Candara" w:hAnsi="Helvetica" w:cs="Helvetica"/>
          <w:sz w:val="24"/>
          <w:szCs w:val="24"/>
          <w:lang w:eastAsia="es-GT"/>
        </w:rPr>
        <w:t>con 98.10%</w:t>
      </w:r>
      <w:r w:rsidR="00DB5C36">
        <w:rPr>
          <w:rFonts w:ascii="Helvetica" w:eastAsia="Candara" w:hAnsi="Helvetica" w:cs="Helvetica"/>
          <w:sz w:val="24"/>
          <w:szCs w:val="24"/>
          <w:lang w:eastAsia="es-GT"/>
        </w:rPr>
        <w:t>;</w:t>
      </w:r>
      <w:r w:rsidRPr="00567BCE">
        <w:rPr>
          <w:rFonts w:ascii="Helvetica" w:eastAsia="Candara" w:hAnsi="Helvetica" w:cs="Helvetica"/>
          <w:sz w:val="24"/>
          <w:szCs w:val="24"/>
          <w:lang w:eastAsia="es-GT"/>
        </w:rPr>
        <w:t xml:space="preserve"> Empresa Portuaria Nacional de Champerico </w:t>
      </w:r>
      <w:r w:rsidRPr="00567BCE">
        <w:rPr>
          <w:rFonts w:ascii="Helvetica" w:eastAsia="Candara" w:hAnsi="Helvetica" w:cs="Helvetica"/>
          <w:bCs/>
          <w:sz w:val="24"/>
          <w:szCs w:val="24"/>
          <w:lang w:eastAsia="es-GT"/>
        </w:rPr>
        <w:t xml:space="preserve">(EPNCH) </w:t>
      </w:r>
      <w:r w:rsidRPr="00567BCE">
        <w:rPr>
          <w:rFonts w:ascii="Helvetica" w:eastAsia="Candara" w:hAnsi="Helvetica" w:cs="Helvetica"/>
          <w:sz w:val="24"/>
          <w:szCs w:val="24"/>
          <w:lang w:eastAsia="es-GT"/>
        </w:rPr>
        <w:t xml:space="preserve">con 93.06% y la Inspección General de Cooperativas </w:t>
      </w:r>
      <w:r w:rsidRPr="00567BCE">
        <w:rPr>
          <w:rFonts w:ascii="Helvetica" w:eastAsia="Candara" w:hAnsi="Helvetica" w:cs="Helvetica"/>
          <w:bCs/>
          <w:sz w:val="24"/>
          <w:szCs w:val="24"/>
          <w:lang w:eastAsia="es-GT"/>
        </w:rPr>
        <w:t xml:space="preserve">(INGECOP) </w:t>
      </w:r>
      <w:r w:rsidRPr="00567BCE">
        <w:rPr>
          <w:rFonts w:ascii="Helvetica" w:eastAsia="Candara" w:hAnsi="Helvetica" w:cs="Helvetica"/>
          <w:sz w:val="24"/>
          <w:szCs w:val="24"/>
          <w:lang w:eastAsia="es-GT"/>
        </w:rPr>
        <w:t>con 92.87% de ejecución.</w:t>
      </w:r>
    </w:p>
    <w:p w14:paraId="4E43805C" w14:textId="77777777" w:rsidR="00A87EEB" w:rsidRPr="00CB4191" w:rsidRDefault="00A87EEB" w:rsidP="00A87EEB">
      <w:pPr>
        <w:pStyle w:val="Prrafodelista"/>
        <w:rPr>
          <w:rFonts w:ascii="Helvetica" w:eastAsia="Candara" w:hAnsi="Helvetica" w:cs="Helvetica"/>
          <w:sz w:val="24"/>
          <w:szCs w:val="24"/>
          <w:lang w:eastAsia="es-GT"/>
        </w:rPr>
      </w:pPr>
    </w:p>
    <w:p w14:paraId="0EA0201E" w14:textId="782D4F04" w:rsidR="00A87EEB" w:rsidRPr="00CF0036" w:rsidRDefault="00A87EEB" w:rsidP="00A87EEB">
      <w:pPr>
        <w:pStyle w:val="Prrafodelista"/>
        <w:numPr>
          <w:ilvl w:val="0"/>
          <w:numId w:val="21"/>
        </w:numPr>
        <w:spacing w:before="240" w:after="240" w:line="240" w:lineRule="auto"/>
        <w:jc w:val="both"/>
        <w:rPr>
          <w:rFonts w:ascii="Helvetica" w:eastAsia="Candara" w:hAnsi="Helvetica" w:cs="Helvetica"/>
          <w:sz w:val="24"/>
          <w:szCs w:val="24"/>
          <w:lang w:eastAsia="es-GT"/>
        </w:rPr>
      </w:pPr>
      <w:r w:rsidRPr="00CB4191">
        <w:rPr>
          <w:rFonts w:ascii="Helvetica" w:eastAsia="Candara" w:hAnsi="Helvetica" w:cs="Helvetica"/>
          <w:i/>
          <w:iCs/>
          <w:sz w:val="24"/>
          <w:szCs w:val="24"/>
          <w:u w:val="single"/>
          <w:lang w:eastAsia="es-GT"/>
        </w:rPr>
        <w:t xml:space="preserve">Entidades con menor porcentaje de ejecución financiera: </w:t>
      </w:r>
      <w:r w:rsidRPr="00CF0036">
        <w:rPr>
          <w:rFonts w:ascii="Helvetica" w:eastAsia="Candara" w:hAnsi="Helvetica" w:cs="Helvetica"/>
          <w:iCs/>
          <w:sz w:val="24"/>
          <w:szCs w:val="24"/>
          <w:lang w:eastAsia="es-GT"/>
        </w:rPr>
        <w:t>Las cinco instituciones con la ejecución más baja son: FHA y CHN con 0.00%</w:t>
      </w:r>
      <w:r w:rsidR="00DB5C36">
        <w:rPr>
          <w:rFonts w:ascii="Helvetica" w:eastAsia="Candara" w:hAnsi="Helvetica" w:cs="Helvetica"/>
          <w:iCs/>
          <w:sz w:val="24"/>
          <w:szCs w:val="24"/>
          <w:lang w:eastAsia="es-GT"/>
        </w:rPr>
        <w:t>;</w:t>
      </w:r>
      <w:r w:rsidRPr="00CF0036">
        <w:rPr>
          <w:rFonts w:ascii="Helvetica" w:eastAsia="Candara" w:hAnsi="Helvetica" w:cs="Helvetica"/>
          <w:iCs/>
          <w:sz w:val="24"/>
          <w:szCs w:val="24"/>
          <w:lang w:eastAsia="es-GT"/>
        </w:rPr>
        <w:t xml:space="preserve"> Comité Permanente de Exposiciones (COPEREX) con 13.15%</w:t>
      </w:r>
      <w:r w:rsidR="00DB5C36">
        <w:rPr>
          <w:rFonts w:ascii="Helvetica" w:eastAsia="Candara" w:hAnsi="Helvetica" w:cs="Helvetica"/>
          <w:iCs/>
          <w:sz w:val="24"/>
          <w:szCs w:val="24"/>
          <w:lang w:eastAsia="es-GT"/>
        </w:rPr>
        <w:t>:</w:t>
      </w:r>
      <w:r w:rsidRPr="00CF0036">
        <w:rPr>
          <w:rFonts w:ascii="Helvetica" w:eastAsia="Candara" w:hAnsi="Helvetica" w:cs="Helvetica"/>
          <w:iCs/>
          <w:sz w:val="24"/>
          <w:szCs w:val="24"/>
          <w:lang w:eastAsia="es-GT"/>
        </w:rPr>
        <w:t xml:space="preserve"> Escuela Nacional Central de Agricultura (ENCA) con 33.36% y Empresa Portuaria Quetzal (EPQ) con 39.04%.</w:t>
      </w:r>
    </w:p>
    <w:p w14:paraId="2FFCD872" w14:textId="77777777" w:rsidR="00A87EEB" w:rsidRPr="00253C03" w:rsidRDefault="00A87EEB" w:rsidP="00A87EEB">
      <w:pPr>
        <w:pStyle w:val="Prrafodelista"/>
        <w:rPr>
          <w:rFonts w:ascii="Helvetica" w:eastAsia="Candara" w:hAnsi="Helvetica" w:cs="Helvetica"/>
          <w:sz w:val="24"/>
          <w:szCs w:val="24"/>
          <w:lang w:eastAsia="es-GT"/>
        </w:rPr>
      </w:pPr>
    </w:p>
    <w:p w14:paraId="12085413" w14:textId="2BC45B38" w:rsidR="00A87EEB" w:rsidRDefault="00A87EEB" w:rsidP="00A87EEB">
      <w:pPr>
        <w:pStyle w:val="Prrafodelista"/>
        <w:numPr>
          <w:ilvl w:val="0"/>
          <w:numId w:val="21"/>
        </w:numPr>
        <w:jc w:val="both"/>
        <w:rPr>
          <w:rFonts w:ascii="Helvetica" w:eastAsia="Candara" w:hAnsi="Helvetica" w:cs="Helvetica"/>
          <w:iCs/>
          <w:sz w:val="24"/>
          <w:szCs w:val="24"/>
          <w:lang w:eastAsia="es-GT"/>
        </w:rPr>
      </w:pPr>
      <w:r w:rsidRPr="008B34B5">
        <w:rPr>
          <w:rFonts w:ascii="Helvetica" w:eastAsia="Candara" w:hAnsi="Helvetica" w:cs="Helvetica"/>
          <w:iCs/>
          <w:sz w:val="24"/>
          <w:szCs w:val="24"/>
          <w:u w:val="single"/>
          <w:lang w:eastAsia="es-GT"/>
        </w:rPr>
        <w:t>Reprogramaciones financieras:</w:t>
      </w:r>
      <w:r>
        <w:rPr>
          <w:rFonts w:ascii="Helvetica" w:eastAsia="Candara" w:hAnsi="Helvetica" w:cs="Helvetica"/>
          <w:iCs/>
          <w:sz w:val="24"/>
          <w:szCs w:val="24"/>
          <w:lang w:eastAsia="es-GT"/>
        </w:rPr>
        <w:t xml:space="preserve"> las modificaciones presupuestarias realizadas por las entidades descentralizadas y autónomas</w:t>
      </w:r>
      <w:r w:rsidR="00EE284B">
        <w:rPr>
          <w:rFonts w:ascii="Helvetica" w:eastAsia="Candara" w:hAnsi="Helvetica" w:cs="Helvetica"/>
          <w:iCs/>
          <w:sz w:val="24"/>
          <w:szCs w:val="24"/>
          <w:lang w:eastAsia="es-GT"/>
        </w:rPr>
        <w:t>, influyeron para</w:t>
      </w:r>
      <w:r>
        <w:rPr>
          <w:rFonts w:ascii="Helvetica" w:eastAsia="Candara" w:hAnsi="Helvetica" w:cs="Helvetica"/>
          <w:iCs/>
          <w:sz w:val="24"/>
          <w:szCs w:val="24"/>
          <w:lang w:eastAsia="es-GT"/>
        </w:rPr>
        <w:t xml:space="preserve"> que se reprogramaran las metas financieras para disminuir o aumentar el presupuesto asignado inicialmente. Por lo tanto, </w:t>
      </w:r>
      <w:proofErr w:type="spellStart"/>
      <w:r w:rsidR="00EE284B">
        <w:rPr>
          <w:rFonts w:ascii="Helvetica" w:eastAsia="Candara" w:hAnsi="Helvetica" w:cs="Helvetica"/>
          <w:iCs/>
          <w:sz w:val="24"/>
          <w:szCs w:val="24"/>
          <w:lang w:eastAsia="es-GT"/>
        </w:rPr>
        <w:t>é</w:t>
      </w:r>
      <w:r>
        <w:rPr>
          <w:rFonts w:ascii="Helvetica" w:eastAsia="Candara" w:hAnsi="Helvetica" w:cs="Helvetica"/>
          <w:iCs/>
          <w:sz w:val="24"/>
          <w:szCs w:val="24"/>
          <w:lang w:eastAsia="es-GT"/>
        </w:rPr>
        <w:t>sto</w:t>
      </w:r>
      <w:proofErr w:type="spellEnd"/>
      <w:r>
        <w:rPr>
          <w:rFonts w:ascii="Helvetica" w:eastAsia="Candara" w:hAnsi="Helvetica" w:cs="Helvetica"/>
          <w:iCs/>
          <w:sz w:val="24"/>
          <w:szCs w:val="24"/>
          <w:lang w:eastAsia="es-GT"/>
        </w:rPr>
        <w:t xml:space="preserve"> afecta de manera positiva o negativa el desempeño en la ejecución financiera según las capacidades institucionales. </w:t>
      </w:r>
    </w:p>
    <w:p w14:paraId="648E1B64" w14:textId="77777777" w:rsidR="00A87EEB" w:rsidRDefault="00A87EEB" w:rsidP="00A87EEB">
      <w:pPr>
        <w:pStyle w:val="Prrafodelista"/>
        <w:jc w:val="both"/>
        <w:rPr>
          <w:rFonts w:ascii="Helvetica" w:eastAsia="Candara" w:hAnsi="Helvetica" w:cs="Helvetica"/>
          <w:iCs/>
          <w:sz w:val="24"/>
          <w:szCs w:val="24"/>
          <w:lang w:eastAsia="es-GT"/>
        </w:rPr>
      </w:pPr>
    </w:p>
    <w:p w14:paraId="3ABDB7E6" w14:textId="0D9074E4" w:rsidR="00A87EEB" w:rsidRPr="00567BCE" w:rsidRDefault="00A87EEB" w:rsidP="00A87EEB">
      <w:pPr>
        <w:pStyle w:val="Prrafodelista"/>
        <w:spacing w:before="120" w:after="120" w:line="240" w:lineRule="auto"/>
        <w:contextualSpacing w:val="0"/>
        <w:jc w:val="both"/>
        <w:rPr>
          <w:rFonts w:ascii="Helvetica" w:eastAsia="Candara" w:hAnsi="Helvetica" w:cs="Helvetica"/>
          <w:iCs/>
          <w:sz w:val="24"/>
          <w:szCs w:val="24"/>
          <w:lang w:eastAsia="es-GT"/>
        </w:rPr>
      </w:pPr>
      <w:r>
        <w:rPr>
          <w:rFonts w:ascii="Helvetica" w:eastAsia="Candara" w:hAnsi="Helvetica" w:cs="Helvetica"/>
          <w:iCs/>
          <w:sz w:val="24"/>
          <w:szCs w:val="24"/>
          <w:lang w:eastAsia="es-GT"/>
        </w:rPr>
        <w:t xml:space="preserve">Según SICOIN, 33 entidades reportaron modificaciones presupuestarias, de las cuales, 27 incrementaron el presupuesto.  Las 5 entidades con mayor disminución en su presupuesto fueron el </w:t>
      </w:r>
      <w:r w:rsidRPr="00567BCE">
        <w:rPr>
          <w:rFonts w:ascii="Helvetica" w:eastAsia="Candara" w:hAnsi="Helvetica" w:cs="Helvetica"/>
          <w:bCs/>
          <w:iCs/>
          <w:sz w:val="24"/>
          <w:szCs w:val="24"/>
          <w:lang w:eastAsia="es-GT"/>
        </w:rPr>
        <w:t>IGSS</w:t>
      </w:r>
      <w:r w:rsidRPr="00567BCE">
        <w:rPr>
          <w:rFonts w:ascii="Helvetica" w:eastAsia="Candara" w:hAnsi="Helvetica" w:cs="Helvetica"/>
          <w:iCs/>
          <w:sz w:val="24"/>
          <w:szCs w:val="24"/>
          <w:lang w:eastAsia="es-GT"/>
        </w:rPr>
        <w:t xml:space="preserve"> con Q.5,679,311,767</w:t>
      </w:r>
      <w:r w:rsidR="00EE284B">
        <w:rPr>
          <w:rFonts w:ascii="Helvetica" w:eastAsia="Candara" w:hAnsi="Helvetica" w:cs="Helvetica"/>
          <w:iCs/>
          <w:sz w:val="24"/>
          <w:szCs w:val="24"/>
          <w:lang w:eastAsia="es-GT"/>
        </w:rPr>
        <w:t>;</w:t>
      </w:r>
      <w:r w:rsidRPr="00567BCE">
        <w:rPr>
          <w:rFonts w:ascii="Helvetica" w:eastAsia="Candara" w:hAnsi="Helvetica" w:cs="Helvetica"/>
          <w:iCs/>
          <w:sz w:val="24"/>
          <w:szCs w:val="24"/>
          <w:lang w:eastAsia="es-GT"/>
        </w:rPr>
        <w:t xml:space="preserve"> seguido del </w:t>
      </w:r>
      <w:r w:rsidRPr="00567BCE">
        <w:rPr>
          <w:rFonts w:ascii="Helvetica" w:eastAsia="Candara" w:hAnsi="Helvetica" w:cs="Helvetica"/>
          <w:bCs/>
          <w:iCs/>
          <w:sz w:val="24"/>
          <w:szCs w:val="24"/>
          <w:lang w:eastAsia="es-GT"/>
        </w:rPr>
        <w:t>RENAP</w:t>
      </w:r>
      <w:r w:rsidRPr="00567BCE">
        <w:rPr>
          <w:rFonts w:ascii="Helvetica" w:eastAsia="Candara" w:hAnsi="Helvetica" w:cs="Helvetica"/>
          <w:iCs/>
          <w:sz w:val="24"/>
          <w:szCs w:val="24"/>
          <w:lang w:eastAsia="es-GT"/>
        </w:rPr>
        <w:t xml:space="preserve"> con Q.130,577,552</w:t>
      </w:r>
      <w:r w:rsidR="00EE284B">
        <w:rPr>
          <w:rFonts w:ascii="Helvetica" w:eastAsia="Candara" w:hAnsi="Helvetica" w:cs="Helvetica"/>
          <w:iCs/>
          <w:sz w:val="24"/>
          <w:szCs w:val="24"/>
          <w:lang w:eastAsia="es-GT"/>
        </w:rPr>
        <w:t>;</w:t>
      </w:r>
      <w:r w:rsidRPr="00567BCE">
        <w:rPr>
          <w:rFonts w:ascii="Helvetica" w:eastAsia="Candara" w:hAnsi="Helvetica" w:cs="Helvetica"/>
          <w:iCs/>
          <w:sz w:val="24"/>
          <w:szCs w:val="24"/>
          <w:lang w:eastAsia="es-GT"/>
        </w:rPr>
        <w:t xml:space="preserve"> </w:t>
      </w:r>
      <w:r w:rsidRPr="00567BCE">
        <w:rPr>
          <w:rFonts w:ascii="Helvetica" w:eastAsia="Candara" w:hAnsi="Helvetica" w:cs="Helvetica"/>
          <w:bCs/>
          <w:iCs/>
          <w:sz w:val="24"/>
          <w:szCs w:val="24"/>
          <w:lang w:eastAsia="es-GT"/>
        </w:rPr>
        <w:t xml:space="preserve">Comisión Presidencial Coordinadora de la Política Del Ejecutivo en Materia de Derechos Humanos </w:t>
      </w:r>
      <w:r w:rsidRPr="00567BCE">
        <w:rPr>
          <w:rFonts w:ascii="Helvetica" w:eastAsia="Candara" w:hAnsi="Helvetica" w:cs="Helvetica"/>
          <w:iCs/>
          <w:sz w:val="24"/>
          <w:szCs w:val="24"/>
          <w:lang w:eastAsia="es-GT"/>
        </w:rPr>
        <w:t>con Q.</w:t>
      </w:r>
      <w:r w:rsidRPr="00567BCE">
        <w:t xml:space="preserve"> </w:t>
      </w:r>
      <w:r w:rsidRPr="00567BCE">
        <w:rPr>
          <w:rFonts w:ascii="Helvetica" w:eastAsia="Candara" w:hAnsi="Helvetica" w:cs="Helvetica"/>
          <w:iCs/>
          <w:sz w:val="24"/>
          <w:szCs w:val="24"/>
          <w:lang w:eastAsia="es-GT"/>
        </w:rPr>
        <w:t>119,500,000.00</w:t>
      </w:r>
      <w:r w:rsidR="00EE284B">
        <w:rPr>
          <w:rFonts w:ascii="Helvetica" w:eastAsia="Candara" w:hAnsi="Helvetica" w:cs="Helvetica"/>
          <w:iCs/>
          <w:sz w:val="24"/>
          <w:szCs w:val="24"/>
          <w:lang w:eastAsia="es-GT"/>
        </w:rPr>
        <w:t>;</w:t>
      </w:r>
      <w:r w:rsidRPr="00567BCE">
        <w:rPr>
          <w:rFonts w:ascii="Helvetica" w:eastAsia="Candara" w:hAnsi="Helvetica" w:cs="Helvetica"/>
          <w:iCs/>
          <w:sz w:val="24"/>
          <w:szCs w:val="24"/>
          <w:lang w:eastAsia="es-GT"/>
        </w:rPr>
        <w:t xml:space="preserve"> </w:t>
      </w:r>
      <w:r w:rsidRPr="00567BCE">
        <w:rPr>
          <w:rFonts w:ascii="Helvetica" w:eastAsia="Candara" w:hAnsi="Helvetica" w:cs="Helvetica"/>
          <w:bCs/>
          <w:iCs/>
          <w:sz w:val="24"/>
          <w:szCs w:val="24"/>
          <w:lang w:eastAsia="es-GT"/>
        </w:rPr>
        <w:t>Instituto Nacional de Estadística (INE)</w:t>
      </w:r>
      <w:r w:rsidRPr="00567BCE">
        <w:rPr>
          <w:rFonts w:ascii="Helvetica" w:eastAsia="Candara" w:hAnsi="Helvetica" w:cs="Helvetica"/>
          <w:iCs/>
          <w:sz w:val="24"/>
          <w:szCs w:val="24"/>
          <w:lang w:eastAsia="es-GT"/>
        </w:rPr>
        <w:t xml:space="preserve"> con Q.</w:t>
      </w:r>
      <w:r w:rsidRPr="00567BCE">
        <w:t xml:space="preserve"> </w:t>
      </w:r>
      <w:r w:rsidRPr="00567BCE">
        <w:rPr>
          <w:rFonts w:ascii="Helvetica" w:eastAsia="Candara" w:hAnsi="Helvetica" w:cs="Helvetica"/>
          <w:iCs/>
          <w:sz w:val="24"/>
          <w:szCs w:val="24"/>
          <w:lang w:eastAsia="es-GT"/>
        </w:rPr>
        <w:t xml:space="preserve">20,973,856.00 y el </w:t>
      </w:r>
      <w:r w:rsidRPr="00567BCE">
        <w:rPr>
          <w:rFonts w:ascii="Helvetica" w:eastAsia="Candara" w:hAnsi="Helvetica" w:cs="Helvetica"/>
          <w:bCs/>
          <w:iCs/>
          <w:sz w:val="24"/>
          <w:szCs w:val="24"/>
          <w:lang w:eastAsia="es-GT"/>
        </w:rPr>
        <w:t>Tribunal Electoral del Deporte Federado</w:t>
      </w:r>
      <w:r w:rsidRPr="00567BCE">
        <w:rPr>
          <w:rFonts w:ascii="Helvetica" w:eastAsia="Candara" w:hAnsi="Helvetica" w:cs="Helvetica"/>
          <w:iCs/>
          <w:sz w:val="24"/>
          <w:szCs w:val="24"/>
          <w:lang w:eastAsia="es-GT"/>
        </w:rPr>
        <w:t xml:space="preserve"> con Q.1,200,378.77.</w:t>
      </w:r>
    </w:p>
    <w:p w14:paraId="1B44D3F7" w14:textId="594145D7" w:rsidR="00A87EEB" w:rsidRPr="00474B67" w:rsidRDefault="00A87EEB" w:rsidP="00A87EEB">
      <w:pPr>
        <w:ind w:left="708"/>
        <w:jc w:val="both"/>
        <w:rPr>
          <w:rFonts w:ascii="Calibri" w:eastAsia="Times New Roman" w:hAnsi="Calibri" w:cs="Calibri"/>
          <w:color w:val="000000"/>
          <w:lang w:eastAsia="es-GT"/>
        </w:rPr>
      </w:pPr>
      <w:r>
        <w:rPr>
          <w:rFonts w:ascii="Helvetica" w:eastAsia="Candara" w:hAnsi="Helvetica" w:cs="Helvetica"/>
          <w:iCs/>
          <w:sz w:val="24"/>
          <w:szCs w:val="24"/>
          <w:lang w:eastAsia="es-GT"/>
        </w:rPr>
        <w:t xml:space="preserve">Las 5 entidades con mayor incremento en el presupuesto asignado o inicial fueron: el </w:t>
      </w:r>
      <w:r w:rsidRPr="00474B67">
        <w:rPr>
          <w:rFonts w:ascii="Helvetica" w:eastAsia="Candara" w:hAnsi="Helvetica" w:cs="Helvetica"/>
          <w:iCs/>
          <w:sz w:val="24"/>
          <w:szCs w:val="24"/>
          <w:lang w:eastAsia="es-GT"/>
        </w:rPr>
        <w:t xml:space="preserve">Instituto Nacional de </w:t>
      </w:r>
      <w:r w:rsidRPr="00567BCE">
        <w:rPr>
          <w:rFonts w:ascii="Helvetica" w:eastAsia="Candara" w:hAnsi="Helvetica" w:cs="Helvetica"/>
          <w:iCs/>
          <w:sz w:val="24"/>
          <w:szCs w:val="24"/>
          <w:lang w:eastAsia="es-GT"/>
        </w:rPr>
        <w:t xml:space="preserve">Electrificación </w:t>
      </w:r>
      <w:r w:rsidRPr="00567BCE">
        <w:rPr>
          <w:rFonts w:ascii="Helvetica" w:eastAsia="Candara" w:hAnsi="Helvetica" w:cs="Helvetica"/>
          <w:bCs/>
          <w:iCs/>
          <w:sz w:val="24"/>
          <w:szCs w:val="24"/>
          <w:lang w:eastAsia="es-GT"/>
        </w:rPr>
        <w:t>(INDE)</w:t>
      </w:r>
      <w:r w:rsidRPr="00567BCE">
        <w:rPr>
          <w:rFonts w:ascii="Helvetica" w:eastAsia="Candara" w:hAnsi="Helvetica" w:cs="Helvetica"/>
          <w:iCs/>
          <w:sz w:val="24"/>
          <w:szCs w:val="24"/>
          <w:lang w:eastAsia="es-GT"/>
        </w:rPr>
        <w:t xml:space="preserve"> con Q.</w:t>
      </w:r>
      <w:r w:rsidRPr="00567BCE">
        <w:t xml:space="preserve"> </w:t>
      </w:r>
      <w:r w:rsidRPr="00567BCE">
        <w:rPr>
          <w:rFonts w:ascii="Helvetica" w:eastAsia="Candara" w:hAnsi="Helvetica" w:cs="Helvetica"/>
          <w:iCs/>
          <w:sz w:val="24"/>
          <w:szCs w:val="24"/>
          <w:lang w:eastAsia="es-GT"/>
        </w:rPr>
        <w:t>630,000,000.00</w:t>
      </w:r>
      <w:r w:rsidR="00EE284B">
        <w:rPr>
          <w:rFonts w:ascii="Helvetica" w:eastAsia="Candara" w:hAnsi="Helvetica" w:cs="Helvetica"/>
          <w:iCs/>
          <w:sz w:val="24"/>
          <w:szCs w:val="24"/>
          <w:lang w:eastAsia="es-GT"/>
        </w:rPr>
        <w:t>;</w:t>
      </w:r>
      <w:r w:rsidRPr="00567BCE">
        <w:rPr>
          <w:rFonts w:ascii="Helvetica" w:eastAsia="Candara" w:hAnsi="Helvetica" w:cs="Helvetica"/>
          <w:iCs/>
          <w:sz w:val="24"/>
          <w:szCs w:val="24"/>
          <w:lang w:eastAsia="es-GT"/>
        </w:rPr>
        <w:t xml:space="preserve"> seguido del Ministerio Público </w:t>
      </w:r>
      <w:r w:rsidRPr="00567BCE">
        <w:rPr>
          <w:rFonts w:ascii="Helvetica" w:eastAsia="Candara" w:hAnsi="Helvetica" w:cs="Helvetica"/>
          <w:bCs/>
          <w:iCs/>
          <w:sz w:val="24"/>
          <w:szCs w:val="24"/>
          <w:lang w:eastAsia="es-GT"/>
        </w:rPr>
        <w:t>(MP)</w:t>
      </w:r>
      <w:r w:rsidRPr="00567BCE">
        <w:rPr>
          <w:rFonts w:ascii="Helvetica" w:eastAsia="Candara" w:hAnsi="Helvetica" w:cs="Helvetica"/>
          <w:iCs/>
          <w:sz w:val="24"/>
          <w:szCs w:val="24"/>
          <w:lang w:eastAsia="es-GT"/>
        </w:rPr>
        <w:t xml:space="preserve"> con Q.</w:t>
      </w:r>
      <w:r w:rsidRPr="00567BCE">
        <w:t xml:space="preserve"> </w:t>
      </w:r>
      <w:r w:rsidRPr="00567BCE">
        <w:rPr>
          <w:rFonts w:ascii="Helvetica" w:eastAsia="Candara" w:hAnsi="Helvetica" w:cs="Helvetica"/>
          <w:iCs/>
          <w:sz w:val="24"/>
          <w:szCs w:val="24"/>
          <w:lang w:eastAsia="es-GT"/>
        </w:rPr>
        <w:t>356,645,992.09</w:t>
      </w:r>
      <w:r w:rsidR="00EE284B">
        <w:rPr>
          <w:rFonts w:ascii="Helvetica" w:eastAsia="Candara" w:hAnsi="Helvetica" w:cs="Helvetica"/>
          <w:iCs/>
          <w:sz w:val="24"/>
          <w:szCs w:val="24"/>
          <w:lang w:eastAsia="es-GT"/>
        </w:rPr>
        <w:t>;</w:t>
      </w:r>
      <w:r w:rsidRPr="00567BCE">
        <w:rPr>
          <w:rFonts w:ascii="Helvetica" w:eastAsia="Candara" w:hAnsi="Helvetica" w:cs="Helvetica"/>
          <w:iCs/>
          <w:sz w:val="24"/>
          <w:szCs w:val="24"/>
          <w:lang w:eastAsia="es-GT"/>
        </w:rPr>
        <w:t xml:space="preserve"> Organismo Judicial </w:t>
      </w:r>
      <w:r w:rsidRPr="00567BCE">
        <w:rPr>
          <w:rFonts w:ascii="Helvetica" w:eastAsia="Candara" w:hAnsi="Helvetica" w:cs="Helvetica"/>
          <w:bCs/>
          <w:iCs/>
          <w:sz w:val="24"/>
          <w:szCs w:val="24"/>
          <w:lang w:eastAsia="es-GT"/>
        </w:rPr>
        <w:t>(OJ)</w:t>
      </w:r>
      <w:r w:rsidRPr="00567BCE">
        <w:rPr>
          <w:rFonts w:ascii="Helvetica" w:eastAsia="Candara" w:hAnsi="Helvetica" w:cs="Helvetica"/>
          <w:iCs/>
          <w:sz w:val="24"/>
          <w:szCs w:val="24"/>
          <w:lang w:eastAsia="es-GT"/>
        </w:rPr>
        <w:t xml:space="preserve"> con Q.</w:t>
      </w:r>
      <w:r w:rsidRPr="00567BCE">
        <w:t xml:space="preserve"> </w:t>
      </w:r>
      <w:r w:rsidRPr="00567BCE">
        <w:rPr>
          <w:rFonts w:ascii="Helvetica" w:eastAsia="Candara" w:hAnsi="Helvetica" w:cs="Helvetica"/>
          <w:iCs/>
          <w:sz w:val="24"/>
          <w:szCs w:val="24"/>
          <w:lang w:eastAsia="es-GT"/>
        </w:rPr>
        <w:t>175,202,085.78</w:t>
      </w:r>
      <w:r w:rsidR="00EE284B">
        <w:rPr>
          <w:rFonts w:ascii="Helvetica" w:eastAsia="Candara" w:hAnsi="Helvetica" w:cs="Helvetica"/>
          <w:iCs/>
          <w:sz w:val="24"/>
          <w:szCs w:val="24"/>
          <w:lang w:eastAsia="es-GT"/>
        </w:rPr>
        <w:t>;</w:t>
      </w:r>
      <w:r w:rsidRPr="00567BCE">
        <w:rPr>
          <w:rFonts w:ascii="Helvetica" w:eastAsia="Candara" w:hAnsi="Helvetica" w:cs="Helvetica"/>
          <w:iCs/>
          <w:sz w:val="24"/>
          <w:szCs w:val="24"/>
          <w:lang w:eastAsia="es-GT"/>
        </w:rPr>
        <w:t xml:space="preserve"> Contraloría General de Cuentas de la Nación </w:t>
      </w:r>
      <w:r w:rsidRPr="00567BCE">
        <w:rPr>
          <w:rFonts w:ascii="Helvetica" w:eastAsia="Candara" w:hAnsi="Helvetica" w:cs="Helvetica"/>
          <w:bCs/>
          <w:iCs/>
          <w:sz w:val="24"/>
          <w:szCs w:val="24"/>
          <w:lang w:eastAsia="es-GT"/>
        </w:rPr>
        <w:t>(CGC)</w:t>
      </w:r>
      <w:r w:rsidRPr="00567BCE">
        <w:rPr>
          <w:rFonts w:ascii="Helvetica" w:eastAsia="Candara" w:hAnsi="Helvetica" w:cs="Helvetica"/>
          <w:iCs/>
          <w:sz w:val="24"/>
          <w:szCs w:val="24"/>
          <w:lang w:eastAsia="es-GT"/>
        </w:rPr>
        <w:t xml:space="preserve"> con Q. 158,710,434.22 y el Tribunal Supremo Electoral </w:t>
      </w:r>
      <w:r w:rsidRPr="00567BCE">
        <w:rPr>
          <w:rFonts w:ascii="Helvetica" w:eastAsia="Candara" w:hAnsi="Helvetica" w:cs="Helvetica"/>
          <w:bCs/>
          <w:iCs/>
          <w:sz w:val="24"/>
          <w:szCs w:val="24"/>
          <w:lang w:eastAsia="es-GT"/>
        </w:rPr>
        <w:t>(TSE)</w:t>
      </w:r>
      <w:r w:rsidRPr="00567BCE">
        <w:rPr>
          <w:rFonts w:ascii="Helvetica" w:eastAsia="Candara" w:hAnsi="Helvetica" w:cs="Helvetica"/>
          <w:iCs/>
          <w:sz w:val="24"/>
          <w:szCs w:val="24"/>
          <w:lang w:eastAsia="es-GT"/>
        </w:rPr>
        <w:t xml:space="preserve"> con Q. 117,371,869.44.</w:t>
      </w:r>
    </w:p>
    <w:p w14:paraId="3A84634D" w14:textId="77777777" w:rsidR="00A87EEB" w:rsidRDefault="00A87EEB" w:rsidP="00A87EEB">
      <w:pPr>
        <w:pStyle w:val="Ttulo1"/>
        <w:numPr>
          <w:ilvl w:val="0"/>
          <w:numId w:val="0"/>
        </w:numPr>
      </w:pPr>
      <w:bookmarkStart w:id="34" w:name="_Toc66952608"/>
      <w:bookmarkStart w:id="35" w:name="_Toc67589093"/>
      <w:r>
        <w:t>Entidades</w:t>
      </w:r>
      <w:r w:rsidRPr="008D1CB6">
        <w:t xml:space="preserve"> </w:t>
      </w:r>
      <w:r>
        <w:t xml:space="preserve">Nacionales </w:t>
      </w:r>
      <w:r w:rsidRPr="008D1CB6">
        <w:t>Deportivas</w:t>
      </w:r>
      <w:bookmarkEnd w:id="32"/>
      <w:bookmarkEnd w:id="34"/>
      <w:bookmarkEnd w:id="35"/>
    </w:p>
    <w:p w14:paraId="03E26023" w14:textId="77777777" w:rsidR="00A87EEB" w:rsidRPr="00CB4191" w:rsidRDefault="00A87EEB" w:rsidP="00A87EEB">
      <w:pPr>
        <w:spacing w:before="240" w:after="240" w:line="240" w:lineRule="auto"/>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Se presentan los resultados de la ejecución financiera del ejercicio fiscal 202</w:t>
      </w:r>
      <w:r>
        <w:rPr>
          <w:rFonts w:ascii="Helvetica" w:eastAsia="Candara" w:hAnsi="Helvetica" w:cs="Helvetica"/>
          <w:sz w:val="24"/>
          <w:szCs w:val="24"/>
          <w:lang w:eastAsia="es-GT"/>
        </w:rPr>
        <w:t>0</w:t>
      </w:r>
      <w:r w:rsidRPr="00CB4191">
        <w:rPr>
          <w:rFonts w:ascii="Helvetica" w:eastAsia="Candara" w:hAnsi="Helvetica" w:cs="Helvetica"/>
          <w:sz w:val="24"/>
          <w:szCs w:val="24"/>
          <w:lang w:eastAsia="es-GT"/>
        </w:rPr>
        <w:t xml:space="preserve"> de </w:t>
      </w:r>
      <w:r>
        <w:rPr>
          <w:rFonts w:ascii="Helvetica" w:eastAsia="Candara" w:hAnsi="Helvetica" w:cs="Helvetica"/>
          <w:sz w:val="24"/>
          <w:szCs w:val="24"/>
          <w:lang w:eastAsia="es-GT"/>
        </w:rPr>
        <w:t>9 Asociaciones deportivas nacionales y 20 Federaciones deportivas nacionales</w:t>
      </w:r>
      <w:r w:rsidRPr="00CB4191">
        <w:rPr>
          <w:rFonts w:ascii="Helvetica" w:eastAsia="Candara" w:hAnsi="Helvetica" w:cs="Helvetica"/>
          <w:sz w:val="24"/>
          <w:szCs w:val="24"/>
          <w:lang w:eastAsia="es-GT"/>
        </w:rPr>
        <w:t xml:space="preserve">, a través de un cuadro comparativo según los registros realizados en el SIPLAN y el SICOIN.  En </w:t>
      </w:r>
      <w:r>
        <w:rPr>
          <w:rFonts w:ascii="Helvetica" w:eastAsia="Candara" w:hAnsi="Helvetica" w:cs="Helvetica"/>
          <w:sz w:val="24"/>
          <w:szCs w:val="24"/>
          <w:lang w:eastAsia="es-GT"/>
        </w:rPr>
        <w:t>SIPLAN</w:t>
      </w:r>
      <w:r w:rsidRPr="00CB4191">
        <w:rPr>
          <w:rFonts w:ascii="Helvetica" w:eastAsia="Candara" w:hAnsi="Helvetica" w:cs="Helvetica"/>
          <w:sz w:val="24"/>
          <w:szCs w:val="24"/>
          <w:lang w:eastAsia="es-GT"/>
        </w:rPr>
        <w:t xml:space="preserve">, </w:t>
      </w:r>
      <w:r>
        <w:rPr>
          <w:rFonts w:ascii="Helvetica" w:eastAsia="Candara" w:hAnsi="Helvetica" w:cs="Helvetica"/>
          <w:sz w:val="24"/>
          <w:szCs w:val="24"/>
          <w:lang w:eastAsia="es-GT"/>
        </w:rPr>
        <w:t xml:space="preserve">tanto las asociaciones como las federaciones realizaron </w:t>
      </w:r>
      <w:r w:rsidRPr="00CB4191">
        <w:rPr>
          <w:rFonts w:ascii="Helvetica" w:eastAsia="Candara" w:hAnsi="Helvetica" w:cs="Helvetica"/>
          <w:sz w:val="24"/>
          <w:szCs w:val="24"/>
          <w:lang w:eastAsia="es-GT"/>
        </w:rPr>
        <w:t>los registros correspondientes a la formulación de la planificación, la programación y reprogramación de metas físicas y financieras y la ejecución de metas en cada cuatrimestre del 2020 como lo establece la normativa vigente.</w:t>
      </w:r>
      <w:r>
        <w:rPr>
          <w:rFonts w:ascii="Helvetica" w:eastAsia="Candara" w:hAnsi="Helvetica" w:cs="Helvetica"/>
          <w:sz w:val="24"/>
          <w:szCs w:val="24"/>
          <w:lang w:eastAsia="es-GT"/>
        </w:rPr>
        <w:t xml:space="preserve"> Sin embargo, es importante mencionar que en SICOIN únicamente realizan registros las federaciones nacionales deportivas.</w:t>
      </w:r>
    </w:p>
    <w:p w14:paraId="1E8EC60E" w14:textId="77777777" w:rsidR="00A87EEB" w:rsidRPr="00CB4191" w:rsidRDefault="00A87EEB" w:rsidP="00A87EEB">
      <w:pPr>
        <w:spacing w:before="240" w:after="240" w:line="240" w:lineRule="auto"/>
        <w:jc w:val="both"/>
        <w:rPr>
          <w:rFonts w:ascii="Helvetica" w:eastAsia="Candara" w:hAnsi="Helvetica" w:cs="Helvetica"/>
          <w:sz w:val="24"/>
          <w:szCs w:val="24"/>
          <w:lang w:eastAsia="es-GT"/>
        </w:rPr>
      </w:pPr>
      <w:r>
        <w:rPr>
          <w:rFonts w:ascii="Helvetica" w:eastAsia="Candara" w:hAnsi="Helvetica" w:cs="Helvetica"/>
          <w:sz w:val="24"/>
          <w:szCs w:val="24"/>
          <w:lang w:eastAsia="es-GT"/>
        </w:rPr>
        <w:t xml:space="preserve">En los cuadros a </w:t>
      </w:r>
      <w:r w:rsidRPr="00CB4191">
        <w:rPr>
          <w:rFonts w:ascii="Helvetica" w:eastAsia="Candara" w:hAnsi="Helvetica" w:cs="Helvetica"/>
          <w:sz w:val="24"/>
          <w:szCs w:val="24"/>
          <w:lang w:eastAsia="es-GT"/>
        </w:rPr>
        <w:t xml:space="preserve">continuación, se presenta por cada </w:t>
      </w:r>
      <w:r>
        <w:rPr>
          <w:rFonts w:ascii="Helvetica" w:eastAsia="Candara" w:hAnsi="Helvetica" w:cs="Helvetica"/>
          <w:sz w:val="24"/>
          <w:szCs w:val="24"/>
          <w:lang w:eastAsia="es-GT"/>
        </w:rPr>
        <w:t>entidad deportiva</w:t>
      </w:r>
      <w:r w:rsidRPr="00CB4191">
        <w:rPr>
          <w:rFonts w:ascii="Helvetica" w:eastAsia="Candara" w:hAnsi="Helvetica" w:cs="Helvetica"/>
          <w:sz w:val="24"/>
          <w:szCs w:val="24"/>
          <w:lang w:eastAsia="es-GT"/>
        </w:rPr>
        <w:t xml:space="preserve"> los datos siguientes: </w:t>
      </w:r>
    </w:p>
    <w:p w14:paraId="6650C86C" w14:textId="77777777" w:rsidR="00A87EEB" w:rsidRPr="006123B7" w:rsidRDefault="00A87EEB" w:rsidP="00A87EEB">
      <w:pPr>
        <w:pStyle w:val="Prrafodelista"/>
        <w:numPr>
          <w:ilvl w:val="0"/>
          <w:numId w:val="22"/>
        </w:numPr>
        <w:spacing w:before="120" w:after="120" w:line="240" w:lineRule="auto"/>
        <w:ind w:left="1071" w:hanging="357"/>
        <w:contextualSpacing w:val="0"/>
        <w:jc w:val="both"/>
        <w:rPr>
          <w:rFonts w:ascii="Helvetica" w:eastAsia="Candara" w:hAnsi="Helvetica" w:cs="Helvetica"/>
          <w:iCs/>
          <w:sz w:val="24"/>
          <w:szCs w:val="24"/>
          <w:lang w:eastAsia="es-GT"/>
        </w:rPr>
      </w:pPr>
      <w:r w:rsidRPr="006123B7">
        <w:rPr>
          <w:rFonts w:ascii="Helvetica" w:eastAsia="Candara" w:hAnsi="Helvetica" w:cs="Helvetica"/>
          <w:b/>
          <w:bCs/>
          <w:iCs/>
          <w:sz w:val="24"/>
          <w:szCs w:val="24"/>
          <w:lang w:eastAsia="es-GT"/>
        </w:rPr>
        <w:t>Nombre de la institución</w:t>
      </w:r>
      <w:r>
        <w:rPr>
          <w:rFonts w:ascii="Helvetica" w:eastAsia="Candara" w:hAnsi="Helvetica" w:cs="Helvetica"/>
          <w:b/>
          <w:bCs/>
          <w:iCs/>
          <w:sz w:val="24"/>
          <w:szCs w:val="24"/>
          <w:lang w:eastAsia="es-GT"/>
        </w:rPr>
        <w:t>.</w:t>
      </w:r>
    </w:p>
    <w:p w14:paraId="4425C00F" w14:textId="77777777" w:rsidR="00A87EEB" w:rsidRPr="006123B7" w:rsidRDefault="00A87EEB" w:rsidP="00A87EEB">
      <w:pPr>
        <w:pStyle w:val="Prrafodelista"/>
        <w:numPr>
          <w:ilvl w:val="0"/>
          <w:numId w:val="22"/>
        </w:numPr>
        <w:spacing w:before="120" w:after="120" w:line="240" w:lineRule="auto"/>
        <w:ind w:left="1071" w:hanging="357"/>
        <w:contextualSpacing w:val="0"/>
        <w:jc w:val="both"/>
        <w:rPr>
          <w:rFonts w:ascii="Helvetica" w:eastAsia="Candara" w:hAnsi="Helvetica" w:cs="Helvetica"/>
          <w:iCs/>
          <w:sz w:val="24"/>
          <w:szCs w:val="24"/>
          <w:lang w:eastAsia="es-GT"/>
        </w:rPr>
      </w:pPr>
      <w:r w:rsidRPr="006123B7">
        <w:rPr>
          <w:rFonts w:ascii="Helvetica" w:eastAsia="Candara" w:hAnsi="Helvetica" w:cs="Helvetica"/>
          <w:b/>
          <w:bCs/>
          <w:iCs/>
          <w:sz w:val="24"/>
          <w:szCs w:val="24"/>
          <w:lang w:eastAsia="es-GT"/>
        </w:rPr>
        <w:t>Meta financiera vigente:</w:t>
      </w:r>
      <w:r w:rsidRPr="006123B7">
        <w:rPr>
          <w:rFonts w:ascii="Helvetica" w:eastAsia="Candara" w:hAnsi="Helvetica" w:cs="Helvetica"/>
          <w:iCs/>
          <w:sz w:val="24"/>
          <w:szCs w:val="24"/>
          <w:lang w:eastAsia="es-GT"/>
        </w:rPr>
        <w:t xml:space="preserve"> se refiere al presupuesto inicial programado, incluyendo las disminuciones y/o aumentos como resultado de reprogramaciones de metas financieras o modificaciones presupuestarias.</w:t>
      </w:r>
    </w:p>
    <w:p w14:paraId="7745DDB5" w14:textId="77777777" w:rsidR="00A87EEB" w:rsidRPr="006123B7" w:rsidRDefault="00A87EEB" w:rsidP="00A87EEB">
      <w:pPr>
        <w:pStyle w:val="Prrafodelista"/>
        <w:numPr>
          <w:ilvl w:val="0"/>
          <w:numId w:val="22"/>
        </w:numPr>
        <w:spacing w:before="120" w:after="120" w:line="240" w:lineRule="auto"/>
        <w:ind w:left="1071" w:hanging="357"/>
        <w:contextualSpacing w:val="0"/>
        <w:jc w:val="both"/>
        <w:rPr>
          <w:rFonts w:ascii="Helvetica" w:eastAsia="Candara" w:hAnsi="Helvetica" w:cs="Helvetica"/>
          <w:b/>
          <w:bCs/>
          <w:iCs/>
          <w:sz w:val="24"/>
          <w:szCs w:val="24"/>
          <w:lang w:eastAsia="es-GT"/>
        </w:rPr>
      </w:pPr>
      <w:r w:rsidRPr="006123B7">
        <w:rPr>
          <w:rFonts w:ascii="Helvetica" w:eastAsia="Candara" w:hAnsi="Helvetica" w:cs="Helvetica"/>
          <w:b/>
          <w:bCs/>
          <w:iCs/>
          <w:sz w:val="24"/>
          <w:szCs w:val="24"/>
          <w:lang w:eastAsia="es-GT"/>
        </w:rPr>
        <w:t xml:space="preserve">Ejecución financiera: </w:t>
      </w:r>
      <w:r w:rsidRPr="006123B7">
        <w:rPr>
          <w:rFonts w:ascii="Helvetica" w:eastAsia="Candara" w:hAnsi="Helvetica" w:cs="Helvetica"/>
          <w:iCs/>
          <w:sz w:val="24"/>
          <w:szCs w:val="24"/>
          <w:lang w:eastAsia="es-GT"/>
        </w:rPr>
        <w:t>se refiere a la meta financiera ejecutada o presupuesto ejecutado, que incluye la ejecución de los tres cuatrimestres del 2020.</w:t>
      </w:r>
    </w:p>
    <w:p w14:paraId="4E5755ED" w14:textId="77777777" w:rsidR="00A87EEB" w:rsidRPr="006123B7" w:rsidRDefault="00A87EEB" w:rsidP="00A87EEB">
      <w:pPr>
        <w:pStyle w:val="Prrafodelista"/>
        <w:numPr>
          <w:ilvl w:val="0"/>
          <w:numId w:val="22"/>
        </w:numPr>
        <w:spacing w:before="120" w:after="120" w:line="240" w:lineRule="auto"/>
        <w:ind w:left="1071" w:hanging="357"/>
        <w:contextualSpacing w:val="0"/>
        <w:jc w:val="both"/>
        <w:rPr>
          <w:rFonts w:ascii="Helvetica" w:eastAsia="Candara" w:hAnsi="Helvetica" w:cs="Helvetica"/>
          <w:b/>
          <w:bCs/>
          <w:sz w:val="24"/>
          <w:szCs w:val="24"/>
          <w:lang w:eastAsia="es-GT"/>
        </w:rPr>
      </w:pPr>
      <w:r w:rsidRPr="006123B7">
        <w:rPr>
          <w:rFonts w:ascii="Helvetica" w:eastAsia="Candara" w:hAnsi="Helvetica" w:cs="Helvetica"/>
          <w:b/>
          <w:bCs/>
          <w:iCs/>
          <w:sz w:val="24"/>
          <w:szCs w:val="24"/>
          <w:lang w:eastAsia="es-GT"/>
        </w:rPr>
        <w:t xml:space="preserve">Porcentaje (%) de ejecución de la meta financiera vigente: </w:t>
      </w:r>
      <w:r w:rsidRPr="006123B7">
        <w:rPr>
          <w:rFonts w:ascii="Helvetica" w:eastAsia="Candara" w:hAnsi="Helvetica" w:cs="Helvetica"/>
          <w:iCs/>
          <w:sz w:val="24"/>
          <w:szCs w:val="24"/>
          <w:lang w:eastAsia="es-GT"/>
        </w:rPr>
        <w:t xml:space="preserve">el porcentaje muestra cuánto se ejecutó respecto de la meta financiera vigente, lo que permite inferir que </w:t>
      </w:r>
      <w:r w:rsidRPr="006123B7">
        <w:rPr>
          <w:rFonts w:ascii="Helvetica" w:hAnsi="Helvetica" w:cs="Helvetica"/>
          <w:sz w:val="24"/>
          <w:szCs w:val="24"/>
        </w:rPr>
        <w:t>a mayor porcentaje de ejecución habrá mayor eficiencia en la calidad del gasto público como un indicador d</w:t>
      </w:r>
      <w:r w:rsidRPr="006123B7">
        <w:rPr>
          <w:rFonts w:ascii="Helvetica" w:eastAsia="Candara" w:hAnsi="Helvetica" w:cs="Helvetica"/>
          <w:iCs/>
          <w:sz w:val="24"/>
          <w:szCs w:val="24"/>
          <w:lang w:eastAsia="es-GT"/>
        </w:rPr>
        <w:t xml:space="preserve">el desempeño institucional. </w:t>
      </w:r>
    </w:p>
    <w:p w14:paraId="0788319A" w14:textId="1C6AD850" w:rsidR="00A87EEB" w:rsidRDefault="00A87EEB" w:rsidP="00554324">
      <w:pPr>
        <w:pStyle w:val="ttulosgrficas"/>
        <w:rPr>
          <w:lang w:eastAsia="es-GT"/>
        </w:rPr>
      </w:pPr>
    </w:p>
    <w:p w14:paraId="49F93ABF" w14:textId="794F8860" w:rsidR="00554324" w:rsidRDefault="00554324" w:rsidP="00554324">
      <w:pPr>
        <w:pStyle w:val="ttulosgrficas"/>
        <w:rPr>
          <w:lang w:eastAsia="es-GT"/>
        </w:rPr>
      </w:pPr>
    </w:p>
    <w:p w14:paraId="7B2FC6A7" w14:textId="72E4F791" w:rsidR="00554324" w:rsidRDefault="00554324" w:rsidP="00554324">
      <w:pPr>
        <w:pStyle w:val="ttulosgrficas"/>
        <w:rPr>
          <w:lang w:eastAsia="es-GT"/>
        </w:rPr>
      </w:pPr>
    </w:p>
    <w:p w14:paraId="54FA5C1A" w14:textId="23AC36FA" w:rsidR="00554324" w:rsidRDefault="00554324" w:rsidP="00554324">
      <w:pPr>
        <w:pStyle w:val="ttulosgrficas"/>
        <w:rPr>
          <w:lang w:eastAsia="es-GT"/>
        </w:rPr>
      </w:pPr>
    </w:p>
    <w:p w14:paraId="20C5CD05" w14:textId="5F56F522" w:rsidR="00554324" w:rsidRDefault="00554324" w:rsidP="00554324">
      <w:pPr>
        <w:pStyle w:val="ttulosgrficas"/>
        <w:rPr>
          <w:lang w:eastAsia="es-GT"/>
        </w:rPr>
      </w:pPr>
    </w:p>
    <w:p w14:paraId="2606FBA9" w14:textId="74F141DB" w:rsidR="00554324" w:rsidRDefault="00554324" w:rsidP="00554324">
      <w:pPr>
        <w:pStyle w:val="ttulosgrficas"/>
        <w:rPr>
          <w:lang w:eastAsia="es-GT"/>
        </w:rPr>
      </w:pPr>
    </w:p>
    <w:p w14:paraId="667868FD" w14:textId="3460AA9F" w:rsidR="00554324" w:rsidRDefault="00554324" w:rsidP="00554324">
      <w:pPr>
        <w:pStyle w:val="ttulosgrficas"/>
        <w:rPr>
          <w:lang w:eastAsia="es-GT"/>
        </w:rPr>
      </w:pPr>
    </w:p>
    <w:p w14:paraId="7B7E6123" w14:textId="3A617194" w:rsidR="00554324" w:rsidRDefault="00554324" w:rsidP="00554324">
      <w:pPr>
        <w:pStyle w:val="ttulosgrficas"/>
        <w:rPr>
          <w:lang w:eastAsia="es-GT"/>
        </w:rPr>
      </w:pPr>
    </w:p>
    <w:p w14:paraId="474F09F7" w14:textId="3E3E2258" w:rsidR="00554324" w:rsidRDefault="00554324" w:rsidP="00554324">
      <w:pPr>
        <w:pStyle w:val="ttulosgrficas"/>
        <w:rPr>
          <w:lang w:eastAsia="es-GT"/>
        </w:rPr>
      </w:pPr>
    </w:p>
    <w:p w14:paraId="70B86D19" w14:textId="6E3E3DD5" w:rsidR="00554324" w:rsidRDefault="00554324" w:rsidP="00554324">
      <w:pPr>
        <w:pStyle w:val="ttulosgrficas"/>
        <w:rPr>
          <w:lang w:eastAsia="es-GT"/>
        </w:rPr>
      </w:pPr>
    </w:p>
    <w:p w14:paraId="64D707FE" w14:textId="285A7F9B" w:rsidR="00554324" w:rsidRDefault="00554324" w:rsidP="00554324">
      <w:pPr>
        <w:pStyle w:val="ttulosgrficas"/>
        <w:rPr>
          <w:lang w:eastAsia="es-GT"/>
        </w:rPr>
      </w:pPr>
    </w:p>
    <w:p w14:paraId="32DE191A" w14:textId="0D75D257" w:rsidR="00554324" w:rsidRDefault="00554324" w:rsidP="00554324">
      <w:pPr>
        <w:pStyle w:val="ttulosgrficas"/>
        <w:rPr>
          <w:lang w:eastAsia="es-GT"/>
        </w:rPr>
      </w:pPr>
    </w:p>
    <w:p w14:paraId="35BE43D4" w14:textId="5F3CFD92" w:rsidR="00554324" w:rsidRDefault="00554324" w:rsidP="00554324">
      <w:pPr>
        <w:pStyle w:val="ttulosgrficas"/>
        <w:rPr>
          <w:lang w:eastAsia="es-GT"/>
        </w:rPr>
      </w:pPr>
    </w:p>
    <w:p w14:paraId="41D8C260" w14:textId="33A5ABC7" w:rsidR="00554324" w:rsidRDefault="00554324" w:rsidP="00554324">
      <w:pPr>
        <w:pStyle w:val="ttulosgrficas"/>
        <w:rPr>
          <w:lang w:eastAsia="es-GT"/>
        </w:rPr>
      </w:pPr>
    </w:p>
    <w:p w14:paraId="75BBAF08" w14:textId="3C36B985" w:rsidR="00554324" w:rsidRDefault="00554324" w:rsidP="00554324">
      <w:pPr>
        <w:pStyle w:val="ttulosgrficas"/>
        <w:rPr>
          <w:lang w:eastAsia="es-GT"/>
        </w:rPr>
      </w:pPr>
    </w:p>
    <w:p w14:paraId="1A7807A6" w14:textId="09CA271A" w:rsidR="00554324" w:rsidRDefault="00554324" w:rsidP="00554324">
      <w:pPr>
        <w:pStyle w:val="ttulosgrficas"/>
        <w:rPr>
          <w:lang w:eastAsia="es-GT"/>
        </w:rPr>
      </w:pPr>
    </w:p>
    <w:p w14:paraId="2B4AC1F9" w14:textId="6E0049C4" w:rsidR="00554324" w:rsidRDefault="00554324" w:rsidP="00554324">
      <w:pPr>
        <w:pStyle w:val="ttulosgrficas"/>
        <w:rPr>
          <w:lang w:eastAsia="es-GT"/>
        </w:rPr>
      </w:pPr>
    </w:p>
    <w:p w14:paraId="1C1ADC04" w14:textId="6CC67FCE" w:rsidR="00554324" w:rsidRDefault="00554324" w:rsidP="00554324">
      <w:pPr>
        <w:pStyle w:val="ttulosgrficas"/>
        <w:rPr>
          <w:lang w:eastAsia="es-GT"/>
        </w:rPr>
      </w:pPr>
    </w:p>
    <w:p w14:paraId="16220244" w14:textId="5F1BBBB9" w:rsidR="00554324" w:rsidRDefault="00554324" w:rsidP="00554324">
      <w:pPr>
        <w:pStyle w:val="ttulosgrficas"/>
        <w:rPr>
          <w:lang w:eastAsia="es-GT"/>
        </w:rPr>
      </w:pPr>
    </w:p>
    <w:p w14:paraId="45FD99F3" w14:textId="77777777" w:rsidR="002A0798" w:rsidRDefault="002A0798" w:rsidP="00554324">
      <w:pPr>
        <w:pStyle w:val="ttulosgrficas"/>
        <w:rPr>
          <w:lang w:eastAsia="es-GT"/>
        </w:rPr>
      </w:pPr>
    </w:p>
    <w:p w14:paraId="41C23232" w14:textId="633B0509" w:rsidR="00A87EEB" w:rsidRPr="00016865" w:rsidRDefault="002A0798" w:rsidP="00016865">
      <w:pPr>
        <w:pStyle w:val="ttulosgrficas"/>
        <w:rPr>
          <w:rFonts w:eastAsia="Times New Roman"/>
          <w:color w:val="4472C4" w:themeColor="accent1"/>
          <w:lang w:val="es-ES"/>
        </w:rPr>
      </w:pPr>
      <w:bookmarkStart w:id="36" w:name="_Toc67589119"/>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6</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A87EEB" w:rsidRPr="00016865">
        <w:rPr>
          <w:rFonts w:eastAsia="Times New Roman"/>
          <w:color w:val="4472C4" w:themeColor="accent1"/>
          <w:lang w:val="es-ES"/>
        </w:rPr>
        <w:t xml:space="preserve">Ejecución </w:t>
      </w:r>
      <w:r w:rsidR="00554324" w:rsidRPr="00016865">
        <w:rPr>
          <w:rFonts w:eastAsia="Times New Roman"/>
          <w:color w:val="4472C4" w:themeColor="accent1"/>
          <w:lang w:val="es-ES"/>
        </w:rPr>
        <w:t>financiera Federaciones</w:t>
      </w:r>
      <w:r w:rsidR="00A87EEB" w:rsidRPr="00016865">
        <w:rPr>
          <w:rFonts w:eastAsia="Times New Roman"/>
          <w:color w:val="4472C4" w:themeColor="accent1"/>
          <w:lang w:val="es-ES"/>
        </w:rPr>
        <w:t xml:space="preserve"> Deportivas Nacionales</w:t>
      </w:r>
      <w:r w:rsidR="00554324" w:rsidRPr="00016865">
        <w:rPr>
          <w:rFonts w:eastAsia="Times New Roman"/>
          <w:color w:val="4472C4" w:themeColor="accent1"/>
          <w:lang w:val="es-ES"/>
        </w:rPr>
        <w:t xml:space="preserve"> 2020</w:t>
      </w:r>
      <w:bookmarkEnd w:id="36"/>
    </w:p>
    <w:p w14:paraId="54588623" w14:textId="77777777" w:rsidR="00554324" w:rsidRDefault="00A87EEB" w:rsidP="00A87EEB">
      <w:pPr>
        <w:jc w:val="both"/>
        <w:rPr>
          <w:rFonts w:ascii="Candara" w:eastAsia="Candara" w:hAnsi="Candara" w:cs="Candara"/>
          <w:sz w:val="16"/>
          <w:szCs w:val="16"/>
          <w:lang w:eastAsia="es-GT"/>
        </w:rPr>
      </w:pPr>
      <w:r w:rsidRPr="009F6762">
        <w:rPr>
          <w:noProof/>
          <w:lang w:eastAsia="es-GT"/>
        </w:rPr>
        <w:drawing>
          <wp:inline distT="0" distB="0" distL="0" distR="0" wp14:anchorId="5EA95A74" wp14:editId="15B4D7C2">
            <wp:extent cx="5572125" cy="743803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4200" cy="7467497"/>
                    </a:xfrm>
                    <a:prstGeom prst="rect">
                      <a:avLst/>
                    </a:prstGeom>
                    <a:noFill/>
                    <a:ln>
                      <a:noFill/>
                    </a:ln>
                  </pic:spPr>
                </pic:pic>
              </a:graphicData>
            </a:graphic>
          </wp:inline>
        </w:drawing>
      </w:r>
      <w:r w:rsidRPr="005308A5">
        <w:rPr>
          <w:rFonts w:ascii="Candara" w:eastAsia="Candara" w:hAnsi="Candara" w:cs="Candara"/>
          <w:sz w:val="16"/>
          <w:szCs w:val="16"/>
          <w:lang w:eastAsia="es-GT"/>
        </w:rPr>
        <w:t xml:space="preserve"> </w:t>
      </w:r>
    </w:p>
    <w:p w14:paraId="3AA32AC8" w14:textId="31BDAB11" w:rsidR="00A87EEB" w:rsidRDefault="00A87EEB" w:rsidP="00A87EEB">
      <w:pPr>
        <w:jc w:val="both"/>
        <w:rPr>
          <w:rFonts w:ascii="Candara" w:eastAsia="Candara" w:hAnsi="Candara" w:cs="Candara"/>
          <w:sz w:val="16"/>
          <w:szCs w:val="16"/>
          <w:lang w:eastAsia="es-GT"/>
        </w:rPr>
      </w:pPr>
      <w:r w:rsidRPr="00505461">
        <w:rPr>
          <w:rFonts w:ascii="Candara" w:eastAsia="Candara" w:hAnsi="Candara" w:cs="Candara"/>
          <w:sz w:val="16"/>
          <w:szCs w:val="16"/>
          <w:lang w:eastAsia="es-GT"/>
        </w:rPr>
        <w:t>Fuente: Elabora</w:t>
      </w:r>
      <w:r>
        <w:rPr>
          <w:rFonts w:ascii="Candara" w:eastAsia="Candara" w:hAnsi="Candara" w:cs="Candara"/>
          <w:sz w:val="16"/>
          <w:szCs w:val="16"/>
          <w:lang w:eastAsia="es-GT"/>
        </w:rPr>
        <w:t>do por SEGEPLAN,</w:t>
      </w:r>
      <w:r w:rsidRPr="00505461">
        <w:rPr>
          <w:rFonts w:ascii="Candara" w:eastAsia="Candara" w:hAnsi="Candara" w:cs="Candara"/>
          <w:sz w:val="16"/>
          <w:szCs w:val="16"/>
          <w:lang w:eastAsia="es-GT"/>
        </w:rPr>
        <w:t xml:space="preserve"> con base a registros de</w:t>
      </w:r>
      <w:r>
        <w:rPr>
          <w:rFonts w:ascii="Candara" w:eastAsia="Candara" w:hAnsi="Candara" w:cs="Candara"/>
          <w:sz w:val="16"/>
          <w:szCs w:val="16"/>
          <w:lang w:eastAsia="es-GT"/>
        </w:rPr>
        <w:t xml:space="preserve"> </w:t>
      </w:r>
      <w:r w:rsidRPr="00505461">
        <w:rPr>
          <w:rFonts w:ascii="Candara" w:eastAsia="Candara" w:hAnsi="Candara" w:cs="Candara"/>
          <w:sz w:val="16"/>
          <w:szCs w:val="16"/>
          <w:lang w:eastAsia="es-GT"/>
        </w:rPr>
        <w:t>SIPLAN</w:t>
      </w:r>
      <w:r>
        <w:rPr>
          <w:rFonts w:ascii="Candara" w:eastAsia="Candara" w:hAnsi="Candara" w:cs="Candara"/>
          <w:sz w:val="16"/>
          <w:szCs w:val="16"/>
          <w:lang w:eastAsia="es-GT"/>
        </w:rPr>
        <w:t xml:space="preserve"> y SICOIN. Año 2020.</w:t>
      </w:r>
    </w:p>
    <w:p w14:paraId="20AD1180" w14:textId="7B3DABD2" w:rsidR="00A87EEB" w:rsidRDefault="00A87EEB" w:rsidP="00A87EEB">
      <w:pPr>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 xml:space="preserve">En </w:t>
      </w:r>
      <w:r w:rsidR="002A0798">
        <w:rPr>
          <w:rFonts w:ascii="Helvetica" w:eastAsia="Candara" w:hAnsi="Helvetica" w:cs="Helvetica"/>
          <w:sz w:val="24"/>
          <w:szCs w:val="24"/>
          <w:lang w:eastAsia="es-GT"/>
        </w:rPr>
        <w:t>la tabla</w:t>
      </w:r>
      <w:r w:rsidRPr="00CB4191">
        <w:rPr>
          <w:rFonts w:ascii="Helvetica" w:eastAsia="Candara" w:hAnsi="Helvetica" w:cs="Helvetica"/>
          <w:sz w:val="24"/>
          <w:szCs w:val="24"/>
          <w:lang w:eastAsia="es-GT"/>
        </w:rPr>
        <w:t xml:space="preserve"> </w:t>
      </w:r>
      <w:r w:rsidR="003B0029">
        <w:rPr>
          <w:rFonts w:ascii="Helvetica" w:eastAsia="Candara" w:hAnsi="Helvetica" w:cs="Helvetica"/>
          <w:sz w:val="24"/>
          <w:szCs w:val="24"/>
          <w:lang w:eastAsia="es-GT"/>
        </w:rPr>
        <w:t>6</w:t>
      </w:r>
      <w:r w:rsidRPr="00CB4191">
        <w:rPr>
          <w:rFonts w:ascii="Helvetica" w:eastAsia="Candara" w:hAnsi="Helvetica" w:cs="Helvetica"/>
          <w:sz w:val="24"/>
          <w:szCs w:val="24"/>
          <w:lang w:eastAsia="es-GT"/>
        </w:rPr>
        <w:t>, se observa con color verde a l</w:t>
      </w:r>
      <w:r>
        <w:rPr>
          <w:rFonts w:ascii="Helvetica" w:eastAsia="Candara" w:hAnsi="Helvetica" w:cs="Helvetica"/>
          <w:sz w:val="24"/>
          <w:szCs w:val="24"/>
          <w:lang w:eastAsia="es-GT"/>
        </w:rPr>
        <w:t>as</w:t>
      </w:r>
      <w:r w:rsidRPr="00CB4191">
        <w:rPr>
          <w:rFonts w:ascii="Helvetica" w:eastAsia="Candara" w:hAnsi="Helvetica" w:cs="Helvetica"/>
          <w:sz w:val="24"/>
          <w:szCs w:val="24"/>
          <w:lang w:eastAsia="es-GT"/>
        </w:rPr>
        <w:t xml:space="preserve"> </w:t>
      </w:r>
      <w:r>
        <w:rPr>
          <w:rFonts w:ascii="Helvetica" w:eastAsia="Candara" w:hAnsi="Helvetica" w:cs="Helvetica"/>
          <w:sz w:val="24"/>
          <w:szCs w:val="24"/>
          <w:lang w:eastAsia="es-GT"/>
        </w:rPr>
        <w:t xml:space="preserve">federaciones deportivas nacionales </w:t>
      </w:r>
      <w:r w:rsidRPr="00CB4191">
        <w:rPr>
          <w:rFonts w:ascii="Helvetica" w:eastAsia="Candara" w:hAnsi="Helvetica" w:cs="Helvetica"/>
          <w:sz w:val="24"/>
          <w:szCs w:val="24"/>
          <w:lang w:eastAsia="es-GT"/>
        </w:rPr>
        <w:t>que lograron la mayor ejecución presupuestaria y en color rojo los de menor ejecución respecto a la meta financiera vigente.</w:t>
      </w:r>
    </w:p>
    <w:p w14:paraId="509BDBF6" w14:textId="32BC507A" w:rsidR="00A87EEB" w:rsidRPr="00CB4191" w:rsidRDefault="00A87EEB" w:rsidP="00A87EEB">
      <w:pPr>
        <w:jc w:val="both"/>
        <w:rPr>
          <w:rFonts w:ascii="Helvetica" w:eastAsia="Candara" w:hAnsi="Helvetica" w:cs="Helvetica"/>
          <w:b/>
          <w:i/>
          <w:iCs/>
          <w:sz w:val="24"/>
          <w:szCs w:val="24"/>
          <w:lang w:eastAsia="es-GT"/>
        </w:rPr>
      </w:pPr>
      <w:r w:rsidRPr="00CB4191">
        <w:rPr>
          <w:rFonts w:ascii="Helvetica" w:eastAsia="Candara" w:hAnsi="Helvetica" w:cs="Helvetica"/>
          <w:bCs/>
          <w:iCs/>
          <w:sz w:val="24"/>
          <w:szCs w:val="24"/>
          <w:lang w:eastAsia="es-GT"/>
        </w:rPr>
        <w:t xml:space="preserve">Según datos de SICOIN, se observa que el valor </w:t>
      </w:r>
      <w:r>
        <w:rPr>
          <w:rFonts w:ascii="Helvetica" w:eastAsia="Candara" w:hAnsi="Helvetica" w:cs="Helvetica"/>
          <w:bCs/>
          <w:iCs/>
          <w:sz w:val="24"/>
          <w:szCs w:val="24"/>
          <w:lang w:eastAsia="es-GT"/>
        </w:rPr>
        <w:t>máximo</w:t>
      </w:r>
      <w:r w:rsidRPr="00CB4191">
        <w:rPr>
          <w:rFonts w:ascii="Helvetica" w:eastAsia="Candara" w:hAnsi="Helvetica" w:cs="Helvetica"/>
          <w:bCs/>
          <w:iCs/>
          <w:sz w:val="24"/>
          <w:szCs w:val="24"/>
          <w:lang w:eastAsia="es-GT"/>
        </w:rPr>
        <w:t xml:space="preserve"> del porcentaje (%) de ejecución respecto a la meta financiera vigente</w:t>
      </w:r>
      <w:r w:rsidR="00E47805">
        <w:rPr>
          <w:rFonts w:ascii="Helvetica" w:eastAsia="Candara" w:hAnsi="Helvetica" w:cs="Helvetica"/>
          <w:bCs/>
          <w:iCs/>
          <w:sz w:val="24"/>
          <w:szCs w:val="24"/>
          <w:lang w:eastAsia="es-GT"/>
        </w:rPr>
        <w:t>,</w:t>
      </w:r>
      <w:r w:rsidRPr="00CB4191">
        <w:rPr>
          <w:rFonts w:ascii="Helvetica" w:eastAsia="Candara" w:hAnsi="Helvetica" w:cs="Helvetica"/>
          <w:bCs/>
          <w:iCs/>
          <w:sz w:val="24"/>
          <w:szCs w:val="24"/>
          <w:lang w:eastAsia="es-GT"/>
        </w:rPr>
        <w:t xml:space="preserve"> lo alcanzó </w:t>
      </w:r>
      <w:r>
        <w:rPr>
          <w:rFonts w:ascii="Helvetica" w:eastAsia="Candara" w:hAnsi="Helvetica" w:cs="Helvetica"/>
          <w:bCs/>
          <w:iCs/>
          <w:sz w:val="24"/>
          <w:szCs w:val="24"/>
          <w:lang w:eastAsia="es-GT"/>
        </w:rPr>
        <w:t xml:space="preserve">la </w:t>
      </w:r>
      <w:r w:rsidRPr="0059722B">
        <w:rPr>
          <w:rFonts w:ascii="Helvetica" w:eastAsia="Candara" w:hAnsi="Helvetica" w:cs="Helvetica"/>
          <w:bCs/>
          <w:iCs/>
          <w:sz w:val="24"/>
          <w:szCs w:val="24"/>
          <w:lang w:eastAsia="es-GT"/>
        </w:rPr>
        <w:t>Federación Deportiva Nacional de Futbol</w:t>
      </w:r>
      <w:r>
        <w:rPr>
          <w:rFonts w:ascii="Helvetica" w:eastAsia="Candara" w:hAnsi="Helvetica" w:cs="Helvetica"/>
          <w:bCs/>
          <w:iCs/>
          <w:sz w:val="24"/>
          <w:szCs w:val="24"/>
          <w:lang w:eastAsia="es-GT"/>
        </w:rPr>
        <w:t xml:space="preserve"> con 89.00%</w:t>
      </w:r>
      <w:r w:rsidRPr="00CB4191">
        <w:rPr>
          <w:rFonts w:ascii="Helvetica" w:eastAsia="Candara" w:hAnsi="Helvetica" w:cs="Helvetica"/>
          <w:bCs/>
          <w:iCs/>
          <w:sz w:val="24"/>
          <w:szCs w:val="24"/>
          <w:lang w:eastAsia="es-GT"/>
        </w:rPr>
        <w:t xml:space="preserve">, mientras que el valor </w:t>
      </w:r>
      <w:r>
        <w:rPr>
          <w:rFonts w:ascii="Helvetica" w:eastAsia="Candara" w:hAnsi="Helvetica" w:cs="Helvetica"/>
          <w:bCs/>
          <w:iCs/>
          <w:sz w:val="24"/>
          <w:szCs w:val="24"/>
          <w:lang w:eastAsia="es-GT"/>
        </w:rPr>
        <w:t>mínimo</w:t>
      </w:r>
      <w:r w:rsidRPr="00CB4191">
        <w:rPr>
          <w:rFonts w:ascii="Helvetica" w:eastAsia="Candara" w:hAnsi="Helvetica" w:cs="Helvetica"/>
          <w:bCs/>
          <w:iCs/>
          <w:sz w:val="24"/>
          <w:szCs w:val="24"/>
          <w:lang w:eastAsia="es-GT"/>
        </w:rPr>
        <w:t xml:space="preserve"> lo presenta </w:t>
      </w:r>
      <w:r>
        <w:rPr>
          <w:rFonts w:ascii="Helvetica" w:eastAsia="Candara" w:hAnsi="Helvetica" w:cs="Helvetica"/>
          <w:bCs/>
          <w:iCs/>
          <w:sz w:val="24"/>
          <w:szCs w:val="24"/>
          <w:lang w:eastAsia="es-GT"/>
        </w:rPr>
        <w:t xml:space="preserve">la </w:t>
      </w:r>
      <w:r w:rsidRPr="0059722B">
        <w:rPr>
          <w:rFonts w:ascii="Helvetica" w:eastAsia="Candara" w:hAnsi="Helvetica" w:cs="Helvetica"/>
          <w:bCs/>
          <w:iCs/>
          <w:sz w:val="24"/>
          <w:szCs w:val="24"/>
          <w:lang w:eastAsia="es-GT"/>
        </w:rPr>
        <w:t>Federación Deportiva Nacional de Esgrima</w:t>
      </w:r>
      <w:r>
        <w:rPr>
          <w:rFonts w:ascii="Helvetica" w:eastAsia="Candara" w:hAnsi="Helvetica" w:cs="Helvetica"/>
          <w:bCs/>
          <w:iCs/>
          <w:sz w:val="24"/>
          <w:szCs w:val="24"/>
          <w:lang w:eastAsia="es-GT"/>
        </w:rPr>
        <w:t xml:space="preserve"> con 29.09%. </w:t>
      </w:r>
      <w:r w:rsidRPr="00CB4191">
        <w:rPr>
          <w:rFonts w:ascii="Helvetica" w:eastAsia="Candara" w:hAnsi="Helvetica" w:cs="Helvetica"/>
          <w:bCs/>
          <w:iCs/>
          <w:sz w:val="24"/>
          <w:szCs w:val="24"/>
          <w:lang w:eastAsia="es-GT"/>
        </w:rPr>
        <w:t xml:space="preserve">Se aprecia también, que cinco </w:t>
      </w:r>
      <w:r>
        <w:rPr>
          <w:rFonts w:ascii="Helvetica" w:eastAsia="Candara" w:hAnsi="Helvetica" w:cs="Helvetica"/>
          <w:bCs/>
          <w:iCs/>
          <w:sz w:val="24"/>
          <w:szCs w:val="24"/>
          <w:lang w:eastAsia="es-GT"/>
        </w:rPr>
        <w:t xml:space="preserve">federaciones </w:t>
      </w:r>
      <w:r w:rsidRPr="00CB4191">
        <w:rPr>
          <w:rFonts w:ascii="Helvetica" w:eastAsia="Candara" w:hAnsi="Helvetica" w:cs="Helvetica"/>
          <w:bCs/>
          <w:iCs/>
          <w:sz w:val="24"/>
          <w:szCs w:val="24"/>
          <w:lang w:eastAsia="es-GT"/>
        </w:rPr>
        <w:t xml:space="preserve">cuentan con la mayor ejecución presupuestaria; entre </w:t>
      </w:r>
      <w:r>
        <w:rPr>
          <w:rFonts w:ascii="Helvetica" w:eastAsia="Candara" w:hAnsi="Helvetica" w:cs="Helvetica"/>
          <w:bCs/>
          <w:iCs/>
          <w:sz w:val="24"/>
          <w:szCs w:val="24"/>
          <w:lang w:eastAsia="es-GT"/>
        </w:rPr>
        <w:t>77</w:t>
      </w:r>
      <w:r w:rsidRPr="00CB4191">
        <w:rPr>
          <w:rFonts w:ascii="Helvetica" w:eastAsia="Candara" w:hAnsi="Helvetica" w:cs="Helvetica"/>
          <w:bCs/>
          <w:iCs/>
          <w:sz w:val="24"/>
          <w:szCs w:val="24"/>
          <w:lang w:eastAsia="es-GT"/>
        </w:rPr>
        <w:t>.</w:t>
      </w:r>
      <w:r>
        <w:rPr>
          <w:rFonts w:ascii="Helvetica" w:eastAsia="Candara" w:hAnsi="Helvetica" w:cs="Helvetica"/>
          <w:bCs/>
          <w:iCs/>
          <w:sz w:val="24"/>
          <w:szCs w:val="24"/>
          <w:lang w:eastAsia="es-GT"/>
        </w:rPr>
        <w:t>51</w:t>
      </w:r>
      <w:r w:rsidRPr="00CB4191">
        <w:rPr>
          <w:rFonts w:ascii="Helvetica" w:eastAsia="Candara" w:hAnsi="Helvetica" w:cs="Helvetica"/>
          <w:bCs/>
          <w:iCs/>
          <w:sz w:val="24"/>
          <w:szCs w:val="24"/>
          <w:lang w:eastAsia="es-GT"/>
        </w:rPr>
        <w:t xml:space="preserve">% a </w:t>
      </w:r>
      <w:r>
        <w:rPr>
          <w:rFonts w:ascii="Helvetica" w:eastAsia="Candara" w:hAnsi="Helvetica" w:cs="Helvetica"/>
          <w:bCs/>
          <w:iCs/>
          <w:sz w:val="24"/>
          <w:szCs w:val="24"/>
          <w:lang w:eastAsia="es-GT"/>
        </w:rPr>
        <w:t>89.00</w:t>
      </w:r>
      <w:r w:rsidRPr="00CB4191">
        <w:rPr>
          <w:rFonts w:ascii="Helvetica" w:eastAsia="Candara" w:hAnsi="Helvetica" w:cs="Helvetica"/>
          <w:bCs/>
          <w:iCs/>
          <w:sz w:val="24"/>
          <w:szCs w:val="24"/>
          <w:lang w:eastAsia="es-GT"/>
        </w:rPr>
        <w:t xml:space="preserve">% y cinco </w:t>
      </w:r>
      <w:r>
        <w:rPr>
          <w:rFonts w:ascii="Helvetica" w:eastAsia="Candara" w:hAnsi="Helvetica" w:cs="Helvetica"/>
          <w:bCs/>
          <w:iCs/>
          <w:sz w:val="24"/>
          <w:szCs w:val="24"/>
          <w:lang w:eastAsia="es-GT"/>
        </w:rPr>
        <w:t>federaciones</w:t>
      </w:r>
      <w:r w:rsidRPr="00CB4191">
        <w:rPr>
          <w:rFonts w:ascii="Helvetica" w:eastAsia="Candara" w:hAnsi="Helvetica" w:cs="Helvetica"/>
          <w:bCs/>
          <w:iCs/>
          <w:sz w:val="24"/>
          <w:szCs w:val="24"/>
          <w:lang w:eastAsia="es-GT"/>
        </w:rPr>
        <w:t xml:space="preserve"> con la menor ejecución; entre </w:t>
      </w:r>
      <w:r>
        <w:rPr>
          <w:rFonts w:ascii="Helvetica" w:eastAsia="Candara" w:hAnsi="Helvetica" w:cs="Helvetica"/>
          <w:bCs/>
          <w:iCs/>
          <w:sz w:val="24"/>
          <w:szCs w:val="24"/>
          <w:lang w:eastAsia="es-GT"/>
        </w:rPr>
        <w:t>29.09</w:t>
      </w:r>
      <w:r w:rsidRPr="00CB4191">
        <w:rPr>
          <w:rFonts w:ascii="Helvetica" w:eastAsia="Candara" w:hAnsi="Helvetica" w:cs="Helvetica"/>
          <w:bCs/>
          <w:iCs/>
          <w:sz w:val="24"/>
          <w:szCs w:val="24"/>
          <w:lang w:eastAsia="es-GT"/>
        </w:rPr>
        <w:t xml:space="preserve">% a </w:t>
      </w:r>
      <w:r>
        <w:rPr>
          <w:rFonts w:ascii="Helvetica" w:eastAsia="Candara" w:hAnsi="Helvetica" w:cs="Helvetica"/>
          <w:bCs/>
          <w:iCs/>
          <w:sz w:val="24"/>
          <w:szCs w:val="24"/>
          <w:lang w:eastAsia="es-GT"/>
        </w:rPr>
        <w:t>55.90</w:t>
      </w:r>
      <w:r w:rsidRPr="00CB4191">
        <w:rPr>
          <w:rFonts w:ascii="Helvetica" w:eastAsia="Candara" w:hAnsi="Helvetica" w:cs="Helvetica"/>
          <w:bCs/>
          <w:iCs/>
          <w:sz w:val="24"/>
          <w:szCs w:val="24"/>
          <w:lang w:eastAsia="es-GT"/>
        </w:rPr>
        <w:t>%.</w:t>
      </w:r>
    </w:p>
    <w:p w14:paraId="065251F9" w14:textId="77777777"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A continuación, se presentan los principales resultados de la ejecución financiera con base a SICOIN:</w:t>
      </w:r>
    </w:p>
    <w:p w14:paraId="1F1F7CA0" w14:textId="51E919A8" w:rsidR="00A87EEB" w:rsidRPr="001C1F15" w:rsidRDefault="00A87EEB" w:rsidP="00A87EEB">
      <w:pPr>
        <w:pStyle w:val="Prrafodelista"/>
        <w:numPr>
          <w:ilvl w:val="0"/>
          <w:numId w:val="21"/>
        </w:numPr>
        <w:jc w:val="both"/>
        <w:rPr>
          <w:rFonts w:ascii="Helvetica" w:eastAsia="Candara" w:hAnsi="Helvetica" w:cs="Helvetica"/>
          <w:iCs/>
          <w:sz w:val="24"/>
          <w:szCs w:val="24"/>
          <w:lang w:eastAsia="es-GT"/>
        </w:rPr>
      </w:pPr>
      <w:r>
        <w:rPr>
          <w:rFonts w:ascii="Helvetica" w:eastAsia="Candara" w:hAnsi="Helvetica" w:cs="Helvetica"/>
          <w:i/>
          <w:iCs/>
          <w:sz w:val="24"/>
          <w:szCs w:val="24"/>
          <w:u w:val="single"/>
          <w:lang w:eastAsia="es-GT"/>
        </w:rPr>
        <w:t>Federaciones</w:t>
      </w:r>
      <w:r w:rsidRPr="00CB4191">
        <w:rPr>
          <w:rFonts w:ascii="Helvetica" w:eastAsia="Candara" w:hAnsi="Helvetica" w:cs="Helvetica"/>
          <w:i/>
          <w:iCs/>
          <w:sz w:val="24"/>
          <w:szCs w:val="24"/>
          <w:u w:val="single"/>
          <w:lang w:eastAsia="es-GT"/>
        </w:rPr>
        <w:t xml:space="preserve"> con mayor asignación presupuestaria:</w:t>
      </w:r>
      <w:r w:rsidRPr="00CB4191">
        <w:rPr>
          <w:rFonts w:ascii="Helvetica" w:eastAsia="Candara" w:hAnsi="Helvetica" w:cs="Helvetica"/>
          <w:sz w:val="24"/>
          <w:szCs w:val="24"/>
          <w:lang w:eastAsia="es-GT"/>
        </w:rPr>
        <w:t xml:space="preserve"> L</w:t>
      </w:r>
      <w:r>
        <w:rPr>
          <w:rFonts w:ascii="Helvetica" w:eastAsia="Candara" w:hAnsi="Helvetica" w:cs="Helvetica"/>
          <w:sz w:val="24"/>
          <w:szCs w:val="24"/>
          <w:lang w:eastAsia="es-GT"/>
        </w:rPr>
        <w:t>a</w:t>
      </w:r>
      <w:r w:rsidRPr="00CB4191">
        <w:rPr>
          <w:rFonts w:ascii="Helvetica" w:eastAsia="Candara" w:hAnsi="Helvetica" w:cs="Helvetica"/>
          <w:sz w:val="24"/>
          <w:szCs w:val="24"/>
          <w:lang w:eastAsia="es-GT"/>
        </w:rPr>
        <w:t xml:space="preserve">s 5 </w:t>
      </w:r>
      <w:r>
        <w:rPr>
          <w:rFonts w:ascii="Helvetica" w:eastAsia="Candara" w:hAnsi="Helvetica" w:cs="Helvetica"/>
          <w:sz w:val="24"/>
          <w:szCs w:val="24"/>
          <w:lang w:eastAsia="es-GT"/>
        </w:rPr>
        <w:t>federaciones</w:t>
      </w:r>
      <w:r w:rsidRPr="00CB4191">
        <w:rPr>
          <w:rFonts w:ascii="Helvetica" w:eastAsia="Candara" w:hAnsi="Helvetica" w:cs="Helvetica"/>
          <w:sz w:val="24"/>
          <w:szCs w:val="24"/>
          <w:lang w:eastAsia="es-GT"/>
        </w:rPr>
        <w:t xml:space="preserve"> que tuvieron la mayor asignación presupuestaria en el 2020 según SIPLAN y SICOIN fueron:</w:t>
      </w:r>
      <w:r w:rsidRPr="00CB4191">
        <w:rPr>
          <w:rFonts w:ascii="Helvetica" w:eastAsia="Candara" w:hAnsi="Helvetica" w:cs="Helvetica"/>
          <w:b/>
          <w:sz w:val="24"/>
          <w:szCs w:val="24"/>
          <w:lang w:eastAsia="es-GT"/>
        </w:rPr>
        <w:t xml:space="preserve"> </w:t>
      </w:r>
      <w:r w:rsidRPr="001C1F15">
        <w:rPr>
          <w:rFonts w:ascii="Helvetica" w:eastAsia="Candara" w:hAnsi="Helvetica" w:cs="Helvetica"/>
          <w:bCs/>
          <w:sz w:val="24"/>
          <w:szCs w:val="24"/>
          <w:lang w:eastAsia="es-GT"/>
        </w:rPr>
        <w:t>Federación Deportiva Nacional de F</w:t>
      </w:r>
      <w:r w:rsidR="00EE284B">
        <w:rPr>
          <w:rFonts w:ascii="Helvetica" w:eastAsia="Candara" w:hAnsi="Helvetica" w:cs="Helvetica"/>
          <w:bCs/>
          <w:sz w:val="24"/>
          <w:szCs w:val="24"/>
          <w:lang w:eastAsia="es-GT"/>
        </w:rPr>
        <w:t>ú</w:t>
      </w:r>
      <w:r w:rsidRPr="001C1F15">
        <w:rPr>
          <w:rFonts w:ascii="Helvetica" w:eastAsia="Candara" w:hAnsi="Helvetica" w:cs="Helvetica"/>
          <w:bCs/>
          <w:sz w:val="24"/>
          <w:szCs w:val="24"/>
          <w:lang w:eastAsia="es-GT"/>
        </w:rPr>
        <w:t>tbol</w:t>
      </w:r>
      <w:r>
        <w:rPr>
          <w:rFonts w:ascii="Helvetica" w:eastAsia="Candara" w:hAnsi="Helvetica" w:cs="Helvetica"/>
          <w:bCs/>
          <w:sz w:val="24"/>
          <w:szCs w:val="24"/>
          <w:lang w:eastAsia="es-GT"/>
        </w:rPr>
        <w:t xml:space="preserve"> con la mayor asignación presupuestaria de Q. </w:t>
      </w:r>
      <w:r w:rsidRPr="001C1F15">
        <w:rPr>
          <w:rFonts w:ascii="Helvetica" w:eastAsia="Candara" w:hAnsi="Helvetica" w:cs="Helvetica"/>
          <w:bCs/>
          <w:sz w:val="24"/>
          <w:szCs w:val="24"/>
          <w:lang w:eastAsia="es-GT"/>
        </w:rPr>
        <w:t>46,500,000</w:t>
      </w:r>
      <w:r w:rsidR="00EE284B">
        <w:rPr>
          <w:rFonts w:ascii="Helvetica" w:eastAsia="Candara" w:hAnsi="Helvetica" w:cs="Helvetica"/>
          <w:bCs/>
          <w:sz w:val="24"/>
          <w:szCs w:val="24"/>
          <w:lang w:eastAsia="es-GT"/>
        </w:rPr>
        <w:t>;</w:t>
      </w:r>
      <w:r>
        <w:rPr>
          <w:rFonts w:ascii="Helvetica" w:eastAsia="Candara" w:hAnsi="Helvetica" w:cs="Helvetica"/>
          <w:bCs/>
          <w:sz w:val="24"/>
          <w:szCs w:val="24"/>
          <w:lang w:eastAsia="es-GT"/>
        </w:rPr>
        <w:t xml:space="preserve"> seguido de la </w:t>
      </w:r>
      <w:r w:rsidRPr="001C1F15">
        <w:rPr>
          <w:rFonts w:ascii="Helvetica" w:eastAsia="Candara" w:hAnsi="Helvetica" w:cs="Helvetica"/>
          <w:bCs/>
          <w:sz w:val="24"/>
          <w:szCs w:val="24"/>
          <w:lang w:eastAsia="es-GT"/>
        </w:rPr>
        <w:t>Federación Deportiva Nacional de Gimnasia</w:t>
      </w:r>
      <w:r>
        <w:rPr>
          <w:rFonts w:ascii="Helvetica" w:eastAsia="Candara" w:hAnsi="Helvetica" w:cs="Helvetica"/>
          <w:bCs/>
          <w:sz w:val="24"/>
          <w:szCs w:val="24"/>
          <w:lang w:eastAsia="es-GT"/>
        </w:rPr>
        <w:t xml:space="preserve"> con Q.</w:t>
      </w:r>
      <w:r w:rsidRPr="001C1F15">
        <w:t xml:space="preserve"> </w:t>
      </w:r>
      <w:r w:rsidRPr="001C1F15">
        <w:rPr>
          <w:rFonts w:ascii="Helvetica" w:eastAsia="Candara" w:hAnsi="Helvetica" w:cs="Helvetica"/>
          <w:bCs/>
          <w:sz w:val="24"/>
          <w:szCs w:val="24"/>
          <w:lang w:eastAsia="es-GT"/>
        </w:rPr>
        <w:t>11,375,600</w:t>
      </w:r>
      <w:r w:rsidR="00EE284B">
        <w:rPr>
          <w:rFonts w:ascii="Helvetica" w:eastAsia="Candara" w:hAnsi="Helvetica" w:cs="Helvetica"/>
          <w:bCs/>
          <w:sz w:val="24"/>
          <w:szCs w:val="24"/>
          <w:lang w:eastAsia="es-GT"/>
        </w:rPr>
        <w:t>;</w:t>
      </w:r>
      <w:r>
        <w:rPr>
          <w:rFonts w:ascii="Helvetica" w:eastAsia="Candara" w:hAnsi="Helvetica" w:cs="Helvetica"/>
          <w:bCs/>
          <w:sz w:val="24"/>
          <w:szCs w:val="24"/>
          <w:lang w:eastAsia="es-GT"/>
        </w:rPr>
        <w:t xml:space="preserve"> </w:t>
      </w:r>
      <w:r w:rsidRPr="002D5316">
        <w:rPr>
          <w:rFonts w:ascii="Helvetica" w:eastAsia="Candara" w:hAnsi="Helvetica" w:cs="Helvetica"/>
          <w:bCs/>
          <w:sz w:val="24"/>
          <w:szCs w:val="24"/>
          <w:lang w:eastAsia="es-GT"/>
        </w:rPr>
        <w:t>Federación Deportiva Nacional de Ciclismo</w:t>
      </w:r>
      <w:r>
        <w:rPr>
          <w:rFonts w:ascii="Helvetica" w:eastAsia="Candara" w:hAnsi="Helvetica" w:cs="Helvetica"/>
          <w:bCs/>
          <w:sz w:val="24"/>
          <w:szCs w:val="24"/>
          <w:lang w:eastAsia="es-GT"/>
        </w:rPr>
        <w:t xml:space="preserve"> con Q.</w:t>
      </w:r>
      <w:r w:rsidRPr="002D5316">
        <w:t xml:space="preserve"> </w:t>
      </w:r>
      <w:r w:rsidRPr="002D5316">
        <w:rPr>
          <w:rFonts w:ascii="Helvetica" w:eastAsia="Candara" w:hAnsi="Helvetica" w:cs="Helvetica"/>
          <w:bCs/>
          <w:sz w:val="24"/>
          <w:szCs w:val="24"/>
          <w:lang w:eastAsia="es-GT"/>
        </w:rPr>
        <w:t>9,896,023</w:t>
      </w:r>
      <w:r w:rsidR="00EE284B">
        <w:rPr>
          <w:rFonts w:ascii="Helvetica" w:eastAsia="Candara" w:hAnsi="Helvetica" w:cs="Helvetica"/>
          <w:bCs/>
          <w:sz w:val="24"/>
          <w:szCs w:val="24"/>
          <w:lang w:eastAsia="es-GT"/>
        </w:rPr>
        <w:t xml:space="preserve">; </w:t>
      </w:r>
      <w:r w:rsidRPr="002D5316">
        <w:rPr>
          <w:rFonts w:ascii="Helvetica" w:eastAsia="Candara" w:hAnsi="Helvetica" w:cs="Helvetica"/>
          <w:bCs/>
          <w:sz w:val="24"/>
          <w:szCs w:val="24"/>
          <w:lang w:eastAsia="es-GT"/>
        </w:rPr>
        <w:t>Federación Deportiva Nacional de Atletismo</w:t>
      </w:r>
      <w:r>
        <w:rPr>
          <w:rFonts w:ascii="Helvetica" w:eastAsia="Candara" w:hAnsi="Helvetica" w:cs="Helvetica"/>
          <w:bCs/>
          <w:sz w:val="24"/>
          <w:szCs w:val="24"/>
          <w:lang w:eastAsia="es-GT"/>
        </w:rPr>
        <w:t xml:space="preserve"> con Q.</w:t>
      </w:r>
      <w:r w:rsidRPr="002D5316">
        <w:t xml:space="preserve"> </w:t>
      </w:r>
      <w:r w:rsidRPr="002D5316">
        <w:rPr>
          <w:rFonts w:ascii="Helvetica" w:eastAsia="Candara" w:hAnsi="Helvetica" w:cs="Helvetica"/>
          <w:bCs/>
          <w:sz w:val="24"/>
          <w:szCs w:val="24"/>
          <w:lang w:eastAsia="es-GT"/>
        </w:rPr>
        <w:t>8,954,606</w:t>
      </w:r>
      <w:r>
        <w:rPr>
          <w:rFonts w:ascii="Helvetica" w:eastAsia="Candara" w:hAnsi="Helvetica" w:cs="Helvetica"/>
          <w:bCs/>
          <w:sz w:val="24"/>
          <w:szCs w:val="24"/>
          <w:lang w:eastAsia="es-GT"/>
        </w:rPr>
        <w:t xml:space="preserve"> y la </w:t>
      </w:r>
      <w:r w:rsidRPr="002D5316">
        <w:rPr>
          <w:rFonts w:ascii="Helvetica" w:eastAsia="Candara" w:hAnsi="Helvetica" w:cs="Helvetica"/>
          <w:bCs/>
          <w:sz w:val="24"/>
          <w:szCs w:val="24"/>
          <w:lang w:eastAsia="es-GT"/>
        </w:rPr>
        <w:t>Federación Deportiva Nacional de Tae Kwon Do</w:t>
      </w:r>
      <w:r>
        <w:rPr>
          <w:rFonts w:ascii="Helvetica" w:eastAsia="Candara" w:hAnsi="Helvetica" w:cs="Helvetica"/>
          <w:bCs/>
          <w:sz w:val="24"/>
          <w:szCs w:val="24"/>
          <w:lang w:eastAsia="es-GT"/>
        </w:rPr>
        <w:t xml:space="preserve"> con Q.</w:t>
      </w:r>
      <w:r w:rsidRPr="002D5316">
        <w:t xml:space="preserve"> </w:t>
      </w:r>
      <w:r w:rsidRPr="002D5316">
        <w:rPr>
          <w:rFonts w:ascii="Helvetica" w:eastAsia="Candara" w:hAnsi="Helvetica" w:cs="Helvetica"/>
          <w:bCs/>
          <w:sz w:val="24"/>
          <w:szCs w:val="24"/>
          <w:lang w:eastAsia="es-GT"/>
        </w:rPr>
        <w:t>8,490,972</w:t>
      </w:r>
      <w:r>
        <w:rPr>
          <w:rFonts w:ascii="Helvetica" w:eastAsia="Candara" w:hAnsi="Helvetica" w:cs="Helvetica"/>
          <w:bCs/>
          <w:sz w:val="24"/>
          <w:szCs w:val="24"/>
          <w:lang w:eastAsia="es-GT"/>
        </w:rPr>
        <w:t>.</w:t>
      </w:r>
    </w:p>
    <w:p w14:paraId="15FCBE53" w14:textId="77777777" w:rsidR="00A87EEB" w:rsidRPr="001C1F15" w:rsidRDefault="00A87EEB" w:rsidP="00A87EEB">
      <w:pPr>
        <w:pStyle w:val="Prrafodelista"/>
        <w:jc w:val="both"/>
        <w:rPr>
          <w:rFonts w:ascii="Helvetica" w:eastAsia="Candara" w:hAnsi="Helvetica" w:cs="Helvetica"/>
          <w:iCs/>
          <w:sz w:val="24"/>
          <w:szCs w:val="24"/>
          <w:lang w:eastAsia="es-GT"/>
        </w:rPr>
      </w:pPr>
    </w:p>
    <w:p w14:paraId="1C1E3279" w14:textId="15716A7B" w:rsidR="00A87EEB" w:rsidRPr="00876265" w:rsidRDefault="00A87EEB" w:rsidP="00A87EEB">
      <w:pPr>
        <w:pStyle w:val="Prrafodelista"/>
        <w:numPr>
          <w:ilvl w:val="0"/>
          <w:numId w:val="21"/>
        </w:numPr>
        <w:ind w:left="708"/>
        <w:jc w:val="both"/>
        <w:rPr>
          <w:rFonts w:ascii="Helvetica" w:hAnsi="Helvetica" w:cs="Helvetica"/>
          <w:sz w:val="24"/>
          <w:szCs w:val="24"/>
        </w:rPr>
      </w:pPr>
      <w:r w:rsidRPr="00876265">
        <w:rPr>
          <w:rFonts w:ascii="Helvetica" w:eastAsia="Candara" w:hAnsi="Helvetica" w:cs="Helvetica"/>
          <w:i/>
          <w:iCs/>
          <w:sz w:val="24"/>
          <w:szCs w:val="24"/>
          <w:u w:val="single"/>
          <w:lang w:eastAsia="es-GT"/>
        </w:rPr>
        <w:t>Federaciones con mayor porcentaje de ejecución financiera:</w:t>
      </w:r>
      <w:r w:rsidRPr="00876265">
        <w:rPr>
          <w:rFonts w:ascii="Helvetica" w:eastAsia="Candara" w:hAnsi="Helvetica" w:cs="Helvetica"/>
          <w:i/>
          <w:iCs/>
          <w:sz w:val="24"/>
          <w:szCs w:val="24"/>
          <w:lang w:eastAsia="es-GT"/>
        </w:rPr>
        <w:t xml:space="preserve"> </w:t>
      </w:r>
      <w:r w:rsidRPr="00876265">
        <w:rPr>
          <w:rFonts w:ascii="Helvetica" w:eastAsia="Candara" w:hAnsi="Helvetica" w:cs="Helvetica"/>
          <w:bCs/>
          <w:sz w:val="24"/>
          <w:szCs w:val="24"/>
          <w:lang w:eastAsia="es-GT"/>
        </w:rPr>
        <w:t xml:space="preserve">Las 5 federaciones que </w:t>
      </w:r>
      <w:r w:rsidRPr="00DD01CF">
        <w:rPr>
          <w:rFonts w:ascii="Helvetica" w:eastAsia="Candara" w:hAnsi="Helvetica" w:cs="Helvetica"/>
          <w:bCs/>
          <w:sz w:val="24"/>
          <w:szCs w:val="24"/>
          <w:lang w:eastAsia="es-GT"/>
        </w:rPr>
        <w:t xml:space="preserve">alcanzaron el porcentaje más alto de ejecución financiera fueron: En primer lugar, la </w:t>
      </w:r>
      <w:r w:rsidRPr="00DD01CF">
        <w:rPr>
          <w:rFonts w:ascii="Helvetica" w:eastAsia="Candara" w:hAnsi="Helvetica" w:cs="Helvetica"/>
          <w:bCs/>
          <w:iCs/>
          <w:sz w:val="24"/>
          <w:szCs w:val="24"/>
          <w:lang w:eastAsia="es-GT"/>
        </w:rPr>
        <w:t>Federación Deportiva Nacional de F</w:t>
      </w:r>
      <w:r w:rsidR="00EE284B">
        <w:rPr>
          <w:rFonts w:ascii="Helvetica" w:eastAsia="Candara" w:hAnsi="Helvetica" w:cs="Helvetica"/>
          <w:bCs/>
          <w:iCs/>
          <w:sz w:val="24"/>
          <w:szCs w:val="24"/>
          <w:lang w:eastAsia="es-GT"/>
        </w:rPr>
        <w:t>ú</w:t>
      </w:r>
      <w:r w:rsidRPr="00DD01CF">
        <w:rPr>
          <w:rFonts w:ascii="Helvetica" w:eastAsia="Candara" w:hAnsi="Helvetica" w:cs="Helvetica"/>
          <w:bCs/>
          <w:iCs/>
          <w:sz w:val="24"/>
          <w:szCs w:val="24"/>
          <w:lang w:eastAsia="es-GT"/>
        </w:rPr>
        <w:t>tbol con 89.00% de ejecución respecto a la meta financiera vigente, seguido de la Federación Deportiva Nacional de Baloncesto con 84.27%</w:t>
      </w:r>
      <w:r w:rsidR="00EE284B">
        <w:rPr>
          <w:rFonts w:ascii="Helvetica" w:eastAsia="Candara" w:hAnsi="Helvetica" w:cs="Helvetica"/>
          <w:bCs/>
          <w:iCs/>
          <w:sz w:val="24"/>
          <w:szCs w:val="24"/>
          <w:lang w:eastAsia="es-GT"/>
        </w:rPr>
        <w:t>;</w:t>
      </w:r>
      <w:r w:rsidRPr="00DD01CF">
        <w:rPr>
          <w:rFonts w:ascii="Helvetica" w:eastAsia="Candara" w:hAnsi="Helvetica" w:cs="Helvetica"/>
          <w:bCs/>
          <w:iCs/>
          <w:sz w:val="24"/>
          <w:szCs w:val="24"/>
          <w:lang w:eastAsia="es-GT"/>
        </w:rPr>
        <w:t xml:space="preserve"> Federación Deportiva Nacional de Levantamiento de Potencia con 81.31%</w:t>
      </w:r>
      <w:r w:rsidR="00EE284B">
        <w:rPr>
          <w:rFonts w:ascii="Helvetica" w:eastAsia="Candara" w:hAnsi="Helvetica" w:cs="Helvetica"/>
          <w:bCs/>
          <w:iCs/>
          <w:sz w:val="24"/>
          <w:szCs w:val="24"/>
          <w:lang w:eastAsia="es-GT"/>
        </w:rPr>
        <w:t>;</w:t>
      </w:r>
      <w:r w:rsidRPr="00DD01CF">
        <w:rPr>
          <w:rFonts w:ascii="Helvetica" w:eastAsia="Candara" w:hAnsi="Helvetica" w:cs="Helvetica"/>
          <w:bCs/>
          <w:iCs/>
          <w:sz w:val="24"/>
          <w:szCs w:val="24"/>
          <w:lang w:eastAsia="es-GT"/>
        </w:rPr>
        <w:t xml:space="preserve"> Federación Deportiva Nacional de Ciclismo con 78.60% y la Federación Deportiva de Levantamiento de Pesas con 77.51% de ejecución.</w:t>
      </w:r>
      <w:r>
        <w:rPr>
          <w:rFonts w:ascii="Helvetica" w:eastAsia="Candara" w:hAnsi="Helvetica" w:cs="Helvetica"/>
          <w:bCs/>
          <w:iCs/>
          <w:sz w:val="24"/>
          <w:szCs w:val="24"/>
          <w:lang w:eastAsia="es-GT"/>
        </w:rPr>
        <w:t xml:space="preserve"> </w:t>
      </w:r>
    </w:p>
    <w:p w14:paraId="4D8307E6" w14:textId="77777777" w:rsidR="00A87EEB" w:rsidRPr="00876265" w:rsidRDefault="00A87EEB" w:rsidP="00A87EEB">
      <w:pPr>
        <w:pStyle w:val="Prrafodelista"/>
        <w:rPr>
          <w:rFonts w:ascii="Helvetica" w:eastAsia="Candara" w:hAnsi="Helvetica" w:cs="Helvetica"/>
          <w:i/>
          <w:iCs/>
          <w:sz w:val="24"/>
          <w:szCs w:val="24"/>
          <w:u w:val="single"/>
          <w:lang w:eastAsia="es-GT"/>
        </w:rPr>
      </w:pPr>
    </w:p>
    <w:p w14:paraId="36D2E862" w14:textId="1B053962" w:rsidR="00A87EEB" w:rsidRPr="00F759B2" w:rsidRDefault="00A87EEB" w:rsidP="00A87EEB">
      <w:pPr>
        <w:pStyle w:val="Prrafodelista"/>
        <w:numPr>
          <w:ilvl w:val="0"/>
          <w:numId w:val="21"/>
        </w:numPr>
        <w:ind w:left="708"/>
        <w:jc w:val="both"/>
        <w:rPr>
          <w:rFonts w:ascii="Helvetica" w:hAnsi="Helvetica" w:cs="Helvetica"/>
          <w:sz w:val="24"/>
          <w:szCs w:val="24"/>
        </w:rPr>
      </w:pPr>
      <w:r>
        <w:rPr>
          <w:rFonts w:ascii="Helvetica" w:eastAsia="Candara" w:hAnsi="Helvetica" w:cs="Helvetica"/>
          <w:i/>
          <w:iCs/>
          <w:sz w:val="24"/>
          <w:szCs w:val="24"/>
          <w:u w:val="single"/>
          <w:lang w:eastAsia="es-GT"/>
        </w:rPr>
        <w:t>Federaciones</w:t>
      </w:r>
      <w:r w:rsidRPr="00CB4191">
        <w:rPr>
          <w:rFonts w:ascii="Helvetica" w:eastAsia="Candara" w:hAnsi="Helvetica" w:cs="Helvetica"/>
          <w:i/>
          <w:iCs/>
          <w:sz w:val="24"/>
          <w:szCs w:val="24"/>
          <w:u w:val="single"/>
          <w:lang w:eastAsia="es-GT"/>
        </w:rPr>
        <w:t xml:space="preserve"> con menor porcentaje de ejecución financiera: </w:t>
      </w:r>
      <w:r w:rsidRPr="00CB4191">
        <w:rPr>
          <w:rFonts w:ascii="Helvetica" w:eastAsia="Candara" w:hAnsi="Helvetica" w:cs="Helvetica"/>
          <w:iCs/>
          <w:sz w:val="24"/>
          <w:szCs w:val="24"/>
          <w:lang w:eastAsia="es-GT"/>
        </w:rPr>
        <w:t xml:space="preserve">Se observa a cinco </w:t>
      </w:r>
      <w:r>
        <w:rPr>
          <w:rFonts w:ascii="Helvetica" w:eastAsia="Candara" w:hAnsi="Helvetica" w:cs="Helvetica"/>
          <w:iCs/>
          <w:sz w:val="24"/>
          <w:szCs w:val="24"/>
          <w:lang w:eastAsia="es-GT"/>
        </w:rPr>
        <w:t>federaciones</w:t>
      </w:r>
      <w:r w:rsidRPr="00CB4191">
        <w:rPr>
          <w:rFonts w:ascii="Helvetica" w:eastAsia="Candara" w:hAnsi="Helvetica" w:cs="Helvetica"/>
          <w:iCs/>
          <w:sz w:val="24"/>
          <w:szCs w:val="24"/>
          <w:lang w:eastAsia="es-GT"/>
        </w:rPr>
        <w:t xml:space="preserve"> con la ejecución más baja; </w:t>
      </w:r>
      <w:r>
        <w:rPr>
          <w:rFonts w:ascii="Helvetica" w:eastAsia="Candara" w:hAnsi="Helvetica" w:cs="Helvetica"/>
          <w:iCs/>
          <w:sz w:val="24"/>
          <w:szCs w:val="24"/>
          <w:lang w:eastAsia="es-GT"/>
        </w:rPr>
        <w:t xml:space="preserve">la </w:t>
      </w:r>
      <w:r w:rsidRPr="000F7857">
        <w:rPr>
          <w:rFonts w:ascii="Helvetica" w:eastAsia="Candara" w:hAnsi="Helvetica" w:cs="Helvetica"/>
          <w:iCs/>
          <w:sz w:val="24"/>
          <w:szCs w:val="24"/>
          <w:lang w:eastAsia="es-GT"/>
        </w:rPr>
        <w:t>Federación Deportiva Nacional de Esgrima</w:t>
      </w:r>
      <w:r>
        <w:rPr>
          <w:rFonts w:ascii="Helvetica" w:eastAsia="Candara" w:hAnsi="Helvetica" w:cs="Helvetica"/>
          <w:iCs/>
          <w:sz w:val="24"/>
          <w:szCs w:val="24"/>
          <w:lang w:eastAsia="es-GT"/>
        </w:rPr>
        <w:t xml:space="preserve"> con 29.09%</w:t>
      </w:r>
      <w:r w:rsidR="00EE284B">
        <w:rPr>
          <w:rFonts w:ascii="Helvetica" w:eastAsia="Candara" w:hAnsi="Helvetica" w:cs="Helvetica"/>
          <w:iCs/>
          <w:sz w:val="24"/>
          <w:szCs w:val="24"/>
          <w:lang w:eastAsia="es-GT"/>
        </w:rPr>
        <w:t xml:space="preserve">; </w:t>
      </w:r>
      <w:r>
        <w:rPr>
          <w:rFonts w:ascii="Helvetica" w:eastAsia="Candara" w:hAnsi="Helvetica" w:cs="Helvetica"/>
          <w:iCs/>
          <w:sz w:val="24"/>
          <w:szCs w:val="24"/>
          <w:lang w:eastAsia="es-GT"/>
        </w:rPr>
        <w:t xml:space="preserve">seguido de la </w:t>
      </w:r>
      <w:r w:rsidRPr="000F7857">
        <w:rPr>
          <w:rFonts w:ascii="Helvetica" w:eastAsia="Candara" w:hAnsi="Helvetica" w:cs="Helvetica"/>
          <w:iCs/>
          <w:sz w:val="24"/>
          <w:szCs w:val="24"/>
          <w:lang w:eastAsia="es-GT"/>
        </w:rPr>
        <w:t>Federación Deportiva Nacional de Motociclismo</w:t>
      </w:r>
      <w:r>
        <w:rPr>
          <w:rFonts w:ascii="Helvetica" w:eastAsia="Candara" w:hAnsi="Helvetica" w:cs="Helvetica"/>
          <w:iCs/>
          <w:sz w:val="24"/>
          <w:szCs w:val="24"/>
          <w:lang w:eastAsia="es-GT"/>
        </w:rPr>
        <w:t xml:space="preserve"> con 38.58%</w:t>
      </w:r>
      <w:r w:rsidR="00EE284B">
        <w:rPr>
          <w:rFonts w:ascii="Helvetica" w:eastAsia="Candara" w:hAnsi="Helvetica" w:cs="Helvetica"/>
          <w:iCs/>
          <w:sz w:val="24"/>
          <w:szCs w:val="24"/>
          <w:lang w:eastAsia="es-GT"/>
        </w:rPr>
        <w:t>;</w:t>
      </w:r>
      <w:r>
        <w:rPr>
          <w:rFonts w:ascii="Helvetica" w:eastAsia="Candara" w:hAnsi="Helvetica" w:cs="Helvetica"/>
          <w:iCs/>
          <w:sz w:val="24"/>
          <w:szCs w:val="24"/>
          <w:lang w:eastAsia="es-GT"/>
        </w:rPr>
        <w:t xml:space="preserve"> </w:t>
      </w:r>
      <w:r w:rsidRPr="000F7857">
        <w:rPr>
          <w:rFonts w:ascii="Helvetica" w:eastAsia="Candara" w:hAnsi="Helvetica" w:cs="Helvetica"/>
          <w:iCs/>
          <w:sz w:val="24"/>
          <w:szCs w:val="24"/>
          <w:lang w:eastAsia="es-GT"/>
        </w:rPr>
        <w:t>Federación Deportiva Nacional de Tiro Deportivo</w:t>
      </w:r>
      <w:r>
        <w:rPr>
          <w:rFonts w:ascii="Helvetica" w:eastAsia="Candara" w:hAnsi="Helvetica" w:cs="Helvetica"/>
          <w:iCs/>
          <w:sz w:val="24"/>
          <w:szCs w:val="24"/>
          <w:lang w:eastAsia="es-GT"/>
        </w:rPr>
        <w:t xml:space="preserve"> con 46.58%, </w:t>
      </w:r>
      <w:r w:rsidRPr="000F7857">
        <w:rPr>
          <w:rFonts w:ascii="Helvetica" w:eastAsia="Candara" w:hAnsi="Helvetica" w:cs="Helvetica"/>
          <w:iCs/>
          <w:sz w:val="24"/>
          <w:szCs w:val="24"/>
          <w:lang w:eastAsia="es-GT"/>
        </w:rPr>
        <w:t>Federación Deportiva Nacional de Voleibol</w:t>
      </w:r>
      <w:r>
        <w:rPr>
          <w:rFonts w:ascii="Helvetica" w:eastAsia="Candara" w:hAnsi="Helvetica" w:cs="Helvetica"/>
          <w:iCs/>
          <w:sz w:val="24"/>
          <w:szCs w:val="24"/>
          <w:lang w:eastAsia="es-GT"/>
        </w:rPr>
        <w:t xml:space="preserve"> con 50.95% y la </w:t>
      </w:r>
      <w:r w:rsidRPr="000F7857">
        <w:rPr>
          <w:rFonts w:ascii="Helvetica" w:eastAsia="Candara" w:hAnsi="Helvetica" w:cs="Helvetica"/>
          <w:iCs/>
          <w:sz w:val="24"/>
          <w:szCs w:val="24"/>
          <w:lang w:eastAsia="es-GT"/>
        </w:rPr>
        <w:t>Federación Deportiva Nacional de Triatlón</w:t>
      </w:r>
      <w:r>
        <w:rPr>
          <w:rFonts w:ascii="Helvetica" w:eastAsia="Candara" w:hAnsi="Helvetica" w:cs="Helvetica"/>
          <w:iCs/>
          <w:sz w:val="24"/>
          <w:szCs w:val="24"/>
          <w:lang w:eastAsia="es-GT"/>
        </w:rPr>
        <w:t xml:space="preserve"> con 55.90% de ejecución.</w:t>
      </w:r>
    </w:p>
    <w:p w14:paraId="5429CBAC" w14:textId="77777777" w:rsidR="00A87EEB" w:rsidRPr="00F759B2" w:rsidRDefault="00A87EEB" w:rsidP="00A87EEB">
      <w:pPr>
        <w:pStyle w:val="Prrafodelista"/>
        <w:rPr>
          <w:rFonts w:ascii="Helvetica" w:hAnsi="Helvetica" w:cs="Helvetica"/>
          <w:sz w:val="24"/>
          <w:szCs w:val="24"/>
        </w:rPr>
      </w:pPr>
    </w:p>
    <w:p w14:paraId="627757AE" w14:textId="4056A511" w:rsidR="00A87EEB" w:rsidRDefault="00A87EEB" w:rsidP="00A87EEB">
      <w:pPr>
        <w:pStyle w:val="Prrafodelista"/>
        <w:numPr>
          <w:ilvl w:val="0"/>
          <w:numId w:val="21"/>
        </w:numPr>
        <w:jc w:val="both"/>
        <w:rPr>
          <w:rFonts w:ascii="Helvetica" w:eastAsia="Candara" w:hAnsi="Helvetica" w:cs="Helvetica"/>
          <w:iCs/>
          <w:sz w:val="24"/>
          <w:szCs w:val="24"/>
          <w:lang w:eastAsia="es-GT"/>
        </w:rPr>
      </w:pPr>
      <w:r w:rsidRPr="008B34B5">
        <w:rPr>
          <w:rFonts w:ascii="Helvetica" w:eastAsia="Candara" w:hAnsi="Helvetica" w:cs="Helvetica"/>
          <w:iCs/>
          <w:sz w:val="24"/>
          <w:szCs w:val="24"/>
          <w:u w:val="single"/>
          <w:lang w:eastAsia="es-GT"/>
        </w:rPr>
        <w:t>Reprogramaciones financieras:</w:t>
      </w:r>
      <w:r>
        <w:rPr>
          <w:rFonts w:ascii="Helvetica" w:eastAsia="Candara" w:hAnsi="Helvetica" w:cs="Helvetica"/>
          <w:iCs/>
          <w:sz w:val="24"/>
          <w:szCs w:val="24"/>
          <w:lang w:eastAsia="es-GT"/>
        </w:rPr>
        <w:t xml:space="preserve"> las modificaciones presupuestarias realizadas por las federaciones deportivas </w:t>
      </w:r>
      <w:r w:rsidR="00EE284B">
        <w:rPr>
          <w:rFonts w:ascii="Helvetica" w:eastAsia="Candara" w:hAnsi="Helvetica" w:cs="Helvetica"/>
          <w:iCs/>
          <w:sz w:val="24"/>
          <w:szCs w:val="24"/>
          <w:lang w:eastAsia="es-GT"/>
        </w:rPr>
        <w:t>provocaron</w:t>
      </w:r>
      <w:r>
        <w:rPr>
          <w:rFonts w:ascii="Helvetica" w:eastAsia="Candara" w:hAnsi="Helvetica" w:cs="Helvetica"/>
          <w:iCs/>
          <w:sz w:val="24"/>
          <w:szCs w:val="24"/>
          <w:lang w:eastAsia="es-GT"/>
        </w:rPr>
        <w:t xml:space="preserve"> que se reprogramaran las metas financieras para disminuir o aumentar el presupuesto asignado inicialmente. Por lo tanto, esto afecta de manera positiva o negativa el desempeño en la ejecución financiera según las capacidades institucionales. </w:t>
      </w:r>
    </w:p>
    <w:p w14:paraId="22134AAF" w14:textId="77777777" w:rsidR="00BF1125" w:rsidRPr="00BF1125" w:rsidRDefault="00BF1125" w:rsidP="00BF1125">
      <w:pPr>
        <w:pStyle w:val="Prrafodelista"/>
        <w:rPr>
          <w:rFonts w:ascii="Helvetica" w:eastAsia="Candara" w:hAnsi="Helvetica" w:cs="Helvetica"/>
          <w:iCs/>
          <w:sz w:val="24"/>
          <w:szCs w:val="24"/>
          <w:lang w:eastAsia="es-GT"/>
        </w:rPr>
      </w:pPr>
    </w:p>
    <w:p w14:paraId="14CD7B32" w14:textId="1B472B7A" w:rsidR="00A87EEB" w:rsidRDefault="00A87EEB" w:rsidP="00A87EEB">
      <w:pPr>
        <w:pStyle w:val="Prrafodelista"/>
        <w:spacing w:before="120" w:after="120" w:line="240" w:lineRule="auto"/>
        <w:contextualSpacing w:val="0"/>
        <w:jc w:val="both"/>
        <w:rPr>
          <w:rFonts w:ascii="Helvetica" w:eastAsia="Candara" w:hAnsi="Helvetica" w:cs="Helvetica"/>
          <w:iCs/>
          <w:sz w:val="24"/>
          <w:szCs w:val="24"/>
          <w:lang w:eastAsia="es-GT"/>
        </w:rPr>
      </w:pPr>
      <w:r>
        <w:rPr>
          <w:rFonts w:ascii="Helvetica" w:eastAsia="Candara" w:hAnsi="Helvetica" w:cs="Helvetica"/>
          <w:iCs/>
          <w:sz w:val="24"/>
          <w:szCs w:val="24"/>
          <w:lang w:eastAsia="es-GT"/>
        </w:rPr>
        <w:t xml:space="preserve">Según SICOIN, 15 federaciones reportaron modificaciones presupuestarias, de las cuales, 11 incrementaron el presupuesto. Las 4 federaciones que disminuyeron su presupuesto fueron la </w:t>
      </w:r>
      <w:r w:rsidRPr="00E1285A">
        <w:rPr>
          <w:rFonts w:ascii="Helvetica" w:eastAsia="Candara" w:hAnsi="Helvetica" w:cs="Helvetica"/>
          <w:iCs/>
          <w:sz w:val="24"/>
          <w:szCs w:val="24"/>
          <w:lang w:eastAsia="es-GT"/>
        </w:rPr>
        <w:t>Federación Deportiva Nacional de Futbol</w:t>
      </w:r>
      <w:r>
        <w:rPr>
          <w:rFonts w:ascii="Helvetica" w:eastAsia="Candara" w:hAnsi="Helvetica" w:cs="Helvetica"/>
          <w:iCs/>
          <w:sz w:val="24"/>
          <w:szCs w:val="24"/>
          <w:lang w:eastAsia="es-GT"/>
        </w:rPr>
        <w:t xml:space="preserve"> con Q.</w:t>
      </w:r>
      <w:r w:rsidRPr="00E1285A">
        <w:t xml:space="preserve"> </w:t>
      </w:r>
      <w:r w:rsidRPr="00E1285A">
        <w:rPr>
          <w:rFonts w:ascii="Helvetica" w:eastAsia="Candara" w:hAnsi="Helvetica" w:cs="Helvetica"/>
          <w:iCs/>
          <w:sz w:val="24"/>
          <w:szCs w:val="24"/>
          <w:lang w:eastAsia="es-GT"/>
        </w:rPr>
        <w:t>23,500,000</w:t>
      </w:r>
      <w:r w:rsidR="00EE284B">
        <w:rPr>
          <w:rFonts w:ascii="Helvetica" w:eastAsia="Candara" w:hAnsi="Helvetica" w:cs="Helvetica"/>
          <w:iCs/>
          <w:sz w:val="24"/>
          <w:szCs w:val="24"/>
          <w:lang w:eastAsia="es-GT"/>
        </w:rPr>
        <w:t>;</w:t>
      </w:r>
      <w:r>
        <w:rPr>
          <w:rFonts w:ascii="Helvetica" w:eastAsia="Candara" w:hAnsi="Helvetica" w:cs="Helvetica"/>
          <w:iCs/>
          <w:sz w:val="24"/>
          <w:szCs w:val="24"/>
          <w:lang w:eastAsia="es-GT"/>
        </w:rPr>
        <w:t xml:space="preserve"> seguido de la </w:t>
      </w:r>
      <w:r w:rsidRPr="00E1285A">
        <w:rPr>
          <w:rFonts w:ascii="Helvetica" w:eastAsia="Candara" w:hAnsi="Helvetica" w:cs="Helvetica"/>
          <w:iCs/>
          <w:sz w:val="24"/>
          <w:szCs w:val="24"/>
          <w:lang w:eastAsia="es-GT"/>
        </w:rPr>
        <w:t>Federación Deportiva Nacional de Boliche</w:t>
      </w:r>
      <w:r>
        <w:rPr>
          <w:rFonts w:ascii="Helvetica" w:eastAsia="Candara" w:hAnsi="Helvetica" w:cs="Helvetica"/>
          <w:iCs/>
          <w:sz w:val="24"/>
          <w:szCs w:val="24"/>
          <w:lang w:eastAsia="es-GT"/>
        </w:rPr>
        <w:t xml:space="preserve"> con Q.</w:t>
      </w:r>
      <w:r w:rsidRPr="00E1285A">
        <w:t xml:space="preserve"> </w:t>
      </w:r>
      <w:r w:rsidRPr="00E1285A">
        <w:rPr>
          <w:rFonts w:ascii="Helvetica" w:eastAsia="Candara" w:hAnsi="Helvetica" w:cs="Helvetica"/>
          <w:iCs/>
          <w:sz w:val="24"/>
          <w:szCs w:val="24"/>
          <w:lang w:eastAsia="es-GT"/>
        </w:rPr>
        <w:t>1,440,211.60</w:t>
      </w:r>
      <w:r w:rsidR="00EE284B">
        <w:rPr>
          <w:rFonts w:ascii="Helvetica" w:eastAsia="Candara" w:hAnsi="Helvetica" w:cs="Helvetica"/>
          <w:iCs/>
          <w:sz w:val="24"/>
          <w:szCs w:val="24"/>
          <w:lang w:eastAsia="es-GT"/>
        </w:rPr>
        <w:t>;</w:t>
      </w:r>
      <w:r>
        <w:rPr>
          <w:rFonts w:ascii="Helvetica" w:eastAsia="Candara" w:hAnsi="Helvetica" w:cs="Helvetica"/>
          <w:iCs/>
          <w:sz w:val="24"/>
          <w:szCs w:val="24"/>
          <w:lang w:eastAsia="es-GT"/>
        </w:rPr>
        <w:t xml:space="preserve"> </w:t>
      </w:r>
      <w:r w:rsidRPr="00E1285A">
        <w:rPr>
          <w:rFonts w:ascii="Helvetica" w:eastAsia="Candara" w:hAnsi="Helvetica" w:cs="Helvetica"/>
          <w:iCs/>
          <w:sz w:val="24"/>
          <w:szCs w:val="24"/>
          <w:lang w:eastAsia="es-GT"/>
        </w:rPr>
        <w:t>Federación Deportiva Nacional de Boxeo</w:t>
      </w:r>
      <w:r>
        <w:rPr>
          <w:rFonts w:ascii="Helvetica" w:eastAsia="Candara" w:hAnsi="Helvetica" w:cs="Helvetica"/>
          <w:iCs/>
          <w:sz w:val="24"/>
          <w:szCs w:val="24"/>
          <w:lang w:eastAsia="es-GT"/>
        </w:rPr>
        <w:t xml:space="preserve"> con Q.</w:t>
      </w:r>
      <w:r w:rsidRPr="00E1285A">
        <w:t xml:space="preserve"> </w:t>
      </w:r>
      <w:r w:rsidRPr="00E1285A">
        <w:rPr>
          <w:rFonts w:ascii="Helvetica" w:eastAsia="Candara" w:hAnsi="Helvetica" w:cs="Helvetica"/>
          <w:iCs/>
          <w:sz w:val="24"/>
          <w:szCs w:val="24"/>
          <w:lang w:eastAsia="es-GT"/>
        </w:rPr>
        <w:t>1,016,860.02</w:t>
      </w:r>
      <w:r>
        <w:rPr>
          <w:rFonts w:ascii="Helvetica" w:eastAsia="Candara" w:hAnsi="Helvetica" w:cs="Helvetica"/>
          <w:iCs/>
          <w:sz w:val="24"/>
          <w:szCs w:val="24"/>
          <w:lang w:eastAsia="es-GT"/>
        </w:rPr>
        <w:t xml:space="preserve"> y la </w:t>
      </w:r>
      <w:r w:rsidRPr="00E1285A">
        <w:rPr>
          <w:rFonts w:ascii="Helvetica" w:eastAsia="Candara" w:hAnsi="Helvetica" w:cs="Helvetica"/>
          <w:iCs/>
          <w:sz w:val="24"/>
          <w:szCs w:val="24"/>
          <w:lang w:eastAsia="es-GT"/>
        </w:rPr>
        <w:t>Federación Deportiva Nacional de Motociclismo</w:t>
      </w:r>
      <w:r>
        <w:rPr>
          <w:rFonts w:ascii="Helvetica" w:eastAsia="Candara" w:hAnsi="Helvetica" w:cs="Helvetica"/>
          <w:iCs/>
          <w:sz w:val="24"/>
          <w:szCs w:val="24"/>
          <w:lang w:eastAsia="es-GT"/>
        </w:rPr>
        <w:t xml:space="preserve"> con Q.</w:t>
      </w:r>
      <w:r w:rsidRPr="00E1285A">
        <w:t xml:space="preserve"> </w:t>
      </w:r>
      <w:r w:rsidRPr="00E1285A">
        <w:rPr>
          <w:rFonts w:ascii="Helvetica" w:eastAsia="Candara" w:hAnsi="Helvetica" w:cs="Helvetica"/>
          <w:iCs/>
          <w:sz w:val="24"/>
          <w:szCs w:val="24"/>
          <w:lang w:eastAsia="es-GT"/>
        </w:rPr>
        <w:t>755,709.31</w:t>
      </w:r>
      <w:r>
        <w:rPr>
          <w:rFonts w:ascii="Helvetica" w:eastAsia="Candara" w:hAnsi="Helvetica" w:cs="Helvetica"/>
          <w:iCs/>
          <w:sz w:val="24"/>
          <w:szCs w:val="24"/>
          <w:lang w:eastAsia="es-GT"/>
        </w:rPr>
        <w:t>.</w:t>
      </w:r>
    </w:p>
    <w:p w14:paraId="29FBFB8A" w14:textId="2987B2EB" w:rsidR="00A87EEB" w:rsidRDefault="00A87EEB" w:rsidP="00A87EEB">
      <w:pPr>
        <w:ind w:left="708"/>
        <w:jc w:val="both"/>
        <w:rPr>
          <w:rFonts w:ascii="Helvetica" w:eastAsia="Candara" w:hAnsi="Helvetica" w:cs="Helvetica"/>
          <w:iCs/>
          <w:sz w:val="24"/>
          <w:szCs w:val="24"/>
          <w:lang w:eastAsia="es-GT"/>
        </w:rPr>
      </w:pPr>
      <w:r>
        <w:rPr>
          <w:rFonts w:ascii="Helvetica" w:eastAsia="Candara" w:hAnsi="Helvetica" w:cs="Helvetica"/>
          <w:iCs/>
          <w:sz w:val="24"/>
          <w:szCs w:val="24"/>
          <w:lang w:eastAsia="es-GT"/>
        </w:rPr>
        <w:t xml:space="preserve">Las 5 federaciones con mayor incremento en el presupuesto asignado o inicial fueron: la </w:t>
      </w:r>
      <w:r w:rsidRPr="00D317B1">
        <w:rPr>
          <w:rFonts w:ascii="Helvetica" w:eastAsia="Candara" w:hAnsi="Helvetica" w:cs="Helvetica"/>
          <w:iCs/>
          <w:sz w:val="24"/>
          <w:szCs w:val="24"/>
          <w:lang w:eastAsia="es-GT"/>
        </w:rPr>
        <w:t>Federación Deportiva Nacional de Esgrima</w:t>
      </w:r>
      <w:r>
        <w:rPr>
          <w:rFonts w:ascii="Helvetica" w:eastAsia="Candara" w:hAnsi="Helvetica" w:cs="Helvetica"/>
          <w:iCs/>
          <w:sz w:val="24"/>
          <w:szCs w:val="24"/>
          <w:lang w:eastAsia="es-GT"/>
        </w:rPr>
        <w:t xml:space="preserve"> con Q.</w:t>
      </w:r>
      <w:r w:rsidRPr="00D317B1">
        <w:t xml:space="preserve"> </w:t>
      </w:r>
      <w:r w:rsidRPr="00D317B1">
        <w:rPr>
          <w:rFonts w:ascii="Helvetica" w:eastAsia="Candara" w:hAnsi="Helvetica" w:cs="Helvetica"/>
          <w:iCs/>
          <w:sz w:val="24"/>
          <w:szCs w:val="24"/>
          <w:lang w:eastAsia="es-GT"/>
        </w:rPr>
        <w:t>3,329,005.59</w:t>
      </w:r>
      <w:r w:rsidR="00EE284B">
        <w:rPr>
          <w:rFonts w:ascii="Helvetica" w:eastAsia="Candara" w:hAnsi="Helvetica" w:cs="Helvetica"/>
          <w:iCs/>
          <w:sz w:val="24"/>
          <w:szCs w:val="24"/>
          <w:lang w:eastAsia="es-GT"/>
        </w:rPr>
        <w:t>;</w:t>
      </w:r>
      <w:r>
        <w:rPr>
          <w:rFonts w:ascii="Helvetica" w:eastAsia="Candara" w:hAnsi="Helvetica" w:cs="Helvetica"/>
          <w:iCs/>
          <w:sz w:val="24"/>
          <w:szCs w:val="24"/>
          <w:lang w:eastAsia="es-GT"/>
        </w:rPr>
        <w:t xml:space="preserve"> seguido de la </w:t>
      </w:r>
      <w:r w:rsidRPr="00D317B1">
        <w:rPr>
          <w:rFonts w:ascii="Helvetica" w:eastAsia="Candara" w:hAnsi="Helvetica" w:cs="Helvetica"/>
          <w:iCs/>
          <w:sz w:val="24"/>
          <w:szCs w:val="24"/>
          <w:lang w:eastAsia="es-GT"/>
        </w:rPr>
        <w:t>Federación Deportiva Nacional de Ciclismo</w:t>
      </w:r>
      <w:r>
        <w:rPr>
          <w:rFonts w:ascii="Helvetica" w:eastAsia="Candara" w:hAnsi="Helvetica" w:cs="Helvetica"/>
          <w:iCs/>
          <w:sz w:val="24"/>
          <w:szCs w:val="24"/>
          <w:lang w:eastAsia="es-GT"/>
        </w:rPr>
        <w:t xml:space="preserve"> con Q.</w:t>
      </w:r>
      <w:r w:rsidRPr="00D317B1">
        <w:t xml:space="preserve"> </w:t>
      </w:r>
      <w:r w:rsidRPr="00D317B1">
        <w:rPr>
          <w:rFonts w:ascii="Helvetica" w:eastAsia="Candara" w:hAnsi="Helvetica" w:cs="Helvetica"/>
          <w:iCs/>
          <w:sz w:val="24"/>
          <w:szCs w:val="24"/>
          <w:lang w:eastAsia="es-GT"/>
        </w:rPr>
        <w:t>2,352,921</w:t>
      </w:r>
      <w:r w:rsidR="00EE284B">
        <w:rPr>
          <w:rFonts w:ascii="Helvetica" w:eastAsia="Candara" w:hAnsi="Helvetica" w:cs="Helvetica"/>
          <w:iCs/>
          <w:sz w:val="24"/>
          <w:szCs w:val="24"/>
          <w:lang w:eastAsia="es-GT"/>
        </w:rPr>
        <w:t>;</w:t>
      </w:r>
      <w:r>
        <w:rPr>
          <w:rFonts w:ascii="Helvetica" w:eastAsia="Candara" w:hAnsi="Helvetica" w:cs="Helvetica"/>
          <w:iCs/>
          <w:sz w:val="24"/>
          <w:szCs w:val="24"/>
          <w:lang w:eastAsia="es-GT"/>
        </w:rPr>
        <w:t xml:space="preserve"> </w:t>
      </w:r>
      <w:r w:rsidRPr="00D317B1">
        <w:rPr>
          <w:rFonts w:ascii="Helvetica" w:eastAsia="Candara" w:hAnsi="Helvetica" w:cs="Helvetica"/>
          <w:iCs/>
          <w:sz w:val="24"/>
          <w:szCs w:val="24"/>
          <w:lang w:eastAsia="es-GT"/>
        </w:rPr>
        <w:t>Federación Deportiva Nacional de Triatlón</w:t>
      </w:r>
      <w:r>
        <w:rPr>
          <w:rFonts w:ascii="Helvetica" w:eastAsia="Candara" w:hAnsi="Helvetica" w:cs="Helvetica"/>
          <w:iCs/>
          <w:sz w:val="24"/>
          <w:szCs w:val="24"/>
          <w:lang w:eastAsia="es-GT"/>
        </w:rPr>
        <w:t xml:space="preserve"> con Q.</w:t>
      </w:r>
      <w:r w:rsidRPr="00D317B1">
        <w:t xml:space="preserve"> </w:t>
      </w:r>
      <w:r w:rsidRPr="00D317B1">
        <w:rPr>
          <w:rFonts w:ascii="Helvetica" w:eastAsia="Candara" w:hAnsi="Helvetica" w:cs="Helvetica"/>
          <w:iCs/>
          <w:sz w:val="24"/>
          <w:szCs w:val="24"/>
          <w:lang w:eastAsia="es-GT"/>
        </w:rPr>
        <w:t>986,852.49</w:t>
      </w:r>
      <w:r w:rsidR="00EE284B">
        <w:rPr>
          <w:rFonts w:ascii="Helvetica" w:eastAsia="Candara" w:hAnsi="Helvetica" w:cs="Helvetica"/>
          <w:iCs/>
          <w:sz w:val="24"/>
          <w:szCs w:val="24"/>
          <w:lang w:eastAsia="es-GT"/>
        </w:rPr>
        <w:t>;</w:t>
      </w:r>
      <w:r>
        <w:rPr>
          <w:rFonts w:ascii="Helvetica" w:eastAsia="Candara" w:hAnsi="Helvetica" w:cs="Helvetica"/>
          <w:iCs/>
          <w:sz w:val="24"/>
          <w:szCs w:val="24"/>
          <w:lang w:eastAsia="es-GT"/>
        </w:rPr>
        <w:t xml:space="preserve"> </w:t>
      </w:r>
      <w:r w:rsidRPr="00D317B1">
        <w:rPr>
          <w:rFonts w:ascii="Helvetica" w:eastAsia="Candara" w:hAnsi="Helvetica" w:cs="Helvetica"/>
          <w:iCs/>
          <w:sz w:val="24"/>
          <w:szCs w:val="24"/>
          <w:lang w:eastAsia="es-GT"/>
        </w:rPr>
        <w:t>Federación Deportiva Nacional de Tae Kwon Do</w:t>
      </w:r>
      <w:r>
        <w:rPr>
          <w:rFonts w:ascii="Helvetica" w:eastAsia="Candara" w:hAnsi="Helvetica" w:cs="Helvetica"/>
          <w:iCs/>
          <w:sz w:val="24"/>
          <w:szCs w:val="24"/>
          <w:lang w:eastAsia="es-GT"/>
        </w:rPr>
        <w:t xml:space="preserve"> con Q.</w:t>
      </w:r>
      <w:r w:rsidRPr="00D317B1">
        <w:t xml:space="preserve"> </w:t>
      </w:r>
      <w:r w:rsidRPr="00D317B1">
        <w:rPr>
          <w:rFonts w:ascii="Helvetica" w:eastAsia="Candara" w:hAnsi="Helvetica" w:cs="Helvetica"/>
          <w:iCs/>
          <w:sz w:val="24"/>
          <w:szCs w:val="24"/>
          <w:lang w:eastAsia="es-GT"/>
        </w:rPr>
        <w:t>655,724.64</w:t>
      </w:r>
      <w:r>
        <w:rPr>
          <w:rFonts w:ascii="Helvetica" w:eastAsia="Candara" w:hAnsi="Helvetica" w:cs="Helvetica"/>
          <w:iCs/>
          <w:sz w:val="24"/>
          <w:szCs w:val="24"/>
          <w:lang w:eastAsia="es-GT"/>
        </w:rPr>
        <w:t xml:space="preserve"> y la </w:t>
      </w:r>
      <w:r w:rsidRPr="00D317B1">
        <w:rPr>
          <w:rFonts w:ascii="Helvetica" w:eastAsia="Candara" w:hAnsi="Helvetica" w:cs="Helvetica"/>
          <w:iCs/>
          <w:sz w:val="24"/>
          <w:szCs w:val="24"/>
          <w:lang w:eastAsia="es-GT"/>
        </w:rPr>
        <w:t>Federación Deportiva Nacional de Atletismo</w:t>
      </w:r>
      <w:r>
        <w:rPr>
          <w:rFonts w:ascii="Helvetica" w:eastAsia="Candara" w:hAnsi="Helvetica" w:cs="Helvetica"/>
          <w:iCs/>
          <w:sz w:val="24"/>
          <w:szCs w:val="24"/>
          <w:lang w:eastAsia="es-GT"/>
        </w:rPr>
        <w:t xml:space="preserve"> con Q.</w:t>
      </w:r>
      <w:r w:rsidRPr="00D317B1">
        <w:t xml:space="preserve"> </w:t>
      </w:r>
      <w:r w:rsidRPr="00D317B1">
        <w:rPr>
          <w:rFonts w:ascii="Helvetica" w:eastAsia="Candara" w:hAnsi="Helvetica" w:cs="Helvetica"/>
          <w:iCs/>
          <w:sz w:val="24"/>
          <w:szCs w:val="24"/>
          <w:lang w:eastAsia="es-GT"/>
        </w:rPr>
        <w:t>524,056.00</w:t>
      </w:r>
      <w:r>
        <w:rPr>
          <w:rFonts w:ascii="Helvetica" w:eastAsia="Candara" w:hAnsi="Helvetica" w:cs="Helvetica"/>
          <w:iCs/>
          <w:sz w:val="24"/>
          <w:szCs w:val="24"/>
          <w:lang w:eastAsia="es-GT"/>
        </w:rPr>
        <w:t>.</w:t>
      </w:r>
    </w:p>
    <w:p w14:paraId="42EDB6D2" w14:textId="5D59DACF" w:rsidR="00A87EEB" w:rsidRDefault="00A87EEB" w:rsidP="00A87EEB">
      <w:pPr>
        <w:spacing w:after="0" w:line="240" w:lineRule="auto"/>
        <w:jc w:val="both"/>
        <w:rPr>
          <w:rFonts w:ascii="Helvetica" w:eastAsia="Candara" w:hAnsi="Helvetica" w:cs="Helvetica"/>
          <w:iCs/>
          <w:sz w:val="24"/>
          <w:szCs w:val="24"/>
          <w:lang w:eastAsia="es-GT"/>
        </w:rPr>
      </w:pPr>
      <w:r w:rsidRPr="00A92D64">
        <w:rPr>
          <w:rFonts w:ascii="Helvetica" w:eastAsia="Candara" w:hAnsi="Helvetica" w:cs="Helvetica"/>
          <w:iCs/>
          <w:sz w:val="24"/>
          <w:szCs w:val="24"/>
          <w:lang w:eastAsia="es-GT"/>
        </w:rPr>
        <w:t>A continuación, se presentan los resultados de las asociaciones deportivas nacionales que cuentan únicamente con registros en SIPLAN:</w:t>
      </w:r>
    </w:p>
    <w:p w14:paraId="5B2C2C29" w14:textId="77777777" w:rsidR="002C61A9" w:rsidRPr="00A92D64" w:rsidRDefault="002C61A9" w:rsidP="00A87EEB">
      <w:pPr>
        <w:spacing w:after="0" w:line="240" w:lineRule="auto"/>
        <w:jc w:val="both"/>
        <w:rPr>
          <w:rFonts w:ascii="Helvetica" w:eastAsia="Candara" w:hAnsi="Helvetica" w:cs="Helvetica"/>
          <w:iCs/>
          <w:sz w:val="24"/>
          <w:szCs w:val="24"/>
          <w:lang w:eastAsia="es-GT"/>
        </w:rPr>
      </w:pPr>
    </w:p>
    <w:p w14:paraId="3F43A9C1" w14:textId="2A10D7FE" w:rsidR="000B241B" w:rsidRPr="00E92111" w:rsidRDefault="002C61A9" w:rsidP="00016865">
      <w:pPr>
        <w:pStyle w:val="ttulosgrficas"/>
        <w:rPr>
          <w:b w:val="0"/>
          <w:lang w:eastAsia="es-GT"/>
        </w:rPr>
      </w:pPr>
      <w:bookmarkStart w:id="37" w:name="_Toc67589120"/>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7</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w:t>
      </w:r>
      <w:r w:rsidR="00E92111" w:rsidRPr="00016865">
        <w:rPr>
          <w:rFonts w:eastAsia="Times New Roman"/>
          <w:color w:val="4472C4" w:themeColor="accent1"/>
          <w:lang w:val="es-ES"/>
        </w:rPr>
        <w:t xml:space="preserve"> </w:t>
      </w:r>
      <w:r w:rsidR="00A87EEB" w:rsidRPr="00016865">
        <w:rPr>
          <w:rFonts w:eastAsia="Times New Roman"/>
          <w:color w:val="4472C4" w:themeColor="accent1"/>
          <w:lang w:val="es-ES"/>
        </w:rPr>
        <w:t>Ejecución financiera</w:t>
      </w:r>
      <w:r w:rsidR="00E47805" w:rsidRPr="00016865">
        <w:rPr>
          <w:rFonts w:eastAsia="Times New Roman"/>
          <w:color w:val="4472C4" w:themeColor="accent1"/>
          <w:lang w:val="es-ES"/>
        </w:rPr>
        <w:t xml:space="preserve"> </w:t>
      </w:r>
      <w:r w:rsidR="00A87EEB" w:rsidRPr="00016865">
        <w:rPr>
          <w:rFonts w:eastAsia="Times New Roman"/>
          <w:color w:val="4472C4" w:themeColor="accent1"/>
          <w:lang w:val="es-ES"/>
        </w:rPr>
        <w:t>Asociaciones Deportivas Nacionales</w:t>
      </w:r>
      <w:r w:rsidR="00E47805" w:rsidRPr="00016865">
        <w:rPr>
          <w:rFonts w:eastAsia="Times New Roman"/>
          <w:color w:val="4472C4" w:themeColor="accent1"/>
          <w:lang w:val="es-ES"/>
        </w:rPr>
        <w:t xml:space="preserve"> 2020</w:t>
      </w:r>
      <w:r w:rsidR="000B241B" w:rsidRPr="00E92111">
        <w:rPr>
          <w:b w:val="0"/>
          <w:noProof/>
          <w:lang w:eastAsia="es-GT"/>
        </w:rPr>
        <w:drawing>
          <wp:anchor distT="0" distB="0" distL="114300" distR="114300" simplePos="0" relativeHeight="251660288" behindDoc="0" locked="0" layoutInCell="1" allowOverlap="1" wp14:anchorId="74D4CB46" wp14:editId="2BCFF24B">
            <wp:simplePos x="0" y="0"/>
            <wp:positionH relativeFrom="column">
              <wp:posOffset>615315</wp:posOffset>
            </wp:positionH>
            <wp:positionV relativeFrom="paragraph">
              <wp:posOffset>272415</wp:posOffset>
            </wp:positionV>
            <wp:extent cx="4735830" cy="3830320"/>
            <wp:effectExtent l="19050" t="19050" r="26670" b="1778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5830" cy="3830320"/>
                    </a:xfrm>
                    <a:prstGeom prst="rect">
                      <a:avLst/>
                    </a:prstGeom>
                    <a:noFill/>
                    <a:ln w="3175">
                      <a:solidFill>
                        <a:schemeClr val="tx1"/>
                      </a:solidFill>
                    </a:ln>
                  </pic:spPr>
                </pic:pic>
              </a:graphicData>
            </a:graphic>
          </wp:anchor>
        </w:drawing>
      </w:r>
      <w:bookmarkEnd w:id="37"/>
    </w:p>
    <w:p w14:paraId="235BD2DB" w14:textId="77777777" w:rsidR="000B241B" w:rsidRDefault="000B241B" w:rsidP="000B241B">
      <w:pPr>
        <w:spacing w:after="0" w:line="240" w:lineRule="auto"/>
        <w:rPr>
          <w:rFonts w:ascii="Candara" w:eastAsia="Candara" w:hAnsi="Candara" w:cs="Candara"/>
          <w:sz w:val="16"/>
          <w:szCs w:val="16"/>
          <w:lang w:eastAsia="es-GT"/>
        </w:rPr>
      </w:pPr>
    </w:p>
    <w:p w14:paraId="7A9C39BA" w14:textId="77777777" w:rsidR="000B241B" w:rsidRDefault="000B241B" w:rsidP="000B241B">
      <w:pPr>
        <w:spacing w:after="0" w:line="240" w:lineRule="auto"/>
        <w:rPr>
          <w:rFonts w:ascii="Candara" w:eastAsia="Candara" w:hAnsi="Candara" w:cs="Candara"/>
          <w:sz w:val="16"/>
          <w:szCs w:val="16"/>
          <w:lang w:eastAsia="es-GT"/>
        </w:rPr>
      </w:pPr>
    </w:p>
    <w:p w14:paraId="2B5707A1" w14:textId="77777777" w:rsidR="000B241B" w:rsidRDefault="000B241B" w:rsidP="000B241B">
      <w:pPr>
        <w:spacing w:after="0" w:line="240" w:lineRule="auto"/>
        <w:rPr>
          <w:rFonts w:ascii="Candara" w:eastAsia="Candara" w:hAnsi="Candara" w:cs="Candara"/>
          <w:sz w:val="16"/>
          <w:szCs w:val="16"/>
          <w:lang w:eastAsia="es-GT"/>
        </w:rPr>
      </w:pPr>
    </w:p>
    <w:p w14:paraId="7007D407" w14:textId="77777777" w:rsidR="000B241B" w:rsidRDefault="000B241B" w:rsidP="000B241B">
      <w:pPr>
        <w:spacing w:after="0" w:line="240" w:lineRule="auto"/>
        <w:rPr>
          <w:rFonts w:ascii="Candara" w:eastAsia="Candara" w:hAnsi="Candara" w:cs="Candara"/>
          <w:sz w:val="16"/>
          <w:szCs w:val="16"/>
          <w:lang w:eastAsia="es-GT"/>
        </w:rPr>
      </w:pPr>
    </w:p>
    <w:p w14:paraId="6DEEEA21" w14:textId="77777777" w:rsidR="000B241B" w:rsidRDefault="000B241B" w:rsidP="000B241B">
      <w:pPr>
        <w:spacing w:after="0" w:line="240" w:lineRule="auto"/>
        <w:rPr>
          <w:rFonts w:ascii="Candara" w:eastAsia="Candara" w:hAnsi="Candara" w:cs="Candara"/>
          <w:sz w:val="16"/>
          <w:szCs w:val="16"/>
          <w:lang w:eastAsia="es-GT"/>
        </w:rPr>
      </w:pPr>
    </w:p>
    <w:p w14:paraId="6283DD11" w14:textId="77777777" w:rsidR="000B241B" w:rsidRDefault="000B241B" w:rsidP="000B241B">
      <w:pPr>
        <w:spacing w:after="0" w:line="240" w:lineRule="auto"/>
        <w:rPr>
          <w:rFonts w:ascii="Candara" w:eastAsia="Candara" w:hAnsi="Candara" w:cs="Candara"/>
          <w:sz w:val="16"/>
          <w:szCs w:val="16"/>
          <w:lang w:eastAsia="es-GT"/>
        </w:rPr>
      </w:pPr>
    </w:p>
    <w:p w14:paraId="4FD42594" w14:textId="77777777" w:rsidR="000B241B" w:rsidRDefault="000B241B" w:rsidP="000B241B">
      <w:pPr>
        <w:spacing w:after="0" w:line="240" w:lineRule="auto"/>
        <w:rPr>
          <w:rFonts w:ascii="Candara" w:eastAsia="Candara" w:hAnsi="Candara" w:cs="Candara"/>
          <w:sz w:val="16"/>
          <w:szCs w:val="16"/>
          <w:lang w:eastAsia="es-GT"/>
        </w:rPr>
      </w:pPr>
    </w:p>
    <w:p w14:paraId="146485FB" w14:textId="77777777" w:rsidR="000B241B" w:rsidRDefault="000B241B" w:rsidP="000B241B">
      <w:pPr>
        <w:spacing w:after="0" w:line="240" w:lineRule="auto"/>
        <w:rPr>
          <w:rFonts w:ascii="Candara" w:eastAsia="Candara" w:hAnsi="Candara" w:cs="Candara"/>
          <w:sz w:val="16"/>
          <w:szCs w:val="16"/>
          <w:lang w:eastAsia="es-GT"/>
        </w:rPr>
      </w:pPr>
    </w:p>
    <w:p w14:paraId="68CC5DAB" w14:textId="77777777" w:rsidR="000B241B" w:rsidRDefault="000B241B" w:rsidP="000B241B">
      <w:pPr>
        <w:spacing w:after="0" w:line="240" w:lineRule="auto"/>
        <w:rPr>
          <w:rFonts w:ascii="Candara" w:eastAsia="Candara" w:hAnsi="Candara" w:cs="Candara"/>
          <w:sz w:val="16"/>
          <w:szCs w:val="16"/>
          <w:lang w:eastAsia="es-GT"/>
        </w:rPr>
      </w:pPr>
    </w:p>
    <w:p w14:paraId="3C2E12CC" w14:textId="77777777" w:rsidR="000B241B" w:rsidRDefault="000B241B" w:rsidP="000B241B">
      <w:pPr>
        <w:spacing w:after="0" w:line="240" w:lineRule="auto"/>
        <w:rPr>
          <w:rFonts w:ascii="Candara" w:eastAsia="Candara" w:hAnsi="Candara" w:cs="Candara"/>
          <w:sz w:val="16"/>
          <w:szCs w:val="16"/>
          <w:lang w:eastAsia="es-GT"/>
        </w:rPr>
      </w:pPr>
    </w:p>
    <w:p w14:paraId="1A80B449" w14:textId="77777777" w:rsidR="000B241B" w:rsidRDefault="000B241B" w:rsidP="000B241B">
      <w:pPr>
        <w:spacing w:after="0" w:line="240" w:lineRule="auto"/>
        <w:rPr>
          <w:rFonts w:ascii="Candara" w:eastAsia="Candara" w:hAnsi="Candara" w:cs="Candara"/>
          <w:sz w:val="16"/>
          <w:szCs w:val="16"/>
          <w:lang w:eastAsia="es-GT"/>
        </w:rPr>
      </w:pPr>
    </w:p>
    <w:p w14:paraId="186A8B17" w14:textId="77777777" w:rsidR="000B241B" w:rsidRDefault="000B241B" w:rsidP="000B241B">
      <w:pPr>
        <w:spacing w:after="0" w:line="240" w:lineRule="auto"/>
        <w:rPr>
          <w:rFonts w:ascii="Candara" w:eastAsia="Candara" w:hAnsi="Candara" w:cs="Candara"/>
          <w:sz w:val="16"/>
          <w:szCs w:val="16"/>
          <w:lang w:eastAsia="es-GT"/>
        </w:rPr>
      </w:pPr>
    </w:p>
    <w:p w14:paraId="62240AA4" w14:textId="77777777" w:rsidR="000B241B" w:rsidRDefault="000B241B" w:rsidP="000B241B">
      <w:pPr>
        <w:spacing w:after="0" w:line="240" w:lineRule="auto"/>
        <w:rPr>
          <w:rFonts w:ascii="Candara" w:eastAsia="Candara" w:hAnsi="Candara" w:cs="Candara"/>
          <w:sz w:val="16"/>
          <w:szCs w:val="16"/>
          <w:lang w:eastAsia="es-GT"/>
        </w:rPr>
      </w:pPr>
    </w:p>
    <w:p w14:paraId="260CE7FC" w14:textId="77777777" w:rsidR="000B241B" w:rsidRDefault="000B241B" w:rsidP="000B241B">
      <w:pPr>
        <w:spacing w:after="0" w:line="240" w:lineRule="auto"/>
        <w:rPr>
          <w:rFonts w:ascii="Candara" w:eastAsia="Candara" w:hAnsi="Candara" w:cs="Candara"/>
          <w:sz w:val="16"/>
          <w:szCs w:val="16"/>
          <w:lang w:eastAsia="es-GT"/>
        </w:rPr>
      </w:pPr>
    </w:p>
    <w:p w14:paraId="3BD89969" w14:textId="77777777" w:rsidR="000B241B" w:rsidRDefault="000B241B" w:rsidP="000B241B">
      <w:pPr>
        <w:spacing w:after="0" w:line="240" w:lineRule="auto"/>
        <w:rPr>
          <w:rFonts w:ascii="Candara" w:eastAsia="Candara" w:hAnsi="Candara" w:cs="Candara"/>
          <w:sz w:val="16"/>
          <w:szCs w:val="16"/>
          <w:lang w:eastAsia="es-GT"/>
        </w:rPr>
      </w:pPr>
    </w:p>
    <w:p w14:paraId="3DE90C0A" w14:textId="77777777" w:rsidR="000B241B" w:rsidRDefault="000B241B" w:rsidP="000B241B">
      <w:pPr>
        <w:spacing w:after="0" w:line="240" w:lineRule="auto"/>
        <w:rPr>
          <w:rFonts w:ascii="Candara" w:eastAsia="Candara" w:hAnsi="Candara" w:cs="Candara"/>
          <w:sz w:val="16"/>
          <w:szCs w:val="16"/>
          <w:lang w:eastAsia="es-GT"/>
        </w:rPr>
      </w:pPr>
    </w:p>
    <w:p w14:paraId="300561C0" w14:textId="77777777" w:rsidR="000B241B" w:rsidRDefault="000B241B" w:rsidP="000B241B">
      <w:pPr>
        <w:spacing w:after="0" w:line="240" w:lineRule="auto"/>
        <w:rPr>
          <w:rFonts w:ascii="Candara" w:eastAsia="Candara" w:hAnsi="Candara" w:cs="Candara"/>
          <w:sz w:val="16"/>
          <w:szCs w:val="16"/>
          <w:lang w:eastAsia="es-GT"/>
        </w:rPr>
      </w:pPr>
    </w:p>
    <w:p w14:paraId="2EB30C92" w14:textId="77777777" w:rsidR="000B241B" w:rsidRDefault="000B241B" w:rsidP="000B241B">
      <w:pPr>
        <w:spacing w:after="0" w:line="240" w:lineRule="auto"/>
        <w:rPr>
          <w:rFonts w:ascii="Candara" w:eastAsia="Candara" w:hAnsi="Candara" w:cs="Candara"/>
          <w:sz w:val="16"/>
          <w:szCs w:val="16"/>
          <w:lang w:eastAsia="es-GT"/>
        </w:rPr>
      </w:pPr>
    </w:p>
    <w:p w14:paraId="686BFA5D" w14:textId="77777777" w:rsidR="000B241B" w:rsidRDefault="000B241B" w:rsidP="000B241B">
      <w:pPr>
        <w:spacing w:after="0" w:line="240" w:lineRule="auto"/>
        <w:rPr>
          <w:rFonts w:ascii="Candara" w:eastAsia="Candara" w:hAnsi="Candara" w:cs="Candara"/>
          <w:sz w:val="16"/>
          <w:szCs w:val="16"/>
          <w:lang w:eastAsia="es-GT"/>
        </w:rPr>
      </w:pPr>
    </w:p>
    <w:p w14:paraId="29DB061B" w14:textId="77777777" w:rsidR="000B241B" w:rsidRDefault="000B241B" w:rsidP="000B241B">
      <w:pPr>
        <w:spacing w:after="0" w:line="240" w:lineRule="auto"/>
        <w:rPr>
          <w:rFonts w:ascii="Candara" w:eastAsia="Candara" w:hAnsi="Candara" w:cs="Candara"/>
          <w:sz w:val="16"/>
          <w:szCs w:val="16"/>
          <w:lang w:eastAsia="es-GT"/>
        </w:rPr>
      </w:pPr>
    </w:p>
    <w:p w14:paraId="7B87662A" w14:textId="77777777" w:rsidR="000B241B" w:rsidRDefault="000B241B" w:rsidP="000B241B">
      <w:pPr>
        <w:spacing w:after="0" w:line="240" w:lineRule="auto"/>
        <w:rPr>
          <w:rFonts w:ascii="Candara" w:eastAsia="Candara" w:hAnsi="Candara" w:cs="Candara"/>
          <w:sz w:val="16"/>
          <w:szCs w:val="16"/>
          <w:lang w:eastAsia="es-GT"/>
        </w:rPr>
      </w:pPr>
    </w:p>
    <w:p w14:paraId="5B8F593C" w14:textId="77777777" w:rsidR="000B241B" w:rsidRDefault="000B241B" w:rsidP="000B241B">
      <w:pPr>
        <w:spacing w:after="0" w:line="240" w:lineRule="auto"/>
        <w:rPr>
          <w:rFonts w:ascii="Candara" w:eastAsia="Candara" w:hAnsi="Candara" w:cs="Candara"/>
          <w:sz w:val="16"/>
          <w:szCs w:val="16"/>
          <w:lang w:eastAsia="es-GT"/>
        </w:rPr>
      </w:pPr>
    </w:p>
    <w:p w14:paraId="5045CF1E" w14:textId="77777777" w:rsidR="000B241B" w:rsidRDefault="000B241B" w:rsidP="000B241B">
      <w:pPr>
        <w:spacing w:after="0" w:line="240" w:lineRule="auto"/>
        <w:rPr>
          <w:rFonts w:ascii="Candara" w:eastAsia="Candara" w:hAnsi="Candara" w:cs="Candara"/>
          <w:sz w:val="16"/>
          <w:szCs w:val="16"/>
          <w:lang w:eastAsia="es-GT"/>
        </w:rPr>
      </w:pPr>
    </w:p>
    <w:p w14:paraId="0661F53D" w14:textId="77777777" w:rsidR="000B241B" w:rsidRDefault="000B241B" w:rsidP="000B241B">
      <w:pPr>
        <w:spacing w:after="0" w:line="240" w:lineRule="auto"/>
        <w:rPr>
          <w:rFonts w:ascii="Candara" w:eastAsia="Candara" w:hAnsi="Candara" w:cs="Candara"/>
          <w:sz w:val="16"/>
          <w:szCs w:val="16"/>
          <w:lang w:eastAsia="es-GT"/>
        </w:rPr>
      </w:pPr>
    </w:p>
    <w:p w14:paraId="5163C464" w14:textId="77777777" w:rsidR="000B241B" w:rsidRDefault="000B241B" w:rsidP="000B241B">
      <w:pPr>
        <w:spacing w:after="0" w:line="240" w:lineRule="auto"/>
        <w:rPr>
          <w:rFonts w:ascii="Candara" w:eastAsia="Candara" w:hAnsi="Candara" w:cs="Candara"/>
          <w:sz w:val="16"/>
          <w:szCs w:val="16"/>
          <w:lang w:eastAsia="es-GT"/>
        </w:rPr>
      </w:pPr>
    </w:p>
    <w:p w14:paraId="649A7BA6" w14:textId="77777777" w:rsidR="000B241B" w:rsidRDefault="000B241B" w:rsidP="000B241B">
      <w:pPr>
        <w:spacing w:after="0" w:line="240" w:lineRule="auto"/>
        <w:rPr>
          <w:rFonts w:ascii="Candara" w:eastAsia="Candara" w:hAnsi="Candara" w:cs="Candara"/>
          <w:sz w:val="16"/>
          <w:szCs w:val="16"/>
          <w:lang w:eastAsia="es-GT"/>
        </w:rPr>
      </w:pPr>
    </w:p>
    <w:p w14:paraId="62C6E7BB" w14:textId="77777777" w:rsidR="000B241B" w:rsidRDefault="000B241B" w:rsidP="000B241B">
      <w:pPr>
        <w:spacing w:after="0" w:line="240" w:lineRule="auto"/>
        <w:rPr>
          <w:rFonts w:ascii="Candara" w:eastAsia="Candara" w:hAnsi="Candara" w:cs="Candara"/>
          <w:sz w:val="16"/>
          <w:szCs w:val="16"/>
          <w:lang w:eastAsia="es-GT"/>
        </w:rPr>
      </w:pPr>
    </w:p>
    <w:p w14:paraId="4A411AB0" w14:textId="77777777" w:rsidR="000B241B" w:rsidRDefault="000B241B" w:rsidP="000B241B">
      <w:pPr>
        <w:spacing w:after="0" w:line="240" w:lineRule="auto"/>
        <w:rPr>
          <w:rFonts w:ascii="Candara" w:eastAsia="Candara" w:hAnsi="Candara" w:cs="Candara"/>
          <w:sz w:val="16"/>
          <w:szCs w:val="16"/>
          <w:lang w:eastAsia="es-GT"/>
        </w:rPr>
      </w:pPr>
    </w:p>
    <w:p w14:paraId="0DA5C92D" w14:textId="77777777" w:rsidR="000B241B" w:rsidRDefault="000B241B" w:rsidP="000B241B">
      <w:pPr>
        <w:spacing w:after="0" w:line="240" w:lineRule="auto"/>
        <w:rPr>
          <w:rFonts w:ascii="Candara" w:eastAsia="Candara" w:hAnsi="Candara" w:cs="Candara"/>
          <w:sz w:val="16"/>
          <w:szCs w:val="16"/>
          <w:lang w:eastAsia="es-GT"/>
        </w:rPr>
      </w:pPr>
    </w:p>
    <w:p w14:paraId="686704C0" w14:textId="77777777" w:rsidR="000B241B" w:rsidRDefault="000B241B" w:rsidP="000B241B">
      <w:pPr>
        <w:spacing w:after="0" w:line="240" w:lineRule="auto"/>
        <w:rPr>
          <w:rFonts w:ascii="Candara" w:eastAsia="Candara" w:hAnsi="Candara" w:cs="Candara"/>
          <w:sz w:val="16"/>
          <w:szCs w:val="16"/>
          <w:lang w:eastAsia="es-GT"/>
        </w:rPr>
      </w:pPr>
    </w:p>
    <w:p w14:paraId="2FAB94BA" w14:textId="77777777" w:rsidR="000B241B" w:rsidRDefault="000B241B" w:rsidP="000B241B">
      <w:pPr>
        <w:spacing w:after="0" w:line="240" w:lineRule="auto"/>
        <w:rPr>
          <w:rFonts w:ascii="Candara" w:eastAsia="Candara" w:hAnsi="Candara" w:cs="Candara"/>
          <w:sz w:val="16"/>
          <w:szCs w:val="16"/>
          <w:lang w:eastAsia="es-GT"/>
        </w:rPr>
      </w:pPr>
    </w:p>
    <w:p w14:paraId="096D416D" w14:textId="77777777" w:rsidR="000B241B" w:rsidRDefault="000B241B" w:rsidP="000B241B">
      <w:pPr>
        <w:spacing w:after="0" w:line="240" w:lineRule="auto"/>
        <w:rPr>
          <w:rFonts w:ascii="Candara" w:eastAsia="Candara" w:hAnsi="Candara" w:cs="Candara"/>
          <w:sz w:val="16"/>
          <w:szCs w:val="16"/>
          <w:lang w:eastAsia="es-GT"/>
        </w:rPr>
      </w:pPr>
    </w:p>
    <w:p w14:paraId="7A47AD0F" w14:textId="55E7A82D" w:rsidR="00A87EEB" w:rsidRDefault="00A87EEB" w:rsidP="000B241B">
      <w:pPr>
        <w:spacing w:after="0" w:line="240" w:lineRule="auto"/>
        <w:ind w:left="708" w:firstLine="708"/>
        <w:rPr>
          <w:rFonts w:ascii="Candara" w:eastAsia="Candara" w:hAnsi="Candara" w:cs="Candara"/>
          <w:sz w:val="16"/>
          <w:szCs w:val="16"/>
          <w:lang w:eastAsia="es-GT"/>
        </w:rPr>
      </w:pPr>
      <w:r w:rsidRPr="00505461">
        <w:rPr>
          <w:rFonts w:ascii="Candara" w:eastAsia="Candara" w:hAnsi="Candara" w:cs="Candara"/>
          <w:sz w:val="16"/>
          <w:szCs w:val="16"/>
          <w:lang w:eastAsia="es-GT"/>
        </w:rPr>
        <w:t>Fuente: Elabora</w:t>
      </w:r>
      <w:r>
        <w:rPr>
          <w:rFonts w:ascii="Candara" w:eastAsia="Candara" w:hAnsi="Candara" w:cs="Candara"/>
          <w:sz w:val="16"/>
          <w:szCs w:val="16"/>
          <w:lang w:eastAsia="es-GT"/>
        </w:rPr>
        <w:t>do por SEGEPLAN,</w:t>
      </w:r>
      <w:r w:rsidRPr="00505461">
        <w:rPr>
          <w:rFonts w:ascii="Candara" w:eastAsia="Candara" w:hAnsi="Candara" w:cs="Candara"/>
          <w:sz w:val="16"/>
          <w:szCs w:val="16"/>
          <w:lang w:eastAsia="es-GT"/>
        </w:rPr>
        <w:t xml:space="preserve"> con base a registros de</w:t>
      </w:r>
      <w:r>
        <w:rPr>
          <w:rFonts w:ascii="Candara" w:eastAsia="Candara" w:hAnsi="Candara" w:cs="Candara"/>
          <w:sz w:val="16"/>
          <w:szCs w:val="16"/>
          <w:lang w:eastAsia="es-GT"/>
        </w:rPr>
        <w:t xml:space="preserve"> </w:t>
      </w:r>
      <w:r w:rsidRPr="00505461">
        <w:rPr>
          <w:rFonts w:ascii="Candara" w:eastAsia="Candara" w:hAnsi="Candara" w:cs="Candara"/>
          <w:sz w:val="16"/>
          <w:szCs w:val="16"/>
          <w:lang w:eastAsia="es-GT"/>
        </w:rPr>
        <w:t>SIPLAN</w:t>
      </w:r>
      <w:r>
        <w:rPr>
          <w:rFonts w:ascii="Candara" w:eastAsia="Candara" w:hAnsi="Candara" w:cs="Candara"/>
          <w:sz w:val="16"/>
          <w:szCs w:val="16"/>
          <w:lang w:eastAsia="es-GT"/>
        </w:rPr>
        <w:t xml:space="preserve"> y SICOIN. Año 2020.</w:t>
      </w:r>
    </w:p>
    <w:p w14:paraId="332BB924" w14:textId="2F6A580C" w:rsidR="00EE284B" w:rsidRDefault="00EE284B" w:rsidP="000B241B">
      <w:pPr>
        <w:spacing w:after="0" w:line="240" w:lineRule="auto"/>
        <w:ind w:left="708" w:firstLine="708"/>
        <w:rPr>
          <w:rFonts w:ascii="Helvetica" w:hAnsi="Helvetica" w:cs="Helvetica"/>
          <w:sz w:val="24"/>
          <w:szCs w:val="24"/>
        </w:rPr>
      </w:pPr>
      <w:r>
        <w:rPr>
          <w:rFonts w:ascii="Candara" w:eastAsia="Candara" w:hAnsi="Candara" w:cs="Candara"/>
          <w:sz w:val="16"/>
          <w:szCs w:val="16"/>
          <w:lang w:eastAsia="es-GT"/>
        </w:rPr>
        <w:t>0</w:t>
      </w:r>
    </w:p>
    <w:p w14:paraId="486CAE52" w14:textId="0142E7B2" w:rsidR="00A87EEB" w:rsidRDefault="00A87EEB" w:rsidP="00A87EEB">
      <w:pPr>
        <w:jc w:val="both"/>
        <w:rPr>
          <w:rFonts w:ascii="Helvetica" w:eastAsia="Candara" w:hAnsi="Helvetica" w:cs="Helvetica"/>
          <w:sz w:val="24"/>
          <w:szCs w:val="24"/>
          <w:lang w:eastAsia="es-GT"/>
        </w:rPr>
      </w:pPr>
      <w:r w:rsidRPr="00CB4191">
        <w:rPr>
          <w:rFonts w:ascii="Helvetica" w:eastAsia="Candara" w:hAnsi="Helvetica" w:cs="Helvetica"/>
          <w:sz w:val="24"/>
          <w:szCs w:val="24"/>
          <w:lang w:eastAsia="es-GT"/>
        </w:rPr>
        <w:t xml:space="preserve">En </w:t>
      </w:r>
      <w:r w:rsidR="002C61A9">
        <w:rPr>
          <w:rFonts w:ascii="Helvetica" w:eastAsia="Candara" w:hAnsi="Helvetica" w:cs="Helvetica"/>
          <w:sz w:val="24"/>
          <w:szCs w:val="24"/>
          <w:lang w:eastAsia="es-GT"/>
        </w:rPr>
        <w:t>la tabla</w:t>
      </w:r>
      <w:r w:rsidRPr="00CB4191">
        <w:rPr>
          <w:rFonts w:ascii="Helvetica" w:eastAsia="Candara" w:hAnsi="Helvetica" w:cs="Helvetica"/>
          <w:sz w:val="24"/>
          <w:szCs w:val="24"/>
          <w:lang w:eastAsia="es-GT"/>
        </w:rPr>
        <w:t xml:space="preserve"> </w:t>
      </w:r>
      <w:r w:rsidR="003B0029">
        <w:rPr>
          <w:rFonts w:ascii="Helvetica" w:eastAsia="Candara" w:hAnsi="Helvetica" w:cs="Helvetica"/>
          <w:sz w:val="24"/>
          <w:szCs w:val="24"/>
          <w:lang w:eastAsia="es-GT"/>
        </w:rPr>
        <w:t>7</w:t>
      </w:r>
      <w:r w:rsidRPr="00CB4191">
        <w:rPr>
          <w:rFonts w:ascii="Helvetica" w:eastAsia="Candara" w:hAnsi="Helvetica" w:cs="Helvetica"/>
          <w:sz w:val="24"/>
          <w:szCs w:val="24"/>
          <w:lang w:eastAsia="es-GT"/>
        </w:rPr>
        <w:t>, se observa con color verde a l</w:t>
      </w:r>
      <w:r>
        <w:rPr>
          <w:rFonts w:ascii="Helvetica" w:eastAsia="Candara" w:hAnsi="Helvetica" w:cs="Helvetica"/>
          <w:sz w:val="24"/>
          <w:szCs w:val="24"/>
          <w:lang w:eastAsia="es-GT"/>
        </w:rPr>
        <w:t>as</w:t>
      </w:r>
      <w:r w:rsidRPr="00CB4191">
        <w:rPr>
          <w:rFonts w:ascii="Helvetica" w:eastAsia="Candara" w:hAnsi="Helvetica" w:cs="Helvetica"/>
          <w:sz w:val="24"/>
          <w:szCs w:val="24"/>
          <w:lang w:eastAsia="es-GT"/>
        </w:rPr>
        <w:t xml:space="preserve"> </w:t>
      </w:r>
      <w:r>
        <w:rPr>
          <w:rFonts w:ascii="Helvetica" w:eastAsia="Candara" w:hAnsi="Helvetica" w:cs="Helvetica"/>
          <w:sz w:val="24"/>
          <w:szCs w:val="24"/>
          <w:lang w:eastAsia="es-GT"/>
        </w:rPr>
        <w:t xml:space="preserve">asociaciones deportivas nacionales </w:t>
      </w:r>
      <w:r w:rsidRPr="00CB4191">
        <w:rPr>
          <w:rFonts w:ascii="Helvetica" w:eastAsia="Candara" w:hAnsi="Helvetica" w:cs="Helvetica"/>
          <w:sz w:val="24"/>
          <w:szCs w:val="24"/>
          <w:lang w:eastAsia="es-GT"/>
        </w:rPr>
        <w:t>que lograron la mayor ejecución presupuestaria y en color rojo los de menor ejecución respecto a la meta financiera vigente.</w:t>
      </w:r>
    </w:p>
    <w:p w14:paraId="1D654315" w14:textId="77777777" w:rsidR="00A87EEB" w:rsidRPr="00CB4191" w:rsidRDefault="00A87EEB" w:rsidP="00A87EEB">
      <w:pPr>
        <w:jc w:val="both"/>
        <w:rPr>
          <w:rFonts w:ascii="Helvetica" w:eastAsia="Candara" w:hAnsi="Helvetica" w:cs="Helvetica"/>
          <w:b/>
          <w:i/>
          <w:iCs/>
          <w:sz w:val="24"/>
          <w:szCs w:val="24"/>
          <w:lang w:eastAsia="es-GT"/>
        </w:rPr>
      </w:pPr>
      <w:r w:rsidRPr="00CB4191">
        <w:rPr>
          <w:rFonts w:ascii="Helvetica" w:eastAsia="Candara" w:hAnsi="Helvetica" w:cs="Helvetica"/>
          <w:bCs/>
          <w:iCs/>
          <w:sz w:val="24"/>
          <w:szCs w:val="24"/>
          <w:lang w:eastAsia="es-GT"/>
        </w:rPr>
        <w:t xml:space="preserve">Según datos de </w:t>
      </w:r>
      <w:r>
        <w:rPr>
          <w:rFonts w:ascii="Helvetica" w:eastAsia="Candara" w:hAnsi="Helvetica" w:cs="Helvetica"/>
          <w:bCs/>
          <w:iCs/>
          <w:sz w:val="24"/>
          <w:szCs w:val="24"/>
          <w:lang w:eastAsia="es-GT"/>
        </w:rPr>
        <w:t>SIPLAN</w:t>
      </w:r>
      <w:r w:rsidRPr="00CB4191">
        <w:rPr>
          <w:rFonts w:ascii="Helvetica" w:eastAsia="Candara" w:hAnsi="Helvetica" w:cs="Helvetica"/>
          <w:bCs/>
          <w:iCs/>
          <w:sz w:val="24"/>
          <w:szCs w:val="24"/>
          <w:lang w:eastAsia="es-GT"/>
        </w:rPr>
        <w:t xml:space="preserve">, se observa que el valor </w:t>
      </w:r>
      <w:r>
        <w:rPr>
          <w:rFonts w:ascii="Helvetica" w:eastAsia="Candara" w:hAnsi="Helvetica" w:cs="Helvetica"/>
          <w:bCs/>
          <w:iCs/>
          <w:sz w:val="24"/>
          <w:szCs w:val="24"/>
          <w:lang w:eastAsia="es-GT"/>
        </w:rPr>
        <w:t>máximo</w:t>
      </w:r>
      <w:r w:rsidRPr="00CB4191">
        <w:rPr>
          <w:rFonts w:ascii="Helvetica" w:eastAsia="Candara" w:hAnsi="Helvetica" w:cs="Helvetica"/>
          <w:bCs/>
          <w:iCs/>
          <w:sz w:val="24"/>
          <w:szCs w:val="24"/>
          <w:lang w:eastAsia="es-GT"/>
        </w:rPr>
        <w:t xml:space="preserve"> del porcentaje (%) de ejecución respecto a la meta financiera vigente lo alcanzó </w:t>
      </w:r>
      <w:r>
        <w:rPr>
          <w:rFonts w:ascii="Helvetica" w:eastAsia="Candara" w:hAnsi="Helvetica" w:cs="Helvetica"/>
          <w:bCs/>
          <w:iCs/>
          <w:sz w:val="24"/>
          <w:szCs w:val="24"/>
          <w:lang w:eastAsia="es-GT"/>
        </w:rPr>
        <w:t xml:space="preserve">la </w:t>
      </w:r>
      <w:r w:rsidRPr="00085A3A">
        <w:rPr>
          <w:rFonts w:ascii="Helvetica" w:eastAsia="Candara" w:hAnsi="Helvetica" w:cs="Helvetica"/>
          <w:bCs/>
          <w:iCs/>
          <w:sz w:val="24"/>
          <w:szCs w:val="24"/>
          <w:lang w:eastAsia="es-GT"/>
        </w:rPr>
        <w:t>Asociación Deportiva Nacional de Squash</w:t>
      </w:r>
      <w:r>
        <w:rPr>
          <w:rFonts w:ascii="Helvetica" w:eastAsia="Candara" w:hAnsi="Helvetica" w:cs="Helvetica"/>
          <w:bCs/>
          <w:iCs/>
          <w:sz w:val="24"/>
          <w:szCs w:val="24"/>
          <w:lang w:eastAsia="es-GT"/>
        </w:rPr>
        <w:t xml:space="preserve"> con 112.64%</w:t>
      </w:r>
      <w:r>
        <w:rPr>
          <w:rStyle w:val="Refdenotaalpie"/>
          <w:rFonts w:ascii="Helvetica" w:eastAsia="Candara" w:hAnsi="Helvetica" w:cs="Helvetica"/>
          <w:bCs/>
          <w:iCs/>
          <w:sz w:val="24"/>
          <w:szCs w:val="24"/>
          <w:lang w:eastAsia="es-GT"/>
        </w:rPr>
        <w:footnoteReference w:id="3"/>
      </w:r>
      <w:r w:rsidRPr="00CB4191">
        <w:rPr>
          <w:rFonts w:ascii="Helvetica" w:eastAsia="Candara" w:hAnsi="Helvetica" w:cs="Helvetica"/>
          <w:bCs/>
          <w:iCs/>
          <w:sz w:val="24"/>
          <w:szCs w:val="24"/>
          <w:lang w:eastAsia="es-GT"/>
        </w:rPr>
        <w:t xml:space="preserve">, mientras que el valor </w:t>
      </w:r>
      <w:r>
        <w:rPr>
          <w:rFonts w:ascii="Helvetica" w:eastAsia="Candara" w:hAnsi="Helvetica" w:cs="Helvetica"/>
          <w:bCs/>
          <w:iCs/>
          <w:sz w:val="24"/>
          <w:szCs w:val="24"/>
          <w:lang w:eastAsia="es-GT"/>
        </w:rPr>
        <w:t>mínimo</w:t>
      </w:r>
      <w:r w:rsidRPr="00CB4191">
        <w:rPr>
          <w:rFonts w:ascii="Helvetica" w:eastAsia="Candara" w:hAnsi="Helvetica" w:cs="Helvetica"/>
          <w:bCs/>
          <w:iCs/>
          <w:sz w:val="24"/>
          <w:szCs w:val="24"/>
          <w:lang w:eastAsia="es-GT"/>
        </w:rPr>
        <w:t xml:space="preserve"> lo presenta</w:t>
      </w:r>
      <w:r>
        <w:rPr>
          <w:rFonts w:ascii="Helvetica" w:eastAsia="Candara" w:hAnsi="Helvetica" w:cs="Helvetica"/>
          <w:bCs/>
          <w:iCs/>
          <w:sz w:val="24"/>
          <w:szCs w:val="24"/>
          <w:lang w:eastAsia="es-GT"/>
        </w:rPr>
        <w:t xml:space="preserve"> la</w:t>
      </w:r>
      <w:r w:rsidRPr="00CB4191">
        <w:rPr>
          <w:rFonts w:ascii="Helvetica" w:eastAsia="Candara" w:hAnsi="Helvetica" w:cs="Helvetica"/>
          <w:bCs/>
          <w:iCs/>
          <w:sz w:val="24"/>
          <w:szCs w:val="24"/>
          <w:lang w:eastAsia="es-GT"/>
        </w:rPr>
        <w:t xml:space="preserve"> </w:t>
      </w:r>
      <w:r w:rsidRPr="00085A3A">
        <w:rPr>
          <w:rFonts w:ascii="Helvetica" w:eastAsia="Candara" w:hAnsi="Helvetica" w:cs="Helvetica"/>
          <w:bCs/>
          <w:iCs/>
          <w:sz w:val="24"/>
          <w:szCs w:val="24"/>
          <w:lang w:eastAsia="es-GT"/>
        </w:rPr>
        <w:t>Asociación Deportiva Nacional de Ráquetbol</w:t>
      </w:r>
      <w:r>
        <w:rPr>
          <w:rFonts w:ascii="Helvetica" w:eastAsia="Candara" w:hAnsi="Helvetica" w:cs="Helvetica"/>
          <w:bCs/>
          <w:iCs/>
          <w:sz w:val="24"/>
          <w:szCs w:val="24"/>
          <w:lang w:eastAsia="es-GT"/>
        </w:rPr>
        <w:t xml:space="preserve"> con 64.03%. </w:t>
      </w:r>
    </w:p>
    <w:p w14:paraId="50CB30C7" w14:textId="77777777" w:rsidR="00A87EEB" w:rsidRPr="00CB4191" w:rsidRDefault="00A87EEB" w:rsidP="00A87EEB">
      <w:pPr>
        <w:jc w:val="both"/>
        <w:rPr>
          <w:rFonts w:ascii="Helvetica" w:eastAsia="Candara" w:hAnsi="Helvetica" w:cs="Helvetica"/>
          <w:bCs/>
          <w:iCs/>
          <w:sz w:val="24"/>
          <w:szCs w:val="24"/>
          <w:lang w:eastAsia="es-GT"/>
        </w:rPr>
      </w:pPr>
      <w:r w:rsidRPr="00CB4191">
        <w:rPr>
          <w:rFonts w:ascii="Helvetica" w:eastAsia="Candara" w:hAnsi="Helvetica" w:cs="Helvetica"/>
          <w:bCs/>
          <w:iCs/>
          <w:sz w:val="24"/>
          <w:szCs w:val="24"/>
          <w:lang w:eastAsia="es-GT"/>
        </w:rPr>
        <w:t xml:space="preserve">A continuación, se presentan los principales resultados de la ejecución financiera con base </w:t>
      </w:r>
      <w:r>
        <w:rPr>
          <w:rFonts w:ascii="Helvetica" w:eastAsia="Candara" w:hAnsi="Helvetica" w:cs="Helvetica"/>
          <w:bCs/>
          <w:iCs/>
          <w:sz w:val="24"/>
          <w:szCs w:val="24"/>
          <w:lang w:eastAsia="es-GT"/>
        </w:rPr>
        <w:t xml:space="preserve">a </w:t>
      </w:r>
      <w:r w:rsidRPr="00CB4191">
        <w:rPr>
          <w:rFonts w:ascii="Helvetica" w:eastAsia="Candara" w:hAnsi="Helvetica" w:cs="Helvetica"/>
          <w:bCs/>
          <w:iCs/>
          <w:sz w:val="24"/>
          <w:szCs w:val="24"/>
          <w:lang w:eastAsia="es-GT"/>
        </w:rPr>
        <w:t>S</w:t>
      </w:r>
      <w:r>
        <w:rPr>
          <w:rFonts w:ascii="Helvetica" w:eastAsia="Candara" w:hAnsi="Helvetica" w:cs="Helvetica"/>
          <w:bCs/>
          <w:iCs/>
          <w:sz w:val="24"/>
          <w:szCs w:val="24"/>
          <w:lang w:eastAsia="es-GT"/>
        </w:rPr>
        <w:t>IPLAN</w:t>
      </w:r>
      <w:r w:rsidRPr="00CB4191">
        <w:rPr>
          <w:rFonts w:ascii="Helvetica" w:eastAsia="Candara" w:hAnsi="Helvetica" w:cs="Helvetica"/>
          <w:bCs/>
          <w:iCs/>
          <w:sz w:val="24"/>
          <w:szCs w:val="24"/>
          <w:lang w:eastAsia="es-GT"/>
        </w:rPr>
        <w:t>:</w:t>
      </w:r>
    </w:p>
    <w:p w14:paraId="1E1B2C52" w14:textId="6E5710BC" w:rsidR="00A87EEB" w:rsidRPr="006D0406" w:rsidRDefault="00A87EEB" w:rsidP="00A87EEB">
      <w:pPr>
        <w:pStyle w:val="Prrafodelista"/>
        <w:numPr>
          <w:ilvl w:val="0"/>
          <w:numId w:val="24"/>
        </w:numPr>
        <w:jc w:val="both"/>
        <w:rPr>
          <w:rFonts w:ascii="Candara" w:eastAsia="Times New Roman" w:hAnsi="Candara" w:cs="Calibri"/>
          <w:sz w:val="18"/>
          <w:szCs w:val="18"/>
          <w:lang w:eastAsia="es-GT"/>
        </w:rPr>
      </w:pPr>
      <w:r w:rsidRPr="006D0406">
        <w:rPr>
          <w:rFonts w:ascii="Helvetica" w:eastAsia="Candara" w:hAnsi="Helvetica" w:cs="Helvetica"/>
          <w:i/>
          <w:iCs/>
          <w:sz w:val="24"/>
          <w:szCs w:val="24"/>
          <w:u w:val="single"/>
          <w:lang w:eastAsia="es-GT"/>
        </w:rPr>
        <w:t>Asociaciones con mayor asignación presupuestaria:</w:t>
      </w:r>
      <w:r w:rsidRPr="006D0406">
        <w:rPr>
          <w:rFonts w:ascii="Helvetica" w:eastAsia="Candara" w:hAnsi="Helvetica" w:cs="Helvetica"/>
          <w:sz w:val="24"/>
          <w:szCs w:val="24"/>
          <w:lang w:eastAsia="es-GT"/>
        </w:rPr>
        <w:t xml:space="preserve"> Las 4 asociaciones que tuvieron la mayor asignación presupuestaria en el 2020 según SIPLAN fueron:</w:t>
      </w:r>
      <w:r w:rsidRPr="006D0406">
        <w:rPr>
          <w:rFonts w:ascii="Helvetica" w:eastAsia="Candara" w:hAnsi="Helvetica" w:cs="Helvetica"/>
          <w:b/>
          <w:sz w:val="24"/>
          <w:szCs w:val="24"/>
          <w:lang w:eastAsia="es-GT"/>
        </w:rPr>
        <w:t xml:space="preserve"> </w:t>
      </w:r>
      <w:r w:rsidRPr="006D0406">
        <w:rPr>
          <w:rFonts w:ascii="Helvetica" w:eastAsia="Candara" w:hAnsi="Helvetica" w:cs="Helvetica"/>
          <w:bCs/>
          <w:sz w:val="24"/>
          <w:szCs w:val="24"/>
          <w:lang w:eastAsia="es-GT"/>
        </w:rPr>
        <w:t>la Asociación Deportiva Nacional de Navegación a Vela con la mayor asignación presupuestaria de Q.</w:t>
      </w:r>
      <w:r w:rsidRPr="00BD7C3C">
        <w:t xml:space="preserve"> </w:t>
      </w:r>
      <w:r w:rsidRPr="006D0406">
        <w:rPr>
          <w:rFonts w:ascii="Helvetica" w:eastAsia="Candara" w:hAnsi="Helvetica" w:cs="Helvetica"/>
          <w:bCs/>
          <w:sz w:val="24"/>
          <w:szCs w:val="24"/>
          <w:lang w:eastAsia="es-GT"/>
        </w:rPr>
        <w:t>6,542,089</w:t>
      </w:r>
      <w:r w:rsidR="00EE284B">
        <w:rPr>
          <w:rFonts w:ascii="Helvetica" w:eastAsia="Candara" w:hAnsi="Helvetica" w:cs="Helvetica"/>
          <w:bCs/>
          <w:sz w:val="24"/>
          <w:szCs w:val="24"/>
          <w:lang w:eastAsia="es-GT"/>
        </w:rPr>
        <w:t>;</w:t>
      </w:r>
      <w:r w:rsidRPr="006D0406">
        <w:rPr>
          <w:rFonts w:ascii="Helvetica" w:eastAsia="Candara" w:hAnsi="Helvetica" w:cs="Helvetica"/>
          <w:bCs/>
          <w:sz w:val="24"/>
          <w:szCs w:val="24"/>
          <w:lang w:eastAsia="es-GT"/>
        </w:rPr>
        <w:t xml:space="preserve"> seguida de la Asociación Deportiva Nacional de Ráquetbol con Q.</w:t>
      </w:r>
      <w:r w:rsidRPr="00BD7C3C">
        <w:t xml:space="preserve"> </w:t>
      </w:r>
      <w:r w:rsidRPr="006D0406">
        <w:rPr>
          <w:rFonts w:ascii="Helvetica" w:eastAsia="Candara" w:hAnsi="Helvetica" w:cs="Helvetica"/>
          <w:bCs/>
          <w:sz w:val="24"/>
          <w:szCs w:val="24"/>
          <w:lang w:eastAsia="es-GT"/>
        </w:rPr>
        <w:t>4,380,399</w:t>
      </w:r>
      <w:r w:rsidR="00EE284B">
        <w:rPr>
          <w:rFonts w:ascii="Helvetica" w:eastAsia="Candara" w:hAnsi="Helvetica" w:cs="Helvetica"/>
          <w:bCs/>
          <w:sz w:val="24"/>
          <w:szCs w:val="24"/>
          <w:lang w:eastAsia="es-GT"/>
        </w:rPr>
        <w:t>;</w:t>
      </w:r>
      <w:r w:rsidRPr="006D0406">
        <w:rPr>
          <w:rFonts w:ascii="Helvetica" w:eastAsia="Candara" w:hAnsi="Helvetica" w:cs="Helvetica"/>
          <w:bCs/>
          <w:sz w:val="24"/>
          <w:szCs w:val="24"/>
          <w:lang w:eastAsia="es-GT"/>
        </w:rPr>
        <w:t xml:space="preserve"> Asociación Deportiva Nacional de Squash con Q.</w:t>
      </w:r>
      <w:r w:rsidRPr="00BD7C3C">
        <w:t xml:space="preserve"> </w:t>
      </w:r>
      <w:r w:rsidRPr="006D0406">
        <w:rPr>
          <w:rFonts w:ascii="Helvetica" w:eastAsia="Candara" w:hAnsi="Helvetica" w:cs="Helvetica"/>
          <w:bCs/>
          <w:sz w:val="24"/>
          <w:szCs w:val="24"/>
          <w:lang w:eastAsia="es-GT"/>
        </w:rPr>
        <w:t>3,237,949</w:t>
      </w:r>
      <w:r w:rsidR="00EE284B">
        <w:rPr>
          <w:rFonts w:ascii="Helvetica" w:eastAsia="Candara" w:hAnsi="Helvetica" w:cs="Helvetica"/>
          <w:bCs/>
          <w:sz w:val="24"/>
          <w:szCs w:val="24"/>
          <w:lang w:eastAsia="es-GT"/>
        </w:rPr>
        <w:t>;</w:t>
      </w:r>
      <w:r w:rsidRPr="006D0406">
        <w:rPr>
          <w:rFonts w:ascii="Helvetica" w:eastAsia="Candara" w:hAnsi="Helvetica" w:cs="Helvetica"/>
          <w:bCs/>
          <w:sz w:val="24"/>
          <w:szCs w:val="24"/>
          <w:lang w:eastAsia="es-GT"/>
        </w:rPr>
        <w:t xml:space="preserve"> Asociación Deportiva de Pentatlón Moderno con Q.</w:t>
      </w:r>
      <w:r w:rsidRPr="006D0406">
        <w:rPr>
          <w:rFonts w:ascii="Candara" w:hAnsi="Candara" w:cs="Calibri"/>
          <w:sz w:val="18"/>
          <w:szCs w:val="18"/>
        </w:rPr>
        <w:t xml:space="preserve"> </w:t>
      </w:r>
      <w:r w:rsidRPr="006D0406">
        <w:rPr>
          <w:rFonts w:ascii="Helvetica" w:eastAsia="Candara" w:hAnsi="Helvetica" w:cs="Helvetica"/>
          <w:bCs/>
          <w:sz w:val="24"/>
          <w:szCs w:val="24"/>
          <w:lang w:eastAsia="es-GT"/>
        </w:rPr>
        <w:t>3,121,000 y la Asociación Deportiva Nacional de Tiro con Arma de Caza con Q.</w:t>
      </w:r>
      <w:r w:rsidRPr="006D0406">
        <w:rPr>
          <w:rFonts w:ascii="Candara" w:hAnsi="Candara" w:cs="Calibri"/>
          <w:sz w:val="18"/>
          <w:szCs w:val="18"/>
        </w:rPr>
        <w:t xml:space="preserve"> </w:t>
      </w:r>
      <w:r w:rsidRPr="006D0406">
        <w:rPr>
          <w:rFonts w:ascii="Helvetica" w:eastAsia="Candara" w:hAnsi="Helvetica" w:cs="Helvetica"/>
          <w:bCs/>
          <w:sz w:val="24"/>
          <w:szCs w:val="24"/>
          <w:lang w:eastAsia="es-GT"/>
        </w:rPr>
        <w:t>2,916,972.</w:t>
      </w:r>
    </w:p>
    <w:p w14:paraId="137FFA18" w14:textId="77777777" w:rsidR="00A87EEB" w:rsidRPr="006D0406" w:rsidRDefault="00A87EEB" w:rsidP="00A87EEB">
      <w:pPr>
        <w:pStyle w:val="Prrafodelista"/>
        <w:jc w:val="both"/>
        <w:rPr>
          <w:rFonts w:ascii="Candara" w:eastAsia="Times New Roman" w:hAnsi="Candara" w:cs="Calibri"/>
          <w:sz w:val="18"/>
          <w:szCs w:val="18"/>
          <w:lang w:eastAsia="es-GT"/>
        </w:rPr>
      </w:pPr>
    </w:p>
    <w:p w14:paraId="2FAA15F4" w14:textId="6C81066C" w:rsidR="00A87EEB" w:rsidRDefault="00A87EEB" w:rsidP="00A87EEB">
      <w:pPr>
        <w:pStyle w:val="Prrafodelista"/>
        <w:numPr>
          <w:ilvl w:val="0"/>
          <w:numId w:val="24"/>
        </w:numPr>
        <w:jc w:val="both"/>
        <w:rPr>
          <w:rFonts w:ascii="Helvetica" w:eastAsia="Candara" w:hAnsi="Helvetica" w:cs="Helvetica"/>
          <w:bCs/>
          <w:sz w:val="24"/>
          <w:szCs w:val="24"/>
          <w:lang w:eastAsia="es-GT"/>
        </w:rPr>
      </w:pPr>
      <w:r w:rsidRPr="006D0406">
        <w:rPr>
          <w:rFonts w:ascii="Helvetica" w:eastAsia="Candara" w:hAnsi="Helvetica" w:cs="Helvetica"/>
          <w:i/>
          <w:iCs/>
          <w:sz w:val="24"/>
          <w:szCs w:val="24"/>
          <w:u w:val="single"/>
          <w:lang w:eastAsia="es-GT"/>
        </w:rPr>
        <w:t>Asociaciones con mayor porcentaje de ejecución financiera:</w:t>
      </w:r>
      <w:r w:rsidRPr="006D0406">
        <w:rPr>
          <w:rFonts w:ascii="Helvetica" w:eastAsia="Candara" w:hAnsi="Helvetica" w:cs="Helvetica"/>
          <w:i/>
          <w:iCs/>
          <w:sz w:val="24"/>
          <w:szCs w:val="24"/>
          <w:lang w:eastAsia="es-GT"/>
        </w:rPr>
        <w:t xml:space="preserve"> </w:t>
      </w:r>
      <w:r w:rsidRPr="006D0406">
        <w:rPr>
          <w:rFonts w:ascii="Helvetica" w:eastAsia="Candara" w:hAnsi="Helvetica" w:cs="Helvetica"/>
          <w:bCs/>
          <w:sz w:val="24"/>
          <w:szCs w:val="24"/>
          <w:lang w:eastAsia="es-GT"/>
        </w:rPr>
        <w:t>Las 4 asociaciones que alcanzaron el porcentaje más alto de ejecución financiera fueron:</w:t>
      </w:r>
      <w:r w:rsidRPr="006D0406">
        <w:rPr>
          <w:rFonts w:ascii="Helvetica" w:eastAsia="Candara" w:hAnsi="Helvetica" w:cs="Helvetica"/>
          <w:b/>
          <w:sz w:val="24"/>
          <w:szCs w:val="24"/>
          <w:lang w:eastAsia="es-GT"/>
        </w:rPr>
        <w:t xml:space="preserve"> </w:t>
      </w:r>
      <w:r w:rsidRPr="006D0406">
        <w:rPr>
          <w:rFonts w:ascii="Helvetica" w:eastAsia="Candara" w:hAnsi="Helvetica" w:cs="Helvetica"/>
          <w:bCs/>
          <w:sz w:val="24"/>
          <w:szCs w:val="24"/>
          <w:lang w:eastAsia="es-GT"/>
        </w:rPr>
        <w:t>en primer lugar, la Asociación Deportiva Nacional de Squash con 112.64% de ejecución respecto a la meta financiera vigente, seguido de la Asociación Deportiva Nacional de Tiro con Arma de Caza con 111.00%</w:t>
      </w:r>
      <w:r>
        <w:rPr>
          <w:rStyle w:val="Refdenotaalpie"/>
          <w:rFonts w:ascii="Helvetica" w:eastAsia="Candara" w:hAnsi="Helvetica" w:cs="Helvetica"/>
          <w:bCs/>
          <w:sz w:val="24"/>
          <w:szCs w:val="24"/>
          <w:lang w:eastAsia="es-GT"/>
        </w:rPr>
        <w:footnoteReference w:id="4"/>
      </w:r>
      <w:r w:rsidR="00EE284B">
        <w:rPr>
          <w:rFonts w:ascii="Helvetica" w:eastAsia="Candara" w:hAnsi="Helvetica" w:cs="Helvetica"/>
          <w:bCs/>
          <w:sz w:val="24"/>
          <w:szCs w:val="24"/>
          <w:lang w:eastAsia="es-GT"/>
        </w:rPr>
        <w:t>;</w:t>
      </w:r>
      <w:r w:rsidRPr="006D0406">
        <w:rPr>
          <w:rFonts w:ascii="Helvetica" w:eastAsia="Candara" w:hAnsi="Helvetica" w:cs="Helvetica"/>
          <w:bCs/>
          <w:sz w:val="24"/>
          <w:szCs w:val="24"/>
          <w:lang w:eastAsia="es-GT"/>
        </w:rPr>
        <w:t xml:space="preserve"> Asociación Deportiva Nacional de Rugby con 100.00% y la Asociación Deportiva de Pentatlón Moderno con 99.44% de ejecución.</w:t>
      </w:r>
    </w:p>
    <w:p w14:paraId="40F4829C" w14:textId="77777777" w:rsidR="00A87EEB" w:rsidRPr="00A87EEB" w:rsidRDefault="00A87EEB" w:rsidP="00A87EEB">
      <w:pPr>
        <w:pStyle w:val="Prrafodelista"/>
        <w:rPr>
          <w:rFonts w:ascii="Helvetica" w:eastAsia="Candara" w:hAnsi="Helvetica" w:cs="Helvetica"/>
          <w:bCs/>
          <w:sz w:val="24"/>
          <w:szCs w:val="24"/>
          <w:lang w:eastAsia="es-GT"/>
        </w:rPr>
      </w:pPr>
    </w:p>
    <w:p w14:paraId="1C075858" w14:textId="451E7D47" w:rsidR="00240D65" w:rsidRPr="000B241B" w:rsidRDefault="00A87EEB" w:rsidP="00A87EEB">
      <w:pPr>
        <w:pStyle w:val="Prrafodelista"/>
        <w:numPr>
          <w:ilvl w:val="0"/>
          <w:numId w:val="24"/>
        </w:numPr>
        <w:jc w:val="both"/>
        <w:rPr>
          <w:rFonts w:ascii="Helvetica" w:eastAsia="Candara" w:hAnsi="Helvetica" w:cs="Helvetica"/>
          <w:bCs/>
          <w:sz w:val="24"/>
          <w:szCs w:val="24"/>
          <w:lang w:eastAsia="es-GT"/>
        </w:rPr>
      </w:pPr>
      <w:r w:rsidRPr="00A87EEB">
        <w:rPr>
          <w:rFonts w:ascii="Helvetica" w:eastAsia="Candara" w:hAnsi="Helvetica" w:cs="Helvetica"/>
          <w:i/>
          <w:iCs/>
          <w:sz w:val="24"/>
          <w:szCs w:val="24"/>
          <w:u w:val="single"/>
          <w:lang w:eastAsia="es-GT"/>
        </w:rPr>
        <w:t xml:space="preserve">Asociaciones con menor porcentaje de ejecución financiera: </w:t>
      </w:r>
      <w:r w:rsidRPr="00A87EEB">
        <w:rPr>
          <w:rFonts w:ascii="Helvetica" w:eastAsia="Candara" w:hAnsi="Helvetica" w:cs="Helvetica"/>
          <w:iCs/>
          <w:sz w:val="24"/>
          <w:szCs w:val="24"/>
          <w:lang w:eastAsia="es-GT"/>
        </w:rPr>
        <w:t>Se observa a 4 asociaciones con la ejecución más baja; la Asociación Deportiva Nacional de Ráquetbol con 64.03%</w:t>
      </w:r>
      <w:r w:rsidR="00EE284B">
        <w:rPr>
          <w:rFonts w:ascii="Helvetica" w:eastAsia="Candara" w:hAnsi="Helvetica" w:cs="Helvetica"/>
          <w:iCs/>
          <w:sz w:val="24"/>
          <w:szCs w:val="24"/>
          <w:lang w:eastAsia="es-GT"/>
        </w:rPr>
        <w:t>;</w:t>
      </w:r>
      <w:r w:rsidRPr="00A87EEB">
        <w:rPr>
          <w:rFonts w:ascii="Helvetica" w:eastAsia="Candara" w:hAnsi="Helvetica" w:cs="Helvetica"/>
          <w:iCs/>
          <w:sz w:val="24"/>
          <w:szCs w:val="24"/>
          <w:lang w:eastAsia="es-GT"/>
        </w:rPr>
        <w:t xml:space="preserve"> seguido de la Asociación Deportiva Nacional de Navegación a Vela con 66.63%</w:t>
      </w:r>
      <w:r w:rsidR="00EE284B">
        <w:rPr>
          <w:rFonts w:ascii="Helvetica" w:eastAsia="Candara" w:hAnsi="Helvetica" w:cs="Helvetica"/>
          <w:iCs/>
          <w:sz w:val="24"/>
          <w:szCs w:val="24"/>
          <w:lang w:eastAsia="es-GT"/>
        </w:rPr>
        <w:t>:</w:t>
      </w:r>
      <w:r w:rsidRPr="00A87EEB">
        <w:rPr>
          <w:rFonts w:ascii="Helvetica" w:eastAsia="Candara" w:hAnsi="Helvetica" w:cs="Helvetica"/>
          <w:iCs/>
          <w:sz w:val="24"/>
          <w:szCs w:val="24"/>
          <w:lang w:eastAsia="es-GT"/>
        </w:rPr>
        <w:t xml:space="preserve"> Asociación Deportiva Nacional de Billar con 67.39% y la Asociación Deportiva Nacional de Vuelo Libre con 75.61% de ejecución.</w:t>
      </w:r>
    </w:p>
    <w:p w14:paraId="407EA00A" w14:textId="77777777" w:rsidR="000B241B" w:rsidRPr="000B241B" w:rsidRDefault="000B241B" w:rsidP="000B241B">
      <w:pPr>
        <w:pStyle w:val="Prrafodelista"/>
        <w:rPr>
          <w:rFonts w:ascii="Helvetica" w:eastAsia="Candara" w:hAnsi="Helvetica" w:cs="Helvetica"/>
          <w:bCs/>
          <w:sz w:val="24"/>
          <w:szCs w:val="24"/>
          <w:lang w:eastAsia="es-GT"/>
        </w:rPr>
      </w:pPr>
    </w:p>
    <w:p w14:paraId="2EEF91DE" w14:textId="0779B697" w:rsidR="00E75D59" w:rsidRPr="00826652" w:rsidRDefault="00E75D59" w:rsidP="00E75D59">
      <w:pPr>
        <w:rPr>
          <w:rFonts w:ascii="Helvetica" w:hAnsi="Helvetica" w:cs="Helvetica"/>
          <w:b/>
          <w:bCs/>
          <w:color w:val="1F3864" w:themeColor="accent1" w:themeShade="80"/>
          <w:sz w:val="28"/>
          <w:szCs w:val="28"/>
        </w:rPr>
      </w:pPr>
      <w:r w:rsidRPr="00826652">
        <w:rPr>
          <w:rFonts w:ascii="Helvetica" w:hAnsi="Helvetica" w:cs="Helvetica"/>
          <w:b/>
          <w:bCs/>
          <w:color w:val="1F3864" w:themeColor="accent1" w:themeShade="80"/>
          <w:sz w:val="28"/>
          <w:szCs w:val="28"/>
        </w:rPr>
        <w:t>E</w:t>
      </w:r>
      <w:r w:rsidR="00826652">
        <w:rPr>
          <w:rFonts w:ascii="Helvetica" w:hAnsi="Helvetica" w:cs="Helvetica"/>
          <w:b/>
          <w:bCs/>
          <w:color w:val="1F3864" w:themeColor="accent1" w:themeShade="80"/>
          <w:sz w:val="28"/>
          <w:szCs w:val="28"/>
        </w:rPr>
        <w:t xml:space="preserve">jecución del Programa 94 por </w:t>
      </w:r>
      <w:r w:rsidRPr="00826652">
        <w:rPr>
          <w:rFonts w:ascii="Helvetica" w:hAnsi="Helvetica" w:cs="Helvetica"/>
          <w:b/>
          <w:bCs/>
          <w:color w:val="1F3864" w:themeColor="accent1" w:themeShade="80"/>
          <w:sz w:val="28"/>
          <w:szCs w:val="28"/>
        </w:rPr>
        <w:t>COVID-19</w:t>
      </w:r>
    </w:p>
    <w:p w14:paraId="4437FAE9" w14:textId="6049567A" w:rsidR="00E75D59" w:rsidRDefault="00E75D59" w:rsidP="00E75D59">
      <w:pPr>
        <w:autoSpaceDE w:val="0"/>
        <w:autoSpaceDN w:val="0"/>
        <w:adjustRightInd w:val="0"/>
        <w:spacing w:after="0" w:line="240" w:lineRule="auto"/>
        <w:jc w:val="both"/>
        <w:rPr>
          <w:rFonts w:ascii="Helvetica" w:eastAsia="Calibri" w:hAnsi="Helvetica" w:cs="Helvetica"/>
          <w:sz w:val="24"/>
          <w:szCs w:val="24"/>
        </w:rPr>
      </w:pPr>
      <w:r w:rsidRPr="00826652">
        <w:rPr>
          <w:rFonts w:ascii="Helvetica" w:eastAsia="Calibri" w:hAnsi="Helvetica" w:cs="Helvetica"/>
          <w:sz w:val="24"/>
          <w:szCs w:val="24"/>
        </w:rPr>
        <w:t>Para la atención a la emergencia derivada de la pandemia por COVID-19 que afectó al país, diez de los catorce ministerios asignaron presupuesto al programa 94 Atención por desastres naturales y calamidades públicas, específicamente a la actividad 09, Estado de calamidad pública, con un monto total asignado de Q</w:t>
      </w:r>
      <w:r w:rsidR="00826652" w:rsidRPr="00826652">
        <w:rPr>
          <w:rFonts w:ascii="Helvetica" w:eastAsia="Calibri" w:hAnsi="Helvetica" w:cs="Helvetica"/>
          <w:sz w:val="24"/>
          <w:szCs w:val="24"/>
        </w:rPr>
        <w:t>11,052,382,098</w:t>
      </w:r>
      <w:r w:rsidRPr="00826652">
        <w:rPr>
          <w:rFonts w:ascii="Helvetica" w:eastAsia="Calibri" w:hAnsi="Helvetica" w:cs="Helvetica"/>
          <w:sz w:val="24"/>
          <w:szCs w:val="24"/>
        </w:rPr>
        <w:t xml:space="preserve">, de los cuales se logró ejecutar el </w:t>
      </w:r>
      <w:r w:rsidR="00826652" w:rsidRPr="00826652">
        <w:rPr>
          <w:rFonts w:ascii="Helvetica" w:eastAsia="Calibri" w:hAnsi="Helvetica" w:cs="Helvetica"/>
          <w:sz w:val="24"/>
          <w:szCs w:val="24"/>
        </w:rPr>
        <w:t>93.59</w:t>
      </w:r>
      <w:r w:rsidRPr="00826652">
        <w:rPr>
          <w:rFonts w:ascii="Helvetica" w:eastAsia="Calibri" w:hAnsi="Helvetica" w:cs="Helvetica"/>
          <w:sz w:val="24"/>
          <w:szCs w:val="24"/>
        </w:rPr>
        <w:t>% de los recursos y entregarlo a la población</w:t>
      </w:r>
      <w:r w:rsidR="00826652" w:rsidRPr="00826652">
        <w:rPr>
          <w:rFonts w:ascii="Helvetica" w:eastAsia="Calibri" w:hAnsi="Helvetica" w:cs="Helvetica"/>
          <w:sz w:val="24"/>
          <w:szCs w:val="24"/>
        </w:rPr>
        <w:t>.</w:t>
      </w:r>
      <w:r w:rsidR="00826652">
        <w:rPr>
          <w:rFonts w:ascii="Helvetica" w:eastAsia="Calibri" w:hAnsi="Helvetica" w:cs="Helvetica"/>
          <w:sz w:val="24"/>
          <w:szCs w:val="24"/>
        </w:rPr>
        <w:t xml:space="preserve"> Tal como se ve en la tabla</w:t>
      </w:r>
      <w:r w:rsidR="00111CDE">
        <w:rPr>
          <w:rFonts w:ascii="Helvetica" w:eastAsia="Calibri" w:hAnsi="Helvetica" w:cs="Helvetica"/>
          <w:sz w:val="24"/>
          <w:szCs w:val="24"/>
        </w:rPr>
        <w:t xml:space="preserve"> 8</w:t>
      </w:r>
      <w:r w:rsidR="00826652">
        <w:rPr>
          <w:rFonts w:ascii="Helvetica" w:eastAsia="Calibri" w:hAnsi="Helvetica" w:cs="Helvetica"/>
          <w:sz w:val="24"/>
          <w:szCs w:val="24"/>
        </w:rPr>
        <w:t>.</w:t>
      </w:r>
    </w:p>
    <w:p w14:paraId="4100BAF6" w14:textId="77777777" w:rsidR="002C61A9" w:rsidRPr="00826652" w:rsidRDefault="002C61A9" w:rsidP="00E75D59">
      <w:pPr>
        <w:autoSpaceDE w:val="0"/>
        <w:autoSpaceDN w:val="0"/>
        <w:adjustRightInd w:val="0"/>
        <w:spacing w:after="0" w:line="240" w:lineRule="auto"/>
        <w:jc w:val="both"/>
        <w:rPr>
          <w:rFonts w:ascii="Helvetica" w:eastAsia="Calibri" w:hAnsi="Helvetica" w:cs="Helvetica"/>
          <w:sz w:val="24"/>
          <w:szCs w:val="24"/>
        </w:rPr>
      </w:pPr>
    </w:p>
    <w:tbl>
      <w:tblPr>
        <w:tblW w:w="7580" w:type="dxa"/>
        <w:jc w:val="center"/>
        <w:tblCellMar>
          <w:left w:w="70" w:type="dxa"/>
          <w:right w:w="70" w:type="dxa"/>
        </w:tblCellMar>
        <w:tblLook w:val="04A0" w:firstRow="1" w:lastRow="0" w:firstColumn="1" w:lastColumn="0" w:noHBand="0" w:noVBand="1"/>
      </w:tblPr>
      <w:tblGrid>
        <w:gridCol w:w="7580"/>
      </w:tblGrid>
      <w:tr w:rsidR="00240D65" w:rsidRPr="00240D65" w14:paraId="7D4E970A" w14:textId="77777777" w:rsidTr="00240D65">
        <w:trPr>
          <w:trHeight w:val="405"/>
          <w:jc w:val="center"/>
        </w:trPr>
        <w:tc>
          <w:tcPr>
            <w:tcW w:w="7580" w:type="dxa"/>
            <w:tcBorders>
              <w:top w:val="nil"/>
              <w:left w:val="nil"/>
              <w:bottom w:val="nil"/>
              <w:right w:val="nil"/>
            </w:tcBorders>
            <w:shd w:val="clear" w:color="auto" w:fill="auto"/>
            <w:noWrap/>
            <w:vAlign w:val="center"/>
            <w:hideMark/>
          </w:tcPr>
          <w:p w14:paraId="495D8A2A" w14:textId="248A46A7" w:rsidR="002126CE" w:rsidRPr="00016865" w:rsidRDefault="002C61A9" w:rsidP="00016865">
            <w:pPr>
              <w:pStyle w:val="ttulosgrficas"/>
              <w:rPr>
                <w:rFonts w:eastAsia="Times New Roman"/>
                <w:color w:val="4472C4" w:themeColor="accent1"/>
                <w:lang w:val="es-ES"/>
              </w:rPr>
            </w:pPr>
            <w:bookmarkStart w:id="38" w:name="_Toc67589121"/>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8</w:t>
            </w:r>
            <w:r w:rsidR="007F134F" w:rsidRPr="00016865">
              <w:rPr>
                <w:rFonts w:eastAsia="Times New Roman"/>
                <w:color w:val="4472C4" w:themeColor="accent1"/>
                <w:lang w:val="es-ES"/>
              </w:rPr>
              <w:fldChar w:fldCharType="end"/>
            </w:r>
            <w:r w:rsidR="002126CE" w:rsidRPr="00016865">
              <w:rPr>
                <w:rFonts w:eastAsia="Times New Roman"/>
                <w:color w:val="4472C4" w:themeColor="accent1"/>
                <w:lang w:val="es-ES"/>
              </w:rPr>
              <w:t xml:space="preserve">, </w:t>
            </w:r>
            <w:r w:rsidR="00240D65" w:rsidRPr="00016865">
              <w:rPr>
                <w:rFonts w:eastAsia="Times New Roman"/>
                <w:color w:val="4472C4" w:themeColor="accent1"/>
                <w:lang w:val="es-ES"/>
              </w:rPr>
              <w:t>PROGRAMA 94: Atención por Desastres Naturales</w:t>
            </w:r>
            <w:bookmarkEnd w:id="38"/>
            <w:r w:rsidR="00240D65" w:rsidRPr="00016865">
              <w:rPr>
                <w:rFonts w:eastAsia="Times New Roman"/>
                <w:color w:val="4472C4" w:themeColor="accent1"/>
                <w:lang w:val="es-ES"/>
              </w:rPr>
              <w:t xml:space="preserve"> </w:t>
            </w:r>
          </w:p>
          <w:p w14:paraId="18757761" w14:textId="03435697" w:rsidR="000B241B" w:rsidRPr="00016865" w:rsidRDefault="00240D65" w:rsidP="00615643">
            <w:pPr>
              <w:pStyle w:val="ttulosgrficas"/>
              <w:rPr>
                <w:color w:val="4472C4" w:themeColor="accent1"/>
                <w:lang w:eastAsia="es-GT"/>
              </w:rPr>
            </w:pPr>
            <w:r w:rsidRPr="00016865">
              <w:rPr>
                <w:color w:val="4472C4" w:themeColor="accent1"/>
                <w:lang w:eastAsia="es-GT"/>
              </w:rPr>
              <w:t>y Calamidades Públicas</w:t>
            </w:r>
          </w:p>
          <w:p w14:paraId="441BE5E0" w14:textId="02E7FA2E" w:rsidR="008D5922" w:rsidRPr="00240D65" w:rsidRDefault="008D5922" w:rsidP="008D5922">
            <w:pPr>
              <w:pStyle w:val="ttulosgrficas"/>
              <w:spacing w:line="120" w:lineRule="auto"/>
              <w:rPr>
                <w:lang w:eastAsia="es-GT"/>
              </w:rPr>
            </w:pPr>
          </w:p>
        </w:tc>
      </w:tr>
    </w:tbl>
    <w:tbl>
      <w:tblPr>
        <w:tblStyle w:val="GridTable4Accent1"/>
        <w:tblW w:w="9513" w:type="dxa"/>
        <w:tblLook w:val="04A0" w:firstRow="1" w:lastRow="0" w:firstColumn="1" w:lastColumn="0" w:noHBand="0" w:noVBand="1"/>
      </w:tblPr>
      <w:tblGrid>
        <w:gridCol w:w="1955"/>
        <w:gridCol w:w="1406"/>
        <w:gridCol w:w="1568"/>
        <w:gridCol w:w="1468"/>
        <w:gridCol w:w="1558"/>
        <w:gridCol w:w="1576"/>
      </w:tblGrid>
      <w:tr w:rsidR="00E75D59" w:rsidRPr="00E75D59" w14:paraId="54D48D9F" w14:textId="77777777" w:rsidTr="000B241B">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955" w:type="dxa"/>
            <w:vAlign w:val="center"/>
            <w:hideMark/>
          </w:tcPr>
          <w:p w14:paraId="030FB62F" w14:textId="77777777" w:rsidR="00E75D59" w:rsidRPr="00826652" w:rsidRDefault="00E75D59" w:rsidP="000B241B">
            <w:pPr>
              <w:jc w:val="center"/>
              <w:rPr>
                <w:rFonts w:ascii="Helvetica" w:hAnsi="Helvetica" w:cs="Helvetica"/>
                <w:b w:val="0"/>
                <w:bCs w:val="0"/>
                <w:sz w:val="18"/>
                <w:szCs w:val="18"/>
              </w:rPr>
            </w:pPr>
            <w:r w:rsidRPr="00826652">
              <w:rPr>
                <w:rFonts w:ascii="Helvetica" w:hAnsi="Helvetica" w:cs="Helvetica"/>
                <w:sz w:val="18"/>
                <w:szCs w:val="18"/>
              </w:rPr>
              <w:t>INSTITUCIÓN</w:t>
            </w:r>
          </w:p>
        </w:tc>
        <w:tc>
          <w:tcPr>
            <w:tcW w:w="1406" w:type="dxa"/>
            <w:vAlign w:val="center"/>
            <w:hideMark/>
          </w:tcPr>
          <w:p w14:paraId="0CCCE804" w14:textId="77777777" w:rsidR="00E75D59" w:rsidRPr="00826652" w:rsidRDefault="00E75D59"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826652">
              <w:rPr>
                <w:rFonts w:ascii="Helvetica" w:hAnsi="Helvetica" w:cs="Helvetica"/>
                <w:sz w:val="18"/>
                <w:szCs w:val="18"/>
              </w:rPr>
              <w:t>ASIGNADO</w:t>
            </w:r>
          </w:p>
        </w:tc>
        <w:tc>
          <w:tcPr>
            <w:tcW w:w="1568" w:type="dxa"/>
            <w:vAlign w:val="center"/>
            <w:hideMark/>
          </w:tcPr>
          <w:p w14:paraId="2BEDAB1D" w14:textId="77777777" w:rsidR="00E75D59" w:rsidRPr="00826652" w:rsidRDefault="00E75D59"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826652">
              <w:rPr>
                <w:rFonts w:ascii="Helvetica" w:hAnsi="Helvetica" w:cs="Helvetica"/>
                <w:sz w:val="18"/>
                <w:szCs w:val="18"/>
              </w:rPr>
              <w:t>MODIFICADO</w:t>
            </w:r>
          </w:p>
        </w:tc>
        <w:tc>
          <w:tcPr>
            <w:tcW w:w="1450" w:type="dxa"/>
            <w:vAlign w:val="center"/>
            <w:hideMark/>
          </w:tcPr>
          <w:p w14:paraId="57CA30D8" w14:textId="77777777" w:rsidR="00E75D59" w:rsidRPr="00826652" w:rsidRDefault="00E75D59"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826652">
              <w:rPr>
                <w:rFonts w:ascii="Helvetica" w:hAnsi="Helvetica" w:cs="Helvetica"/>
                <w:sz w:val="18"/>
                <w:szCs w:val="18"/>
              </w:rPr>
              <w:t>VIGENTE</w:t>
            </w:r>
          </w:p>
        </w:tc>
        <w:tc>
          <w:tcPr>
            <w:tcW w:w="1558" w:type="dxa"/>
            <w:vAlign w:val="center"/>
            <w:hideMark/>
          </w:tcPr>
          <w:p w14:paraId="02C0BDB4" w14:textId="77777777" w:rsidR="00E75D59" w:rsidRPr="00826652" w:rsidRDefault="00E75D59"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826652">
              <w:rPr>
                <w:rFonts w:ascii="Helvetica" w:hAnsi="Helvetica" w:cs="Helvetica"/>
                <w:sz w:val="18"/>
                <w:szCs w:val="18"/>
              </w:rPr>
              <w:t>DEVENGADO</w:t>
            </w:r>
          </w:p>
        </w:tc>
        <w:tc>
          <w:tcPr>
            <w:tcW w:w="1576" w:type="dxa"/>
            <w:vAlign w:val="center"/>
            <w:hideMark/>
          </w:tcPr>
          <w:p w14:paraId="373A5B7D" w14:textId="77777777" w:rsidR="00E75D59" w:rsidRPr="00826652" w:rsidRDefault="00E75D59"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826652">
              <w:rPr>
                <w:rFonts w:ascii="Helvetica" w:hAnsi="Helvetica" w:cs="Helvetica"/>
                <w:sz w:val="18"/>
                <w:szCs w:val="18"/>
              </w:rPr>
              <w:t>% EJECUCIÓN</w:t>
            </w:r>
          </w:p>
        </w:tc>
      </w:tr>
      <w:tr w:rsidR="00E75D59" w:rsidRPr="00E75D59" w14:paraId="68B78608" w14:textId="77777777" w:rsidTr="000B241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55" w:type="dxa"/>
            <w:hideMark/>
          </w:tcPr>
          <w:p w14:paraId="7949FAFA" w14:textId="77777777" w:rsidR="00E75D59" w:rsidRPr="00826652" w:rsidRDefault="00E75D59">
            <w:pPr>
              <w:rPr>
                <w:rFonts w:ascii="Helvetica" w:hAnsi="Helvetica" w:cs="Helvetica"/>
                <w:sz w:val="18"/>
                <w:szCs w:val="18"/>
              </w:rPr>
            </w:pPr>
            <w:r w:rsidRPr="00826652">
              <w:rPr>
                <w:rFonts w:ascii="Helvetica" w:hAnsi="Helvetica" w:cs="Helvetica"/>
                <w:sz w:val="18"/>
                <w:szCs w:val="18"/>
              </w:rPr>
              <w:t xml:space="preserve">Ministerio de Economía </w:t>
            </w:r>
            <w:r w:rsidRPr="00826652">
              <w:rPr>
                <w:rFonts w:ascii="Helvetica" w:hAnsi="Helvetica" w:cs="Helvetica"/>
                <w:sz w:val="18"/>
                <w:szCs w:val="18"/>
              </w:rPr>
              <w:br/>
              <w:t>(MINECO)</w:t>
            </w:r>
          </w:p>
        </w:tc>
        <w:tc>
          <w:tcPr>
            <w:tcW w:w="1406" w:type="dxa"/>
            <w:noWrap/>
            <w:hideMark/>
          </w:tcPr>
          <w:p w14:paraId="262E5071"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59D0D032"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2,401,000,000</w:t>
            </w:r>
          </w:p>
        </w:tc>
        <w:tc>
          <w:tcPr>
            <w:tcW w:w="1450" w:type="dxa"/>
            <w:noWrap/>
            <w:hideMark/>
          </w:tcPr>
          <w:p w14:paraId="3AD00381"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2,401,000,000</w:t>
            </w:r>
          </w:p>
        </w:tc>
        <w:tc>
          <w:tcPr>
            <w:tcW w:w="1558" w:type="dxa"/>
            <w:noWrap/>
            <w:hideMark/>
          </w:tcPr>
          <w:p w14:paraId="59233092"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2,400,816,840</w:t>
            </w:r>
          </w:p>
        </w:tc>
        <w:tc>
          <w:tcPr>
            <w:tcW w:w="1576" w:type="dxa"/>
            <w:noWrap/>
            <w:hideMark/>
          </w:tcPr>
          <w:p w14:paraId="360B4089"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99.99</w:t>
            </w:r>
          </w:p>
        </w:tc>
      </w:tr>
      <w:tr w:rsidR="00E75D59" w:rsidRPr="00E75D59" w14:paraId="7F56FF7F" w14:textId="77777777" w:rsidTr="000B241B">
        <w:trPr>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639DDEEF" w14:textId="77777777" w:rsidR="00E75D59" w:rsidRPr="00826652" w:rsidRDefault="00E75D59">
            <w:pPr>
              <w:rPr>
                <w:rFonts w:ascii="Helvetica" w:hAnsi="Helvetica" w:cs="Helvetica"/>
                <w:sz w:val="18"/>
                <w:szCs w:val="18"/>
              </w:rPr>
            </w:pPr>
            <w:r w:rsidRPr="00826652">
              <w:rPr>
                <w:rFonts w:ascii="Helvetica" w:hAnsi="Helvetica" w:cs="Helvetica"/>
                <w:sz w:val="18"/>
                <w:szCs w:val="18"/>
              </w:rPr>
              <w:t>Ministerio de Desarrollo Social (MIDES)</w:t>
            </w:r>
          </w:p>
        </w:tc>
        <w:tc>
          <w:tcPr>
            <w:tcW w:w="1406" w:type="dxa"/>
            <w:hideMark/>
          </w:tcPr>
          <w:p w14:paraId="3A7E6498"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hideMark/>
          </w:tcPr>
          <w:p w14:paraId="1DE5F908"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6,494,059,298</w:t>
            </w:r>
          </w:p>
        </w:tc>
        <w:tc>
          <w:tcPr>
            <w:tcW w:w="1450" w:type="dxa"/>
            <w:hideMark/>
          </w:tcPr>
          <w:p w14:paraId="1A8F6B45"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6,494,059,298</w:t>
            </w:r>
          </w:p>
        </w:tc>
        <w:tc>
          <w:tcPr>
            <w:tcW w:w="1558" w:type="dxa"/>
            <w:hideMark/>
          </w:tcPr>
          <w:p w14:paraId="0B12F4DC"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6,389,626,612</w:t>
            </w:r>
          </w:p>
        </w:tc>
        <w:tc>
          <w:tcPr>
            <w:tcW w:w="1576" w:type="dxa"/>
            <w:noWrap/>
            <w:hideMark/>
          </w:tcPr>
          <w:p w14:paraId="714857A3"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98.39</w:t>
            </w:r>
          </w:p>
        </w:tc>
      </w:tr>
      <w:tr w:rsidR="00E75D59" w:rsidRPr="00E75D59" w14:paraId="6449C43D" w14:textId="77777777" w:rsidTr="000B241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4794B1EF" w14:textId="77777777" w:rsidR="00E75D59" w:rsidRPr="00826652" w:rsidRDefault="00E75D59">
            <w:pPr>
              <w:rPr>
                <w:rFonts w:ascii="Helvetica" w:hAnsi="Helvetica" w:cs="Helvetica"/>
                <w:sz w:val="18"/>
                <w:szCs w:val="18"/>
              </w:rPr>
            </w:pPr>
            <w:r w:rsidRPr="00826652">
              <w:rPr>
                <w:rFonts w:ascii="Helvetica" w:hAnsi="Helvetica" w:cs="Helvetica"/>
                <w:sz w:val="18"/>
                <w:szCs w:val="18"/>
              </w:rPr>
              <w:t>Ministerio de Relaciones Exteriores (MINEX)</w:t>
            </w:r>
          </w:p>
        </w:tc>
        <w:tc>
          <w:tcPr>
            <w:tcW w:w="1406" w:type="dxa"/>
            <w:noWrap/>
            <w:hideMark/>
          </w:tcPr>
          <w:p w14:paraId="2E7AEEF9"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3D2E956F"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3,164,300</w:t>
            </w:r>
          </w:p>
        </w:tc>
        <w:tc>
          <w:tcPr>
            <w:tcW w:w="1450" w:type="dxa"/>
            <w:noWrap/>
            <w:hideMark/>
          </w:tcPr>
          <w:p w14:paraId="3F278809"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3,164,300</w:t>
            </w:r>
          </w:p>
        </w:tc>
        <w:tc>
          <w:tcPr>
            <w:tcW w:w="1558" w:type="dxa"/>
            <w:noWrap/>
            <w:hideMark/>
          </w:tcPr>
          <w:p w14:paraId="6A9A8A66"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2,881,803</w:t>
            </w:r>
          </w:p>
        </w:tc>
        <w:tc>
          <w:tcPr>
            <w:tcW w:w="1576" w:type="dxa"/>
            <w:noWrap/>
            <w:hideMark/>
          </w:tcPr>
          <w:p w14:paraId="45BC4FAF"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91.07</w:t>
            </w:r>
          </w:p>
        </w:tc>
      </w:tr>
      <w:tr w:rsidR="00E75D59" w:rsidRPr="00E75D59" w14:paraId="06719356" w14:textId="77777777" w:rsidTr="000B241B">
        <w:trPr>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7CFA45ED" w14:textId="77777777" w:rsidR="00E75D59" w:rsidRPr="00826652" w:rsidRDefault="00E75D59">
            <w:pPr>
              <w:rPr>
                <w:rFonts w:ascii="Helvetica" w:hAnsi="Helvetica" w:cs="Helvetica"/>
                <w:sz w:val="18"/>
                <w:szCs w:val="18"/>
              </w:rPr>
            </w:pPr>
            <w:r w:rsidRPr="00826652">
              <w:rPr>
                <w:rFonts w:ascii="Helvetica" w:hAnsi="Helvetica" w:cs="Helvetica"/>
                <w:sz w:val="18"/>
                <w:szCs w:val="18"/>
              </w:rPr>
              <w:t xml:space="preserve">Ministerio de Educación </w:t>
            </w:r>
            <w:r w:rsidRPr="00826652">
              <w:rPr>
                <w:rFonts w:ascii="Helvetica" w:hAnsi="Helvetica" w:cs="Helvetica"/>
                <w:sz w:val="18"/>
                <w:szCs w:val="18"/>
              </w:rPr>
              <w:br/>
              <w:t>(MINEDUC)</w:t>
            </w:r>
          </w:p>
        </w:tc>
        <w:tc>
          <w:tcPr>
            <w:tcW w:w="1406" w:type="dxa"/>
            <w:noWrap/>
            <w:hideMark/>
          </w:tcPr>
          <w:p w14:paraId="28599946"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1059D5CB"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35,051,905</w:t>
            </w:r>
          </w:p>
        </w:tc>
        <w:tc>
          <w:tcPr>
            <w:tcW w:w="1450" w:type="dxa"/>
            <w:noWrap/>
            <w:hideMark/>
          </w:tcPr>
          <w:p w14:paraId="616B8B89"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35,051,905</w:t>
            </w:r>
          </w:p>
        </w:tc>
        <w:tc>
          <w:tcPr>
            <w:tcW w:w="1558" w:type="dxa"/>
            <w:noWrap/>
            <w:hideMark/>
          </w:tcPr>
          <w:p w14:paraId="75D4E8D9"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31,761,060</w:t>
            </w:r>
          </w:p>
        </w:tc>
        <w:tc>
          <w:tcPr>
            <w:tcW w:w="1576" w:type="dxa"/>
            <w:noWrap/>
            <w:hideMark/>
          </w:tcPr>
          <w:p w14:paraId="03F5C41F"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90.61</w:t>
            </w:r>
          </w:p>
        </w:tc>
      </w:tr>
      <w:tr w:rsidR="00E75D59" w:rsidRPr="00E75D59" w14:paraId="5C927D24" w14:textId="77777777" w:rsidTr="000B241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4E2DF4F3" w14:textId="77777777" w:rsidR="00E75D59" w:rsidRPr="00826652" w:rsidRDefault="00E75D59">
            <w:pPr>
              <w:rPr>
                <w:rFonts w:ascii="Helvetica" w:hAnsi="Helvetica" w:cs="Helvetica"/>
                <w:sz w:val="18"/>
                <w:szCs w:val="18"/>
              </w:rPr>
            </w:pPr>
            <w:r w:rsidRPr="00826652">
              <w:rPr>
                <w:rFonts w:ascii="Helvetica" w:hAnsi="Helvetica" w:cs="Helvetica"/>
                <w:sz w:val="18"/>
                <w:szCs w:val="18"/>
              </w:rPr>
              <w:t xml:space="preserve">Ministerio de la Defensa </w:t>
            </w:r>
            <w:r w:rsidRPr="00826652">
              <w:rPr>
                <w:rFonts w:ascii="Helvetica" w:hAnsi="Helvetica" w:cs="Helvetica"/>
                <w:sz w:val="18"/>
                <w:szCs w:val="18"/>
              </w:rPr>
              <w:br/>
              <w:t>(MINDEF)</w:t>
            </w:r>
          </w:p>
        </w:tc>
        <w:tc>
          <w:tcPr>
            <w:tcW w:w="1406" w:type="dxa"/>
            <w:noWrap/>
            <w:hideMark/>
          </w:tcPr>
          <w:p w14:paraId="541AFCA5"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2A5B3523"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5,277,405</w:t>
            </w:r>
          </w:p>
        </w:tc>
        <w:tc>
          <w:tcPr>
            <w:tcW w:w="1450" w:type="dxa"/>
            <w:noWrap/>
            <w:hideMark/>
          </w:tcPr>
          <w:p w14:paraId="08124879"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5,277,405</w:t>
            </w:r>
          </w:p>
        </w:tc>
        <w:tc>
          <w:tcPr>
            <w:tcW w:w="1558" w:type="dxa"/>
            <w:noWrap/>
            <w:hideMark/>
          </w:tcPr>
          <w:p w14:paraId="40730BBF"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4,733,401</w:t>
            </w:r>
          </w:p>
        </w:tc>
        <w:tc>
          <w:tcPr>
            <w:tcW w:w="1576" w:type="dxa"/>
            <w:noWrap/>
            <w:hideMark/>
          </w:tcPr>
          <w:p w14:paraId="1896644C"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89.69</w:t>
            </w:r>
          </w:p>
        </w:tc>
      </w:tr>
      <w:tr w:rsidR="00E75D59" w:rsidRPr="00E75D59" w14:paraId="458F0D59" w14:textId="77777777" w:rsidTr="000B241B">
        <w:trPr>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7AD7BD7E" w14:textId="77777777" w:rsidR="00E75D59" w:rsidRPr="00826652" w:rsidRDefault="00E75D59">
            <w:pPr>
              <w:rPr>
                <w:rFonts w:ascii="Helvetica" w:hAnsi="Helvetica" w:cs="Helvetica"/>
                <w:sz w:val="18"/>
                <w:szCs w:val="18"/>
              </w:rPr>
            </w:pPr>
            <w:r w:rsidRPr="00826652">
              <w:rPr>
                <w:rFonts w:ascii="Helvetica" w:hAnsi="Helvetica" w:cs="Helvetica"/>
                <w:sz w:val="18"/>
                <w:szCs w:val="18"/>
              </w:rPr>
              <w:t>Ministerio de Salud Pública y Asistencia Social (MSPAS)</w:t>
            </w:r>
          </w:p>
        </w:tc>
        <w:tc>
          <w:tcPr>
            <w:tcW w:w="1406" w:type="dxa"/>
            <w:noWrap/>
            <w:hideMark/>
          </w:tcPr>
          <w:p w14:paraId="418D8ECC"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6EAC040B"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1,564,607,519</w:t>
            </w:r>
          </w:p>
        </w:tc>
        <w:tc>
          <w:tcPr>
            <w:tcW w:w="1450" w:type="dxa"/>
            <w:noWrap/>
            <w:hideMark/>
          </w:tcPr>
          <w:p w14:paraId="58241554"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1,564,607,519</w:t>
            </w:r>
          </w:p>
        </w:tc>
        <w:tc>
          <w:tcPr>
            <w:tcW w:w="1558" w:type="dxa"/>
            <w:noWrap/>
            <w:hideMark/>
          </w:tcPr>
          <w:p w14:paraId="7B5310C0"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1,223,180,499</w:t>
            </w:r>
          </w:p>
        </w:tc>
        <w:tc>
          <w:tcPr>
            <w:tcW w:w="1576" w:type="dxa"/>
            <w:noWrap/>
            <w:hideMark/>
          </w:tcPr>
          <w:p w14:paraId="3CB6A2C4"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78.18</w:t>
            </w:r>
          </w:p>
        </w:tc>
      </w:tr>
      <w:tr w:rsidR="00E75D59" w:rsidRPr="00E75D59" w14:paraId="356B8BE5" w14:textId="77777777" w:rsidTr="000B241B">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955" w:type="dxa"/>
            <w:hideMark/>
          </w:tcPr>
          <w:p w14:paraId="1BFFE880" w14:textId="77777777" w:rsidR="00E75D59" w:rsidRPr="00826652" w:rsidRDefault="00E75D59">
            <w:pPr>
              <w:rPr>
                <w:rFonts w:ascii="Helvetica" w:hAnsi="Helvetica" w:cs="Helvetica"/>
                <w:sz w:val="18"/>
                <w:szCs w:val="18"/>
              </w:rPr>
            </w:pPr>
            <w:r w:rsidRPr="00826652">
              <w:rPr>
                <w:rFonts w:ascii="Helvetica" w:hAnsi="Helvetica" w:cs="Helvetica"/>
                <w:sz w:val="18"/>
                <w:szCs w:val="18"/>
              </w:rPr>
              <w:t xml:space="preserve">Ministerio de Agricultura, Ganadería y Alimentación </w:t>
            </w:r>
            <w:r w:rsidRPr="00826652">
              <w:rPr>
                <w:rFonts w:ascii="Helvetica" w:hAnsi="Helvetica" w:cs="Helvetica"/>
                <w:sz w:val="18"/>
                <w:szCs w:val="18"/>
              </w:rPr>
              <w:br/>
              <w:t>(MAGA)</w:t>
            </w:r>
          </w:p>
        </w:tc>
        <w:tc>
          <w:tcPr>
            <w:tcW w:w="1406" w:type="dxa"/>
            <w:noWrap/>
            <w:hideMark/>
          </w:tcPr>
          <w:p w14:paraId="43872FD2"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34426368"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403,221,671</w:t>
            </w:r>
          </w:p>
        </w:tc>
        <w:tc>
          <w:tcPr>
            <w:tcW w:w="1450" w:type="dxa"/>
            <w:noWrap/>
            <w:hideMark/>
          </w:tcPr>
          <w:p w14:paraId="71EC57A2"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403,221,671</w:t>
            </w:r>
          </w:p>
        </w:tc>
        <w:tc>
          <w:tcPr>
            <w:tcW w:w="1558" w:type="dxa"/>
            <w:noWrap/>
            <w:hideMark/>
          </w:tcPr>
          <w:p w14:paraId="12EACD4D"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250,255,238</w:t>
            </w:r>
          </w:p>
        </w:tc>
        <w:tc>
          <w:tcPr>
            <w:tcW w:w="1576" w:type="dxa"/>
            <w:noWrap/>
            <w:hideMark/>
          </w:tcPr>
          <w:p w14:paraId="54D2C8BB"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62.06</w:t>
            </w:r>
          </w:p>
        </w:tc>
      </w:tr>
      <w:tr w:rsidR="00E75D59" w:rsidRPr="00E75D59" w14:paraId="2406916C" w14:textId="77777777" w:rsidTr="000B241B">
        <w:trPr>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79E2A17C" w14:textId="77777777" w:rsidR="00E75D59" w:rsidRPr="00826652" w:rsidRDefault="00E75D59">
            <w:pPr>
              <w:rPr>
                <w:rFonts w:ascii="Helvetica" w:hAnsi="Helvetica" w:cs="Helvetica"/>
                <w:sz w:val="18"/>
                <w:szCs w:val="18"/>
              </w:rPr>
            </w:pPr>
            <w:r w:rsidRPr="00826652">
              <w:rPr>
                <w:rFonts w:ascii="Helvetica" w:hAnsi="Helvetica" w:cs="Helvetica"/>
                <w:sz w:val="18"/>
                <w:szCs w:val="18"/>
              </w:rPr>
              <w:t>Ministerio de Cultura y Deportes (MCD)</w:t>
            </w:r>
          </w:p>
        </w:tc>
        <w:tc>
          <w:tcPr>
            <w:tcW w:w="1406" w:type="dxa"/>
            <w:noWrap/>
            <w:hideMark/>
          </w:tcPr>
          <w:p w14:paraId="065A1553"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48F0CD9F"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15,000,000</w:t>
            </w:r>
          </w:p>
        </w:tc>
        <w:tc>
          <w:tcPr>
            <w:tcW w:w="1450" w:type="dxa"/>
            <w:noWrap/>
            <w:hideMark/>
          </w:tcPr>
          <w:p w14:paraId="590D16A4"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15,000,000</w:t>
            </w:r>
          </w:p>
        </w:tc>
        <w:tc>
          <w:tcPr>
            <w:tcW w:w="1558" w:type="dxa"/>
            <w:noWrap/>
            <w:hideMark/>
          </w:tcPr>
          <w:p w14:paraId="662A6F29"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8,253,000</w:t>
            </w:r>
          </w:p>
        </w:tc>
        <w:tc>
          <w:tcPr>
            <w:tcW w:w="1576" w:type="dxa"/>
            <w:noWrap/>
            <w:hideMark/>
          </w:tcPr>
          <w:p w14:paraId="04F77315"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55.02</w:t>
            </w:r>
          </w:p>
        </w:tc>
      </w:tr>
      <w:tr w:rsidR="00E75D59" w:rsidRPr="00E75D59" w14:paraId="30A9A996" w14:textId="77777777" w:rsidTr="000B241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2B0596D4" w14:textId="77777777" w:rsidR="00E75D59" w:rsidRPr="00826652" w:rsidRDefault="00E75D59">
            <w:pPr>
              <w:rPr>
                <w:rFonts w:ascii="Helvetica" w:hAnsi="Helvetica" w:cs="Helvetica"/>
                <w:sz w:val="18"/>
                <w:szCs w:val="18"/>
              </w:rPr>
            </w:pPr>
            <w:r w:rsidRPr="00826652">
              <w:rPr>
                <w:rFonts w:ascii="Helvetica" w:hAnsi="Helvetica" w:cs="Helvetica"/>
                <w:sz w:val="18"/>
                <w:szCs w:val="18"/>
              </w:rPr>
              <w:t>Ministerio de Trabajo y Previsión Social (MINTRAB)</w:t>
            </w:r>
          </w:p>
        </w:tc>
        <w:tc>
          <w:tcPr>
            <w:tcW w:w="1406" w:type="dxa"/>
            <w:noWrap/>
            <w:hideMark/>
          </w:tcPr>
          <w:p w14:paraId="10781E82"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6B370C62"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51,000,000</w:t>
            </w:r>
          </w:p>
        </w:tc>
        <w:tc>
          <w:tcPr>
            <w:tcW w:w="1450" w:type="dxa"/>
            <w:noWrap/>
            <w:hideMark/>
          </w:tcPr>
          <w:p w14:paraId="39E2FD6B"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51,000,000</w:t>
            </w:r>
          </w:p>
        </w:tc>
        <w:tc>
          <w:tcPr>
            <w:tcW w:w="1558" w:type="dxa"/>
            <w:noWrap/>
            <w:hideMark/>
          </w:tcPr>
          <w:p w14:paraId="5420C86A"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23,078,800</w:t>
            </w:r>
          </w:p>
        </w:tc>
        <w:tc>
          <w:tcPr>
            <w:tcW w:w="1576" w:type="dxa"/>
            <w:noWrap/>
            <w:hideMark/>
          </w:tcPr>
          <w:p w14:paraId="08B55C7C"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45.25</w:t>
            </w:r>
          </w:p>
        </w:tc>
      </w:tr>
      <w:tr w:rsidR="00E75D59" w:rsidRPr="00E75D59" w14:paraId="27418EFF" w14:textId="77777777" w:rsidTr="000B241B">
        <w:trPr>
          <w:trHeight w:val="630"/>
        </w:trPr>
        <w:tc>
          <w:tcPr>
            <w:cnfStyle w:val="001000000000" w:firstRow="0" w:lastRow="0" w:firstColumn="1" w:lastColumn="0" w:oddVBand="0" w:evenVBand="0" w:oddHBand="0" w:evenHBand="0" w:firstRowFirstColumn="0" w:firstRowLastColumn="0" w:lastRowFirstColumn="0" w:lastRowLastColumn="0"/>
            <w:tcW w:w="1955" w:type="dxa"/>
            <w:hideMark/>
          </w:tcPr>
          <w:p w14:paraId="77DB9D3B" w14:textId="77777777" w:rsidR="00E75D59" w:rsidRPr="00826652" w:rsidRDefault="00E75D59">
            <w:pPr>
              <w:rPr>
                <w:rFonts w:ascii="Helvetica" w:hAnsi="Helvetica" w:cs="Helvetica"/>
                <w:sz w:val="18"/>
                <w:szCs w:val="18"/>
              </w:rPr>
            </w:pPr>
            <w:r w:rsidRPr="00826652">
              <w:rPr>
                <w:rFonts w:ascii="Helvetica" w:hAnsi="Helvetica" w:cs="Helvetica"/>
                <w:sz w:val="18"/>
                <w:szCs w:val="18"/>
              </w:rPr>
              <w:t xml:space="preserve">Ministerio de Gobernación </w:t>
            </w:r>
            <w:r w:rsidRPr="00826652">
              <w:rPr>
                <w:rFonts w:ascii="Helvetica" w:hAnsi="Helvetica" w:cs="Helvetica"/>
                <w:sz w:val="18"/>
                <w:szCs w:val="18"/>
              </w:rPr>
              <w:br/>
              <w:t>(MINGOB)</w:t>
            </w:r>
          </w:p>
        </w:tc>
        <w:tc>
          <w:tcPr>
            <w:tcW w:w="1406" w:type="dxa"/>
            <w:noWrap/>
            <w:hideMark/>
          </w:tcPr>
          <w:p w14:paraId="3F2BD40C"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0.00</w:t>
            </w:r>
          </w:p>
        </w:tc>
        <w:tc>
          <w:tcPr>
            <w:tcW w:w="1568" w:type="dxa"/>
            <w:noWrap/>
            <w:hideMark/>
          </w:tcPr>
          <w:p w14:paraId="0F72B4B1"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80,000,000</w:t>
            </w:r>
          </w:p>
        </w:tc>
        <w:tc>
          <w:tcPr>
            <w:tcW w:w="1450" w:type="dxa"/>
            <w:noWrap/>
            <w:hideMark/>
          </w:tcPr>
          <w:p w14:paraId="3E8AA618"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80,000,000</w:t>
            </w:r>
          </w:p>
        </w:tc>
        <w:tc>
          <w:tcPr>
            <w:tcW w:w="1558" w:type="dxa"/>
            <w:noWrap/>
            <w:hideMark/>
          </w:tcPr>
          <w:p w14:paraId="6812BE9C"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9,408,646</w:t>
            </w:r>
          </w:p>
        </w:tc>
        <w:tc>
          <w:tcPr>
            <w:tcW w:w="1576" w:type="dxa"/>
            <w:noWrap/>
            <w:hideMark/>
          </w:tcPr>
          <w:p w14:paraId="322742FC" w14:textId="77777777" w:rsidR="00E75D59" w:rsidRPr="00826652" w:rsidRDefault="00E75D59" w:rsidP="00E75D59">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826652">
              <w:rPr>
                <w:rFonts w:ascii="Helvetica" w:hAnsi="Helvetica" w:cs="Helvetica"/>
                <w:sz w:val="18"/>
                <w:szCs w:val="18"/>
              </w:rPr>
              <w:t>11.76</w:t>
            </w:r>
          </w:p>
        </w:tc>
      </w:tr>
      <w:tr w:rsidR="00E75D59" w:rsidRPr="00E75D59" w14:paraId="05AD7E25" w14:textId="77777777" w:rsidTr="00EE284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55" w:type="dxa"/>
            <w:noWrap/>
            <w:hideMark/>
          </w:tcPr>
          <w:p w14:paraId="19179120" w14:textId="77777777" w:rsidR="00E75D59" w:rsidRPr="00826652" w:rsidRDefault="00E75D59">
            <w:pPr>
              <w:rPr>
                <w:rFonts w:ascii="Helvetica" w:hAnsi="Helvetica" w:cs="Helvetica"/>
                <w:b w:val="0"/>
                <w:bCs w:val="0"/>
                <w:sz w:val="16"/>
                <w:szCs w:val="16"/>
              </w:rPr>
            </w:pPr>
            <w:r w:rsidRPr="00826652">
              <w:rPr>
                <w:rFonts w:ascii="Helvetica" w:hAnsi="Helvetica" w:cs="Helvetica"/>
                <w:sz w:val="16"/>
                <w:szCs w:val="16"/>
              </w:rPr>
              <w:t>Total</w:t>
            </w:r>
          </w:p>
        </w:tc>
        <w:tc>
          <w:tcPr>
            <w:tcW w:w="1406" w:type="dxa"/>
            <w:noWrap/>
            <w:hideMark/>
          </w:tcPr>
          <w:p w14:paraId="38272CDA" w14:textId="77777777" w:rsidR="00E75D59" w:rsidRPr="00826652" w:rsidRDefault="00E75D59" w:rsidP="00E75D59">
            <w:pP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6"/>
                <w:szCs w:val="16"/>
              </w:rPr>
            </w:pPr>
            <w:r w:rsidRPr="00826652">
              <w:rPr>
                <w:rFonts w:ascii="Helvetica" w:hAnsi="Helvetica" w:cs="Helvetica"/>
                <w:b/>
                <w:bCs/>
                <w:sz w:val="16"/>
                <w:szCs w:val="16"/>
              </w:rPr>
              <w:t>0.00</w:t>
            </w:r>
          </w:p>
        </w:tc>
        <w:tc>
          <w:tcPr>
            <w:tcW w:w="1568" w:type="dxa"/>
            <w:noWrap/>
            <w:hideMark/>
          </w:tcPr>
          <w:p w14:paraId="51F071D3" w14:textId="77777777" w:rsidR="00E75D59" w:rsidRPr="000B241B" w:rsidRDefault="00E75D59" w:rsidP="000B241B">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sidRPr="000B241B">
              <w:rPr>
                <w:rFonts w:ascii="Helvetica" w:hAnsi="Helvetica" w:cs="Helvetica"/>
                <w:b/>
                <w:bCs/>
                <w:sz w:val="18"/>
                <w:szCs w:val="18"/>
              </w:rPr>
              <w:t>11,052,382,098</w:t>
            </w:r>
          </w:p>
        </w:tc>
        <w:tc>
          <w:tcPr>
            <w:tcW w:w="1450" w:type="dxa"/>
            <w:noWrap/>
            <w:hideMark/>
          </w:tcPr>
          <w:p w14:paraId="104B8233" w14:textId="77777777" w:rsidR="00E75D59" w:rsidRPr="000B241B" w:rsidRDefault="00E75D59" w:rsidP="000B241B">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bookmarkStart w:id="39" w:name="_Hlk67243376"/>
            <w:r w:rsidRPr="000B241B">
              <w:rPr>
                <w:rFonts w:ascii="Helvetica" w:hAnsi="Helvetica" w:cs="Helvetica"/>
                <w:b/>
                <w:bCs/>
                <w:sz w:val="18"/>
                <w:szCs w:val="18"/>
              </w:rPr>
              <w:t>11,052,382,098</w:t>
            </w:r>
            <w:bookmarkEnd w:id="39"/>
          </w:p>
        </w:tc>
        <w:tc>
          <w:tcPr>
            <w:tcW w:w="1558" w:type="dxa"/>
            <w:noWrap/>
            <w:hideMark/>
          </w:tcPr>
          <w:p w14:paraId="3BCE8A23" w14:textId="77777777" w:rsidR="00E75D59" w:rsidRPr="000B241B" w:rsidRDefault="00E75D59" w:rsidP="000B241B">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sidRPr="000B241B">
              <w:rPr>
                <w:rFonts w:ascii="Helvetica" w:hAnsi="Helvetica" w:cs="Helvetica"/>
                <w:b/>
                <w:bCs/>
                <w:sz w:val="18"/>
                <w:szCs w:val="18"/>
              </w:rPr>
              <w:t>10,343,995,898</w:t>
            </w:r>
          </w:p>
        </w:tc>
        <w:tc>
          <w:tcPr>
            <w:tcW w:w="1576" w:type="dxa"/>
            <w:noWrap/>
          </w:tcPr>
          <w:p w14:paraId="7D962F9C" w14:textId="5B8EB32E" w:rsidR="00E75D59" w:rsidRPr="00826652" w:rsidRDefault="00EE284B" w:rsidP="00EE284B">
            <w:pP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Pr>
                <w:rFonts w:ascii="Helvetica" w:hAnsi="Helvetica" w:cs="Helvetica"/>
                <w:b/>
                <w:bCs/>
                <w:sz w:val="18"/>
                <w:szCs w:val="18"/>
              </w:rPr>
              <w:t>93.59%</w:t>
            </w:r>
          </w:p>
        </w:tc>
      </w:tr>
    </w:tbl>
    <w:p w14:paraId="7FD56F62" w14:textId="77777777" w:rsidR="00111CDE" w:rsidRDefault="00240D65" w:rsidP="00111CDE">
      <w:pPr>
        <w:rPr>
          <w:rFonts w:ascii="Helvetica" w:hAnsi="Helvetica" w:cs="Helvetica"/>
          <w:sz w:val="16"/>
          <w:szCs w:val="16"/>
        </w:rPr>
      </w:pPr>
      <w:r w:rsidRPr="00240D65">
        <w:rPr>
          <w:rFonts w:ascii="Helvetica" w:hAnsi="Helvetica" w:cs="Helvetica"/>
          <w:sz w:val="16"/>
          <w:szCs w:val="16"/>
        </w:rPr>
        <w:t>Fuente: SICOIN, al 31 de diciembre de 2020</w:t>
      </w:r>
      <w:r w:rsidR="000B241B">
        <w:rPr>
          <w:rFonts w:ascii="Helvetica" w:hAnsi="Helvetica" w:cs="Helvetica"/>
          <w:sz w:val="16"/>
          <w:szCs w:val="16"/>
        </w:rPr>
        <w:t>.</w:t>
      </w:r>
    </w:p>
    <w:p w14:paraId="1D6703C6" w14:textId="35FCC3E9" w:rsidR="00111CDE" w:rsidRDefault="00111CDE" w:rsidP="00660E8C">
      <w:pPr>
        <w:jc w:val="both"/>
        <w:rPr>
          <w:rFonts w:ascii="Helvetica" w:eastAsia="Times New Roman" w:hAnsi="Helvetica" w:cs="Helvetica"/>
          <w:sz w:val="24"/>
          <w:szCs w:val="24"/>
          <w:lang w:val="es-ES"/>
        </w:rPr>
      </w:pPr>
      <w:r w:rsidRPr="00111CDE">
        <w:rPr>
          <w:rFonts w:ascii="Helvetica" w:eastAsia="Times New Roman" w:hAnsi="Helvetica" w:cs="Helvetica"/>
          <w:sz w:val="24"/>
          <w:szCs w:val="24"/>
          <w:lang w:val="es-ES"/>
        </w:rPr>
        <w:t>Respecto a las secretarías del ejecutivo, cuatro de ellas ejecutaron recursos del programa 94, por un total de Q. 27,514,830.00, de los cuales se logró el 80.72%</w:t>
      </w:r>
      <w:r>
        <w:rPr>
          <w:rFonts w:ascii="Helvetica" w:eastAsia="Times New Roman" w:hAnsi="Helvetica" w:cs="Helvetica"/>
          <w:sz w:val="24"/>
          <w:szCs w:val="24"/>
          <w:lang w:val="es-ES"/>
        </w:rPr>
        <w:t>. Ver tabla 9</w:t>
      </w:r>
      <w:r w:rsidR="00660E8C">
        <w:rPr>
          <w:rFonts w:ascii="Helvetica" w:eastAsia="Times New Roman" w:hAnsi="Helvetica" w:cs="Helvetica"/>
          <w:sz w:val="24"/>
          <w:szCs w:val="24"/>
          <w:lang w:val="es-ES"/>
        </w:rPr>
        <w:t>.</w:t>
      </w:r>
    </w:p>
    <w:p w14:paraId="42BEB89B" w14:textId="3A730685" w:rsidR="0041744F" w:rsidRDefault="0041744F" w:rsidP="00111CDE">
      <w:pPr>
        <w:rPr>
          <w:rFonts w:ascii="Helvetica" w:eastAsia="Times New Roman" w:hAnsi="Helvetica" w:cs="Helvetica"/>
          <w:sz w:val="24"/>
          <w:szCs w:val="24"/>
          <w:lang w:val="es-ES"/>
        </w:rPr>
      </w:pPr>
    </w:p>
    <w:p w14:paraId="69CDF122" w14:textId="77777777" w:rsidR="00D0650C" w:rsidRDefault="00D0650C" w:rsidP="00111CDE">
      <w:pPr>
        <w:rPr>
          <w:rFonts w:ascii="Helvetica" w:eastAsia="Times New Roman" w:hAnsi="Helvetica" w:cs="Helvetica"/>
          <w:sz w:val="24"/>
          <w:szCs w:val="24"/>
          <w:lang w:val="es-ES"/>
        </w:rPr>
      </w:pPr>
    </w:p>
    <w:p w14:paraId="685DDD3C" w14:textId="73FD3FBA" w:rsidR="00111CDE" w:rsidRDefault="00111CDE" w:rsidP="00111CDE">
      <w:pPr>
        <w:rPr>
          <w:rFonts w:ascii="Helvetica" w:eastAsia="Times New Roman" w:hAnsi="Helvetica" w:cs="Helvetica"/>
          <w:sz w:val="24"/>
          <w:szCs w:val="24"/>
          <w:lang w:val="es-ES"/>
        </w:rPr>
      </w:pPr>
    </w:p>
    <w:p w14:paraId="5582C937" w14:textId="156E2C8F" w:rsidR="00111CDE" w:rsidRDefault="00111CDE" w:rsidP="00111CDE">
      <w:pPr>
        <w:rPr>
          <w:rFonts w:ascii="Helvetica" w:eastAsia="Times New Roman" w:hAnsi="Helvetica" w:cs="Helvetica"/>
          <w:sz w:val="24"/>
          <w:szCs w:val="24"/>
          <w:lang w:val="es-ES"/>
        </w:rPr>
      </w:pPr>
    </w:p>
    <w:p w14:paraId="3EB01ACE" w14:textId="050114CD" w:rsidR="00111CDE" w:rsidRDefault="00111CDE" w:rsidP="00111CDE">
      <w:pPr>
        <w:rPr>
          <w:rFonts w:ascii="Helvetica" w:eastAsia="Times New Roman" w:hAnsi="Helvetica" w:cs="Helvetica"/>
          <w:sz w:val="24"/>
          <w:szCs w:val="24"/>
          <w:lang w:val="es-ES"/>
        </w:rPr>
      </w:pPr>
    </w:p>
    <w:p w14:paraId="1587A649" w14:textId="3D87D689" w:rsidR="00111CDE" w:rsidRDefault="00111CDE" w:rsidP="00111CDE">
      <w:pPr>
        <w:rPr>
          <w:rFonts w:ascii="Helvetica" w:eastAsia="Times New Roman" w:hAnsi="Helvetica" w:cs="Helvetica"/>
          <w:sz w:val="24"/>
          <w:szCs w:val="24"/>
          <w:lang w:val="es-ES"/>
        </w:rPr>
      </w:pPr>
    </w:p>
    <w:p w14:paraId="1F3E1199" w14:textId="77777777" w:rsidR="005D4383" w:rsidRDefault="005D4383" w:rsidP="00111CDE">
      <w:pPr>
        <w:rPr>
          <w:rFonts w:ascii="Helvetica" w:eastAsia="Times New Roman" w:hAnsi="Helvetica" w:cs="Helvetica"/>
          <w:sz w:val="24"/>
          <w:szCs w:val="24"/>
          <w:lang w:val="es-ES"/>
        </w:rPr>
      </w:pPr>
    </w:p>
    <w:tbl>
      <w:tblPr>
        <w:tblW w:w="7580" w:type="dxa"/>
        <w:jc w:val="center"/>
        <w:tblCellMar>
          <w:left w:w="70" w:type="dxa"/>
          <w:right w:w="70" w:type="dxa"/>
        </w:tblCellMar>
        <w:tblLook w:val="04A0" w:firstRow="1" w:lastRow="0" w:firstColumn="1" w:lastColumn="0" w:noHBand="0" w:noVBand="1"/>
      </w:tblPr>
      <w:tblGrid>
        <w:gridCol w:w="7580"/>
      </w:tblGrid>
      <w:tr w:rsidR="00240D65" w:rsidRPr="00240D65" w14:paraId="34A1FBB2" w14:textId="77777777" w:rsidTr="003964D8">
        <w:trPr>
          <w:trHeight w:val="405"/>
          <w:jc w:val="center"/>
        </w:trPr>
        <w:tc>
          <w:tcPr>
            <w:tcW w:w="7580" w:type="dxa"/>
            <w:tcBorders>
              <w:top w:val="nil"/>
              <w:left w:val="nil"/>
              <w:bottom w:val="nil"/>
              <w:right w:val="nil"/>
            </w:tcBorders>
            <w:shd w:val="clear" w:color="auto" w:fill="auto"/>
            <w:noWrap/>
            <w:vAlign w:val="center"/>
            <w:hideMark/>
          </w:tcPr>
          <w:p w14:paraId="1E6AE8ED" w14:textId="77777777" w:rsidR="005D4383" w:rsidRPr="00016865" w:rsidRDefault="002C61A9" w:rsidP="00111CDE">
            <w:pPr>
              <w:pStyle w:val="ttulosgrficas"/>
              <w:rPr>
                <w:rFonts w:eastAsia="Times New Roman"/>
                <w:color w:val="4472C4" w:themeColor="accent1"/>
                <w:lang w:val="es-ES"/>
              </w:rPr>
            </w:pPr>
            <w:bookmarkStart w:id="40" w:name="_Toc67589122"/>
            <w:r w:rsidRPr="00016865">
              <w:rPr>
                <w:rFonts w:eastAsia="Times New Roman"/>
                <w:color w:val="4472C4" w:themeColor="accent1"/>
                <w:lang w:val="es-ES"/>
              </w:rPr>
              <w:t xml:space="preserve">Tabla </w:t>
            </w:r>
            <w:r w:rsidRPr="00016865">
              <w:rPr>
                <w:rFonts w:eastAsia="Times New Roman"/>
                <w:color w:val="4472C4" w:themeColor="accent1"/>
                <w:lang w:val="es-ES"/>
              </w:rPr>
              <w:fldChar w:fldCharType="begin"/>
            </w:r>
            <w:r w:rsidRPr="00016865">
              <w:rPr>
                <w:rFonts w:eastAsia="Times New Roman"/>
                <w:color w:val="4472C4" w:themeColor="accent1"/>
                <w:lang w:val="es-ES"/>
              </w:rPr>
              <w:instrText xml:space="preserve"> SEQ Tabla \* ARABIC </w:instrText>
            </w:r>
            <w:r w:rsidRPr="00016865">
              <w:rPr>
                <w:rFonts w:eastAsia="Times New Roman"/>
                <w:color w:val="4472C4" w:themeColor="accent1"/>
                <w:lang w:val="es-ES"/>
              </w:rPr>
              <w:fldChar w:fldCharType="separate"/>
            </w:r>
            <w:r w:rsidR="00AA2593" w:rsidRPr="00016865">
              <w:rPr>
                <w:rFonts w:eastAsia="Times New Roman"/>
                <w:color w:val="4472C4" w:themeColor="accent1"/>
                <w:lang w:val="es-ES"/>
              </w:rPr>
              <w:t>9</w:t>
            </w:r>
            <w:r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240D65" w:rsidRPr="00016865">
              <w:rPr>
                <w:rFonts w:eastAsia="Times New Roman"/>
                <w:color w:val="4472C4" w:themeColor="accent1"/>
                <w:lang w:val="es-ES"/>
              </w:rPr>
              <w:t>PROGRAMA 94: Atención por Desastres Naturales</w:t>
            </w:r>
            <w:bookmarkEnd w:id="40"/>
          </w:p>
          <w:p w14:paraId="6952FCCE" w14:textId="2AC68F0E" w:rsidR="00240D65" w:rsidRPr="005D4383" w:rsidRDefault="00240D65" w:rsidP="00111CDE">
            <w:pPr>
              <w:pStyle w:val="ttulosgrficas"/>
              <w:rPr>
                <w:color w:val="auto"/>
                <w:lang w:eastAsia="es-GT"/>
              </w:rPr>
            </w:pPr>
            <w:r w:rsidRPr="005D4383">
              <w:rPr>
                <w:color w:val="auto"/>
                <w:lang w:eastAsia="es-GT"/>
              </w:rPr>
              <w:t xml:space="preserve"> </w:t>
            </w:r>
            <w:r w:rsidRPr="00016865">
              <w:rPr>
                <w:color w:val="4472C4" w:themeColor="accent1"/>
                <w:lang w:eastAsia="es-GT"/>
              </w:rPr>
              <w:t>y Calamidades Públicas</w:t>
            </w:r>
          </w:p>
          <w:p w14:paraId="0982D7CC" w14:textId="77777777" w:rsidR="00154839" w:rsidRDefault="00154839" w:rsidP="00154839">
            <w:pPr>
              <w:pStyle w:val="ttulosgrficas"/>
              <w:spacing w:line="120" w:lineRule="auto"/>
              <w:rPr>
                <w:lang w:eastAsia="es-GT"/>
              </w:rPr>
            </w:pPr>
          </w:p>
          <w:p w14:paraId="4B130B36" w14:textId="6153DD05" w:rsidR="000B241B" w:rsidRPr="00240D65" w:rsidRDefault="000B241B" w:rsidP="00111CDE">
            <w:pPr>
              <w:pStyle w:val="ttulosgrficas"/>
              <w:rPr>
                <w:lang w:eastAsia="es-GT"/>
              </w:rPr>
            </w:pPr>
          </w:p>
        </w:tc>
      </w:tr>
    </w:tbl>
    <w:tbl>
      <w:tblPr>
        <w:tblStyle w:val="GridTable4Accent1"/>
        <w:tblW w:w="0" w:type="auto"/>
        <w:tblLayout w:type="fixed"/>
        <w:tblLook w:val="04A0" w:firstRow="1" w:lastRow="0" w:firstColumn="1" w:lastColumn="0" w:noHBand="0" w:noVBand="1"/>
      </w:tblPr>
      <w:tblGrid>
        <w:gridCol w:w="2547"/>
        <w:gridCol w:w="1276"/>
        <w:gridCol w:w="1417"/>
        <w:gridCol w:w="1418"/>
        <w:gridCol w:w="1417"/>
        <w:gridCol w:w="1320"/>
      </w:tblGrid>
      <w:tr w:rsidR="00CA78AF" w:rsidRPr="00CA78AF" w14:paraId="583DA866" w14:textId="77777777" w:rsidTr="000B241B">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361E34C7" w14:textId="45374CB9" w:rsidR="00CA78AF" w:rsidRPr="00CA78AF" w:rsidRDefault="00CA78AF" w:rsidP="00111CDE">
            <w:pPr>
              <w:rPr>
                <w:rFonts w:ascii="Helvetica" w:hAnsi="Helvetica" w:cs="Helvetica"/>
                <w:b w:val="0"/>
                <w:bCs w:val="0"/>
                <w:sz w:val="18"/>
                <w:szCs w:val="18"/>
              </w:rPr>
            </w:pPr>
            <w:r w:rsidRPr="00CA78AF">
              <w:rPr>
                <w:rFonts w:ascii="Helvetica" w:hAnsi="Helvetica" w:cs="Helvetica"/>
                <w:sz w:val="18"/>
                <w:szCs w:val="18"/>
              </w:rPr>
              <w:t>INSTITUCIÓN</w:t>
            </w:r>
          </w:p>
        </w:tc>
        <w:tc>
          <w:tcPr>
            <w:tcW w:w="1276" w:type="dxa"/>
            <w:vAlign w:val="center"/>
            <w:hideMark/>
          </w:tcPr>
          <w:p w14:paraId="3FDB8831" w14:textId="77777777" w:rsidR="00CA78AF" w:rsidRPr="00CA78AF" w:rsidRDefault="00CA78AF"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CA78AF">
              <w:rPr>
                <w:rFonts w:ascii="Helvetica" w:hAnsi="Helvetica" w:cs="Helvetica"/>
                <w:sz w:val="18"/>
                <w:szCs w:val="18"/>
              </w:rPr>
              <w:t>ASIGNADO</w:t>
            </w:r>
          </w:p>
        </w:tc>
        <w:tc>
          <w:tcPr>
            <w:tcW w:w="1417" w:type="dxa"/>
            <w:vAlign w:val="center"/>
            <w:hideMark/>
          </w:tcPr>
          <w:p w14:paraId="640487BB" w14:textId="77777777" w:rsidR="00CA78AF" w:rsidRPr="00CA78AF" w:rsidRDefault="00CA78AF"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CA78AF">
              <w:rPr>
                <w:rFonts w:ascii="Helvetica" w:hAnsi="Helvetica" w:cs="Helvetica"/>
                <w:sz w:val="18"/>
                <w:szCs w:val="18"/>
              </w:rPr>
              <w:t>MODIFICADO</w:t>
            </w:r>
          </w:p>
        </w:tc>
        <w:tc>
          <w:tcPr>
            <w:tcW w:w="1418" w:type="dxa"/>
            <w:vAlign w:val="center"/>
            <w:hideMark/>
          </w:tcPr>
          <w:p w14:paraId="1CD7F929" w14:textId="77777777" w:rsidR="00CA78AF" w:rsidRPr="00CA78AF" w:rsidRDefault="00CA78AF"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CA78AF">
              <w:rPr>
                <w:rFonts w:ascii="Helvetica" w:hAnsi="Helvetica" w:cs="Helvetica"/>
                <w:sz w:val="18"/>
                <w:szCs w:val="18"/>
              </w:rPr>
              <w:t>VIGENTE</w:t>
            </w:r>
          </w:p>
        </w:tc>
        <w:tc>
          <w:tcPr>
            <w:tcW w:w="1417" w:type="dxa"/>
            <w:vAlign w:val="center"/>
            <w:hideMark/>
          </w:tcPr>
          <w:p w14:paraId="247E66C6" w14:textId="77777777" w:rsidR="00CA78AF" w:rsidRPr="00CA78AF" w:rsidRDefault="00CA78AF"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CA78AF">
              <w:rPr>
                <w:rFonts w:ascii="Helvetica" w:hAnsi="Helvetica" w:cs="Helvetica"/>
                <w:sz w:val="18"/>
                <w:szCs w:val="18"/>
              </w:rPr>
              <w:t>DEVENGADO</w:t>
            </w:r>
          </w:p>
        </w:tc>
        <w:tc>
          <w:tcPr>
            <w:tcW w:w="1320" w:type="dxa"/>
            <w:vAlign w:val="center"/>
            <w:hideMark/>
          </w:tcPr>
          <w:p w14:paraId="20397B58" w14:textId="77777777" w:rsidR="00CA78AF" w:rsidRPr="00CA78AF" w:rsidRDefault="00CA78AF" w:rsidP="000B241B">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18"/>
                <w:szCs w:val="18"/>
              </w:rPr>
            </w:pPr>
            <w:r w:rsidRPr="00CA78AF">
              <w:rPr>
                <w:rFonts w:ascii="Helvetica" w:hAnsi="Helvetica" w:cs="Helvetica"/>
                <w:sz w:val="18"/>
                <w:szCs w:val="18"/>
              </w:rPr>
              <w:t>% EJECUCIÓN</w:t>
            </w:r>
          </w:p>
        </w:tc>
      </w:tr>
      <w:tr w:rsidR="00240D65" w:rsidRPr="00CA78AF" w14:paraId="7B1F4939" w14:textId="77777777" w:rsidTr="000B241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547" w:type="dxa"/>
            <w:hideMark/>
          </w:tcPr>
          <w:p w14:paraId="50722B31" w14:textId="77777777" w:rsidR="00CA78AF" w:rsidRPr="00CA78AF" w:rsidRDefault="00CA78AF">
            <w:pPr>
              <w:rPr>
                <w:rFonts w:ascii="Helvetica" w:hAnsi="Helvetica" w:cs="Helvetica"/>
                <w:sz w:val="18"/>
                <w:szCs w:val="18"/>
              </w:rPr>
            </w:pPr>
            <w:r w:rsidRPr="00CA78AF">
              <w:rPr>
                <w:rFonts w:ascii="Helvetica" w:hAnsi="Helvetica" w:cs="Helvetica"/>
                <w:sz w:val="18"/>
                <w:szCs w:val="18"/>
              </w:rPr>
              <w:t>Secretaría de Comunicación Social de la Presidencia (SCSPR)</w:t>
            </w:r>
          </w:p>
        </w:tc>
        <w:tc>
          <w:tcPr>
            <w:tcW w:w="1276" w:type="dxa"/>
            <w:hideMark/>
          </w:tcPr>
          <w:p w14:paraId="46EFE459"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0.00</w:t>
            </w:r>
          </w:p>
        </w:tc>
        <w:tc>
          <w:tcPr>
            <w:tcW w:w="1417" w:type="dxa"/>
            <w:hideMark/>
          </w:tcPr>
          <w:p w14:paraId="7C17F33C"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17,600,000.00</w:t>
            </w:r>
          </w:p>
        </w:tc>
        <w:tc>
          <w:tcPr>
            <w:tcW w:w="1418" w:type="dxa"/>
            <w:hideMark/>
          </w:tcPr>
          <w:p w14:paraId="3DDB3AE2"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17,600,000.00</w:t>
            </w:r>
          </w:p>
        </w:tc>
        <w:tc>
          <w:tcPr>
            <w:tcW w:w="1417" w:type="dxa"/>
            <w:hideMark/>
          </w:tcPr>
          <w:p w14:paraId="1E6ED422"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17,549,195.74</w:t>
            </w:r>
          </w:p>
        </w:tc>
        <w:tc>
          <w:tcPr>
            <w:tcW w:w="1320" w:type="dxa"/>
            <w:noWrap/>
            <w:hideMark/>
          </w:tcPr>
          <w:p w14:paraId="1CCCE2A3"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99.71</w:t>
            </w:r>
          </w:p>
        </w:tc>
      </w:tr>
      <w:tr w:rsidR="00240D65" w:rsidRPr="00CA78AF" w14:paraId="309E9661" w14:textId="77777777" w:rsidTr="000B241B">
        <w:trPr>
          <w:trHeight w:val="630"/>
        </w:trPr>
        <w:tc>
          <w:tcPr>
            <w:cnfStyle w:val="001000000000" w:firstRow="0" w:lastRow="0" w:firstColumn="1" w:lastColumn="0" w:oddVBand="0" w:evenVBand="0" w:oddHBand="0" w:evenHBand="0" w:firstRowFirstColumn="0" w:firstRowLastColumn="0" w:lastRowFirstColumn="0" w:lastRowLastColumn="0"/>
            <w:tcW w:w="2547" w:type="dxa"/>
            <w:hideMark/>
          </w:tcPr>
          <w:p w14:paraId="7A4910E1" w14:textId="77777777" w:rsidR="00CA78AF" w:rsidRPr="00CA78AF" w:rsidRDefault="00CA78AF">
            <w:pPr>
              <w:rPr>
                <w:rFonts w:ascii="Helvetica" w:hAnsi="Helvetica" w:cs="Helvetica"/>
                <w:sz w:val="18"/>
                <w:szCs w:val="18"/>
              </w:rPr>
            </w:pPr>
            <w:r w:rsidRPr="00CA78AF">
              <w:rPr>
                <w:rFonts w:ascii="Helvetica" w:hAnsi="Helvetica" w:cs="Helvetica"/>
                <w:sz w:val="18"/>
                <w:szCs w:val="18"/>
              </w:rPr>
              <w:t>Secretaría de Obras Sociales de la Esposa del Presidente (SOSEP)</w:t>
            </w:r>
          </w:p>
        </w:tc>
        <w:tc>
          <w:tcPr>
            <w:tcW w:w="1276" w:type="dxa"/>
            <w:noWrap/>
            <w:hideMark/>
          </w:tcPr>
          <w:p w14:paraId="60198DA2"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0.00</w:t>
            </w:r>
          </w:p>
        </w:tc>
        <w:tc>
          <w:tcPr>
            <w:tcW w:w="1417" w:type="dxa"/>
            <w:noWrap/>
            <w:hideMark/>
          </w:tcPr>
          <w:p w14:paraId="4F5B7078"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1,016,690.00</w:t>
            </w:r>
          </w:p>
        </w:tc>
        <w:tc>
          <w:tcPr>
            <w:tcW w:w="1418" w:type="dxa"/>
            <w:noWrap/>
            <w:hideMark/>
          </w:tcPr>
          <w:p w14:paraId="01F685A9"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1,016,690.00</w:t>
            </w:r>
          </w:p>
        </w:tc>
        <w:tc>
          <w:tcPr>
            <w:tcW w:w="1417" w:type="dxa"/>
            <w:noWrap/>
            <w:hideMark/>
          </w:tcPr>
          <w:p w14:paraId="6972649B"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934,682.39</w:t>
            </w:r>
          </w:p>
        </w:tc>
        <w:tc>
          <w:tcPr>
            <w:tcW w:w="1320" w:type="dxa"/>
            <w:noWrap/>
            <w:hideMark/>
          </w:tcPr>
          <w:p w14:paraId="648A81B3"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91.93</w:t>
            </w:r>
          </w:p>
        </w:tc>
      </w:tr>
      <w:tr w:rsidR="00240D65" w:rsidRPr="00CA78AF" w14:paraId="37B6CCC7" w14:textId="77777777" w:rsidTr="000B241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547" w:type="dxa"/>
            <w:hideMark/>
          </w:tcPr>
          <w:p w14:paraId="4EFBE5B9" w14:textId="77777777" w:rsidR="00CA78AF" w:rsidRPr="00CA78AF" w:rsidRDefault="00CA78AF">
            <w:pPr>
              <w:rPr>
                <w:rFonts w:ascii="Helvetica" w:hAnsi="Helvetica" w:cs="Helvetica"/>
                <w:sz w:val="18"/>
                <w:szCs w:val="18"/>
              </w:rPr>
            </w:pPr>
            <w:r w:rsidRPr="00CA78AF">
              <w:rPr>
                <w:rFonts w:ascii="Helvetica" w:hAnsi="Helvetica" w:cs="Helvetica"/>
                <w:sz w:val="18"/>
                <w:szCs w:val="18"/>
              </w:rPr>
              <w:t>Secretaría de Bienestar Social de la Presidencia (SBS)</w:t>
            </w:r>
          </w:p>
        </w:tc>
        <w:tc>
          <w:tcPr>
            <w:tcW w:w="1276" w:type="dxa"/>
            <w:noWrap/>
            <w:hideMark/>
          </w:tcPr>
          <w:p w14:paraId="30A8C5EC"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0.00</w:t>
            </w:r>
          </w:p>
        </w:tc>
        <w:tc>
          <w:tcPr>
            <w:tcW w:w="1417" w:type="dxa"/>
            <w:noWrap/>
            <w:hideMark/>
          </w:tcPr>
          <w:p w14:paraId="55BDAECC"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5,398,140.00</w:t>
            </w:r>
          </w:p>
        </w:tc>
        <w:tc>
          <w:tcPr>
            <w:tcW w:w="1418" w:type="dxa"/>
            <w:noWrap/>
            <w:hideMark/>
          </w:tcPr>
          <w:p w14:paraId="68E7AD8F"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5,398,140.00</w:t>
            </w:r>
          </w:p>
        </w:tc>
        <w:tc>
          <w:tcPr>
            <w:tcW w:w="1417" w:type="dxa"/>
            <w:noWrap/>
            <w:hideMark/>
          </w:tcPr>
          <w:p w14:paraId="1AFA44E8"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2,547,761.43</w:t>
            </w:r>
          </w:p>
        </w:tc>
        <w:tc>
          <w:tcPr>
            <w:tcW w:w="1320" w:type="dxa"/>
            <w:noWrap/>
            <w:hideMark/>
          </w:tcPr>
          <w:p w14:paraId="0E3238B9" w14:textId="77777777" w:rsidR="00CA78AF" w:rsidRPr="00CA78AF" w:rsidRDefault="00CA78AF" w:rsidP="00CA78AF">
            <w:pPr>
              <w:cnfStyle w:val="000000100000" w:firstRow="0" w:lastRow="0" w:firstColumn="0" w:lastColumn="0" w:oddVBand="0" w:evenVBand="0" w:oddHBand="1"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47.20</w:t>
            </w:r>
          </w:p>
        </w:tc>
      </w:tr>
      <w:tr w:rsidR="00240D65" w:rsidRPr="00CA78AF" w14:paraId="625E1BD3" w14:textId="77777777" w:rsidTr="000B241B">
        <w:trPr>
          <w:trHeight w:val="630"/>
        </w:trPr>
        <w:tc>
          <w:tcPr>
            <w:cnfStyle w:val="001000000000" w:firstRow="0" w:lastRow="0" w:firstColumn="1" w:lastColumn="0" w:oddVBand="0" w:evenVBand="0" w:oddHBand="0" w:evenHBand="0" w:firstRowFirstColumn="0" w:firstRowLastColumn="0" w:lastRowFirstColumn="0" w:lastRowLastColumn="0"/>
            <w:tcW w:w="2547" w:type="dxa"/>
            <w:hideMark/>
          </w:tcPr>
          <w:p w14:paraId="7ADAB147" w14:textId="77777777" w:rsidR="00CA78AF" w:rsidRPr="00CA78AF" w:rsidRDefault="00CA78AF">
            <w:pPr>
              <w:rPr>
                <w:rFonts w:ascii="Helvetica" w:hAnsi="Helvetica" w:cs="Helvetica"/>
                <w:sz w:val="18"/>
                <w:szCs w:val="18"/>
              </w:rPr>
            </w:pPr>
            <w:r w:rsidRPr="00CA78AF">
              <w:rPr>
                <w:rFonts w:ascii="Helvetica" w:hAnsi="Helvetica" w:cs="Helvetica"/>
                <w:sz w:val="18"/>
                <w:szCs w:val="18"/>
              </w:rPr>
              <w:t>Secretaría Privada de la Presidencia de la República (SPP)</w:t>
            </w:r>
          </w:p>
        </w:tc>
        <w:tc>
          <w:tcPr>
            <w:tcW w:w="1276" w:type="dxa"/>
            <w:noWrap/>
            <w:hideMark/>
          </w:tcPr>
          <w:p w14:paraId="32CFD978"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0.00</w:t>
            </w:r>
          </w:p>
        </w:tc>
        <w:tc>
          <w:tcPr>
            <w:tcW w:w="1417" w:type="dxa"/>
            <w:noWrap/>
            <w:hideMark/>
          </w:tcPr>
          <w:p w14:paraId="6AD6A0FD"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3,500,000.00</w:t>
            </w:r>
          </w:p>
        </w:tc>
        <w:tc>
          <w:tcPr>
            <w:tcW w:w="1418" w:type="dxa"/>
            <w:noWrap/>
            <w:hideMark/>
          </w:tcPr>
          <w:p w14:paraId="46EB064B"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3,500,000.00</w:t>
            </w:r>
          </w:p>
        </w:tc>
        <w:tc>
          <w:tcPr>
            <w:tcW w:w="1417" w:type="dxa"/>
            <w:noWrap/>
            <w:hideMark/>
          </w:tcPr>
          <w:p w14:paraId="415D32CE"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1,179,268.68</w:t>
            </w:r>
          </w:p>
        </w:tc>
        <w:tc>
          <w:tcPr>
            <w:tcW w:w="1320" w:type="dxa"/>
            <w:noWrap/>
            <w:hideMark/>
          </w:tcPr>
          <w:p w14:paraId="2F72CE39" w14:textId="77777777" w:rsidR="00CA78AF" w:rsidRPr="00CA78AF" w:rsidRDefault="00CA78AF" w:rsidP="00CA78AF">
            <w:pPr>
              <w:cnfStyle w:val="000000000000" w:firstRow="0" w:lastRow="0" w:firstColumn="0" w:lastColumn="0" w:oddVBand="0" w:evenVBand="0" w:oddHBand="0" w:evenHBand="0" w:firstRowFirstColumn="0" w:firstRowLastColumn="0" w:lastRowFirstColumn="0" w:lastRowLastColumn="0"/>
              <w:rPr>
                <w:rFonts w:ascii="Helvetica" w:hAnsi="Helvetica" w:cs="Helvetica"/>
                <w:sz w:val="18"/>
                <w:szCs w:val="18"/>
              </w:rPr>
            </w:pPr>
            <w:r w:rsidRPr="00CA78AF">
              <w:rPr>
                <w:rFonts w:ascii="Helvetica" w:hAnsi="Helvetica" w:cs="Helvetica"/>
                <w:sz w:val="18"/>
                <w:szCs w:val="18"/>
              </w:rPr>
              <w:t>33.69</w:t>
            </w:r>
          </w:p>
        </w:tc>
      </w:tr>
      <w:tr w:rsidR="00EE284B" w:rsidRPr="00CA78AF" w14:paraId="013F9C92" w14:textId="77777777" w:rsidTr="000B241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F5E538E" w14:textId="77777777" w:rsidR="00EE284B" w:rsidRPr="00CA78AF" w:rsidRDefault="00EE284B" w:rsidP="00EE284B">
            <w:pPr>
              <w:rPr>
                <w:rFonts w:ascii="Helvetica" w:hAnsi="Helvetica" w:cs="Helvetica"/>
                <w:b w:val="0"/>
                <w:bCs w:val="0"/>
                <w:sz w:val="18"/>
                <w:szCs w:val="18"/>
              </w:rPr>
            </w:pPr>
            <w:r w:rsidRPr="00CA78AF">
              <w:rPr>
                <w:rFonts w:ascii="Helvetica" w:hAnsi="Helvetica" w:cs="Helvetica"/>
                <w:sz w:val="18"/>
                <w:szCs w:val="18"/>
              </w:rPr>
              <w:t>Total</w:t>
            </w:r>
          </w:p>
        </w:tc>
        <w:tc>
          <w:tcPr>
            <w:tcW w:w="1276" w:type="dxa"/>
            <w:noWrap/>
            <w:hideMark/>
          </w:tcPr>
          <w:p w14:paraId="70B8499F" w14:textId="77777777" w:rsidR="00EE284B" w:rsidRPr="00CA78AF" w:rsidRDefault="00EE284B" w:rsidP="00EE284B">
            <w:pP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sidRPr="00CA78AF">
              <w:rPr>
                <w:rFonts w:ascii="Helvetica" w:hAnsi="Helvetica" w:cs="Helvetica"/>
                <w:b/>
                <w:bCs/>
                <w:sz w:val="18"/>
                <w:szCs w:val="18"/>
              </w:rPr>
              <w:t>0.00</w:t>
            </w:r>
          </w:p>
        </w:tc>
        <w:tc>
          <w:tcPr>
            <w:tcW w:w="1417" w:type="dxa"/>
            <w:noWrap/>
            <w:hideMark/>
          </w:tcPr>
          <w:p w14:paraId="68ED4D33" w14:textId="77777777" w:rsidR="00EE284B" w:rsidRPr="00CA78AF" w:rsidRDefault="00EE284B" w:rsidP="00EE284B">
            <w:pP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sidRPr="00CA78AF">
              <w:rPr>
                <w:rFonts w:ascii="Helvetica" w:hAnsi="Helvetica" w:cs="Helvetica"/>
                <w:b/>
                <w:bCs/>
                <w:sz w:val="18"/>
                <w:szCs w:val="18"/>
              </w:rPr>
              <w:t>27,514,830.00</w:t>
            </w:r>
          </w:p>
        </w:tc>
        <w:tc>
          <w:tcPr>
            <w:tcW w:w="1418" w:type="dxa"/>
            <w:noWrap/>
            <w:hideMark/>
          </w:tcPr>
          <w:p w14:paraId="72B781DB" w14:textId="77777777" w:rsidR="00EE284B" w:rsidRPr="00CA78AF" w:rsidRDefault="00EE284B" w:rsidP="00EE284B">
            <w:pP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sidRPr="00CA78AF">
              <w:rPr>
                <w:rFonts w:ascii="Helvetica" w:hAnsi="Helvetica" w:cs="Helvetica"/>
                <w:b/>
                <w:bCs/>
                <w:sz w:val="18"/>
                <w:szCs w:val="18"/>
              </w:rPr>
              <w:t>27,514,830.00</w:t>
            </w:r>
          </w:p>
        </w:tc>
        <w:tc>
          <w:tcPr>
            <w:tcW w:w="1417" w:type="dxa"/>
            <w:noWrap/>
            <w:hideMark/>
          </w:tcPr>
          <w:p w14:paraId="04FD90B8" w14:textId="77777777" w:rsidR="00EE284B" w:rsidRPr="00CA78AF" w:rsidRDefault="00EE284B" w:rsidP="00EE284B">
            <w:pP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sidRPr="00CA78AF">
              <w:rPr>
                <w:rFonts w:ascii="Helvetica" w:hAnsi="Helvetica" w:cs="Helvetica"/>
                <w:b/>
                <w:bCs/>
                <w:sz w:val="18"/>
                <w:szCs w:val="18"/>
              </w:rPr>
              <w:t>22,210,908.24</w:t>
            </w:r>
          </w:p>
        </w:tc>
        <w:tc>
          <w:tcPr>
            <w:tcW w:w="1320" w:type="dxa"/>
            <w:noWrap/>
            <w:hideMark/>
          </w:tcPr>
          <w:p w14:paraId="0EA59486" w14:textId="554CE184" w:rsidR="00EE284B" w:rsidRPr="00CA78AF" w:rsidRDefault="00EE284B" w:rsidP="00EE284B">
            <w:pPr>
              <w:cnfStyle w:val="000000100000" w:firstRow="0" w:lastRow="0" w:firstColumn="0" w:lastColumn="0" w:oddVBand="0" w:evenVBand="0" w:oddHBand="1" w:evenHBand="0" w:firstRowFirstColumn="0" w:firstRowLastColumn="0" w:lastRowFirstColumn="0" w:lastRowLastColumn="0"/>
              <w:rPr>
                <w:rFonts w:ascii="Helvetica" w:hAnsi="Helvetica" w:cs="Helvetica"/>
                <w:b/>
                <w:bCs/>
                <w:sz w:val="18"/>
                <w:szCs w:val="18"/>
              </w:rPr>
            </w:pPr>
            <w:r>
              <w:rPr>
                <w:rFonts w:ascii="Helvetica" w:hAnsi="Helvetica" w:cs="Helvetica"/>
                <w:b/>
                <w:bCs/>
                <w:sz w:val="18"/>
                <w:szCs w:val="18"/>
              </w:rPr>
              <w:t>80.72%</w:t>
            </w:r>
          </w:p>
        </w:tc>
      </w:tr>
    </w:tbl>
    <w:p w14:paraId="3A70639E" w14:textId="272740C2" w:rsidR="00240D65" w:rsidRPr="00240D65" w:rsidRDefault="00240D65" w:rsidP="00240D65">
      <w:pPr>
        <w:rPr>
          <w:rFonts w:ascii="Helvetica" w:hAnsi="Helvetica" w:cs="Helvetica"/>
          <w:sz w:val="16"/>
          <w:szCs w:val="16"/>
        </w:rPr>
      </w:pPr>
      <w:r w:rsidRPr="00240D65">
        <w:rPr>
          <w:rFonts w:ascii="Helvetica" w:hAnsi="Helvetica" w:cs="Helvetica"/>
          <w:sz w:val="16"/>
          <w:szCs w:val="16"/>
        </w:rPr>
        <w:t>Fuente: SICOIN, al 31 de diciembre de 2020</w:t>
      </w:r>
      <w:r w:rsidR="000B241B">
        <w:rPr>
          <w:rFonts w:ascii="Helvetica" w:hAnsi="Helvetica" w:cs="Helvetica"/>
          <w:sz w:val="16"/>
          <w:szCs w:val="16"/>
        </w:rPr>
        <w:t>.</w:t>
      </w:r>
    </w:p>
    <w:p w14:paraId="79E063A8" w14:textId="12359848" w:rsidR="00BA17A3" w:rsidRDefault="00BA17A3" w:rsidP="005E02B9">
      <w:pPr>
        <w:pStyle w:val="Ttulo1"/>
        <w:numPr>
          <w:ilvl w:val="0"/>
          <w:numId w:val="11"/>
        </w:numPr>
      </w:pPr>
      <w:bookmarkStart w:id="41" w:name="_Toc67589094"/>
      <w:r>
        <w:t xml:space="preserve">Avance de metas y cumplimiento de la calidad del </w:t>
      </w:r>
      <w:r w:rsidRPr="008D1CB6">
        <w:t>gasto</w:t>
      </w:r>
      <w:r>
        <w:t xml:space="preserve"> de los gobiernos locales</w:t>
      </w:r>
      <w:bookmarkEnd w:id="41"/>
    </w:p>
    <w:p w14:paraId="021A3EC0" w14:textId="77777777" w:rsidR="000B241B" w:rsidRDefault="000B241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E5D0618" w14:textId="1BCF7DCF"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Como parte importante del análisis de la gestión pública, se presenta lo relativo a la entrega de bienes y servicios, avance y/o cumplimiento de intervenciones o proyectos, así como el uso de los recursos por parte de los gobiernos locales. </w:t>
      </w:r>
    </w:p>
    <w:p w14:paraId="11BF9ADE"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EA50073" w14:textId="235CB6B2"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Desde su mandato, SEGEPLAN, ha generado capacidades técnicas en las municipalidades otorgando asistencia técnica y acompañamiento en lo referente a la </w:t>
      </w:r>
      <w:r w:rsidR="00EE284B">
        <w:rPr>
          <w:rFonts w:ascii="Helvetica" w:eastAsia="Times New Roman" w:hAnsi="Helvetica" w:cs="Helvetica"/>
          <w:sz w:val="24"/>
          <w:szCs w:val="24"/>
          <w:lang w:val="es-ES"/>
        </w:rPr>
        <w:t>P</w:t>
      </w:r>
      <w:r w:rsidRPr="003051CD">
        <w:rPr>
          <w:rFonts w:ascii="Helvetica" w:eastAsia="Times New Roman" w:hAnsi="Helvetica" w:cs="Helvetica"/>
          <w:sz w:val="24"/>
          <w:szCs w:val="24"/>
          <w:lang w:val="es-ES"/>
        </w:rPr>
        <w:t xml:space="preserve">lanificación </w:t>
      </w:r>
      <w:r w:rsidR="00EE284B">
        <w:rPr>
          <w:rFonts w:ascii="Helvetica" w:eastAsia="Times New Roman" w:hAnsi="Helvetica" w:cs="Helvetica"/>
          <w:sz w:val="24"/>
          <w:szCs w:val="24"/>
          <w:lang w:val="es-ES"/>
        </w:rPr>
        <w:t>E</w:t>
      </w:r>
      <w:r w:rsidRPr="003051CD">
        <w:rPr>
          <w:rFonts w:ascii="Helvetica" w:eastAsia="Times New Roman" w:hAnsi="Helvetica" w:cs="Helvetica"/>
          <w:sz w:val="24"/>
          <w:szCs w:val="24"/>
          <w:lang w:val="es-ES"/>
        </w:rPr>
        <w:t xml:space="preserve">stratégica, </w:t>
      </w:r>
      <w:r w:rsidR="00EE284B">
        <w:rPr>
          <w:rFonts w:ascii="Helvetica" w:eastAsia="Times New Roman" w:hAnsi="Helvetica" w:cs="Helvetica"/>
          <w:sz w:val="24"/>
          <w:szCs w:val="24"/>
          <w:lang w:val="es-ES"/>
        </w:rPr>
        <w:t>O</w:t>
      </w:r>
      <w:r w:rsidRPr="003051CD">
        <w:rPr>
          <w:rFonts w:ascii="Helvetica" w:eastAsia="Times New Roman" w:hAnsi="Helvetica" w:cs="Helvetica"/>
          <w:sz w:val="24"/>
          <w:szCs w:val="24"/>
          <w:lang w:val="es-ES"/>
        </w:rPr>
        <w:t xml:space="preserve">perativa </w:t>
      </w:r>
      <w:r w:rsidR="00EE284B">
        <w:rPr>
          <w:rFonts w:ascii="Helvetica" w:eastAsia="Times New Roman" w:hAnsi="Helvetica" w:cs="Helvetica"/>
          <w:sz w:val="24"/>
          <w:szCs w:val="24"/>
          <w:lang w:val="es-ES"/>
        </w:rPr>
        <w:t>M</w:t>
      </w:r>
      <w:r w:rsidRPr="003051CD">
        <w:rPr>
          <w:rFonts w:ascii="Helvetica" w:eastAsia="Times New Roman" w:hAnsi="Helvetica" w:cs="Helvetica"/>
          <w:sz w:val="24"/>
          <w:szCs w:val="24"/>
          <w:lang w:val="es-ES"/>
        </w:rPr>
        <w:t xml:space="preserve">ultianual y </w:t>
      </w:r>
      <w:r w:rsidR="00EE284B">
        <w:rPr>
          <w:rFonts w:ascii="Helvetica" w:eastAsia="Times New Roman" w:hAnsi="Helvetica" w:cs="Helvetica"/>
          <w:sz w:val="24"/>
          <w:szCs w:val="24"/>
          <w:lang w:val="es-ES"/>
        </w:rPr>
        <w:t>A</w:t>
      </w:r>
      <w:r w:rsidRPr="003051CD">
        <w:rPr>
          <w:rFonts w:ascii="Helvetica" w:eastAsia="Times New Roman" w:hAnsi="Helvetica" w:cs="Helvetica"/>
          <w:sz w:val="24"/>
          <w:szCs w:val="24"/>
          <w:lang w:val="es-ES"/>
        </w:rPr>
        <w:t xml:space="preserve">nual. Ese esfuerzo, ha facilitado el ingreso de la planificación en el </w:t>
      </w:r>
      <w:r w:rsidR="00B0643E">
        <w:rPr>
          <w:rFonts w:ascii="Helvetica" w:eastAsia="Times New Roman" w:hAnsi="Helvetica" w:cs="Helvetica"/>
          <w:sz w:val="24"/>
          <w:szCs w:val="24"/>
          <w:lang w:val="es-ES"/>
        </w:rPr>
        <w:t>S</w:t>
      </w:r>
      <w:r w:rsidRPr="003051CD">
        <w:rPr>
          <w:rFonts w:ascii="Helvetica" w:eastAsia="Times New Roman" w:hAnsi="Helvetica" w:cs="Helvetica"/>
          <w:sz w:val="24"/>
          <w:szCs w:val="24"/>
          <w:lang w:val="es-ES"/>
        </w:rPr>
        <w:t>iplan gl, herramienta de la cual se toman los datos que se presentan a continuación.</w:t>
      </w:r>
    </w:p>
    <w:p w14:paraId="1B0F38C3"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201436B" w14:textId="3CF4872E"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En este apartado, se muestra el uso de los recursos de parte de los gobiernos locales, según datos mostrados en Siplangl, del año 2020.</w:t>
      </w:r>
      <w:r w:rsidR="00660E8C">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 xml:space="preserve">Así mismo, se incluirá el análisis del programa 94, donde se registró la ejecución de recursos para atender la emergencia COVID 19, mostrando el avance de las acciones planificadas y ejecutadas. </w:t>
      </w:r>
    </w:p>
    <w:p w14:paraId="75842AA6"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A6506C8" w14:textId="27C6275D"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De los 340 municipios del país, SEGEPLAN, al 31 de diciembre del 2020, tuvo acceso a 24</w:t>
      </w:r>
      <w:r w:rsidR="00BC13E9">
        <w:rPr>
          <w:rFonts w:ascii="Helvetica" w:eastAsia="Times New Roman" w:hAnsi="Helvetica" w:cs="Helvetica"/>
          <w:sz w:val="24"/>
          <w:szCs w:val="24"/>
          <w:lang w:val="es-ES"/>
        </w:rPr>
        <w:t>4</w:t>
      </w:r>
      <w:r w:rsidRPr="003051CD">
        <w:rPr>
          <w:rFonts w:ascii="Helvetica" w:eastAsia="Times New Roman" w:hAnsi="Helvetica" w:cs="Helvetica"/>
          <w:sz w:val="24"/>
          <w:szCs w:val="24"/>
          <w:lang w:val="es-ES"/>
        </w:rPr>
        <w:t xml:space="preserve"> (7</w:t>
      </w:r>
      <w:r w:rsidR="00BC13E9">
        <w:rPr>
          <w:rFonts w:ascii="Helvetica" w:eastAsia="Times New Roman" w:hAnsi="Helvetica" w:cs="Helvetica"/>
          <w:sz w:val="24"/>
          <w:szCs w:val="24"/>
          <w:lang w:val="es-ES"/>
        </w:rPr>
        <w:t>2</w:t>
      </w:r>
      <w:r w:rsidRPr="003051CD">
        <w:rPr>
          <w:rFonts w:ascii="Helvetica" w:eastAsia="Times New Roman" w:hAnsi="Helvetica" w:cs="Helvetica"/>
          <w:sz w:val="24"/>
          <w:szCs w:val="24"/>
          <w:lang w:val="es-ES"/>
        </w:rPr>
        <w:t xml:space="preserve">%) informes que fueron cargados al sistema (respaldados por los oficios entregados en las diferentes delegaciones departamentales, según Of. CIRCULAR-DASPP-3-2020). </w:t>
      </w:r>
    </w:p>
    <w:p w14:paraId="40C216D3"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0F27344" w14:textId="0EB662FC" w:rsidR="00693BD9" w:rsidRPr="003051CD" w:rsidRDefault="00E47805" w:rsidP="00693BD9">
      <w:pPr>
        <w:autoSpaceDE w:val="0"/>
        <w:autoSpaceDN w:val="0"/>
        <w:adjustRightInd w:val="0"/>
        <w:spacing w:after="0" w:line="240" w:lineRule="auto"/>
        <w:jc w:val="both"/>
        <w:rPr>
          <w:rFonts w:ascii="Helvetica" w:eastAsia="Times New Roman" w:hAnsi="Helvetica" w:cs="Helvetica"/>
          <w:sz w:val="24"/>
          <w:szCs w:val="24"/>
          <w:lang w:val="es-ES"/>
        </w:rPr>
      </w:pPr>
      <w:r>
        <w:rPr>
          <w:rFonts w:ascii="Helvetica" w:eastAsia="Times New Roman" w:hAnsi="Helvetica" w:cs="Helvetica"/>
          <w:sz w:val="24"/>
          <w:szCs w:val="24"/>
          <w:lang w:val="es-ES"/>
        </w:rPr>
        <w:t>De esa información se observa que,</w:t>
      </w:r>
      <w:r w:rsidR="00693BD9" w:rsidRPr="003051CD">
        <w:rPr>
          <w:rFonts w:ascii="Helvetica" w:eastAsia="Times New Roman" w:hAnsi="Helvetica" w:cs="Helvetica"/>
          <w:sz w:val="24"/>
          <w:szCs w:val="24"/>
          <w:lang w:val="es-ES"/>
        </w:rPr>
        <w:t xml:space="preserve"> a nivel nacional, en materia de inversión, se </w:t>
      </w:r>
      <w:r>
        <w:rPr>
          <w:rFonts w:ascii="Helvetica" w:eastAsia="Times New Roman" w:hAnsi="Helvetica" w:cs="Helvetica"/>
          <w:sz w:val="24"/>
          <w:szCs w:val="24"/>
          <w:lang w:val="es-ES"/>
        </w:rPr>
        <w:t xml:space="preserve">programaron </w:t>
      </w:r>
      <w:r w:rsidR="00693BD9" w:rsidRPr="003051CD">
        <w:rPr>
          <w:rFonts w:ascii="Helvetica" w:eastAsia="Times New Roman" w:hAnsi="Helvetica" w:cs="Helvetica"/>
          <w:sz w:val="24"/>
          <w:szCs w:val="24"/>
          <w:lang w:val="es-ES"/>
        </w:rPr>
        <w:t>21,</w:t>
      </w:r>
      <w:r w:rsidR="00547B76">
        <w:rPr>
          <w:rFonts w:ascii="Helvetica" w:eastAsia="Times New Roman" w:hAnsi="Helvetica" w:cs="Helvetica"/>
          <w:sz w:val="24"/>
          <w:szCs w:val="24"/>
          <w:lang w:val="es-ES"/>
        </w:rPr>
        <w:t>447</w:t>
      </w:r>
      <w:r w:rsidR="00693BD9" w:rsidRPr="003051CD">
        <w:rPr>
          <w:rFonts w:ascii="Helvetica" w:eastAsia="Times New Roman" w:hAnsi="Helvetica" w:cs="Helvetica"/>
          <w:sz w:val="24"/>
          <w:szCs w:val="24"/>
          <w:lang w:val="es-ES"/>
        </w:rPr>
        <w:t xml:space="preserve"> proyectos; de éstos, 17,</w:t>
      </w:r>
      <w:r w:rsidR="00547B76">
        <w:rPr>
          <w:rFonts w:ascii="Helvetica" w:eastAsia="Times New Roman" w:hAnsi="Helvetica" w:cs="Helvetica"/>
          <w:sz w:val="24"/>
          <w:szCs w:val="24"/>
          <w:lang w:val="es-ES"/>
        </w:rPr>
        <w:t>910</w:t>
      </w:r>
      <w:r w:rsidR="00693BD9" w:rsidRPr="003051CD">
        <w:rPr>
          <w:rFonts w:ascii="Helvetica" w:eastAsia="Times New Roman" w:hAnsi="Helvetica" w:cs="Helvetica"/>
          <w:sz w:val="24"/>
          <w:szCs w:val="24"/>
          <w:lang w:val="es-ES"/>
        </w:rPr>
        <w:t xml:space="preserve"> (8</w:t>
      </w:r>
      <w:r w:rsidR="00547B76">
        <w:rPr>
          <w:rFonts w:ascii="Helvetica" w:eastAsia="Times New Roman" w:hAnsi="Helvetica" w:cs="Helvetica"/>
          <w:sz w:val="24"/>
          <w:szCs w:val="24"/>
          <w:lang w:val="es-ES"/>
        </w:rPr>
        <w:t>4</w:t>
      </w:r>
      <w:r w:rsidR="00693BD9" w:rsidRPr="003051CD">
        <w:rPr>
          <w:rFonts w:ascii="Helvetica" w:eastAsia="Times New Roman" w:hAnsi="Helvetica" w:cs="Helvetica"/>
          <w:sz w:val="24"/>
          <w:szCs w:val="24"/>
          <w:lang w:val="es-ES"/>
        </w:rPr>
        <w:t>%) cuentan con código SNIP, con un promedio de avance físico del 88% y ejecución financiera del 57%. Los cuales, corresponden: 9,6</w:t>
      </w:r>
      <w:r w:rsidR="00547B76">
        <w:rPr>
          <w:rFonts w:ascii="Helvetica" w:eastAsia="Times New Roman" w:hAnsi="Helvetica" w:cs="Helvetica"/>
          <w:sz w:val="24"/>
          <w:szCs w:val="24"/>
          <w:lang w:val="es-ES"/>
        </w:rPr>
        <w:t>64</w:t>
      </w:r>
      <w:r w:rsidR="00693BD9" w:rsidRPr="003051CD">
        <w:rPr>
          <w:rFonts w:ascii="Helvetica" w:eastAsia="Times New Roman" w:hAnsi="Helvetica" w:cs="Helvetica"/>
          <w:sz w:val="24"/>
          <w:szCs w:val="24"/>
          <w:lang w:val="es-ES"/>
        </w:rPr>
        <w:t xml:space="preserve"> (45%) proyectos de competencia propia y 11,7</w:t>
      </w:r>
      <w:r w:rsidR="00547B76">
        <w:rPr>
          <w:rFonts w:ascii="Helvetica" w:eastAsia="Times New Roman" w:hAnsi="Helvetica" w:cs="Helvetica"/>
          <w:sz w:val="24"/>
          <w:szCs w:val="24"/>
          <w:lang w:val="es-ES"/>
        </w:rPr>
        <w:t>83</w:t>
      </w:r>
      <w:r w:rsidR="00693BD9" w:rsidRPr="003051CD">
        <w:rPr>
          <w:rFonts w:ascii="Helvetica" w:eastAsia="Times New Roman" w:hAnsi="Helvetica" w:cs="Helvetica"/>
          <w:sz w:val="24"/>
          <w:szCs w:val="24"/>
          <w:lang w:val="es-ES"/>
        </w:rPr>
        <w:t xml:space="preserve"> (55%) proyectos de competencia delegada a las municipalidades.</w:t>
      </w:r>
    </w:p>
    <w:p w14:paraId="203CF702"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DDCD294" w14:textId="4B6BE6EC"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De dichos proyectos, 14,16</w:t>
      </w:r>
      <w:r w:rsidR="00547B76">
        <w:rPr>
          <w:rFonts w:ascii="Helvetica" w:eastAsia="Times New Roman" w:hAnsi="Helvetica" w:cs="Helvetica"/>
          <w:sz w:val="24"/>
          <w:szCs w:val="24"/>
          <w:lang w:val="es-ES"/>
        </w:rPr>
        <w:t>9</w:t>
      </w:r>
      <w:r w:rsidRPr="003051CD">
        <w:rPr>
          <w:rFonts w:ascii="Helvetica" w:eastAsia="Times New Roman" w:hAnsi="Helvetica" w:cs="Helvetica"/>
          <w:sz w:val="24"/>
          <w:szCs w:val="24"/>
          <w:lang w:val="es-ES"/>
        </w:rPr>
        <w:t xml:space="preserve"> proyectos (66%) corresponden a las demandas ciudadanas devenidas de los Planes de Desarrollo Municipal y Ordenamiento Territorial (PDM-OT). </w:t>
      </w:r>
    </w:p>
    <w:p w14:paraId="7B876336"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3F5FA98" w14:textId="4BEA2E2F" w:rsidR="00693BD9" w:rsidRDefault="00E47805" w:rsidP="00693BD9">
      <w:pPr>
        <w:autoSpaceDE w:val="0"/>
        <w:autoSpaceDN w:val="0"/>
        <w:adjustRightInd w:val="0"/>
        <w:spacing w:after="0" w:line="240" w:lineRule="auto"/>
        <w:jc w:val="both"/>
        <w:rPr>
          <w:rFonts w:ascii="Helvetica" w:eastAsia="Times New Roman" w:hAnsi="Helvetica" w:cs="Helvetica"/>
          <w:sz w:val="24"/>
          <w:szCs w:val="24"/>
          <w:lang w:val="es-ES"/>
        </w:rPr>
      </w:pPr>
      <w:r>
        <w:rPr>
          <w:rFonts w:ascii="Helvetica" w:eastAsia="Times New Roman" w:hAnsi="Helvetica" w:cs="Helvetica"/>
          <w:sz w:val="24"/>
          <w:szCs w:val="24"/>
          <w:lang w:val="es-ES"/>
        </w:rPr>
        <w:t xml:space="preserve">Por otro lado, es preciso indicar </w:t>
      </w:r>
      <w:r w:rsidR="00693BD9" w:rsidRPr="003051CD">
        <w:rPr>
          <w:rFonts w:ascii="Helvetica" w:eastAsia="Times New Roman" w:hAnsi="Helvetica" w:cs="Helvetica"/>
          <w:sz w:val="24"/>
          <w:szCs w:val="24"/>
          <w:lang w:val="es-ES"/>
        </w:rPr>
        <w:t xml:space="preserve">que los departamentos con mayor ejecución financiera </w:t>
      </w:r>
      <w:r>
        <w:rPr>
          <w:rFonts w:ascii="Helvetica" w:eastAsia="Times New Roman" w:hAnsi="Helvetica" w:cs="Helvetica"/>
          <w:sz w:val="24"/>
          <w:szCs w:val="24"/>
          <w:lang w:val="es-ES"/>
        </w:rPr>
        <w:t>son</w:t>
      </w:r>
      <w:r w:rsidR="00693BD9" w:rsidRPr="003051CD">
        <w:rPr>
          <w:rFonts w:ascii="Helvetica" w:eastAsia="Times New Roman" w:hAnsi="Helvetica" w:cs="Helvetica"/>
          <w:sz w:val="24"/>
          <w:szCs w:val="24"/>
          <w:lang w:val="es-ES"/>
        </w:rPr>
        <w:t>: Baja Verapaz con 78.57%, Jalapa con 77.79% y Jutiapa con 69.40%. Asimismo, los departamentos con mayor avance físico fueron: Baja Verapaz con 99.85%, Huehuetenango 98.76% y Suchitepéquez 85.06%. Ver las tablas</w:t>
      </w:r>
      <w:r w:rsidR="00111CDE">
        <w:rPr>
          <w:rFonts w:ascii="Helvetica" w:eastAsia="Times New Roman" w:hAnsi="Helvetica" w:cs="Helvetica"/>
          <w:sz w:val="24"/>
          <w:szCs w:val="24"/>
          <w:lang w:val="es-ES"/>
        </w:rPr>
        <w:t xml:space="preserve"> 10 y 11</w:t>
      </w:r>
    </w:p>
    <w:p w14:paraId="7A8C6C50" w14:textId="77777777" w:rsidR="00111CDE" w:rsidRPr="003051CD" w:rsidRDefault="00111CDE"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3D12799" w14:textId="39B4E4E5" w:rsidR="00693BD9" w:rsidRPr="00016865" w:rsidRDefault="00111CDE" w:rsidP="00016865">
      <w:pPr>
        <w:pStyle w:val="ttulosgrficas"/>
        <w:rPr>
          <w:rFonts w:eastAsia="Times New Roman"/>
          <w:color w:val="4472C4" w:themeColor="accent1"/>
          <w:lang w:val="es-ES"/>
        </w:rPr>
      </w:pPr>
      <w:bookmarkStart w:id="42" w:name="_Toc67589123"/>
      <w:r w:rsidRPr="00016865">
        <w:rPr>
          <w:rFonts w:eastAsia="Times New Roman"/>
          <w:color w:val="4472C4" w:themeColor="accent1"/>
          <w:lang w:val="es-ES"/>
        </w:rPr>
        <w:t xml:space="preserve">Tabla </w:t>
      </w:r>
      <w:r w:rsidRPr="00016865">
        <w:rPr>
          <w:rFonts w:eastAsia="Times New Roman"/>
          <w:color w:val="4472C4" w:themeColor="accent1"/>
          <w:lang w:val="es-ES"/>
        </w:rPr>
        <w:fldChar w:fldCharType="begin"/>
      </w:r>
      <w:r w:rsidRPr="00016865">
        <w:rPr>
          <w:rFonts w:eastAsia="Times New Roman"/>
          <w:color w:val="4472C4" w:themeColor="accent1"/>
          <w:lang w:val="es-ES"/>
        </w:rPr>
        <w:instrText xml:space="preserve"> SEQ Tabla \* ARABIC </w:instrText>
      </w:r>
      <w:r w:rsidRPr="00016865">
        <w:rPr>
          <w:rFonts w:eastAsia="Times New Roman"/>
          <w:color w:val="4472C4" w:themeColor="accent1"/>
          <w:lang w:val="es-ES"/>
        </w:rPr>
        <w:fldChar w:fldCharType="separate"/>
      </w:r>
      <w:r w:rsidR="00AA2593" w:rsidRPr="00016865">
        <w:rPr>
          <w:rFonts w:eastAsia="Times New Roman"/>
          <w:color w:val="4472C4" w:themeColor="accent1"/>
          <w:lang w:val="es-ES"/>
        </w:rPr>
        <w:t>10</w:t>
      </w:r>
      <w:r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por departamento</w:t>
      </w:r>
      <w:bookmarkEnd w:id="42"/>
    </w:p>
    <w:tbl>
      <w:tblPr>
        <w:tblW w:w="8460" w:type="dxa"/>
        <w:tblInd w:w="80" w:type="dxa"/>
        <w:tblCellMar>
          <w:left w:w="70" w:type="dxa"/>
          <w:right w:w="70" w:type="dxa"/>
        </w:tblCellMar>
        <w:tblLook w:val="04A0" w:firstRow="1" w:lastRow="0" w:firstColumn="1" w:lastColumn="0" w:noHBand="0" w:noVBand="1"/>
      </w:tblPr>
      <w:tblGrid>
        <w:gridCol w:w="2115"/>
        <w:gridCol w:w="2115"/>
        <w:gridCol w:w="2115"/>
        <w:gridCol w:w="2115"/>
      </w:tblGrid>
      <w:tr w:rsidR="00693BD9" w:rsidRPr="00D0650C" w14:paraId="4E89CE43"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4472C4" w:fill="4472C4"/>
            <w:vAlign w:val="center"/>
            <w:hideMark/>
          </w:tcPr>
          <w:p w14:paraId="69E9035A"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b/>
                <w:bCs/>
                <w:lang w:val="es-ES"/>
              </w:rPr>
            </w:pPr>
            <w:r w:rsidRPr="00D0650C">
              <w:rPr>
                <w:rFonts w:ascii="Helvetica" w:eastAsia="Times New Roman" w:hAnsi="Helvetica" w:cs="Helvetica"/>
                <w:b/>
                <w:bCs/>
                <w:lang w:val="es-ES"/>
              </w:rPr>
              <w:t>Departamento</w:t>
            </w:r>
          </w:p>
        </w:tc>
        <w:tc>
          <w:tcPr>
            <w:tcW w:w="2115"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2B328DAE"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b/>
                <w:bCs/>
                <w:lang w:val="es-ES"/>
              </w:rPr>
            </w:pPr>
            <w:r w:rsidRPr="00D0650C">
              <w:rPr>
                <w:rFonts w:ascii="Helvetica" w:eastAsia="Times New Roman" w:hAnsi="Helvetica" w:cs="Helvetica"/>
                <w:b/>
                <w:bCs/>
                <w:lang w:val="es-ES"/>
              </w:rPr>
              <w:t>Meta Financiera Vigente</w:t>
            </w:r>
          </w:p>
        </w:tc>
        <w:tc>
          <w:tcPr>
            <w:tcW w:w="2115"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4D721AF6"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b/>
                <w:bCs/>
                <w:lang w:val="es-ES"/>
              </w:rPr>
            </w:pPr>
            <w:r w:rsidRPr="00D0650C">
              <w:rPr>
                <w:rFonts w:ascii="Helvetica" w:eastAsia="Times New Roman" w:hAnsi="Helvetica" w:cs="Helvetica"/>
                <w:b/>
                <w:bCs/>
                <w:lang w:val="es-ES"/>
              </w:rPr>
              <w:t>Ejecución Financiera</w:t>
            </w:r>
          </w:p>
        </w:tc>
        <w:tc>
          <w:tcPr>
            <w:tcW w:w="2115" w:type="dxa"/>
            <w:tcBorders>
              <w:top w:val="single" w:sz="4" w:space="0" w:color="auto"/>
              <w:left w:val="single" w:sz="4" w:space="0" w:color="auto"/>
              <w:bottom w:val="single" w:sz="4" w:space="0" w:color="auto"/>
              <w:right w:val="single" w:sz="8" w:space="0" w:color="auto"/>
            </w:tcBorders>
            <w:shd w:val="clear" w:color="4472C4" w:fill="4472C4"/>
            <w:vAlign w:val="center"/>
            <w:hideMark/>
          </w:tcPr>
          <w:p w14:paraId="2D812589"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b/>
                <w:bCs/>
                <w:lang w:val="es-ES"/>
              </w:rPr>
            </w:pPr>
            <w:r w:rsidRPr="00D0650C">
              <w:rPr>
                <w:rFonts w:ascii="Helvetica" w:eastAsia="Times New Roman" w:hAnsi="Helvetica" w:cs="Helvetica"/>
                <w:b/>
                <w:bCs/>
                <w:lang w:val="es-ES"/>
              </w:rPr>
              <w:t>% de Ejecución</w:t>
            </w:r>
          </w:p>
        </w:tc>
      </w:tr>
      <w:tr w:rsidR="00693BD9" w:rsidRPr="00D0650C" w14:paraId="24811699"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17BAC3D9"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Baja Verapaz</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2F817B2"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Q171,355,554.96</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2B20CE3"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Q134,635,833.37</w:t>
            </w:r>
          </w:p>
        </w:tc>
        <w:tc>
          <w:tcPr>
            <w:tcW w:w="2115" w:type="dxa"/>
            <w:tcBorders>
              <w:top w:val="single" w:sz="4" w:space="0" w:color="auto"/>
              <w:left w:val="single" w:sz="4" w:space="0" w:color="auto"/>
              <w:bottom w:val="single" w:sz="4" w:space="0" w:color="auto"/>
              <w:right w:val="single" w:sz="8" w:space="0" w:color="auto"/>
            </w:tcBorders>
            <w:shd w:val="clear" w:color="D9D9D9" w:fill="96D36F"/>
            <w:noWrap/>
            <w:vAlign w:val="center"/>
            <w:hideMark/>
          </w:tcPr>
          <w:p w14:paraId="73A538CD"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78.57%</w:t>
            </w:r>
          </w:p>
        </w:tc>
      </w:tr>
      <w:tr w:rsidR="00693BD9" w:rsidRPr="00D0650C" w14:paraId="187DC584"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074CA475"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Jalapa</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224DCAD0"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Q180,361,030.84</w:t>
            </w:r>
          </w:p>
        </w:tc>
        <w:tc>
          <w:tcPr>
            <w:tcW w:w="2115" w:type="dxa"/>
            <w:tcBorders>
              <w:top w:val="nil"/>
              <w:left w:val="nil"/>
              <w:bottom w:val="single" w:sz="4" w:space="0" w:color="auto"/>
              <w:right w:val="single" w:sz="4" w:space="0" w:color="auto"/>
            </w:tcBorders>
            <w:shd w:val="clear" w:color="auto" w:fill="auto"/>
            <w:noWrap/>
            <w:vAlign w:val="bottom"/>
            <w:hideMark/>
          </w:tcPr>
          <w:p w14:paraId="1D6A4AC8"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Q140,309,166.45</w:t>
            </w:r>
          </w:p>
        </w:tc>
        <w:tc>
          <w:tcPr>
            <w:tcW w:w="2115" w:type="dxa"/>
            <w:tcBorders>
              <w:top w:val="single" w:sz="4" w:space="0" w:color="auto"/>
              <w:left w:val="single" w:sz="4" w:space="0" w:color="auto"/>
              <w:bottom w:val="single" w:sz="4" w:space="0" w:color="auto"/>
              <w:right w:val="single" w:sz="8" w:space="0" w:color="auto"/>
            </w:tcBorders>
            <w:shd w:val="clear" w:color="000000" w:fill="9CD470"/>
            <w:noWrap/>
            <w:vAlign w:val="center"/>
            <w:hideMark/>
          </w:tcPr>
          <w:p w14:paraId="11C39D7F"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77.79%</w:t>
            </w:r>
          </w:p>
        </w:tc>
      </w:tr>
      <w:tr w:rsidR="00693BD9" w:rsidRPr="00D0650C" w14:paraId="4AAF693B"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2C0F0B28"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Jutiapa</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82BCBD5"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Q174,638,569.94</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3377D1A"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Q121,205,345.14</w:t>
            </w:r>
          </w:p>
        </w:tc>
        <w:tc>
          <w:tcPr>
            <w:tcW w:w="2115" w:type="dxa"/>
            <w:tcBorders>
              <w:top w:val="single" w:sz="4" w:space="0" w:color="auto"/>
              <w:left w:val="single" w:sz="4" w:space="0" w:color="auto"/>
              <w:bottom w:val="single" w:sz="4" w:space="0" w:color="auto"/>
              <w:right w:val="single" w:sz="8" w:space="0" w:color="auto"/>
            </w:tcBorders>
            <w:shd w:val="clear" w:color="D9D9D9" w:fill="D6E27C"/>
            <w:noWrap/>
            <w:vAlign w:val="center"/>
            <w:hideMark/>
          </w:tcPr>
          <w:p w14:paraId="22C7164E"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69.40%</w:t>
            </w:r>
          </w:p>
        </w:tc>
      </w:tr>
      <w:tr w:rsidR="00693BD9" w:rsidRPr="00D0650C" w14:paraId="187A2275"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4664CD6E"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Retalhuleu</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2429DC5D"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Q253,254,764.91</w:t>
            </w:r>
          </w:p>
        </w:tc>
        <w:tc>
          <w:tcPr>
            <w:tcW w:w="2115" w:type="dxa"/>
            <w:tcBorders>
              <w:top w:val="nil"/>
              <w:left w:val="nil"/>
              <w:bottom w:val="single" w:sz="4" w:space="0" w:color="auto"/>
              <w:right w:val="single" w:sz="4" w:space="0" w:color="auto"/>
            </w:tcBorders>
            <w:shd w:val="clear" w:color="auto" w:fill="auto"/>
            <w:noWrap/>
            <w:vAlign w:val="bottom"/>
            <w:hideMark/>
          </w:tcPr>
          <w:p w14:paraId="74F7A8BC"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Q174,344,204.37</w:t>
            </w:r>
          </w:p>
        </w:tc>
        <w:tc>
          <w:tcPr>
            <w:tcW w:w="2115" w:type="dxa"/>
            <w:tcBorders>
              <w:top w:val="single" w:sz="4" w:space="0" w:color="auto"/>
              <w:left w:val="single" w:sz="4" w:space="0" w:color="auto"/>
              <w:bottom w:val="single" w:sz="4" w:space="0" w:color="auto"/>
              <w:right w:val="single" w:sz="8" w:space="0" w:color="auto"/>
            </w:tcBorders>
            <w:shd w:val="clear" w:color="000000" w:fill="DAE37D"/>
            <w:noWrap/>
            <w:vAlign w:val="center"/>
            <w:hideMark/>
          </w:tcPr>
          <w:p w14:paraId="5C11230A"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68.84%</w:t>
            </w:r>
          </w:p>
        </w:tc>
      </w:tr>
      <w:tr w:rsidR="00693BD9" w:rsidRPr="00D0650C" w14:paraId="7592CA91"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2088A498"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Escuintla</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51F16A3"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Q330,272,496.41</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4B446A2"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Q227,114,727.34</w:t>
            </w:r>
          </w:p>
        </w:tc>
        <w:tc>
          <w:tcPr>
            <w:tcW w:w="2115" w:type="dxa"/>
            <w:tcBorders>
              <w:top w:val="single" w:sz="4" w:space="0" w:color="auto"/>
              <w:left w:val="single" w:sz="4" w:space="0" w:color="auto"/>
              <w:bottom w:val="single" w:sz="4" w:space="0" w:color="auto"/>
              <w:right w:val="single" w:sz="8" w:space="0" w:color="auto"/>
            </w:tcBorders>
            <w:shd w:val="clear" w:color="D9D9D9" w:fill="DBE37D"/>
            <w:noWrap/>
            <w:vAlign w:val="center"/>
            <w:hideMark/>
          </w:tcPr>
          <w:p w14:paraId="1306590C"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68.77%</w:t>
            </w:r>
          </w:p>
        </w:tc>
      </w:tr>
      <w:tr w:rsidR="00693BD9" w:rsidRPr="00D0650C" w14:paraId="4E9EC023"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1B721922"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El Progreso</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033AFBF5"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Q253,344,221.82</w:t>
            </w:r>
          </w:p>
        </w:tc>
        <w:tc>
          <w:tcPr>
            <w:tcW w:w="2115" w:type="dxa"/>
            <w:tcBorders>
              <w:top w:val="nil"/>
              <w:left w:val="nil"/>
              <w:bottom w:val="single" w:sz="4" w:space="0" w:color="auto"/>
              <w:right w:val="single" w:sz="4" w:space="0" w:color="auto"/>
            </w:tcBorders>
            <w:shd w:val="clear" w:color="auto" w:fill="auto"/>
            <w:noWrap/>
            <w:vAlign w:val="bottom"/>
            <w:hideMark/>
          </w:tcPr>
          <w:p w14:paraId="08E087E0"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Q174,087,657.38</w:t>
            </w:r>
          </w:p>
        </w:tc>
        <w:tc>
          <w:tcPr>
            <w:tcW w:w="2115" w:type="dxa"/>
            <w:tcBorders>
              <w:top w:val="single" w:sz="4" w:space="0" w:color="auto"/>
              <w:left w:val="single" w:sz="4" w:space="0" w:color="auto"/>
              <w:bottom w:val="single" w:sz="4" w:space="0" w:color="auto"/>
              <w:right w:val="single" w:sz="8" w:space="0" w:color="auto"/>
            </w:tcBorders>
            <w:shd w:val="clear" w:color="000000" w:fill="DBE37D"/>
            <w:noWrap/>
            <w:vAlign w:val="center"/>
            <w:hideMark/>
          </w:tcPr>
          <w:p w14:paraId="28C953C0"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68.72%</w:t>
            </w:r>
          </w:p>
        </w:tc>
      </w:tr>
      <w:tr w:rsidR="00693BD9" w:rsidRPr="00D0650C" w14:paraId="38E5B381"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3B3DCFAD"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Zacapa</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D54F09F"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Q372,194,500.13</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E9FD642"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Q244,637,239.37</w:t>
            </w:r>
          </w:p>
        </w:tc>
        <w:tc>
          <w:tcPr>
            <w:tcW w:w="2115" w:type="dxa"/>
            <w:tcBorders>
              <w:top w:val="single" w:sz="4" w:space="0" w:color="auto"/>
              <w:left w:val="single" w:sz="4" w:space="0" w:color="auto"/>
              <w:bottom w:val="single" w:sz="4" w:space="0" w:color="auto"/>
              <w:right w:val="single" w:sz="8" w:space="0" w:color="auto"/>
            </w:tcBorders>
            <w:shd w:val="clear" w:color="D9D9D9" w:fill="F0E881"/>
            <w:noWrap/>
            <w:vAlign w:val="center"/>
            <w:hideMark/>
          </w:tcPr>
          <w:p w14:paraId="64EB7B4A"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65.73%</w:t>
            </w:r>
          </w:p>
        </w:tc>
      </w:tr>
      <w:tr w:rsidR="00693BD9" w:rsidRPr="00D0650C" w14:paraId="5D6FAE93"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5F242BBC"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Chimaltenango</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09AEBD44"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Q432,238,406.09</w:t>
            </w:r>
          </w:p>
        </w:tc>
        <w:tc>
          <w:tcPr>
            <w:tcW w:w="2115" w:type="dxa"/>
            <w:tcBorders>
              <w:top w:val="nil"/>
              <w:left w:val="nil"/>
              <w:bottom w:val="single" w:sz="4" w:space="0" w:color="auto"/>
              <w:right w:val="single" w:sz="4" w:space="0" w:color="auto"/>
            </w:tcBorders>
            <w:shd w:val="clear" w:color="auto" w:fill="auto"/>
            <w:noWrap/>
            <w:vAlign w:val="bottom"/>
            <w:hideMark/>
          </w:tcPr>
          <w:p w14:paraId="0F9F97BF"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Q280,003,497.80</w:t>
            </w:r>
          </w:p>
        </w:tc>
        <w:tc>
          <w:tcPr>
            <w:tcW w:w="2115" w:type="dxa"/>
            <w:tcBorders>
              <w:top w:val="single" w:sz="4" w:space="0" w:color="auto"/>
              <w:left w:val="single" w:sz="4" w:space="0" w:color="auto"/>
              <w:bottom w:val="single" w:sz="4" w:space="0" w:color="auto"/>
              <w:right w:val="single" w:sz="8" w:space="0" w:color="auto"/>
            </w:tcBorders>
            <w:shd w:val="clear" w:color="000000" w:fill="F6E983"/>
            <w:noWrap/>
            <w:vAlign w:val="center"/>
            <w:hideMark/>
          </w:tcPr>
          <w:p w14:paraId="788D3D25"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64.78%</w:t>
            </w:r>
          </w:p>
        </w:tc>
      </w:tr>
      <w:tr w:rsidR="00693BD9" w:rsidRPr="00D0650C" w14:paraId="387BE113"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20891A3E"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Chiquimula</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6C07206"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Q297,947,753.20</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FE31E2E"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Q189,513,755.47</w:t>
            </w:r>
          </w:p>
        </w:tc>
        <w:tc>
          <w:tcPr>
            <w:tcW w:w="2115" w:type="dxa"/>
            <w:tcBorders>
              <w:top w:val="single" w:sz="4" w:space="0" w:color="auto"/>
              <w:left w:val="single" w:sz="4" w:space="0" w:color="auto"/>
              <w:bottom w:val="single" w:sz="4" w:space="0" w:color="auto"/>
              <w:right w:val="single" w:sz="8" w:space="0" w:color="auto"/>
            </w:tcBorders>
            <w:shd w:val="clear" w:color="D9D9D9" w:fill="FFEB84"/>
            <w:noWrap/>
            <w:vAlign w:val="center"/>
            <w:hideMark/>
          </w:tcPr>
          <w:p w14:paraId="2709A7EC"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63.61%</w:t>
            </w:r>
          </w:p>
        </w:tc>
      </w:tr>
      <w:tr w:rsidR="00693BD9" w:rsidRPr="00D0650C" w14:paraId="4D5D70F7"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037675AA"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Sololá</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728CB37A"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Q220,022,158.40</w:t>
            </w:r>
          </w:p>
        </w:tc>
        <w:tc>
          <w:tcPr>
            <w:tcW w:w="2115" w:type="dxa"/>
            <w:tcBorders>
              <w:top w:val="nil"/>
              <w:left w:val="nil"/>
              <w:bottom w:val="single" w:sz="4" w:space="0" w:color="auto"/>
              <w:right w:val="single" w:sz="4" w:space="0" w:color="auto"/>
            </w:tcBorders>
            <w:shd w:val="clear" w:color="auto" w:fill="auto"/>
            <w:noWrap/>
            <w:vAlign w:val="bottom"/>
            <w:hideMark/>
          </w:tcPr>
          <w:p w14:paraId="1ACE3C6B"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Q138,459,366.69</w:t>
            </w:r>
          </w:p>
        </w:tc>
        <w:tc>
          <w:tcPr>
            <w:tcW w:w="2115" w:type="dxa"/>
            <w:tcBorders>
              <w:top w:val="single" w:sz="4" w:space="0" w:color="auto"/>
              <w:left w:val="single" w:sz="4" w:space="0" w:color="auto"/>
              <w:bottom w:val="single" w:sz="4" w:space="0" w:color="auto"/>
              <w:right w:val="single" w:sz="8" w:space="0" w:color="auto"/>
            </w:tcBorders>
            <w:shd w:val="clear" w:color="000000" w:fill="FEE783"/>
            <w:noWrap/>
            <w:vAlign w:val="center"/>
            <w:hideMark/>
          </w:tcPr>
          <w:p w14:paraId="74F09A54"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62.93%</w:t>
            </w:r>
          </w:p>
        </w:tc>
      </w:tr>
      <w:tr w:rsidR="00693BD9" w:rsidRPr="00D0650C" w14:paraId="390B7CBF"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14C395AA"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Suchitepéquez</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E515DBF"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Q189,948,220.61</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2862AB4"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Q117,076,201.32</w:t>
            </w:r>
          </w:p>
        </w:tc>
        <w:tc>
          <w:tcPr>
            <w:tcW w:w="2115" w:type="dxa"/>
            <w:tcBorders>
              <w:top w:val="single" w:sz="4" w:space="0" w:color="auto"/>
              <w:left w:val="single" w:sz="4" w:space="0" w:color="auto"/>
              <w:bottom w:val="single" w:sz="4" w:space="0" w:color="auto"/>
              <w:right w:val="single" w:sz="8" w:space="0" w:color="auto"/>
            </w:tcBorders>
            <w:shd w:val="clear" w:color="D9D9D9" w:fill="FEDD81"/>
            <w:noWrap/>
            <w:vAlign w:val="center"/>
            <w:hideMark/>
          </w:tcPr>
          <w:p w14:paraId="7020E559"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61.64%</w:t>
            </w:r>
          </w:p>
        </w:tc>
      </w:tr>
      <w:tr w:rsidR="00693BD9" w:rsidRPr="00D0650C" w14:paraId="460E8E89"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08BD8E12"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Quetzaltenango</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6B00047B"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Q228,792,992.73</w:t>
            </w:r>
          </w:p>
        </w:tc>
        <w:tc>
          <w:tcPr>
            <w:tcW w:w="2115" w:type="dxa"/>
            <w:tcBorders>
              <w:top w:val="nil"/>
              <w:left w:val="nil"/>
              <w:bottom w:val="single" w:sz="4" w:space="0" w:color="auto"/>
              <w:right w:val="single" w:sz="4" w:space="0" w:color="auto"/>
            </w:tcBorders>
            <w:shd w:val="clear" w:color="auto" w:fill="auto"/>
            <w:noWrap/>
            <w:vAlign w:val="bottom"/>
            <w:hideMark/>
          </w:tcPr>
          <w:p w14:paraId="7AB8C882"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Q139,478,779.27</w:t>
            </w:r>
          </w:p>
        </w:tc>
        <w:tc>
          <w:tcPr>
            <w:tcW w:w="2115" w:type="dxa"/>
            <w:tcBorders>
              <w:top w:val="single" w:sz="4" w:space="0" w:color="auto"/>
              <w:left w:val="single" w:sz="4" w:space="0" w:color="auto"/>
              <w:bottom w:val="single" w:sz="4" w:space="0" w:color="auto"/>
              <w:right w:val="single" w:sz="8" w:space="0" w:color="auto"/>
            </w:tcBorders>
            <w:shd w:val="clear" w:color="000000" w:fill="FED880"/>
            <w:noWrap/>
            <w:vAlign w:val="center"/>
            <w:hideMark/>
          </w:tcPr>
          <w:p w14:paraId="1DF11DBD"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60.96%</w:t>
            </w:r>
          </w:p>
        </w:tc>
      </w:tr>
      <w:tr w:rsidR="00693BD9" w:rsidRPr="00D0650C" w14:paraId="538C1528"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377F046C"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Quiché</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ED9773B"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Q233,433,512.85</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7BFDDAA"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Q140,710,029.15</w:t>
            </w:r>
          </w:p>
        </w:tc>
        <w:tc>
          <w:tcPr>
            <w:tcW w:w="2115" w:type="dxa"/>
            <w:tcBorders>
              <w:top w:val="single" w:sz="4" w:space="0" w:color="auto"/>
              <w:left w:val="single" w:sz="4" w:space="0" w:color="auto"/>
              <w:bottom w:val="single" w:sz="4" w:space="0" w:color="auto"/>
              <w:right w:val="single" w:sz="8" w:space="0" w:color="auto"/>
            </w:tcBorders>
            <w:shd w:val="clear" w:color="D9D9D9" w:fill="FDD37F"/>
            <w:noWrap/>
            <w:vAlign w:val="center"/>
            <w:hideMark/>
          </w:tcPr>
          <w:p w14:paraId="36A78452"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60.28%</w:t>
            </w:r>
          </w:p>
        </w:tc>
      </w:tr>
      <w:tr w:rsidR="00693BD9" w:rsidRPr="00D0650C" w14:paraId="32AA5104"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4014716E"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Petén</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6B5050E4"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Q526,309,566.50</w:t>
            </w:r>
          </w:p>
        </w:tc>
        <w:tc>
          <w:tcPr>
            <w:tcW w:w="2115" w:type="dxa"/>
            <w:tcBorders>
              <w:top w:val="nil"/>
              <w:left w:val="nil"/>
              <w:bottom w:val="single" w:sz="4" w:space="0" w:color="auto"/>
              <w:right w:val="single" w:sz="4" w:space="0" w:color="auto"/>
            </w:tcBorders>
            <w:shd w:val="clear" w:color="auto" w:fill="auto"/>
            <w:noWrap/>
            <w:vAlign w:val="bottom"/>
            <w:hideMark/>
          </w:tcPr>
          <w:p w14:paraId="033C230F"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Q313,445,182.22</w:t>
            </w:r>
          </w:p>
        </w:tc>
        <w:tc>
          <w:tcPr>
            <w:tcW w:w="2115" w:type="dxa"/>
            <w:tcBorders>
              <w:top w:val="single" w:sz="4" w:space="0" w:color="auto"/>
              <w:left w:val="single" w:sz="4" w:space="0" w:color="auto"/>
              <w:bottom w:val="single" w:sz="4" w:space="0" w:color="auto"/>
              <w:right w:val="single" w:sz="8" w:space="0" w:color="auto"/>
            </w:tcBorders>
            <w:shd w:val="clear" w:color="000000" w:fill="FDCE7E"/>
            <w:noWrap/>
            <w:vAlign w:val="center"/>
            <w:hideMark/>
          </w:tcPr>
          <w:p w14:paraId="35199D0A"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59.56%</w:t>
            </w:r>
          </w:p>
        </w:tc>
      </w:tr>
      <w:tr w:rsidR="00693BD9" w:rsidRPr="00D0650C" w14:paraId="1A775C1C"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4AF2E2C4"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Izabal</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2F24AA6"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Q420,769,732.77</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426AD28"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Q242,393,570.01</w:t>
            </w:r>
          </w:p>
        </w:tc>
        <w:tc>
          <w:tcPr>
            <w:tcW w:w="2115" w:type="dxa"/>
            <w:tcBorders>
              <w:top w:val="single" w:sz="4" w:space="0" w:color="auto"/>
              <w:left w:val="single" w:sz="4" w:space="0" w:color="auto"/>
              <w:bottom w:val="single" w:sz="4" w:space="0" w:color="auto"/>
              <w:right w:val="single" w:sz="8" w:space="0" w:color="auto"/>
            </w:tcBorders>
            <w:shd w:val="clear" w:color="D9D9D9" w:fill="FCC07B"/>
            <w:noWrap/>
            <w:vAlign w:val="center"/>
            <w:hideMark/>
          </w:tcPr>
          <w:p w14:paraId="5ACD8BC1"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57.61%</w:t>
            </w:r>
          </w:p>
        </w:tc>
      </w:tr>
      <w:tr w:rsidR="00693BD9" w:rsidRPr="00D0650C" w14:paraId="064070A4"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70154E59"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Totonicapán</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7C6BA4AA"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Q102,121,947.14</w:t>
            </w:r>
          </w:p>
        </w:tc>
        <w:tc>
          <w:tcPr>
            <w:tcW w:w="2115" w:type="dxa"/>
            <w:tcBorders>
              <w:top w:val="nil"/>
              <w:left w:val="nil"/>
              <w:bottom w:val="single" w:sz="4" w:space="0" w:color="auto"/>
              <w:right w:val="single" w:sz="4" w:space="0" w:color="auto"/>
            </w:tcBorders>
            <w:shd w:val="clear" w:color="auto" w:fill="auto"/>
            <w:noWrap/>
            <w:vAlign w:val="bottom"/>
            <w:hideMark/>
          </w:tcPr>
          <w:p w14:paraId="4899032C"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Q56,521,232.20</w:t>
            </w:r>
          </w:p>
        </w:tc>
        <w:tc>
          <w:tcPr>
            <w:tcW w:w="2115" w:type="dxa"/>
            <w:tcBorders>
              <w:top w:val="single" w:sz="4" w:space="0" w:color="auto"/>
              <w:left w:val="single" w:sz="4" w:space="0" w:color="auto"/>
              <w:bottom w:val="single" w:sz="4" w:space="0" w:color="auto"/>
              <w:right w:val="single" w:sz="8" w:space="0" w:color="auto"/>
            </w:tcBorders>
            <w:shd w:val="clear" w:color="000000" w:fill="FBAF78"/>
            <w:noWrap/>
            <w:vAlign w:val="center"/>
            <w:hideMark/>
          </w:tcPr>
          <w:p w14:paraId="311B7ABD"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55.35%</w:t>
            </w:r>
          </w:p>
        </w:tc>
      </w:tr>
      <w:tr w:rsidR="00693BD9" w:rsidRPr="00D0650C" w14:paraId="2D10B7D1"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712DFE18"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Santa Rosa</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C79D99B"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Q181,145,750.17</w:t>
            </w:r>
          </w:p>
        </w:tc>
        <w:tc>
          <w:tcPr>
            <w:tcW w:w="211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99DBE97"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Q100,228,569.58</w:t>
            </w:r>
          </w:p>
        </w:tc>
        <w:tc>
          <w:tcPr>
            <w:tcW w:w="2115" w:type="dxa"/>
            <w:tcBorders>
              <w:top w:val="single" w:sz="4" w:space="0" w:color="auto"/>
              <w:left w:val="single" w:sz="4" w:space="0" w:color="auto"/>
              <w:bottom w:val="single" w:sz="4" w:space="0" w:color="auto"/>
              <w:right w:val="single" w:sz="8" w:space="0" w:color="auto"/>
            </w:tcBorders>
            <w:shd w:val="clear" w:color="D9D9D9" w:fill="FBAF78"/>
            <w:noWrap/>
            <w:vAlign w:val="center"/>
            <w:hideMark/>
          </w:tcPr>
          <w:p w14:paraId="73A571EE"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55.33%</w:t>
            </w:r>
          </w:p>
        </w:tc>
      </w:tr>
      <w:tr w:rsidR="00693BD9" w:rsidRPr="00D0650C" w14:paraId="73B03291"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7568863E" w14:textId="77777777" w:rsidR="00693BD9" w:rsidRPr="00D0650C" w:rsidRDefault="00693BD9"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Huehuetenango</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45F2F701"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Q655,401,813.74</w:t>
            </w:r>
          </w:p>
        </w:tc>
        <w:tc>
          <w:tcPr>
            <w:tcW w:w="2115" w:type="dxa"/>
            <w:tcBorders>
              <w:top w:val="nil"/>
              <w:left w:val="nil"/>
              <w:bottom w:val="single" w:sz="4" w:space="0" w:color="auto"/>
              <w:right w:val="single" w:sz="4" w:space="0" w:color="auto"/>
            </w:tcBorders>
            <w:shd w:val="clear" w:color="auto" w:fill="auto"/>
            <w:noWrap/>
            <w:vAlign w:val="bottom"/>
            <w:hideMark/>
          </w:tcPr>
          <w:p w14:paraId="14FAAC38" w14:textId="77777777" w:rsidR="00693BD9" w:rsidRPr="00D0650C" w:rsidRDefault="00693BD9"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Q340,749,437.74</w:t>
            </w:r>
          </w:p>
        </w:tc>
        <w:tc>
          <w:tcPr>
            <w:tcW w:w="2115" w:type="dxa"/>
            <w:tcBorders>
              <w:top w:val="single" w:sz="4" w:space="0" w:color="auto"/>
              <w:left w:val="single" w:sz="4" w:space="0" w:color="auto"/>
              <w:bottom w:val="single" w:sz="4" w:space="0" w:color="auto"/>
              <w:right w:val="single" w:sz="8" w:space="0" w:color="auto"/>
            </w:tcBorders>
            <w:shd w:val="clear" w:color="000000" w:fill="FA9773"/>
            <w:noWrap/>
            <w:vAlign w:val="center"/>
            <w:hideMark/>
          </w:tcPr>
          <w:p w14:paraId="6FADA56D" w14:textId="77777777" w:rsidR="00693BD9" w:rsidRPr="00D0650C" w:rsidRDefault="00693BD9"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51.99%</w:t>
            </w:r>
          </w:p>
        </w:tc>
      </w:tr>
      <w:tr w:rsidR="000D7A07" w:rsidRPr="00D0650C" w14:paraId="67D1B9E6"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bottom"/>
          </w:tcPr>
          <w:p w14:paraId="373479A1" w14:textId="116563AD" w:rsidR="000D7A07" w:rsidRPr="00D0650C" w:rsidRDefault="000D7A07"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Guatemala</w:t>
            </w:r>
          </w:p>
        </w:tc>
        <w:tc>
          <w:tcPr>
            <w:tcW w:w="21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32AE429" w14:textId="79ADA389"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Q1,576,006,001.25</w:t>
            </w:r>
          </w:p>
        </w:tc>
        <w:tc>
          <w:tcPr>
            <w:tcW w:w="21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F7FEE75" w14:textId="1567A7BF"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Q772,111,999.28</w:t>
            </w:r>
          </w:p>
        </w:tc>
        <w:tc>
          <w:tcPr>
            <w:tcW w:w="2115" w:type="dxa"/>
            <w:tcBorders>
              <w:top w:val="single" w:sz="4" w:space="0" w:color="auto"/>
              <w:left w:val="single" w:sz="4" w:space="0" w:color="auto"/>
              <w:bottom w:val="single" w:sz="4" w:space="0" w:color="auto"/>
              <w:right w:val="single" w:sz="8" w:space="0" w:color="auto"/>
            </w:tcBorders>
            <w:shd w:val="clear" w:color="D9D9D9" w:fill="F97F6F"/>
            <w:noWrap/>
            <w:vAlign w:val="center"/>
          </w:tcPr>
          <w:p w14:paraId="79EBD831" w14:textId="449B104B" w:rsidR="000D7A07" w:rsidRPr="00D0650C" w:rsidRDefault="000D7A07"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Calibri" w:hAnsi="Calibri" w:cs="Calibri"/>
                <w:color w:val="000000"/>
              </w:rPr>
              <w:t>48.99%</w:t>
            </w:r>
          </w:p>
        </w:tc>
      </w:tr>
      <w:tr w:rsidR="000D7A07" w:rsidRPr="00D0650C" w14:paraId="45F4A39F" w14:textId="77777777" w:rsidTr="00D0650C">
        <w:trPr>
          <w:trHeight w:val="374"/>
        </w:trPr>
        <w:tc>
          <w:tcPr>
            <w:tcW w:w="211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990DB23" w14:textId="77777777" w:rsidR="000D7A07" w:rsidRPr="00D0650C" w:rsidRDefault="000D7A07"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Sacatepéquez</w:t>
            </w:r>
          </w:p>
        </w:tc>
        <w:tc>
          <w:tcPr>
            <w:tcW w:w="2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3AE4C" w14:textId="77777777"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Q442,661,284.51</w:t>
            </w:r>
          </w:p>
        </w:tc>
        <w:tc>
          <w:tcPr>
            <w:tcW w:w="2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2789E" w14:textId="77777777"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Q215,897,567.36</w:t>
            </w:r>
          </w:p>
        </w:tc>
        <w:tc>
          <w:tcPr>
            <w:tcW w:w="2115" w:type="dxa"/>
            <w:tcBorders>
              <w:top w:val="single" w:sz="4" w:space="0" w:color="auto"/>
              <w:left w:val="single" w:sz="4" w:space="0" w:color="auto"/>
              <w:bottom w:val="single" w:sz="4" w:space="0" w:color="auto"/>
              <w:right w:val="single" w:sz="8" w:space="0" w:color="auto"/>
            </w:tcBorders>
            <w:shd w:val="clear" w:color="D9D9D9" w:fill="F97F6F"/>
            <w:noWrap/>
            <w:vAlign w:val="center"/>
            <w:hideMark/>
          </w:tcPr>
          <w:p w14:paraId="6BCA2B86" w14:textId="77777777" w:rsidR="000D7A07" w:rsidRPr="00D0650C" w:rsidRDefault="000D7A07"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48.77%</w:t>
            </w:r>
          </w:p>
        </w:tc>
      </w:tr>
      <w:tr w:rsidR="000D7A07" w:rsidRPr="00D0650C" w14:paraId="292F6D46"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D9D9D9" w:themeFill="background1" w:themeFillShade="D9"/>
            <w:noWrap/>
            <w:vAlign w:val="bottom"/>
            <w:hideMark/>
          </w:tcPr>
          <w:p w14:paraId="5535F2FC" w14:textId="77777777" w:rsidR="000D7A07" w:rsidRPr="00D0650C" w:rsidRDefault="000D7A07"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San Marcos</w:t>
            </w:r>
          </w:p>
        </w:tc>
        <w:tc>
          <w:tcPr>
            <w:tcW w:w="211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1B7A0CA" w14:textId="77777777"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Q686,724,173.58</w:t>
            </w:r>
          </w:p>
        </w:tc>
        <w:tc>
          <w:tcPr>
            <w:tcW w:w="2115" w:type="dxa"/>
            <w:tcBorders>
              <w:top w:val="nil"/>
              <w:left w:val="nil"/>
              <w:bottom w:val="single" w:sz="4" w:space="0" w:color="auto"/>
              <w:right w:val="single" w:sz="4" w:space="0" w:color="auto"/>
            </w:tcBorders>
            <w:shd w:val="clear" w:color="auto" w:fill="D9D9D9" w:themeFill="background1" w:themeFillShade="D9"/>
            <w:noWrap/>
            <w:vAlign w:val="bottom"/>
            <w:hideMark/>
          </w:tcPr>
          <w:p w14:paraId="4CA026CB" w14:textId="77777777"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Q332,164,339.41</w:t>
            </w:r>
          </w:p>
        </w:tc>
        <w:tc>
          <w:tcPr>
            <w:tcW w:w="2115" w:type="dxa"/>
            <w:tcBorders>
              <w:top w:val="single" w:sz="4" w:space="0" w:color="auto"/>
              <w:left w:val="single" w:sz="4" w:space="0" w:color="auto"/>
              <w:bottom w:val="single" w:sz="4" w:space="0" w:color="auto"/>
              <w:right w:val="single" w:sz="8" w:space="0" w:color="auto"/>
            </w:tcBorders>
            <w:shd w:val="clear" w:color="000000" w:fill="F97C6E"/>
            <w:noWrap/>
            <w:vAlign w:val="center"/>
            <w:hideMark/>
          </w:tcPr>
          <w:p w14:paraId="36FD298A" w14:textId="77777777" w:rsidR="000D7A07" w:rsidRPr="00D0650C" w:rsidRDefault="000D7A07"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48.37%</w:t>
            </w:r>
          </w:p>
        </w:tc>
      </w:tr>
      <w:tr w:rsidR="000D7A07" w:rsidRPr="00D0650C" w14:paraId="152CBBFE" w14:textId="77777777" w:rsidTr="00D0650C">
        <w:trPr>
          <w:trHeight w:val="374"/>
        </w:trPr>
        <w:tc>
          <w:tcPr>
            <w:tcW w:w="2115" w:type="dxa"/>
            <w:tcBorders>
              <w:top w:val="nil"/>
              <w:left w:val="single" w:sz="8" w:space="0" w:color="auto"/>
              <w:bottom w:val="single" w:sz="4" w:space="0" w:color="auto"/>
              <w:right w:val="single" w:sz="4" w:space="0" w:color="auto"/>
            </w:tcBorders>
            <w:shd w:val="clear" w:color="auto" w:fill="auto"/>
            <w:noWrap/>
            <w:vAlign w:val="bottom"/>
            <w:hideMark/>
          </w:tcPr>
          <w:p w14:paraId="2FAEFD2E" w14:textId="77777777" w:rsidR="000D7A07" w:rsidRPr="00D0650C" w:rsidRDefault="000D7A07" w:rsidP="00D0650C">
            <w:pPr>
              <w:autoSpaceDE w:val="0"/>
              <w:autoSpaceDN w:val="0"/>
              <w:adjustRightInd w:val="0"/>
              <w:spacing w:after="0" w:line="240" w:lineRule="auto"/>
              <w:jc w:val="both"/>
              <w:rPr>
                <w:rFonts w:ascii="Helvetica" w:eastAsia="Times New Roman" w:hAnsi="Helvetica" w:cs="Helvetica"/>
                <w:lang w:val="es-ES"/>
              </w:rPr>
            </w:pPr>
            <w:r w:rsidRPr="00D0650C">
              <w:rPr>
                <w:rFonts w:ascii="Helvetica" w:eastAsia="Times New Roman" w:hAnsi="Helvetica" w:cs="Helvetica"/>
                <w:lang w:val="es-ES"/>
              </w:rPr>
              <w:t>Alta Verapaz</w:t>
            </w:r>
          </w:p>
        </w:tc>
        <w:tc>
          <w:tcPr>
            <w:tcW w:w="2115" w:type="dxa"/>
            <w:tcBorders>
              <w:top w:val="nil"/>
              <w:left w:val="single" w:sz="4" w:space="0" w:color="auto"/>
              <w:bottom w:val="single" w:sz="4" w:space="0" w:color="auto"/>
              <w:right w:val="single" w:sz="4" w:space="0" w:color="auto"/>
            </w:tcBorders>
            <w:shd w:val="clear" w:color="auto" w:fill="auto"/>
            <w:noWrap/>
            <w:vAlign w:val="bottom"/>
            <w:hideMark/>
          </w:tcPr>
          <w:p w14:paraId="6733A886" w14:textId="77777777"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Q747,435,735.17</w:t>
            </w:r>
          </w:p>
        </w:tc>
        <w:tc>
          <w:tcPr>
            <w:tcW w:w="2115" w:type="dxa"/>
            <w:tcBorders>
              <w:top w:val="nil"/>
              <w:left w:val="nil"/>
              <w:bottom w:val="single" w:sz="4" w:space="0" w:color="auto"/>
              <w:right w:val="single" w:sz="4" w:space="0" w:color="auto"/>
            </w:tcBorders>
            <w:shd w:val="clear" w:color="auto" w:fill="auto"/>
            <w:noWrap/>
            <w:vAlign w:val="bottom"/>
            <w:hideMark/>
          </w:tcPr>
          <w:p w14:paraId="43D4FC37" w14:textId="77777777" w:rsidR="000D7A07" w:rsidRPr="00D0650C" w:rsidRDefault="000D7A07" w:rsidP="00D0650C">
            <w:pPr>
              <w:autoSpaceDE w:val="0"/>
              <w:autoSpaceDN w:val="0"/>
              <w:adjustRightInd w:val="0"/>
              <w:spacing w:after="0" w:line="240" w:lineRule="auto"/>
              <w:jc w:val="right"/>
              <w:rPr>
                <w:rFonts w:ascii="Helvetica" w:eastAsia="Times New Roman" w:hAnsi="Helvetica" w:cs="Helvetica"/>
                <w:lang w:val="es-ES"/>
              </w:rPr>
            </w:pPr>
            <w:r w:rsidRPr="00D0650C">
              <w:rPr>
                <w:rFonts w:ascii="Helvetica" w:eastAsia="Times New Roman" w:hAnsi="Helvetica" w:cs="Helvetica"/>
                <w:lang w:val="es-ES"/>
              </w:rPr>
              <w:t>Q341,035,512.03</w:t>
            </w:r>
          </w:p>
        </w:tc>
        <w:tc>
          <w:tcPr>
            <w:tcW w:w="2115" w:type="dxa"/>
            <w:tcBorders>
              <w:top w:val="single" w:sz="4" w:space="0" w:color="auto"/>
              <w:left w:val="single" w:sz="4" w:space="0" w:color="auto"/>
              <w:bottom w:val="single" w:sz="4" w:space="0" w:color="auto"/>
              <w:right w:val="single" w:sz="8" w:space="0" w:color="auto"/>
            </w:tcBorders>
            <w:shd w:val="clear" w:color="000000" w:fill="F8696B"/>
            <w:noWrap/>
            <w:vAlign w:val="center"/>
            <w:hideMark/>
          </w:tcPr>
          <w:p w14:paraId="5CDC9428" w14:textId="77777777" w:rsidR="000D7A07" w:rsidRPr="00D0650C" w:rsidRDefault="000D7A07" w:rsidP="00D0650C">
            <w:pPr>
              <w:autoSpaceDE w:val="0"/>
              <w:autoSpaceDN w:val="0"/>
              <w:adjustRightInd w:val="0"/>
              <w:spacing w:after="0" w:line="240" w:lineRule="auto"/>
              <w:jc w:val="center"/>
              <w:rPr>
                <w:rFonts w:ascii="Helvetica" w:eastAsia="Times New Roman" w:hAnsi="Helvetica" w:cs="Helvetica"/>
                <w:lang w:val="es-ES"/>
              </w:rPr>
            </w:pPr>
            <w:r w:rsidRPr="00D0650C">
              <w:rPr>
                <w:rFonts w:ascii="Helvetica" w:eastAsia="Times New Roman" w:hAnsi="Helvetica" w:cs="Helvetica"/>
                <w:lang w:val="es-ES"/>
              </w:rPr>
              <w:t>45.63%</w:t>
            </w:r>
          </w:p>
        </w:tc>
      </w:tr>
      <w:tr w:rsidR="000D7A07" w:rsidRPr="00D0650C" w14:paraId="68E9315C" w14:textId="77777777" w:rsidTr="00D0650C">
        <w:trPr>
          <w:trHeight w:val="374"/>
        </w:trPr>
        <w:tc>
          <w:tcPr>
            <w:tcW w:w="2115" w:type="dxa"/>
            <w:tcBorders>
              <w:top w:val="nil"/>
              <w:left w:val="single" w:sz="8" w:space="0" w:color="auto"/>
              <w:bottom w:val="single" w:sz="8" w:space="0" w:color="auto"/>
              <w:right w:val="single" w:sz="4" w:space="0" w:color="auto"/>
            </w:tcBorders>
            <w:shd w:val="clear" w:color="auto" w:fill="auto"/>
            <w:noWrap/>
            <w:vAlign w:val="bottom"/>
            <w:hideMark/>
          </w:tcPr>
          <w:p w14:paraId="7034C39B" w14:textId="77777777" w:rsidR="000D7A07" w:rsidRPr="00D0650C" w:rsidRDefault="000D7A07" w:rsidP="00D0650C">
            <w:pPr>
              <w:autoSpaceDE w:val="0"/>
              <w:autoSpaceDN w:val="0"/>
              <w:adjustRightInd w:val="0"/>
              <w:spacing w:after="0" w:line="240" w:lineRule="auto"/>
              <w:jc w:val="both"/>
              <w:rPr>
                <w:rFonts w:ascii="Helvetica" w:eastAsia="Times New Roman" w:hAnsi="Helvetica" w:cs="Helvetica"/>
                <w:b/>
                <w:lang w:val="es-ES"/>
              </w:rPr>
            </w:pPr>
            <w:r w:rsidRPr="00D0650C">
              <w:rPr>
                <w:rFonts w:ascii="Helvetica" w:eastAsia="Times New Roman" w:hAnsi="Helvetica" w:cs="Helvetica"/>
                <w:b/>
                <w:lang w:val="es-ES"/>
              </w:rPr>
              <w:t>Todo el País</w:t>
            </w:r>
          </w:p>
        </w:tc>
        <w:tc>
          <w:tcPr>
            <w:tcW w:w="2115" w:type="dxa"/>
            <w:tcBorders>
              <w:top w:val="single" w:sz="4" w:space="0" w:color="auto"/>
              <w:left w:val="single" w:sz="4" w:space="0" w:color="auto"/>
              <w:bottom w:val="single" w:sz="8" w:space="0" w:color="000000"/>
              <w:right w:val="single" w:sz="4" w:space="0" w:color="auto"/>
            </w:tcBorders>
            <w:shd w:val="clear" w:color="auto" w:fill="auto"/>
            <w:noWrap/>
            <w:vAlign w:val="bottom"/>
            <w:hideMark/>
          </w:tcPr>
          <w:p w14:paraId="33410453" w14:textId="74674B87" w:rsidR="000D7A07" w:rsidRPr="00D0650C" w:rsidRDefault="000D7A07" w:rsidP="00D0650C">
            <w:pPr>
              <w:autoSpaceDE w:val="0"/>
              <w:autoSpaceDN w:val="0"/>
              <w:adjustRightInd w:val="0"/>
              <w:spacing w:after="0" w:line="240" w:lineRule="auto"/>
              <w:jc w:val="right"/>
              <w:rPr>
                <w:rFonts w:ascii="Helvetica" w:eastAsia="Times New Roman" w:hAnsi="Helvetica" w:cs="Helvetica"/>
                <w:b/>
                <w:lang w:val="es-ES"/>
              </w:rPr>
            </w:pPr>
            <w:r w:rsidRPr="00D0650C">
              <w:rPr>
                <w:rFonts w:ascii="Calibri" w:hAnsi="Calibri" w:cs="Calibri"/>
                <w:b/>
                <w:bCs/>
                <w:color w:val="000000"/>
              </w:rPr>
              <w:t>Q8,676,380,187.72</w:t>
            </w:r>
          </w:p>
        </w:tc>
        <w:tc>
          <w:tcPr>
            <w:tcW w:w="2115" w:type="dxa"/>
            <w:tcBorders>
              <w:top w:val="single" w:sz="4" w:space="0" w:color="auto"/>
              <w:left w:val="single" w:sz="4" w:space="0" w:color="auto"/>
              <w:bottom w:val="single" w:sz="8" w:space="0" w:color="000000"/>
              <w:right w:val="single" w:sz="4" w:space="0" w:color="auto"/>
            </w:tcBorders>
            <w:shd w:val="clear" w:color="auto" w:fill="auto"/>
            <w:noWrap/>
            <w:vAlign w:val="bottom"/>
            <w:hideMark/>
          </w:tcPr>
          <w:p w14:paraId="604FB719" w14:textId="017D7366" w:rsidR="000D7A07" w:rsidRPr="00D0650C" w:rsidRDefault="000D7A07" w:rsidP="00D0650C">
            <w:pPr>
              <w:autoSpaceDE w:val="0"/>
              <w:autoSpaceDN w:val="0"/>
              <w:adjustRightInd w:val="0"/>
              <w:spacing w:after="0" w:line="240" w:lineRule="auto"/>
              <w:jc w:val="right"/>
              <w:rPr>
                <w:rFonts w:ascii="Helvetica" w:eastAsia="Times New Roman" w:hAnsi="Helvetica" w:cs="Helvetica"/>
                <w:b/>
                <w:lang w:val="es-ES"/>
              </w:rPr>
            </w:pPr>
            <w:r w:rsidRPr="00D0650C">
              <w:rPr>
                <w:rFonts w:ascii="Calibri" w:hAnsi="Calibri" w:cs="Calibri"/>
                <w:b/>
                <w:bCs/>
                <w:color w:val="000000"/>
              </w:rPr>
              <w:t>Q4,936,123,212.95</w:t>
            </w:r>
          </w:p>
        </w:tc>
        <w:tc>
          <w:tcPr>
            <w:tcW w:w="2115" w:type="dxa"/>
            <w:tcBorders>
              <w:top w:val="single" w:sz="4" w:space="0" w:color="auto"/>
              <w:left w:val="single" w:sz="4" w:space="0" w:color="auto"/>
              <w:bottom w:val="single" w:sz="8" w:space="0" w:color="000000"/>
              <w:right w:val="nil"/>
            </w:tcBorders>
            <w:shd w:val="clear" w:color="000000" w:fill="FCBC7B"/>
            <w:noWrap/>
            <w:vAlign w:val="center"/>
            <w:hideMark/>
          </w:tcPr>
          <w:p w14:paraId="6D3016D7" w14:textId="3239A8A8" w:rsidR="000D7A07" w:rsidRPr="00D0650C" w:rsidRDefault="000D7A07" w:rsidP="00D0650C">
            <w:pPr>
              <w:autoSpaceDE w:val="0"/>
              <w:autoSpaceDN w:val="0"/>
              <w:adjustRightInd w:val="0"/>
              <w:spacing w:after="0" w:line="240" w:lineRule="auto"/>
              <w:jc w:val="center"/>
              <w:rPr>
                <w:rFonts w:ascii="Calibri" w:eastAsia="Calibri" w:hAnsi="Calibri" w:cs="Calibri"/>
                <w:color w:val="000000"/>
              </w:rPr>
            </w:pPr>
            <w:r w:rsidRPr="00D0650C">
              <w:rPr>
                <w:rFonts w:ascii="Calibri" w:hAnsi="Calibri" w:cs="Calibri"/>
                <w:color w:val="000000"/>
              </w:rPr>
              <w:t>56.89%</w:t>
            </w:r>
          </w:p>
        </w:tc>
      </w:tr>
    </w:tbl>
    <w:p w14:paraId="55178EFB" w14:textId="2D7918EF"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18"/>
          <w:szCs w:val="18"/>
          <w:lang w:val="es-ES"/>
        </w:rPr>
        <w:t xml:space="preserve">Fuente: </w:t>
      </w:r>
      <w:proofErr w:type="spellStart"/>
      <w:r w:rsidRPr="003051CD">
        <w:rPr>
          <w:rFonts w:ascii="Helvetica" w:eastAsia="Times New Roman" w:hAnsi="Helvetica" w:cs="Helvetica"/>
          <w:sz w:val="18"/>
          <w:szCs w:val="18"/>
          <w:lang w:val="es-ES"/>
        </w:rPr>
        <w:t>Siplangl</w:t>
      </w:r>
      <w:proofErr w:type="spellEnd"/>
      <w:r w:rsidRPr="003051CD">
        <w:rPr>
          <w:rFonts w:ascii="Helvetica" w:eastAsia="Times New Roman" w:hAnsi="Helvetica" w:cs="Helvetica"/>
          <w:sz w:val="18"/>
          <w:szCs w:val="18"/>
          <w:lang w:val="es-ES"/>
        </w:rPr>
        <w:t xml:space="preserve">. </w:t>
      </w:r>
      <w:r w:rsidR="000B241B">
        <w:rPr>
          <w:rFonts w:ascii="Helvetica" w:eastAsia="Times New Roman" w:hAnsi="Helvetica" w:cs="Helvetica"/>
          <w:sz w:val="18"/>
          <w:szCs w:val="18"/>
          <w:lang w:val="es-ES"/>
        </w:rPr>
        <w:t>T</w:t>
      </w:r>
      <w:r w:rsidRPr="003051CD">
        <w:rPr>
          <w:rFonts w:ascii="Helvetica" w:eastAsia="Times New Roman" w:hAnsi="Helvetica" w:cs="Helvetica"/>
          <w:sz w:val="18"/>
          <w:szCs w:val="18"/>
          <w:lang w:val="es-ES"/>
        </w:rPr>
        <w:t>ercer informe cuatrimestral y acumulado. Año 2020</w:t>
      </w:r>
      <w:r w:rsidR="000B241B">
        <w:rPr>
          <w:rFonts w:ascii="Helvetica" w:eastAsia="Times New Roman" w:hAnsi="Helvetica" w:cs="Helvetica"/>
          <w:sz w:val="18"/>
          <w:szCs w:val="18"/>
          <w:lang w:val="es-ES"/>
        </w:rPr>
        <w:t>.</w:t>
      </w:r>
    </w:p>
    <w:p w14:paraId="03D516FE" w14:textId="04F87AA5"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B85D1C6" w14:textId="67CD7DDB" w:rsidR="00501DF2" w:rsidRDefault="00501DF2"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61AD7B0" w14:textId="71FA9597"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CE983A0" w14:textId="7E3B8E62" w:rsidR="00501DF2" w:rsidRPr="00D0650C" w:rsidRDefault="00111CDE" w:rsidP="00D0650C">
      <w:pPr>
        <w:pStyle w:val="ttulosgrficas"/>
        <w:rPr>
          <w:rFonts w:eastAsia="Times New Roman"/>
          <w:color w:val="4472C4" w:themeColor="accent1"/>
          <w:lang w:val="es-ES"/>
        </w:rPr>
      </w:pPr>
      <w:bookmarkStart w:id="43" w:name="_Toc67589124"/>
      <w:r w:rsidRPr="00016865">
        <w:rPr>
          <w:rFonts w:eastAsia="Times New Roman"/>
          <w:color w:val="4472C4" w:themeColor="accent1"/>
          <w:lang w:val="es-ES"/>
        </w:rPr>
        <w:t xml:space="preserve">Tabla </w:t>
      </w:r>
      <w:r w:rsidRPr="00016865">
        <w:rPr>
          <w:rFonts w:eastAsia="Times New Roman"/>
          <w:color w:val="4472C4" w:themeColor="accent1"/>
          <w:lang w:val="es-ES"/>
        </w:rPr>
        <w:fldChar w:fldCharType="begin"/>
      </w:r>
      <w:r w:rsidRPr="00016865">
        <w:rPr>
          <w:rFonts w:eastAsia="Times New Roman"/>
          <w:color w:val="4472C4" w:themeColor="accent1"/>
          <w:lang w:val="es-ES"/>
        </w:rPr>
        <w:instrText xml:space="preserve"> SEQ Tabla \* ARABIC </w:instrText>
      </w:r>
      <w:r w:rsidRPr="00016865">
        <w:rPr>
          <w:rFonts w:eastAsia="Times New Roman"/>
          <w:color w:val="4472C4" w:themeColor="accent1"/>
          <w:lang w:val="es-ES"/>
        </w:rPr>
        <w:fldChar w:fldCharType="separate"/>
      </w:r>
      <w:r w:rsidR="00AA2593" w:rsidRPr="00016865">
        <w:rPr>
          <w:rFonts w:eastAsia="Times New Roman"/>
          <w:color w:val="4472C4" w:themeColor="accent1"/>
          <w:lang w:val="es-ES"/>
        </w:rPr>
        <w:t>11</w:t>
      </w:r>
      <w:r w:rsidRPr="00016865">
        <w:rPr>
          <w:rFonts w:eastAsia="Times New Roman"/>
          <w:color w:val="4472C4" w:themeColor="accent1"/>
          <w:lang w:val="es-ES"/>
        </w:rPr>
        <w:fldChar w:fldCharType="end"/>
      </w:r>
      <w:r w:rsidR="00016865">
        <w:rPr>
          <w:rFonts w:eastAsia="Times New Roman"/>
          <w:color w:val="4472C4" w:themeColor="accent1"/>
          <w:lang w:val="es-ES"/>
        </w:rPr>
        <w:t>,</w:t>
      </w:r>
      <w:r w:rsidR="005D4383" w:rsidRPr="00016865">
        <w:rPr>
          <w:rFonts w:eastAsia="Times New Roman"/>
          <w:color w:val="4472C4" w:themeColor="accent1"/>
          <w:lang w:val="es-ES"/>
        </w:rPr>
        <w:t xml:space="preserve"> </w:t>
      </w:r>
      <w:r w:rsidR="00501DF2" w:rsidRPr="00016865">
        <w:rPr>
          <w:rFonts w:eastAsia="Times New Roman"/>
          <w:color w:val="4472C4" w:themeColor="accent1"/>
          <w:lang w:val="es-ES"/>
        </w:rPr>
        <w:t>Ejecución Física por departamento</w:t>
      </w:r>
      <w:bookmarkEnd w:id="43"/>
    </w:p>
    <w:tbl>
      <w:tblPr>
        <w:tblpPr w:leftFromText="141" w:rightFromText="141" w:vertAnchor="text" w:horzAnchor="margin" w:tblpXSpec="center" w:tblpY="261"/>
        <w:tblW w:w="4232" w:type="dxa"/>
        <w:tblCellMar>
          <w:left w:w="70" w:type="dxa"/>
          <w:right w:w="70" w:type="dxa"/>
        </w:tblCellMar>
        <w:tblLook w:val="04A0" w:firstRow="1" w:lastRow="0" w:firstColumn="1" w:lastColumn="0" w:noHBand="0" w:noVBand="1"/>
      </w:tblPr>
      <w:tblGrid>
        <w:gridCol w:w="2117"/>
        <w:gridCol w:w="2115"/>
      </w:tblGrid>
      <w:tr w:rsidR="00501DF2" w:rsidRPr="003051CD" w14:paraId="3CA742D2" w14:textId="77777777" w:rsidTr="00D0650C">
        <w:trPr>
          <w:trHeight w:val="1245"/>
        </w:trPr>
        <w:tc>
          <w:tcPr>
            <w:tcW w:w="2117" w:type="dxa"/>
            <w:tcBorders>
              <w:top w:val="single" w:sz="4" w:space="0" w:color="auto"/>
              <w:left w:val="single" w:sz="8" w:space="0" w:color="auto"/>
              <w:bottom w:val="single" w:sz="4" w:space="0" w:color="auto"/>
              <w:right w:val="single" w:sz="4" w:space="0" w:color="auto"/>
            </w:tcBorders>
            <w:shd w:val="clear" w:color="4472C4" w:fill="4472C4"/>
            <w:vAlign w:val="center"/>
            <w:hideMark/>
          </w:tcPr>
          <w:p w14:paraId="2EA010FD" w14:textId="77777777" w:rsidR="00501DF2" w:rsidRPr="000B241B" w:rsidRDefault="00501DF2" w:rsidP="00501DF2">
            <w:pPr>
              <w:autoSpaceDE w:val="0"/>
              <w:autoSpaceDN w:val="0"/>
              <w:adjustRightInd w:val="0"/>
              <w:spacing w:after="0" w:line="240" w:lineRule="auto"/>
              <w:jc w:val="center"/>
              <w:rPr>
                <w:rFonts w:ascii="Helvetica" w:eastAsia="Times New Roman" w:hAnsi="Helvetica" w:cs="Helvetica"/>
                <w:b/>
                <w:bCs/>
                <w:sz w:val="24"/>
                <w:szCs w:val="24"/>
                <w:lang w:val="es-ES"/>
              </w:rPr>
            </w:pPr>
            <w:r w:rsidRPr="000B241B">
              <w:rPr>
                <w:rFonts w:ascii="Helvetica" w:eastAsia="Times New Roman" w:hAnsi="Helvetica" w:cs="Helvetica"/>
                <w:b/>
                <w:bCs/>
                <w:sz w:val="24"/>
                <w:szCs w:val="24"/>
                <w:lang w:val="es-ES"/>
              </w:rPr>
              <w:t>Departamento</w:t>
            </w:r>
          </w:p>
        </w:tc>
        <w:tc>
          <w:tcPr>
            <w:tcW w:w="2115" w:type="dxa"/>
            <w:tcBorders>
              <w:top w:val="single" w:sz="4" w:space="0" w:color="auto"/>
              <w:left w:val="single" w:sz="4" w:space="0" w:color="auto"/>
              <w:bottom w:val="single" w:sz="4" w:space="0" w:color="auto"/>
              <w:right w:val="single" w:sz="8" w:space="0" w:color="auto"/>
            </w:tcBorders>
            <w:shd w:val="clear" w:color="4472C4" w:fill="4472C4"/>
            <w:vAlign w:val="center"/>
            <w:hideMark/>
          </w:tcPr>
          <w:p w14:paraId="64EB01C9" w14:textId="77777777" w:rsidR="00501DF2" w:rsidRDefault="00501DF2" w:rsidP="00501DF2">
            <w:pPr>
              <w:autoSpaceDE w:val="0"/>
              <w:autoSpaceDN w:val="0"/>
              <w:adjustRightInd w:val="0"/>
              <w:spacing w:after="0" w:line="240" w:lineRule="auto"/>
              <w:jc w:val="center"/>
              <w:rPr>
                <w:rFonts w:ascii="Helvetica" w:eastAsia="Times New Roman" w:hAnsi="Helvetica" w:cs="Helvetica"/>
                <w:b/>
                <w:bCs/>
                <w:sz w:val="24"/>
                <w:szCs w:val="24"/>
                <w:lang w:val="es-ES"/>
              </w:rPr>
            </w:pPr>
            <w:r w:rsidRPr="000B241B">
              <w:rPr>
                <w:rFonts w:ascii="Helvetica" w:eastAsia="Times New Roman" w:hAnsi="Helvetica" w:cs="Helvetica"/>
                <w:b/>
                <w:bCs/>
                <w:sz w:val="24"/>
                <w:szCs w:val="24"/>
                <w:lang w:val="es-ES"/>
              </w:rPr>
              <w:t>% de Ejecución</w:t>
            </w:r>
          </w:p>
          <w:p w14:paraId="4DB89133" w14:textId="0DEFDE23" w:rsidR="00501DF2" w:rsidRPr="000B241B" w:rsidRDefault="00501DF2" w:rsidP="00501DF2">
            <w:pPr>
              <w:autoSpaceDE w:val="0"/>
              <w:autoSpaceDN w:val="0"/>
              <w:adjustRightInd w:val="0"/>
              <w:spacing w:after="0" w:line="240" w:lineRule="auto"/>
              <w:jc w:val="center"/>
              <w:rPr>
                <w:rFonts w:ascii="Helvetica" w:eastAsia="Times New Roman" w:hAnsi="Helvetica" w:cs="Helvetica"/>
                <w:b/>
                <w:bCs/>
                <w:sz w:val="24"/>
                <w:szCs w:val="24"/>
                <w:lang w:val="es-ES"/>
              </w:rPr>
            </w:pPr>
            <w:r>
              <w:rPr>
                <w:rFonts w:ascii="Helvetica" w:eastAsia="Times New Roman" w:hAnsi="Helvetica" w:cs="Helvetica"/>
                <w:b/>
                <w:bCs/>
                <w:sz w:val="24"/>
                <w:szCs w:val="24"/>
                <w:lang w:val="es-ES"/>
              </w:rPr>
              <w:t>Física</w:t>
            </w:r>
          </w:p>
        </w:tc>
      </w:tr>
      <w:tr w:rsidR="00501DF2" w:rsidRPr="003051CD" w14:paraId="4E1A940D"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77BB3E57"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Baja Verapaz</w:t>
            </w:r>
          </w:p>
        </w:tc>
        <w:tc>
          <w:tcPr>
            <w:tcW w:w="2115" w:type="dxa"/>
            <w:tcBorders>
              <w:top w:val="single" w:sz="4" w:space="0" w:color="auto"/>
              <w:left w:val="single" w:sz="4" w:space="0" w:color="auto"/>
              <w:bottom w:val="single" w:sz="4" w:space="0" w:color="auto"/>
              <w:right w:val="single" w:sz="8" w:space="0" w:color="auto"/>
            </w:tcBorders>
            <w:shd w:val="clear" w:color="D9D9D9" w:fill="02B151"/>
            <w:noWrap/>
            <w:vAlign w:val="bottom"/>
            <w:hideMark/>
          </w:tcPr>
          <w:p w14:paraId="65537774"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99.85%</w:t>
            </w:r>
          </w:p>
        </w:tc>
      </w:tr>
      <w:tr w:rsidR="00501DF2" w:rsidRPr="003051CD" w14:paraId="5E303540"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6CAE9AAD"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Huehuetenango</w:t>
            </w:r>
          </w:p>
        </w:tc>
        <w:tc>
          <w:tcPr>
            <w:tcW w:w="2115" w:type="dxa"/>
            <w:tcBorders>
              <w:top w:val="single" w:sz="4" w:space="0" w:color="auto"/>
              <w:left w:val="single" w:sz="4" w:space="0" w:color="auto"/>
              <w:bottom w:val="single" w:sz="4" w:space="0" w:color="auto"/>
              <w:right w:val="single" w:sz="8" w:space="0" w:color="auto"/>
            </w:tcBorders>
            <w:shd w:val="clear" w:color="000000" w:fill="0DB353"/>
            <w:noWrap/>
            <w:vAlign w:val="bottom"/>
            <w:hideMark/>
          </w:tcPr>
          <w:p w14:paraId="0170C488"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98.76%</w:t>
            </w:r>
          </w:p>
        </w:tc>
      </w:tr>
      <w:tr w:rsidR="00501DF2" w:rsidRPr="003051CD" w14:paraId="31F2EF1B"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7A77B9A8"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Suchitepéquez</w:t>
            </w:r>
          </w:p>
        </w:tc>
        <w:tc>
          <w:tcPr>
            <w:tcW w:w="2115" w:type="dxa"/>
            <w:tcBorders>
              <w:top w:val="single" w:sz="4" w:space="0" w:color="auto"/>
              <w:left w:val="single" w:sz="4" w:space="0" w:color="auto"/>
              <w:bottom w:val="single" w:sz="4" w:space="0" w:color="auto"/>
              <w:right w:val="single" w:sz="8" w:space="0" w:color="auto"/>
            </w:tcBorders>
            <w:shd w:val="clear" w:color="D9D9D9" w:fill="98D46F"/>
            <w:noWrap/>
            <w:vAlign w:val="bottom"/>
            <w:hideMark/>
          </w:tcPr>
          <w:p w14:paraId="5E1A4C6E"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85.06%</w:t>
            </w:r>
          </w:p>
        </w:tc>
      </w:tr>
      <w:tr w:rsidR="00501DF2" w:rsidRPr="003051CD" w14:paraId="0E0FD54F"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4FCB9BCD"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Retalhuleu</w:t>
            </w:r>
          </w:p>
        </w:tc>
        <w:tc>
          <w:tcPr>
            <w:tcW w:w="2115" w:type="dxa"/>
            <w:tcBorders>
              <w:top w:val="single" w:sz="4" w:space="0" w:color="auto"/>
              <w:left w:val="single" w:sz="4" w:space="0" w:color="auto"/>
              <w:bottom w:val="single" w:sz="4" w:space="0" w:color="auto"/>
              <w:right w:val="single" w:sz="8" w:space="0" w:color="auto"/>
            </w:tcBorders>
            <w:shd w:val="clear" w:color="000000" w:fill="D1E17B"/>
            <w:noWrap/>
            <w:vAlign w:val="bottom"/>
            <w:hideMark/>
          </w:tcPr>
          <w:p w14:paraId="5124DBC4"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79.51%</w:t>
            </w:r>
          </w:p>
        </w:tc>
      </w:tr>
      <w:tr w:rsidR="00501DF2" w:rsidRPr="003051CD" w14:paraId="1D992FB5"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1076E8C8"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Rosa</w:t>
            </w:r>
          </w:p>
        </w:tc>
        <w:tc>
          <w:tcPr>
            <w:tcW w:w="2115" w:type="dxa"/>
            <w:tcBorders>
              <w:top w:val="single" w:sz="4" w:space="0" w:color="auto"/>
              <w:left w:val="single" w:sz="4" w:space="0" w:color="auto"/>
              <w:bottom w:val="single" w:sz="4" w:space="0" w:color="auto"/>
              <w:right w:val="single" w:sz="8" w:space="0" w:color="auto"/>
            </w:tcBorders>
            <w:shd w:val="clear" w:color="D9D9D9" w:fill="EFE881"/>
            <w:noWrap/>
            <w:vAlign w:val="bottom"/>
            <w:hideMark/>
          </w:tcPr>
          <w:p w14:paraId="3CCCF329"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76.50%</w:t>
            </w:r>
          </w:p>
        </w:tc>
      </w:tr>
      <w:tr w:rsidR="00501DF2" w:rsidRPr="003051CD" w14:paraId="28F65CA9"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18C7F4FE"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Quetzaltenango</w:t>
            </w:r>
          </w:p>
        </w:tc>
        <w:tc>
          <w:tcPr>
            <w:tcW w:w="2115" w:type="dxa"/>
            <w:tcBorders>
              <w:top w:val="single" w:sz="4" w:space="0" w:color="auto"/>
              <w:left w:val="single" w:sz="4" w:space="0" w:color="auto"/>
              <w:bottom w:val="single" w:sz="4" w:space="0" w:color="auto"/>
              <w:right w:val="single" w:sz="8" w:space="0" w:color="auto"/>
            </w:tcBorders>
            <w:shd w:val="clear" w:color="000000" w:fill="F8EA83"/>
            <w:noWrap/>
            <w:vAlign w:val="bottom"/>
            <w:hideMark/>
          </w:tcPr>
          <w:p w14:paraId="4A0E7DA1"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75.68%</w:t>
            </w:r>
          </w:p>
        </w:tc>
      </w:tr>
      <w:tr w:rsidR="00501DF2" w:rsidRPr="003051CD" w14:paraId="494AEA32"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0E4D8AB3"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Progreso</w:t>
            </w:r>
          </w:p>
        </w:tc>
        <w:tc>
          <w:tcPr>
            <w:tcW w:w="2115" w:type="dxa"/>
            <w:tcBorders>
              <w:top w:val="single" w:sz="4" w:space="0" w:color="auto"/>
              <w:left w:val="single" w:sz="4" w:space="0" w:color="auto"/>
              <w:bottom w:val="single" w:sz="4" w:space="0" w:color="auto"/>
              <w:right w:val="single" w:sz="8" w:space="0" w:color="auto"/>
            </w:tcBorders>
            <w:shd w:val="clear" w:color="D9D9D9" w:fill="F8EA83"/>
            <w:noWrap/>
            <w:vAlign w:val="bottom"/>
            <w:hideMark/>
          </w:tcPr>
          <w:p w14:paraId="4FCEBD8F"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75.67%</w:t>
            </w:r>
          </w:p>
        </w:tc>
      </w:tr>
      <w:tr w:rsidR="00501DF2" w:rsidRPr="003051CD" w14:paraId="1D042DB4"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5A07526F"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Jutiapa</w:t>
            </w:r>
          </w:p>
        </w:tc>
        <w:tc>
          <w:tcPr>
            <w:tcW w:w="2115" w:type="dxa"/>
            <w:tcBorders>
              <w:top w:val="single" w:sz="4" w:space="0" w:color="auto"/>
              <w:left w:val="single" w:sz="4" w:space="0" w:color="auto"/>
              <w:bottom w:val="single" w:sz="4" w:space="0" w:color="auto"/>
              <w:right w:val="single" w:sz="8" w:space="0" w:color="auto"/>
            </w:tcBorders>
            <w:shd w:val="clear" w:color="000000" w:fill="FEE683"/>
            <w:noWrap/>
            <w:vAlign w:val="bottom"/>
            <w:hideMark/>
          </w:tcPr>
          <w:p w14:paraId="65F25718"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73.71%</w:t>
            </w:r>
          </w:p>
        </w:tc>
      </w:tr>
      <w:tr w:rsidR="00501DF2" w:rsidRPr="003051CD" w14:paraId="79989E60"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445A2124"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Izabal</w:t>
            </w:r>
          </w:p>
        </w:tc>
        <w:tc>
          <w:tcPr>
            <w:tcW w:w="2115" w:type="dxa"/>
            <w:tcBorders>
              <w:top w:val="single" w:sz="4" w:space="0" w:color="auto"/>
              <w:left w:val="single" w:sz="4" w:space="0" w:color="auto"/>
              <w:bottom w:val="single" w:sz="4" w:space="0" w:color="auto"/>
              <w:right w:val="single" w:sz="8" w:space="0" w:color="auto"/>
            </w:tcBorders>
            <w:shd w:val="clear" w:color="D9D9D9" w:fill="FEDD81"/>
            <w:noWrap/>
            <w:vAlign w:val="bottom"/>
            <w:hideMark/>
          </w:tcPr>
          <w:p w14:paraId="50B6383F"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71.15%</w:t>
            </w:r>
          </w:p>
        </w:tc>
      </w:tr>
      <w:tr w:rsidR="00501DF2" w:rsidRPr="003051CD" w14:paraId="0D4D8D8D"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6F00D2BE"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Guatemala</w:t>
            </w:r>
          </w:p>
        </w:tc>
        <w:tc>
          <w:tcPr>
            <w:tcW w:w="2115" w:type="dxa"/>
            <w:tcBorders>
              <w:top w:val="single" w:sz="4" w:space="0" w:color="auto"/>
              <w:left w:val="single" w:sz="4" w:space="0" w:color="auto"/>
              <w:bottom w:val="single" w:sz="4" w:space="0" w:color="auto"/>
              <w:right w:val="single" w:sz="8" w:space="0" w:color="auto"/>
            </w:tcBorders>
            <w:shd w:val="clear" w:color="000000" w:fill="FEDD81"/>
            <w:noWrap/>
            <w:vAlign w:val="bottom"/>
            <w:hideMark/>
          </w:tcPr>
          <w:p w14:paraId="0DA1A542"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70.95%</w:t>
            </w:r>
          </w:p>
        </w:tc>
      </w:tr>
      <w:tr w:rsidR="00501DF2" w:rsidRPr="003051CD" w14:paraId="732CD3BA"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733C1304"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Chiquimula</w:t>
            </w:r>
          </w:p>
        </w:tc>
        <w:tc>
          <w:tcPr>
            <w:tcW w:w="2115" w:type="dxa"/>
            <w:tcBorders>
              <w:top w:val="single" w:sz="4" w:space="0" w:color="auto"/>
              <w:left w:val="single" w:sz="4" w:space="0" w:color="auto"/>
              <w:bottom w:val="single" w:sz="4" w:space="0" w:color="auto"/>
              <w:right w:val="single" w:sz="8" w:space="0" w:color="auto"/>
            </w:tcBorders>
            <w:shd w:val="clear" w:color="D9D9D9" w:fill="FDD780"/>
            <w:noWrap/>
            <w:vAlign w:val="bottom"/>
            <w:hideMark/>
          </w:tcPr>
          <w:p w14:paraId="62B27484"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69.21%</w:t>
            </w:r>
          </w:p>
        </w:tc>
      </w:tr>
      <w:tr w:rsidR="00501DF2" w:rsidRPr="003051CD" w14:paraId="0056F649"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19C3765E"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Zacapa</w:t>
            </w:r>
          </w:p>
        </w:tc>
        <w:tc>
          <w:tcPr>
            <w:tcW w:w="2115" w:type="dxa"/>
            <w:tcBorders>
              <w:top w:val="single" w:sz="4" w:space="0" w:color="auto"/>
              <w:left w:val="single" w:sz="4" w:space="0" w:color="auto"/>
              <w:bottom w:val="single" w:sz="4" w:space="0" w:color="auto"/>
              <w:right w:val="single" w:sz="8" w:space="0" w:color="auto"/>
            </w:tcBorders>
            <w:shd w:val="clear" w:color="000000" w:fill="FDD57F"/>
            <w:noWrap/>
            <w:vAlign w:val="bottom"/>
            <w:hideMark/>
          </w:tcPr>
          <w:p w14:paraId="7AA0A7EC"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68.79%</w:t>
            </w:r>
          </w:p>
        </w:tc>
      </w:tr>
      <w:tr w:rsidR="00501DF2" w:rsidRPr="003051CD" w14:paraId="1BFEC7F8"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2332F137"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Quiché</w:t>
            </w:r>
          </w:p>
        </w:tc>
        <w:tc>
          <w:tcPr>
            <w:tcW w:w="2115" w:type="dxa"/>
            <w:tcBorders>
              <w:top w:val="single" w:sz="4" w:space="0" w:color="auto"/>
              <w:left w:val="single" w:sz="4" w:space="0" w:color="auto"/>
              <w:bottom w:val="single" w:sz="4" w:space="0" w:color="auto"/>
              <w:right w:val="single" w:sz="8" w:space="0" w:color="auto"/>
            </w:tcBorders>
            <w:shd w:val="clear" w:color="D9D9D9" w:fill="FCBC7A"/>
            <w:noWrap/>
            <w:vAlign w:val="bottom"/>
            <w:hideMark/>
          </w:tcPr>
          <w:p w14:paraId="745C8247"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61.33%</w:t>
            </w:r>
          </w:p>
        </w:tc>
      </w:tr>
      <w:tr w:rsidR="00501DF2" w:rsidRPr="003051CD" w14:paraId="116617DC"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184A3768"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Totonicapán</w:t>
            </w:r>
          </w:p>
        </w:tc>
        <w:tc>
          <w:tcPr>
            <w:tcW w:w="2115" w:type="dxa"/>
            <w:tcBorders>
              <w:top w:val="single" w:sz="4" w:space="0" w:color="auto"/>
              <w:left w:val="single" w:sz="4" w:space="0" w:color="auto"/>
              <w:bottom w:val="single" w:sz="4" w:space="0" w:color="auto"/>
              <w:right w:val="single" w:sz="8" w:space="0" w:color="auto"/>
            </w:tcBorders>
            <w:shd w:val="clear" w:color="000000" w:fill="FCB97A"/>
            <w:noWrap/>
            <w:vAlign w:val="bottom"/>
            <w:hideMark/>
          </w:tcPr>
          <w:p w14:paraId="723C611A"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60.51%</w:t>
            </w:r>
          </w:p>
        </w:tc>
      </w:tr>
      <w:tr w:rsidR="00501DF2" w:rsidRPr="003051CD" w14:paraId="6268E588"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14AE1EAD"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Chimaltenango</w:t>
            </w:r>
          </w:p>
        </w:tc>
        <w:tc>
          <w:tcPr>
            <w:tcW w:w="2115" w:type="dxa"/>
            <w:tcBorders>
              <w:top w:val="single" w:sz="4" w:space="0" w:color="auto"/>
              <w:left w:val="single" w:sz="4" w:space="0" w:color="auto"/>
              <w:bottom w:val="single" w:sz="4" w:space="0" w:color="auto"/>
              <w:right w:val="single" w:sz="8" w:space="0" w:color="auto"/>
            </w:tcBorders>
            <w:shd w:val="clear" w:color="D9D9D9" w:fill="FCB87A"/>
            <w:noWrap/>
            <w:vAlign w:val="bottom"/>
            <w:hideMark/>
          </w:tcPr>
          <w:p w14:paraId="76DB9ED2"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60.42%</w:t>
            </w:r>
          </w:p>
        </w:tc>
      </w:tr>
      <w:tr w:rsidR="00501DF2" w:rsidRPr="003051CD" w14:paraId="1E31E104"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6D3A8D5C"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Sololá</w:t>
            </w:r>
          </w:p>
        </w:tc>
        <w:tc>
          <w:tcPr>
            <w:tcW w:w="2115" w:type="dxa"/>
            <w:tcBorders>
              <w:top w:val="single" w:sz="4" w:space="0" w:color="auto"/>
              <w:left w:val="single" w:sz="4" w:space="0" w:color="auto"/>
              <w:bottom w:val="single" w:sz="4" w:space="0" w:color="auto"/>
              <w:right w:val="single" w:sz="8" w:space="0" w:color="auto"/>
            </w:tcBorders>
            <w:shd w:val="clear" w:color="000000" w:fill="FBA376"/>
            <w:noWrap/>
            <w:vAlign w:val="bottom"/>
            <w:hideMark/>
          </w:tcPr>
          <w:p w14:paraId="7A4E0565"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54.28%</w:t>
            </w:r>
          </w:p>
        </w:tc>
      </w:tr>
      <w:tr w:rsidR="00501DF2" w:rsidRPr="003051CD" w14:paraId="64985E04"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7A920A86"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Escuintla</w:t>
            </w:r>
          </w:p>
        </w:tc>
        <w:tc>
          <w:tcPr>
            <w:tcW w:w="2115" w:type="dxa"/>
            <w:tcBorders>
              <w:top w:val="single" w:sz="4" w:space="0" w:color="auto"/>
              <w:left w:val="single" w:sz="4" w:space="0" w:color="auto"/>
              <w:bottom w:val="single" w:sz="4" w:space="0" w:color="auto"/>
              <w:right w:val="single" w:sz="8" w:space="0" w:color="auto"/>
            </w:tcBorders>
            <w:shd w:val="clear" w:color="D9D9D9" w:fill="FA8E72"/>
            <w:noWrap/>
            <w:vAlign w:val="bottom"/>
            <w:hideMark/>
          </w:tcPr>
          <w:p w14:paraId="4FAAC019"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48.07%</w:t>
            </w:r>
          </w:p>
        </w:tc>
      </w:tr>
      <w:tr w:rsidR="00501DF2" w:rsidRPr="003051CD" w14:paraId="0D68A600"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445B9E9D"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Sacatepéquez</w:t>
            </w:r>
          </w:p>
        </w:tc>
        <w:tc>
          <w:tcPr>
            <w:tcW w:w="2115" w:type="dxa"/>
            <w:tcBorders>
              <w:top w:val="single" w:sz="4" w:space="0" w:color="auto"/>
              <w:left w:val="single" w:sz="4" w:space="0" w:color="auto"/>
              <w:bottom w:val="single" w:sz="4" w:space="0" w:color="auto"/>
              <w:right w:val="single" w:sz="8" w:space="0" w:color="auto"/>
            </w:tcBorders>
            <w:shd w:val="clear" w:color="000000" w:fill="F98D72"/>
            <w:noWrap/>
            <w:vAlign w:val="bottom"/>
            <w:hideMark/>
          </w:tcPr>
          <w:p w14:paraId="09E0BABD"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47.95%</w:t>
            </w:r>
          </w:p>
        </w:tc>
      </w:tr>
      <w:tr w:rsidR="00501DF2" w:rsidRPr="003051CD" w14:paraId="3B1281CC"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02B51077"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Petén</w:t>
            </w:r>
          </w:p>
        </w:tc>
        <w:tc>
          <w:tcPr>
            <w:tcW w:w="2115" w:type="dxa"/>
            <w:tcBorders>
              <w:top w:val="single" w:sz="4" w:space="0" w:color="auto"/>
              <w:left w:val="single" w:sz="4" w:space="0" w:color="auto"/>
              <w:bottom w:val="single" w:sz="4" w:space="0" w:color="auto"/>
              <w:right w:val="single" w:sz="8" w:space="0" w:color="auto"/>
            </w:tcBorders>
            <w:shd w:val="clear" w:color="D9D9D9" w:fill="F98C71"/>
            <w:noWrap/>
            <w:vAlign w:val="bottom"/>
            <w:hideMark/>
          </w:tcPr>
          <w:p w14:paraId="77455D20"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47.49%</w:t>
            </w:r>
          </w:p>
        </w:tc>
      </w:tr>
      <w:tr w:rsidR="00501DF2" w:rsidRPr="003051CD" w14:paraId="15452CAD"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500A528A"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Jalapa</w:t>
            </w:r>
          </w:p>
        </w:tc>
        <w:tc>
          <w:tcPr>
            <w:tcW w:w="2115" w:type="dxa"/>
            <w:tcBorders>
              <w:top w:val="single" w:sz="4" w:space="0" w:color="auto"/>
              <w:left w:val="single" w:sz="4" w:space="0" w:color="auto"/>
              <w:bottom w:val="single" w:sz="4" w:space="0" w:color="auto"/>
              <w:right w:val="single" w:sz="8" w:space="0" w:color="auto"/>
            </w:tcBorders>
            <w:shd w:val="clear" w:color="000000" w:fill="F98971"/>
            <w:noWrap/>
            <w:vAlign w:val="bottom"/>
            <w:hideMark/>
          </w:tcPr>
          <w:p w14:paraId="370D5365"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46.76%</w:t>
            </w:r>
          </w:p>
        </w:tc>
      </w:tr>
      <w:tr w:rsidR="00501DF2" w:rsidRPr="003051CD" w14:paraId="7FBF65FE" w14:textId="77777777" w:rsidTr="00D0650C">
        <w:trPr>
          <w:trHeight w:val="375"/>
        </w:trPr>
        <w:tc>
          <w:tcPr>
            <w:tcW w:w="2117" w:type="dxa"/>
            <w:tcBorders>
              <w:top w:val="single" w:sz="4" w:space="0" w:color="auto"/>
              <w:left w:val="single" w:sz="8" w:space="0" w:color="auto"/>
              <w:bottom w:val="single" w:sz="4" w:space="0" w:color="auto"/>
              <w:right w:val="single" w:sz="4" w:space="0" w:color="auto"/>
            </w:tcBorders>
            <w:shd w:val="clear" w:color="D9D9D9" w:fill="D9D9D9"/>
            <w:noWrap/>
            <w:vAlign w:val="bottom"/>
            <w:hideMark/>
          </w:tcPr>
          <w:p w14:paraId="19CF9A4E"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Alta Verapaz</w:t>
            </w:r>
          </w:p>
        </w:tc>
        <w:tc>
          <w:tcPr>
            <w:tcW w:w="2115" w:type="dxa"/>
            <w:tcBorders>
              <w:top w:val="single" w:sz="4" w:space="0" w:color="auto"/>
              <w:left w:val="single" w:sz="4" w:space="0" w:color="auto"/>
              <w:bottom w:val="single" w:sz="4" w:space="0" w:color="auto"/>
              <w:right w:val="single" w:sz="8" w:space="0" w:color="auto"/>
            </w:tcBorders>
            <w:shd w:val="clear" w:color="D9D9D9" w:fill="F8726C"/>
            <w:noWrap/>
            <w:vAlign w:val="bottom"/>
            <w:hideMark/>
          </w:tcPr>
          <w:p w14:paraId="4C5F5151"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40.02%</w:t>
            </w:r>
          </w:p>
        </w:tc>
      </w:tr>
      <w:tr w:rsidR="00501DF2" w:rsidRPr="003051CD" w14:paraId="6A007350" w14:textId="77777777" w:rsidTr="00D0650C">
        <w:trPr>
          <w:trHeight w:val="375"/>
        </w:trPr>
        <w:tc>
          <w:tcPr>
            <w:tcW w:w="2117" w:type="dxa"/>
            <w:tcBorders>
              <w:top w:val="nil"/>
              <w:left w:val="single" w:sz="8" w:space="0" w:color="auto"/>
              <w:bottom w:val="single" w:sz="4" w:space="0" w:color="auto"/>
              <w:right w:val="single" w:sz="4" w:space="0" w:color="auto"/>
            </w:tcBorders>
            <w:shd w:val="clear" w:color="auto" w:fill="auto"/>
            <w:noWrap/>
            <w:vAlign w:val="bottom"/>
            <w:hideMark/>
          </w:tcPr>
          <w:p w14:paraId="6CB8ABBF"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Marcos</w:t>
            </w:r>
          </w:p>
        </w:tc>
        <w:tc>
          <w:tcPr>
            <w:tcW w:w="2115" w:type="dxa"/>
            <w:tcBorders>
              <w:top w:val="single" w:sz="4" w:space="0" w:color="auto"/>
              <w:left w:val="single" w:sz="4" w:space="0" w:color="auto"/>
              <w:bottom w:val="single" w:sz="4" w:space="0" w:color="auto"/>
              <w:right w:val="single" w:sz="8" w:space="0" w:color="auto"/>
            </w:tcBorders>
            <w:shd w:val="clear" w:color="000000" w:fill="F8696B"/>
            <w:noWrap/>
            <w:vAlign w:val="bottom"/>
            <w:hideMark/>
          </w:tcPr>
          <w:p w14:paraId="03A19C93"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37.30%</w:t>
            </w:r>
          </w:p>
        </w:tc>
      </w:tr>
      <w:tr w:rsidR="00501DF2" w:rsidRPr="003051CD" w14:paraId="337E07A8" w14:textId="77777777" w:rsidTr="00D0650C">
        <w:trPr>
          <w:trHeight w:val="390"/>
        </w:trPr>
        <w:tc>
          <w:tcPr>
            <w:tcW w:w="2117" w:type="dxa"/>
            <w:tcBorders>
              <w:top w:val="nil"/>
              <w:left w:val="single" w:sz="8" w:space="0" w:color="auto"/>
              <w:bottom w:val="single" w:sz="8" w:space="0" w:color="auto"/>
              <w:right w:val="single" w:sz="4" w:space="0" w:color="auto"/>
            </w:tcBorders>
            <w:shd w:val="clear" w:color="auto" w:fill="auto"/>
            <w:noWrap/>
            <w:vAlign w:val="bottom"/>
            <w:hideMark/>
          </w:tcPr>
          <w:p w14:paraId="2E54C1F2" w14:textId="77777777" w:rsidR="00501DF2" w:rsidRPr="003051CD" w:rsidRDefault="00501DF2" w:rsidP="00501DF2">
            <w:pPr>
              <w:autoSpaceDE w:val="0"/>
              <w:autoSpaceDN w:val="0"/>
              <w:adjustRightInd w:val="0"/>
              <w:spacing w:after="0" w:line="240" w:lineRule="auto"/>
              <w:jc w:val="both"/>
              <w:rPr>
                <w:rFonts w:ascii="Helvetica" w:eastAsia="Times New Roman" w:hAnsi="Helvetica" w:cs="Helvetica"/>
                <w:b/>
                <w:sz w:val="24"/>
                <w:szCs w:val="24"/>
                <w:lang w:val="es-ES"/>
              </w:rPr>
            </w:pPr>
            <w:r w:rsidRPr="003051CD">
              <w:rPr>
                <w:rFonts w:ascii="Helvetica" w:eastAsia="Times New Roman" w:hAnsi="Helvetica" w:cs="Helvetica"/>
                <w:b/>
                <w:sz w:val="24"/>
                <w:szCs w:val="24"/>
                <w:lang w:val="es-ES"/>
              </w:rPr>
              <w:t>Todo el País</w:t>
            </w:r>
          </w:p>
        </w:tc>
        <w:tc>
          <w:tcPr>
            <w:tcW w:w="2115" w:type="dxa"/>
            <w:tcBorders>
              <w:top w:val="single" w:sz="4" w:space="0" w:color="auto"/>
              <w:left w:val="single" w:sz="4" w:space="0" w:color="auto"/>
              <w:bottom w:val="single" w:sz="8" w:space="0" w:color="auto"/>
              <w:right w:val="single" w:sz="8" w:space="0" w:color="auto"/>
            </w:tcBorders>
            <w:shd w:val="clear" w:color="000000" w:fill="76CC68"/>
            <w:noWrap/>
            <w:vAlign w:val="bottom"/>
            <w:hideMark/>
          </w:tcPr>
          <w:p w14:paraId="04A11A63" w14:textId="77777777" w:rsidR="00501DF2" w:rsidRPr="003051CD" w:rsidRDefault="00501DF2" w:rsidP="00501DF2">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88.49%</w:t>
            </w:r>
          </w:p>
        </w:tc>
      </w:tr>
    </w:tbl>
    <w:p w14:paraId="36383850" w14:textId="28C4C6F1" w:rsidR="000B241B" w:rsidRDefault="000B241B" w:rsidP="000B241B">
      <w:pPr>
        <w:pStyle w:val="ttulosgrficas"/>
        <w:spacing w:line="120" w:lineRule="auto"/>
        <w:rPr>
          <w:lang w:val="es-ES"/>
        </w:rPr>
      </w:pPr>
    </w:p>
    <w:p w14:paraId="2010C1A7" w14:textId="3DE1DCB0" w:rsidR="00501DF2" w:rsidRDefault="00501DF2" w:rsidP="000B241B">
      <w:pPr>
        <w:pStyle w:val="ttulosgrficas"/>
        <w:spacing w:line="120" w:lineRule="auto"/>
        <w:rPr>
          <w:lang w:val="es-ES"/>
        </w:rPr>
      </w:pPr>
    </w:p>
    <w:p w14:paraId="1CDC2E8C" w14:textId="45F265D5" w:rsidR="00501DF2" w:rsidRDefault="00501DF2" w:rsidP="000B241B">
      <w:pPr>
        <w:pStyle w:val="ttulosgrficas"/>
        <w:spacing w:line="120" w:lineRule="auto"/>
        <w:rPr>
          <w:lang w:val="es-ES"/>
        </w:rPr>
      </w:pPr>
    </w:p>
    <w:p w14:paraId="7F398653" w14:textId="5CE31836" w:rsidR="00501DF2" w:rsidRDefault="00501DF2" w:rsidP="000B241B">
      <w:pPr>
        <w:pStyle w:val="ttulosgrficas"/>
        <w:spacing w:line="120" w:lineRule="auto"/>
        <w:rPr>
          <w:lang w:val="es-ES"/>
        </w:rPr>
      </w:pPr>
    </w:p>
    <w:p w14:paraId="0F24A56A" w14:textId="0BEA862A" w:rsidR="00501DF2" w:rsidRDefault="00501DF2" w:rsidP="000B241B">
      <w:pPr>
        <w:pStyle w:val="ttulosgrficas"/>
        <w:spacing w:line="120" w:lineRule="auto"/>
        <w:rPr>
          <w:lang w:val="es-ES"/>
        </w:rPr>
      </w:pPr>
    </w:p>
    <w:p w14:paraId="3F29A4A4" w14:textId="3B9E07F0" w:rsidR="00501DF2" w:rsidRDefault="00501DF2" w:rsidP="000B241B">
      <w:pPr>
        <w:pStyle w:val="ttulosgrficas"/>
        <w:spacing w:line="120" w:lineRule="auto"/>
        <w:rPr>
          <w:lang w:val="es-ES"/>
        </w:rPr>
      </w:pPr>
    </w:p>
    <w:p w14:paraId="38A34C4B" w14:textId="6BB2A55F" w:rsidR="00501DF2" w:rsidRDefault="00501DF2" w:rsidP="000B241B">
      <w:pPr>
        <w:pStyle w:val="ttulosgrficas"/>
        <w:spacing w:line="120" w:lineRule="auto"/>
        <w:rPr>
          <w:lang w:val="es-ES"/>
        </w:rPr>
      </w:pPr>
    </w:p>
    <w:p w14:paraId="3F7F1C55" w14:textId="0A6EB53C" w:rsidR="00501DF2" w:rsidRDefault="00501DF2" w:rsidP="000B241B">
      <w:pPr>
        <w:pStyle w:val="ttulosgrficas"/>
        <w:spacing w:line="120" w:lineRule="auto"/>
        <w:rPr>
          <w:lang w:val="es-ES"/>
        </w:rPr>
      </w:pPr>
    </w:p>
    <w:p w14:paraId="542B75CB" w14:textId="2252D306" w:rsidR="00501DF2" w:rsidRDefault="00501DF2" w:rsidP="000B241B">
      <w:pPr>
        <w:pStyle w:val="ttulosgrficas"/>
        <w:spacing w:line="120" w:lineRule="auto"/>
        <w:rPr>
          <w:lang w:val="es-ES"/>
        </w:rPr>
      </w:pPr>
    </w:p>
    <w:p w14:paraId="5E7664B2" w14:textId="7F01E07E" w:rsidR="00501DF2" w:rsidRDefault="00501DF2" w:rsidP="000B241B">
      <w:pPr>
        <w:pStyle w:val="ttulosgrficas"/>
        <w:spacing w:line="120" w:lineRule="auto"/>
        <w:rPr>
          <w:lang w:val="es-ES"/>
        </w:rPr>
      </w:pPr>
    </w:p>
    <w:p w14:paraId="060E4E31" w14:textId="6DDA708F" w:rsidR="00501DF2" w:rsidRDefault="00501DF2" w:rsidP="000B241B">
      <w:pPr>
        <w:pStyle w:val="ttulosgrficas"/>
        <w:spacing w:line="120" w:lineRule="auto"/>
        <w:rPr>
          <w:lang w:val="es-ES"/>
        </w:rPr>
      </w:pPr>
    </w:p>
    <w:p w14:paraId="701D1814" w14:textId="2731BA78" w:rsidR="00501DF2" w:rsidRDefault="00501DF2" w:rsidP="000B241B">
      <w:pPr>
        <w:pStyle w:val="ttulosgrficas"/>
        <w:spacing w:line="120" w:lineRule="auto"/>
        <w:rPr>
          <w:lang w:val="es-ES"/>
        </w:rPr>
      </w:pPr>
    </w:p>
    <w:p w14:paraId="556FC96B" w14:textId="3D226FA2"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D21817A" w14:textId="1FF92B1C"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4F798E1" w14:textId="19B0C310"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D37EFB1" w14:textId="55F31997"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A2989D9" w14:textId="569A3B6C"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5E68628" w14:textId="27B5AA43"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F519E62" w14:textId="793611D4"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A56F883" w14:textId="6588953A"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3D1B187" w14:textId="5E94719E"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FD7919D" w14:textId="0BFA1E5D"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56B7FAC" w14:textId="580DB190"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061D77A" w14:textId="649427F4"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2CDA42B" w14:textId="461FC802"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C48CC05" w14:textId="1FC7A6BF"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954B970" w14:textId="525AE58A"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424AF89" w14:textId="0E6ECA6D"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B587F27" w14:textId="1D12E6EB"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931807D" w14:textId="7B1B214F"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AD9D519" w14:textId="71D11498"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D0FF65D" w14:textId="686B4465"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62BC535" w14:textId="08397F63"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0D8B9A1" w14:textId="355625F6"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4FB2B5A" w14:textId="72BB057E"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BCE9EE6" w14:textId="10B2953B"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E13AA56" w14:textId="437A7E08"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D41DC1C" w14:textId="72A60AE4"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6FCBC2B" w14:textId="08CBBAD4"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ACB1E80" w14:textId="2D5DD2EB"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371409D" w14:textId="2AC88634"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9D13116" w14:textId="1954FBAD"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C47D7CA" w14:textId="1B2E4637"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94859C3" w14:textId="162BC8D4"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46165C5" w14:textId="32881D04" w:rsidR="00D0650C" w:rsidRPr="003051CD" w:rsidRDefault="00D0650C" w:rsidP="00D0650C">
      <w:pPr>
        <w:autoSpaceDE w:val="0"/>
        <w:autoSpaceDN w:val="0"/>
        <w:adjustRightInd w:val="0"/>
        <w:spacing w:after="0" w:line="240" w:lineRule="auto"/>
        <w:jc w:val="both"/>
        <w:rPr>
          <w:rFonts w:ascii="Helvetica" w:eastAsia="Times New Roman" w:hAnsi="Helvetica" w:cs="Helvetica"/>
          <w:sz w:val="18"/>
          <w:szCs w:val="18"/>
          <w:lang w:val="es-ES"/>
        </w:rPr>
      </w:pPr>
      <w:r>
        <w:rPr>
          <w:rFonts w:ascii="Helvetica" w:eastAsia="Times New Roman" w:hAnsi="Helvetica" w:cs="Helvetica"/>
          <w:sz w:val="18"/>
          <w:szCs w:val="18"/>
          <w:lang w:val="es-ES"/>
        </w:rPr>
        <w:t xml:space="preserve">                               F</w:t>
      </w:r>
      <w:r w:rsidRPr="003051CD">
        <w:rPr>
          <w:rFonts w:ascii="Helvetica" w:eastAsia="Times New Roman" w:hAnsi="Helvetica" w:cs="Helvetica"/>
          <w:sz w:val="18"/>
          <w:szCs w:val="18"/>
          <w:lang w:val="es-ES"/>
        </w:rPr>
        <w:t xml:space="preserve">uente: </w:t>
      </w:r>
      <w:proofErr w:type="spellStart"/>
      <w:r w:rsidRPr="003051CD">
        <w:rPr>
          <w:rFonts w:ascii="Helvetica" w:eastAsia="Times New Roman" w:hAnsi="Helvetica" w:cs="Helvetica"/>
          <w:sz w:val="18"/>
          <w:szCs w:val="18"/>
          <w:lang w:val="es-ES"/>
        </w:rPr>
        <w:t>Siplangl</w:t>
      </w:r>
      <w:proofErr w:type="spellEnd"/>
      <w:r w:rsidRPr="003051CD">
        <w:rPr>
          <w:rFonts w:ascii="Helvetica" w:eastAsia="Times New Roman" w:hAnsi="Helvetica" w:cs="Helvetica"/>
          <w:sz w:val="18"/>
          <w:szCs w:val="18"/>
          <w:lang w:val="es-ES"/>
        </w:rPr>
        <w:t>. Tercer informe cuatrimestral y acumulado. Año 2020</w:t>
      </w:r>
      <w:r>
        <w:rPr>
          <w:rFonts w:ascii="Helvetica" w:eastAsia="Times New Roman" w:hAnsi="Helvetica" w:cs="Helvetica"/>
          <w:sz w:val="18"/>
          <w:szCs w:val="18"/>
          <w:lang w:val="es-ES"/>
        </w:rPr>
        <w:t>.</w:t>
      </w:r>
    </w:p>
    <w:p w14:paraId="43F2616B" w14:textId="44901153" w:rsidR="00D0650C" w:rsidRDefault="00D0650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6098679"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A continuación, se presenta la ejecución financiera por departamento y municipios durante el año 2020, con datos generados en el sistema </w:t>
      </w:r>
      <w:proofErr w:type="spellStart"/>
      <w:r w:rsidRPr="003051CD">
        <w:rPr>
          <w:rFonts w:ascii="Helvetica" w:eastAsia="Times New Roman" w:hAnsi="Helvetica" w:cs="Helvetica"/>
          <w:sz w:val="24"/>
          <w:szCs w:val="24"/>
          <w:lang w:val="es-ES"/>
        </w:rPr>
        <w:t>siplangl</w:t>
      </w:r>
      <w:proofErr w:type="spellEnd"/>
      <w:r w:rsidRPr="003051CD">
        <w:rPr>
          <w:rFonts w:ascii="Helvetica" w:eastAsia="Times New Roman" w:hAnsi="Helvetica" w:cs="Helvetica"/>
          <w:sz w:val="24"/>
          <w:szCs w:val="24"/>
          <w:lang w:val="es-ES"/>
        </w:rPr>
        <w:t>.  Para lo cual, la información se presenta con los siguientes datos:</w:t>
      </w:r>
    </w:p>
    <w:p w14:paraId="0678853C"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89C07E4" w14:textId="01707B74" w:rsidR="00693BD9" w:rsidRPr="003051CD" w:rsidRDefault="00693BD9" w:rsidP="00D0650C">
      <w:pPr>
        <w:numPr>
          <w:ilvl w:val="0"/>
          <w:numId w:val="34"/>
        </w:numPr>
        <w:spacing w:before="120" w:after="12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Nombre del </w:t>
      </w:r>
      <w:r w:rsidR="00D0650C">
        <w:rPr>
          <w:rFonts w:ascii="Helvetica" w:eastAsia="Times New Roman" w:hAnsi="Helvetica" w:cs="Helvetica"/>
          <w:sz w:val="24"/>
          <w:szCs w:val="24"/>
          <w:lang w:val="es-ES"/>
        </w:rPr>
        <w:t xml:space="preserve">departamento y del </w:t>
      </w:r>
      <w:r w:rsidRPr="003051CD">
        <w:rPr>
          <w:rFonts w:ascii="Helvetica" w:eastAsia="Times New Roman" w:hAnsi="Helvetica" w:cs="Helvetica"/>
          <w:sz w:val="24"/>
          <w:szCs w:val="24"/>
          <w:lang w:val="es-ES"/>
        </w:rPr>
        <w:t>municipio</w:t>
      </w:r>
    </w:p>
    <w:p w14:paraId="74E79F66" w14:textId="77777777" w:rsidR="00693BD9" w:rsidRPr="003051CD" w:rsidRDefault="00693BD9" w:rsidP="00D0650C">
      <w:pPr>
        <w:numPr>
          <w:ilvl w:val="0"/>
          <w:numId w:val="34"/>
        </w:numPr>
        <w:spacing w:before="120" w:after="120" w:line="240" w:lineRule="auto"/>
        <w:ind w:left="714" w:hanging="357"/>
        <w:jc w:val="both"/>
        <w:rPr>
          <w:rFonts w:ascii="Helvetica" w:eastAsia="Times New Roman" w:hAnsi="Helvetica" w:cs="Helvetica"/>
          <w:sz w:val="24"/>
          <w:szCs w:val="24"/>
          <w:lang w:val="es-ES"/>
        </w:rPr>
      </w:pPr>
      <w:r w:rsidRPr="003051CD">
        <w:rPr>
          <w:rFonts w:ascii="Helvetica" w:eastAsia="Times New Roman" w:hAnsi="Helvetica" w:cs="Helvetica"/>
          <w:b/>
          <w:sz w:val="24"/>
          <w:szCs w:val="24"/>
          <w:lang w:val="es-ES"/>
        </w:rPr>
        <w:t>Meta financiera vigente:</w:t>
      </w:r>
      <w:r w:rsidRPr="003051CD">
        <w:rPr>
          <w:rFonts w:ascii="Helvetica" w:eastAsia="Times New Roman" w:hAnsi="Helvetica" w:cs="Helvetica"/>
          <w:sz w:val="24"/>
          <w:szCs w:val="24"/>
          <w:lang w:val="es-ES"/>
        </w:rPr>
        <w:t xml:space="preserve"> se refiere al presupuesto inicial programado, +/- reprogramaciones de metas financieras o modificaciones presupuestarias.</w:t>
      </w:r>
    </w:p>
    <w:p w14:paraId="74DB09A2" w14:textId="77777777" w:rsidR="00693BD9" w:rsidRPr="003051CD" w:rsidRDefault="00693BD9" w:rsidP="00D0650C">
      <w:pPr>
        <w:numPr>
          <w:ilvl w:val="0"/>
          <w:numId w:val="34"/>
        </w:numPr>
        <w:spacing w:before="120" w:after="120" w:line="240" w:lineRule="auto"/>
        <w:ind w:left="714" w:hanging="357"/>
        <w:jc w:val="both"/>
        <w:rPr>
          <w:rFonts w:ascii="Helvetica" w:eastAsia="Times New Roman" w:hAnsi="Helvetica" w:cs="Helvetica"/>
          <w:sz w:val="24"/>
          <w:szCs w:val="24"/>
          <w:lang w:val="es-ES"/>
        </w:rPr>
      </w:pPr>
      <w:r w:rsidRPr="003051CD">
        <w:rPr>
          <w:rFonts w:ascii="Helvetica" w:eastAsia="Times New Roman" w:hAnsi="Helvetica" w:cs="Helvetica"/>
          <w:b/>
          <w:sz w:val="24"/>
          <w:szCs w:val="24"/>
          <w:lang w:val="es-ES"/>
        </w:rPr>
        <w:t>Ejecución financiera</w:t>
      </w:r>
      <w:r w:rsidRPr="003051CD">
        <w:rPr>
          <w:rFonts w:ascii="Helvetica" w:eastAsia="Times New Roman" w:hAnsi="Helvetica" w:cs="Helvetica"/>
          <w:sz w:val="24"/>
          <w:szCs w:val="24"/>
          <w:lang w:val="es-ES"/>
        </w:rPr>
        <w:t>: se refiere a la meta financiera ejecutada o presupuesto ejecutado, que incluye la ejecución acumulada de los tres cuatrimestres del 2020.</w:t>
      </w:r>
    </w:p>
    <w:p w14:paraId="120D762E" w14:textId="77777777" w:rsidR="00693BD9" w:rsidRPr="003051CD" w:rsidRDefault="00693BD9" w:rsidP="00D0650C">
      <w:pPr>
        <w:numPr>
          <w:ilvl w:val="0"/>
          <w:numId w:val="34"/>
        </w:numPr>
        <w:spacing w:before="120" w:after="120" w:line="240" w:lineRule="auto"/>
        <w:ind w:left="714" w:hanging="357"/>
        <w:jc w:val="both"/>
        <w:rPr>
          <w:rFonts w:ascii="Helvetica" w:eastAsia="Times New Roman" w:hAnsi="Helvetica" w:cs="Helvetica"/>
          <w:sz w:val="24"/>
          <w:szCs w:val="24"/>
          <w:lang w:val="es-ES"/>
        </w:rPr>
      </w:pPr>
      <w:r w:rsidRPr="003051CD">
        <w:rPr>
          <w:rFonts w:ascii="Helvetica" w:eastAsia="Times New Roman" w:hAnsi="Helvetica" w:cs="Helvetica"/>
          <w:b/>
          <w:sz w:val="24"/>
          <w:szCs w:val="24"/>
          <w:lang w:val="es-ES"/>
        </w:rPr>
        <w:t>Porcentaje (%) de ejecución</w:t>
      </w:r>
      <w:r w:rsidRPr="003051CD">
        <w:rPr>
          <w:rFonts w:ascii="Helvetica" w:eastAsia="Times New Roman" w:hAnsi="Helvetica" w:cs="Helvetica"/>
          <w:sz w:val="24"/>
          <w:szCs w:val="24"/>
          <w:lang w:val="es-ES"/>
        </w:rPr>
        <w:t xml:space="preserve">: el porcentaje muestra cuánto se ejecutó respecto de la meta financiera vigente, lo que permite inferir que a mayor porcentaje de ejecución habrá mayor eficiencia en la calidad del gasto público como un indicador del desempeño institucional. </w:t>
      </w:r>
    </w:p>
    <w:p w14:paraId="297B6C99"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F01F1A9" w14:textId="61C0F70B" w:rsidR="00693BD9" w:rsidRPr="00E47805" w:rsidRDefault="00693BD9" w:rsidP="00E47805">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E47805">
        <w:rPr>
          <w:rFonts w:ascii="Helvetica" w:eastAsia="Times New Roman" w:hAnsi="Helvetica" w:cs="Helvetica"/>
          <w:b/>
          <w:color w:val="002060"/>
          <w:sz w:val="28"/>
          <w:szCs w:val="28"/>
          <w:lang w:val="es-ES"/>
        </w:rPr>
        <w:t>Alta Verapaz</w:t>
      </w:r>
    </w:p>
    <w:p w14:paraId="08A0D68F"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bookmarkStart w:id="44" w:name="_Hlk67295951"/>
    </w:p>
    <w:p w14:paraId="1D53F0A9" w14:textId="533CB388"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45.63%. Los municipios con mayor ejecución son: Cahabón 64.83%, Santa Cruz Verapaz 64.29% y Tucurú 57.55%. Cabe mencionar que Raxruhá no presentó el tercer informe cuatrimestral.</w:t>
      </w:r>
      <w:r w:rsidR="00111CDE">
        <w:rPr>
          <w:rFonts w:ascii="Helvetica" w:eastAsia="Times New Roman" w:hAnsi="Helvetica" w:cs="Helvetica"/>
          <w:sz w:val="24"/>
          <w:szCs w:val="24"/>
          <w:lang w:val="es-ES"/>
        </w:rPr>
        <w:t xml:space="preserve"> Ver tabla 12</w:t>
      </w:r>
      <w:r w:rsidR="00D0650C">
        <w:rPr>
          <w:rFonts w:ascii="Helvetica" w:eastAsia="Times New Roman" w:hAnsi="Helvetica" w:cs="Helvetica"/>
          <w:sz w:val="24"/>
          <w:szCs w:val="24"/>
          <w:lang w:val="es-ES"/>
        </w:rPr>
        <w:t>.</w:t>
      </w:r>
    </w:p>
    <w:bookmarkEnd w:id="44"/>
    <w:p w14:paraId="38444C86" w14:textId="42C77C80"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F38954F" w14:textId="7127FB5F" w:rsidR="00693BD9" w:rsidRPr="00016865" w:rsidRDefault="00111CDE" w:rsidP="00016865">
      <w:pPr>
        <w:pStyle w:val="ttulosgrficas"/>
        <w:rPr>
          <w:rFonts w:eastAsia="Times New Roman"/>
          <w:color w:val="4472C4" w:themeColor="accent1"/>
          <w:lang w:val="es-ES"/>
        </w:rPr>
      </w:pPr>
      <w:bookmarkStart w:id="45" w:name="_Toc67589125"/>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12</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Alta Verapaz</w:t>
      </w:r>
      <w:bookmarkEnd w:id="45"/>
    </w:p>
    <w:p w14:paraId="0278BCFE" w14:textId="77777777" w:rsidR="00BC2B6E" w:rsidRPr="003051CD" w:rsidRDefault="00BC2B6E" w:rsidP="00BC2B6E">
      <w:pPr>
        <w:pStyle w:val="ttulosgrficas"/>
        <w:spacing w:line="120" w:lineRule="auto"/>
        <w:rPr>
          <w:lang w:val="es-ES"/>
        </w:rPr>
      </w:pPr>
    </w:p>
    <w:tbl>
      <w:tblPr>
        <w:tblW w:w="9050" w:type="dxa"/>
        <w:tblInd w:w="-72" w:type="dxa"/>
        <w:tblCellMar>
          <w:left w:w="70" w:type="dxa"/>
          <w:right w:w="70" w:type="dxa"/>
        </w:tblCellMar>
        <w:tblLook w:val="04A0" w:firstRow="1" w:lastRow="0" w:firstColumn="1" w:lastColumn="0" w:noHBand="0" w:noVBand="1"/>
      </w:tblPr>
      <w:tblGrid>
        <w:gridCol w:w="527"/>
        <w:gridCol w:w="3318"/>
        <w:gridCol w:w="1995"/>
        <w:gridCol w:w="1995"/>
        <w:gridCol w:w="1274"/>
      </w:tblGrid>
      <w:tr w:rsidR="00693BD9" w:rsidRPr="003051CD" w14:paraId="67A9B579" w14:textId="77777777" w:rsidTr="00BC2B6E">
        <w:trPr>
          <w:trHeight w:val="811"/>
        </w:trPr>
        <w:tc>
          <w:tcPr>
            <w:tcW w:w="544" w:type="dxa"/>
            <w:tcBorders>
              <w:top w:val="nil"/>
              <w:left w:val="nil"/>
              <w:bottom w:val="single" w:sz="12" w:space="0" w:color="FFFFFF"/>
              <w:right w:val="single" w:sz="4" w:space="0" w:color="FFFFFF"/>
            </w:tcBorders>
            <w:shd w:val="clear" w:color="4472C4" w:fill="4472C4"/>
            <w:vAlign w:val="center"/>
          </w:tcPr>
          <w:p w14:paraId="28C4CF5E" w14:textId="7893C0E5"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3318" w:type="dxa"/>
            <w:tcBorders>
              <w:top w:val="nil"/>
              <w:left w:val="nil"/>
              <w:bottom w:val="single" w:sz="12" w:space="0" w:color="FFFFFF"/>
              <w:right w:val="single" w:sz="4" w:space="0" w:color="FFFFFF"/>
            </w:tcBorders>
            <w:shd w:val="clear" w:color="4472C4" w:fill="4472C4"/>
            <w:noWrap/>
            <w:vAlign w:val="center"/>
            <w:hideMark/>
          </w:tcPr>
          <w:p w14:paraId="2154108F"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single" w:sz="4" w:space="0" w:color="FFFFFF"/>
              <w:bottom w:val="single" w:sz="12" w:space="0" w:color="FFFFFF"/>
              <w:right w:val="single" w:sz="4" w:space="0" w:color="FFFFFF"/>
            </w:tcBorders>
            <w:shd w:val="clear" w:color="4472C4" w:fill="4472C4"/>
            <w:noWrap/>
            <w:vAlign w:val="center"/>
            <w:hideMark/>
          </w:tcPr>
          <w:p w14:paraId="310BF566"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single" w:sz="4" w:space="0" w:color="FFFFFF"/>
              <w:bottom w:val="single" w:sz="12" w:space="0" w:color="FFFFFF"/>
              <w:right w:val="single" w:sz="4" w:space="0" w:color="FFFFFF"/>
            </w:tcBorders>
            <w:shd w:val="clear" w:color="4472C4" w:fill="4472C4"/>
            <w:noWrap/>
            <w:vAlign w:val="center"/>
            <w:hideMark/>
          </w:tcPr>
          <w:p w14:paraId="32D20D6B"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198" w:type="dxa"/>
            <w:tcBorders>
              <w:top w:val="nil"/>
              <w:left w:val="single" w:sz="4" w:space="0" w:color="FFFFFF"/>
              <w:bottom w:val="single" w:sz="12" w:space="0" w:color="FFFFFF"/>
              <w:right w:val="nil"/>
            </w:tcBorders>
            <w:shd w:val="clear" w:color="4472C4" w:fill="4472C4"/>
            <w:noWrap/>
            <w:vAlign w:val="center"/>
            <w:hideMark/>
          </w:tcPr>
          <w:p w14:paraId="3F5980A9"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5E8E540A" w14:textId="77777777" w:rsidTr="00D219CB">
        <w:trPr>
          <w:trHeight w:val="228"/>
        </w:trPr>
        <w:tc>
          <w:tcPr>
            <w:tcW w:w="544" w:type="dxa"/>
            <w:tcBorders>
              <w:top w:val="single" w:sz="4" w:space="0" w:color="FFFFFF"/>
              <w:left w:val="nil"/>
              <w:bottom w:val="single" w:sz="4" w:space="0" w:color="FFFFFF"/>
              <w:right w:val="single" w:sz="4" w:space="0" w:color="FFFFFF"/>
            </w:tcBorders>
            <w:shd w:val="clear" w:color="auto" w:fill="4F81BD"/>
          </w:tcPr>
          <w:p w14:paraId="74A3DA3D"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3318" w:type="dxa"/>
            <w:tcBorders>
              <w:top w:val="single" w:sz="4" w:space="0" w:color="FFFFFF"/>
              <w:left w:val="nil"/>
              <w:bottom w:val="single" w:sz="4" w:space="0" w:color="FFFFFF"/>
              <w:right w:val="single" w:sz="4" w:space="0" w:color="FFFFFF"/>
            </w:tcBorders>
            <w:shd w:val="clear" w:color="auto" w:fill="4F81BD"/>
            <w:noWrap/>
            <w:vAlign w:val="bottom"/>
          </w:tcPr>
          <w:p w14:paraId="4CF85CF5"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tcPr>
          <w:p w14:paraId="6F12F42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Q747,435,735.17</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tcPr>
          <w:p w14:paraId="452D4B2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Q341,035,512.03</w:t>
            </w:r>
          </w:p>
        </w:tc>
        <w:tc>
          <w:tcPr>
            <w:tcW w:w="1198" w:type="dxa"/>
            <w:tcBorders>
              <w:top w:val="single" w:sz="4" w:space="0" w:color="FFFFFF"/>
              <w:left w:val="single" w:sz="4" w:space="0" w:color="FFFFFF"/>
              <w:bottom w:val="single" w:sz="4" w:space="0" w:color="FFFFFF"/>
              <w:right w:val="nil"/>
            </w:tcBorders>
            <w:shd w:val="clear" w:color="B4C6E7" w:fill="FDCB7E"/>
            <w:noWrap/>
            <w:vAlign w:val="bottom"/>
          </w:tcPr>
          <w:p w14:paraId="75A88F4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45.63%</w:t>
            </w:r>
          </w:p>
        </w:tc>
      </w:tr>
      <w:tr w:rsidR="00693BD9" w:rsidRPr="003051CD" w14:paraId="2F1F42BB"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153AE02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0EB6B7FA"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Cahabón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2BCA9F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Q39,453,657.22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AD05E4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Q25,576,133.58</w:t>
            </w:r>
          </w:p>
        </w:tc>
        <w:tc>
          <w:tcPr>
            <w:tcW w:w="1198" w:type="dxa"/>
            <w:tcBorders>
              <w:top w:val="single" w:sz="4" w:space="0" w:color="FFFFFF"/>
              <w:left w:val="single" w:sz="4" w:space="0" w:color="FFFFFF"/>
              <w:bottom w:val="single" w:sz="4" w:space="0" w:color="FFFFFF"/>
              <w:right w:val="nil"/>
            </w:tcBorders>
            <w:shd w:val="clear" w:color="D9E1F2" w:fill="E1E47E"/>
            <w:noWrap/>
            <w:vAlign w:val="bottom"/>
          </w:tcPr>
          <w:p w14:paraId="56BD16C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64.83%</w:t>
            </w:r>
          </w:p>
        </w:tc>
      </w:tr>
      <w:tr w:rsidR="00693BD9" w:rsidRPr="003051CD" w14:paraId="7FF47069"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D9E1F2" w:fill="D9E1F2"/>
          </w:tcPr>
          <w:p w14:paraId="5D4FDE7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3318" w:type="dxa"/>
            <w:tcBorders>
              <w:top w:val="single" w:sz="4" w:space="0" w:color="FFFFFF"/>
              <w:left w:val="nil"/>
              <w:bottom w:val="single" w:sz="4" w:space="0" w:color="FFFFFF"/>
              <w:right w:val="single" w:sz="4" w:space="0" w:color="FFFFFF"/>
            </w:tcBorders>
            <w:shd w:val="clear" w:color="D9E1F2" w:fill="D9E1F2"/>
            <w:noWrap/>
            <w:vAlign w:val="bottom"/>
            <w:hideMark/>
          </w:tcPr>
          <w:p w14:paraId="5C176A7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Cruz Verapaz</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95BC67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Q28,164,740.61</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0D8E93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Q18,107,092.28</w:t>
            </w:r>
          </w:p>
        </w:tc>
        <w:tc>
          <w:tcPr>
            <w:tcW w:w="1198" w:type="dxa"/>
            <w:tcBorders>
              <w:top w:val="single" w:sz="4" w:space="0" w:color="FFFFFF"/>
              <w:left w:val="single" w:sz="4" w:space="0" w:color="FFFFFF"/>
              <w:bottom w:val="single" w:sz="4" w:space="0" w:color="FFFFFF"/>
              <w:right w:val="nil"/>
            </w:tcBorders>
            <w:shd w:val="clear" w:color="B4C6E7" w:fill="E4E57F"/>
            <w:noWrap/>
            <w:vAlign w:val="bottom"/>
          </w:tcPr>
          <w:p w14:paraId="3C78C39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64.29%</w:t>
            </w:r>
          </w:p>
        </w:tc>
      </w:tr>
      <w:tr w:rsidR="00693BD9" w:rsidRPr="003051CD" w14:paraId="15C561F5"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5F89765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378CB2CE"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Tucurú</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BB4573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Q23,066,784.46</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0828C4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Q13,275,073.94</w:t>
            </w:r>
          </w:p>
        </w:tc>
        <w:tc>
          <w:tcPr>
            <w:tcW w:w="1198" w:type="dxa"/>
            <w:tcBorders>
              <w:top w:val="single" w:sz="4" w:space="0" w:color="FFFFFF"/>
              <w:left w:val="single" w:sz="4" w:space="0" w:color="FFFFFF"/>
              <w:bottom w:val="single" w:sz="4" w:space="0" w:color="FFFFFF"/>
              <w:right w:val="nil"/>
            </w:tcBorders>
            <w:shd w:val="clear" w:color="D9E1F2" w:fill="FEE582"/>
            <w:noWrap/>
            <w:vAlign w:val="bottom"/>
          </w:tcPr>
          <w:p w14:paraId="6B4D766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57.55%</w:t>
            </w:r>
          </w:p>
        </w:tc>
      </w:tr>
      <w:tr w:rsidR="00693BD9" w:rsidRPr="003051CD" w14:paraId="3E014951"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D9E1F2" w:fill="D9E1F2"/>
          </w:tcPr>
          <w:p w14:paraId="504BC18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3318" w:type="dxa"/>
            <w:tcBorders>
              <w:top w:val="single" w:sz="4" w:space="0" w:color="FFFFFF"/>
              <w:left w:val="nil"/>
              <w:bottom w:val="single" w:sz="4" w:space="0" w:color="FFFFFF"/>
              <w:right w:val="single" w:sz="4" w:space="0" w:color="FFFFFF"/>
            </w:tcBorders>
            <w:shd w:val="clear" w:color="D9E1F2" w:fill="D9E1F2"/>
            <w:noWrap/>
            <w:vAlign w:val="bottom"/>
            <w:hideMark/>
          </w:tcPr>
          <w:p w14:paraId="054D3E5B"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Cobán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F5DCD65"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Q138,653,883.79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C9D9F9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Q74,484,712.28</w:t>
            </w:r>
          </w:p>
        </w:tc>
        <w:tc>
          <w:tcPr>
            <w:tcW w:w="1198" w:type="dxa"/>
            <w:tcBorders>
              <w:top w:val="single" w:sz="4" w:space="0" w:color="FFFFFF"/>
              <w:left w:val="single" w:sz="4" w:space="0" w:color="FFFFFF"/>
              <w:bottom w:val="single" w:sz="4" w:space="0" w:color="FFFFFF"/>
              <w:right w:val="nil"/>
            </w:tcBorders>
            <w:shd w:val="clear" w:color="B4C6E7" w:fill="FEDD81"/>
            <w:noWrap/>
            <w:vAlign w:val="bottom"/>
          </w:tcPr>
          <w:p w14:paraId="55FF4B8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53.72%</w:t>
            </w:r>
          </w:p>
        </w:tc>
      </w:tr>
      <w:tr w:rsidR="00693BD9" w:rsidRPr="003051CD" w14:paraId="301DC348"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5266890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42A2F0B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Catalina La Tinta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FFA426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Q43,563,600.64</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ED3192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Q22,583,034.32</w:t>
            </w:r>
          </w:p>
        </w:tc>
        <w:tc>
          <w:tcPr>
            <w:tcW w:w="1198" w:type="dxa"/>
            <w:tcBorders>
              <w:top w:val="single" w:sz="4" w:space="0" w:color="FFFFFF"/>
              <w:left w:val="single" w:sz="4" w:space="0" w:color="FFFFFF"/>
              <w:bottom w:val="single" w:sz="4" w:space="0" w:color="FFFFFF"/>
              <w:right w:val="nil"/>
            </w:tcBorders>
            <w:shd w:val="clear" w:color="D9E1F2" w:fill="FED980"/>
            <w:noWrap/>
            <w:vAlign w:val="bottom"/>
          </w:tcPr>
          <w:p w14:paraId="4379BB9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51.84%</w:t>
            </w:r>
          </w:p>
        </w:tc>
      </w:tr>
      <w:tr w:rsidR="00693BD9" w:rsidRPr="003051CD" w14:paraId="2255F1DD"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D9E1F2" w:fill="D9E1F2"/>
          </w:tcPr>
          <w:p w14:paraId="00D9629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3318" w:type="dxa"/>
            <w:tcBorders>
              <w:top w:val="single" w:sz="4" w:space="0" w:color="FFFFFF"/>
              <w:left w:val="nil"/>
              <w:bottom w:val="single" w:sz="4" w:space="0" w:color="FFFFFF"/>
              <w:right w:val="single" w:sz="4" w:space="0" w:color="FFFFFF"/>
            </w:tcBorders>
            <w:shd w:val="clear" w:color="D9E1F2" w:fill="D9E1F2"/>
            <w:noWrap/>
            <w:vAlign w:val="bottom"/>
            <w:hideMark/>
          </w:tcPr>
          <w:p w14:paraId="2EA74478"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Tactic</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1FA89B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Q28,790,914.38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382C3F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Q14,657,046.89</w:t>
            </w:r>
          </w:p>
        </w:tc>
        <w:tc>
          <w:tcPr>
            <w:tcW w:w="1198" w:type="dxa"/>
            <w:tcBorders>
              <w:top w:val="single" w:sz="4" w:space="0" w:color="FFFFFF"/>
              <w:left w:val="single" w:sz="4" w:space="0" w:color="FFFFFF"/>
              <w:bottom w:val="single" w:sz="4" w:space="0" w:color="FFFFFF"/>
              <w:right w:val="nil"/>
            </w:tcBorders>
            <w:shd w:val="clear" w:color="B4C6E7" w:fill="FDD780"/>
            <w:noWrap/>
            <w:vAlign w:val="bottom"/>
          </w:tcPr>
          <w:p w14:paraId="2AA54BB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50.91%</w:t>
            </w:r>
          </w:p>
        </w:tc>
      </w:tr>
      <w:tr w:rsidR="00693BD9" w:rsidRPr="003051CD" w14:paraId="406B093D"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562C6AF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0110BB70"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Chamelco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9F3572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Q31,509,642.23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7637E7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Q14,784,754.46</w:t>
            </w:r>
          </w:p>
        </w:tc>
        <w:tc>
          <w:tcPr>
            <w:tcW w:w="1198" w:type="dxa"/>
            <w:tcBorders>
              <w:top w:val="single" w:sz="4" w:space="0" w:color="FFFFFF"/>
              <w:left w:val="single" w:sz="4" w:space="0" w:color="FFFFFF"/>
              <w:bottom w:val="single" w:sz="4" w:space="0" w:color="FFFFFF"/>
              <w:right w:val="nil"/>
            </w:tcBorders>
            <w:shd w:val="clear" w:color="D9E1F2" w:fill="FDCE7E"/>
            <w:noWrap/>
            <w:vAlign w:val="bottom"/>
          </w:tcPr>
          <w:p w14:paraId="0EF74DA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46.92%</w:t>
            </w:r>
          </w:p>
        </w:tc>
      </w:tr>
      <w:tr w:rsidR="00693BD9" w:rsidRPr="003051CD" w14:paraId="22280855"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D9E1F2" w:fill="D9E1F2"/>
          </w:tcPr>
          <w:p w14:paraId="654E2F8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3318" w:type="dxa"/>
            <w:tcBorders>
              <w:top w:val="single" w:sz="4" w:space="0" w:color="FFFFFF"/>
              <w:left w:val="nil"/>
              <w:bottom w:val="single" w:sz="4" w:space="0" w:color="FFFFFF"/>
              <w:right w:val="single" w:sz="4" w:space="0" w:color="FFFFFF"/>
            </w:tcBorders>
            <w:shd w:val="clear" w:color="D9E1F2" w:fill="D9E1F2"/>
            <w:noWrap/>
            <w:vAlign w:val="bottom"/>
            <w:hideMark/>
          </w:tcPr>
          <w:p w14:paraId="0381CA4D"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Tamahú</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53A9C4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Q30,318,801.88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48B15E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Q14,127,864.19</w:t>
            </w:r>
          </w:p>
        </w:tc>
        <w:tc>
          <w:tcPr>
            <w:tcW w:w="1198" w:type="dxa"/>
            <w:tcBorders>
              <w:top w:val="single" w:sz="4" w:space="0" w:color="FFFFFF"/>
              <w:left w:val="single" w:sz="4" w:space="0" w:color="FFFFFF"/>
              <w:bottom w:val="single" w:sz="4" w:space="0" w:color="FFFFFF"/>
              <w:right w:val="nil"/>
            </w:tcBorders>
            <w:shd w:val="clear" w:color="B4C6E7" w:fill="FDCD7E"/>
            <w:noWrap/>
            <w:vAlign w:val="bottom"/>
          </w:tcPr>
          <w:p w14:paraId="76D345C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46.60%</w:t>
            </w:r>
          </w:p>
        </w:tc>
      </w:tr>
      <w:tr w:rsidR="00693BD9" w:rsidRPr="003051CD" w14:paraId="6AF11214"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74D46B3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1422CC25" w14:textId="3CEEA7AB"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Pedro Carch</w:t>
            </w:r>
            <w:r w:rsidR="009F235F">
              <w:rPr>
                <w:rFonts w:ascii="Helvetica" w:eastAsia="Times New Roman" w:hAnsi="Helvetica" w:cs="Helvetica"/>
                <w:sz w:val="24"/>
                <w:szCs w:val="24"/>
                <w:lang w:val="es-ES"/>
              </w:rPr>
              <w:t>á</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5FE57E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Q128,760,659.11</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97FC03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Q59,347,618.55</w:t>
            </w:r>
          </w:p>
        </w:tc>
        <w:tc>
          <w:tcPr>
            <w:tcW w:w="1198" w:type="dxa"/>
            <w:tcBorders>
              <w:top w:val="single" w:sz="4" w:space="0" w:color="FFFFFF"/>
              <w:left w:val="single" w:sz="4" w:space="0" w:color="FFFFFF"/>
              <w:bottom w:val="single" w:sz="4" w:space="0" w:color="FFFFFF"/>
              <w:right w:val="nil"/>
            </w:tcBorders>
            <w:shd w:val="clear" w:color="D9E1F2" w:fill="FDCC7E"/>
            <w:noWrap/>
            <w:vAlign w:val="bottom"/>
          </w:tcPr>
          <w:p w14:paraId="14FDE2C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46.09%</w:t>
            </w:r>
          </w:p>
        </w:tc>
      </w:tr>
      <w:tr w:rsidR="00693BD9" w:rsidRPr="003051CD" w14:paraId="48EE25C6"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3D4F6EC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10</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2B5A4062"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Fray Bartolomé de las Casas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064B2E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Q48,254,157.13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22F8CA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Q21,734,071.79</w:t>
            </w:r>
          </w:p>
        </w:tc>
        <w:tc>
          <w:tcPr>
            <w:tcW w:w="1198" w:type="dxa"/>
            <w:tcBorders>
              <w:top w:val="single" w:sz="4" w:space="0" w:color="FFFFFF"/>
              <w:left w:val="single" w:sz="4" w:space="0" w:color="FFFFFF"/>
              <w:bottom w:val="single" w:sz="4" w:space="0" w:color="FFFFFF"/>
              <w:right w:val="nil"/>
            </w:tcBorders>
            <w:shd w:val="clear" w:color="B4C6E7" w:fill="FDCA7D"/>
            <w:noWrap/>
            <w:vAlign w:val="bottom"/>
          </w:tcPr>
          <w:p w14:paraId="2533A28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45.04%</w:t>
            </w:r>
          </w:p>
        </w:tc>
      </w:tr>
      <w:tr w:rsidR="00693BD9" w:rsidRPr="003051CD" w14:paraId="24AE17D9"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D9E1F2" w:fill="D9E1F2"/>
          </w:tcPr>
          <w:p w14:paraId="732C00E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11</w:t>
            </w:r>
          </w:p>
        </w:tc>
        <w:tc>
          <w:tcPr>
            <w:tcW w:w="3318" w:type="dxa"/>
            <w:tcBorders>
              <w:top w:val="single" w:sz="4" w:space="0" w:color="FFFFFF"/>
              <w:left w:val="nil"/>
              <w:bottom w:val="single" w:sz="4" w:space="0" w:color="FFFFFF"/>
              <w:right w:val="single" w:sz="4" w:space="0" w:color="FFFFFF"/>
            </w:tcBorders>
            <w:shd w:val="clear" w:color="D9E1F2" w:fill="D9E1F2"/>
            <w:noWrap/>
            <w:vAlign w:val="bottom"/>
            <w:hideMark/>
          </w:tcPr>
          <w:p w14:paraId="7A2AC3C7"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Lanquín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5A595D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Q16,822,880.16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C7320C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Q6,157,729.74</w:t>
            </w:r>
          </w:p>
        </w:tc>
        <w:tc>
          <w:tcPr>
            <w:tcW w:w="1198" w:type="dxa"/>
            <w:tcBorders>
              <w:top w:val="single" w:sz="4" w:space="0" w:color="FFFFFF"/>
              <w:left w:val="single" w:sz="4" w:space="0" w:color="FFFFFF"/>
              <w:bottom w:val="single" w:sz="4" w:space="0" w:color="FFFFFF"/>
              <w:right w:val="nil"/>
            </w:tcBorders>
            <w:shd w:val="clear" w:color="D9E1F2" w:fill="FCB87A"/>
            <w:noWrap/>
            <w:vAlign w:val="bottom"/>
          </w:tcPr>
          <w:p w14:paraId="77BCE51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36.60%</w:t>
            </w:r>
          </w:p>
        </w:tc>
      </w:tr>
      <w:tr w:rsidR="00693BD9" w:rsidRPr="003051CD" w14:paraId="392A63D6"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45D5ADF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12</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31806155"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Chahal</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522C9F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Q36,913,488.27</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2AB5C5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Q12,814,533.70</w:t>
            </w:r>
          </w:p>
        </w:tc>
        <w:tc>
          <w:tcPr>
            <w:tcW w:w="1198" w:type="dxa"/>
            <w:tcBorders>
              <w:top w:val="single" w:sz="4" w:space="0" w:color="FFFFFF"/>
              <w:left w:val="single" w:sz="4" w:space="0" w:color="FFFFFF"/>
              <w:bottom w:val="single" w:sz="4" w:space="0" w:color="FFFFFF"/>
              <w:right w:val="nil"/>
            </w:tcBorders>
            <w:shd w:val="clear" w:color="B4C6E7" w:fill="FCB479"/>
            <w:noWrap/>
            <w:vAlign w:val="bottom"/>
          </w:tcPr>
          <w:p w14:paraId="4301DA8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34.72%</w:t>
            </w:r>
          </w:p>
        </w:tc>
      </w:tr>
      <w:tr w:rsidR="00693BD9" w:rsidRPr="003051CD" w14:paraId="231F1FB8"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D9E1F2" w:fill="D9E1F2"/>
          </w:tcPr>
          <w:p w14:paraId="2A44D1F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13</w:t>
            </w:r>
          </w:p>
        </w:tc>
        <w:tc>
          <w:tcPr>
            <w:tcW w:w="3318" w:type="dxa"/>
            <w:tcBorders>
              <w:top w:val="single" w:sz="4" w:space="0" w:color="FFFFFF"/>
              <w:left w:val="nil"/>
              <w:bottom w:val="single" w:sz="4" w:space="0" w:color="FFFFFF"/>
              <w:right w:val="single" w:sz="4" w:space="0" w:color="FFFFFF"/>
            </w:tcBorders>
            <w:shd w:val="clear" w:color="D9E1F2" w:fill="D9E1F2"/>
            <w:noWrap/>
            <w:vAlign w:val="bottom"/>
            <w:hideMark/>
          </w:tcPr>
          <w:p w14:paraId="2D371C83"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Senahú</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64DA12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Q25,795,126.04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B2B837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Q8,497,031.38</w:t>
            </w:r>
          </w:p>
        </w:tc>
        <w:tc>
          <w:tcPr>
            <w:tcW w:w="1198" w:type="dxa"/>
            <w:tcBorders>
              <w:top w:val="single" w:sz="4" w:space="0" w:color="FFFFFF"/>
              <w:left w:val="single" w:sz="4" w:space="0" w:color="FFFFFF"/>
              <w:bottom w:val="single" w:sz="4" w:space="0" w:color="FFFFFF"/>
              <w:right w:val="nil"/>
            </w:tcBorders>
            <w:shd w:val="clear" w:color="D9E1F2" w:fill="FBB078"/>
            <w:noWrap/>
            <w:vAlign w:val="bottom"/>
          </w:tcPr>
          <w:p w14:paraId="2F60796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32.94%</w:t>
            </w:r>
          </w:p>
        </w:tc>
      </w:tr>
      <w:tr w:rsidR="00693BD9" w:rsidRPr="003051CD" w14:paraId="5225EDEF"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7C10968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14</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236AC9B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Chisec</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2C8B52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Q72,140,312.25</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8DADDA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Q22,788,382.80</w:t>
            </w:r>
          </w:p>
        </w:tc>
        <w:tc>
          <w:tcPr>
            <w:tcW w:w="1198" w:type="dxa"/>
            <w:tcBorders>
              <w:top w:val="single" w:sz="4" w:space="0" w:color="FFFFFF"/>
              <w:left w:val="single" w:sz="4" w:space="0" w:color="FFFFFF"/>
              <w:bottom w:val="single" w:sz="4" w:space="0" w:color="FFFFFF"/>
              <w:right w:val="nil"/>
            </w:tcBorders>
            <w:shd w:val="clear" w:color="B4C6E7" w:fill="FBAD78"/>
            <w:noWrap/>
            <w:vAlign w:val="bottom"/>
          </w:tcPr>
          <w:p w14:paraId="7F754D5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31.59%</w:t>
            </w:r>
          </w:p>
        </w:tc>
      </w:tr>
      <w:tr w:rsidR="00693BD9" w:rsidRPr="003051CD" w14:paraId="2A05260E"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D9E1F2" w:fill="D9E1F2"/>
          </w:tcPr>
          <w:p w14:paraId="1425BB2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15</w:t>
            </w:r>
          </w:p>
        </w:tc>
        <w:tc>
          <w:tcPr>
            <w:tcW w:w="3318" w:type="dxa"/>
            <w:tcBorders>
              <w:top w:val="single" w:sz="4" w:space="0" w:color="FFFFFF"/>
              <w:left w:val="nil"/>
              <w:bottom w:val="single" w:sz="4" w:space="0" w:color="FFFFFF"/>
              <w:right w:val="single" w:sz="4" w:space="0" w:color="FFFFFF"/>
            </w:tcBorders>
            <w:shd w:val="clear" w:color="D9E1F2" w:fill="D9E1F2"/>
            <w:noWrap/>
            <w:vAlign w:val="bottom"/>
            <w:hideMark/>
          </w:tcPr>
          <w:p w14:paraId="0688712D"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Panzós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B6A87D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Q27,312,224.30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0E926C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Q8,420,869.90</w:t>
            </w:r>
          </w:p>
        </w:tc>
        <w:tc>
          <w:tcPr>
            <w:tcW w:w="1198" w:type="dxa"/>
            <w:tcBorders>
              <w:top w:val="single" w:sz="4" w:space="0" w:color="FFFFFF"/>
              <w:left w:val="single" w:sz="4" w:space="0" w:color="FFFFFF"/>
              <w:bottom w:val="single" w:sz="4" w:space="0" w:color="FFFFFF"/>
              <w:right w:val="nil"/>
            </w:tcBorders>
            <w:shd w:val="clear" w:color="D9E1F2" w:fill="FBAB77"/>
            <w:noWrap/>
            <w:vAlign w:val="bottom"/>
          </w:tcPr>
          <w:p w14:paraId="0B828A6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30.83%</w:t>
            </w:r>
          </w:p>
        </w:tc>
      </w:tr>
      <w:tr w:rsidR="00693BD9" w:rsidRPr="003051CD" w14:paraId="6838B5D6" w14:textId="77777777" w:rsidTr="00D219CB">
        <w:trPr>
          <w:trHeight w:val="300"/>
        </w:trPr>
        <w:tc>
          <w:tcPr>
            <w:tcW w:w="544" w:type="dxa"/>
            <w:tcBorders>
              <w:top w:val="single" w:sz="4" w:space="0" w:color="FFFFFF"/>
              <w:left w:val="nil"/>
              <w:bottom w:val="single" w:sz="4" w:space="0" w:color="FFFFFF"/>
              <w:right w:val="single" w:sz="4" w:space="0" w:color="FFFFFF"/>
            </w:tcBorders>
            <w:shd w:val="clear" w:color="B4C6E7" w:fill="B4C6E7"/>
          </w:tcPr>
          <w:p w14:paraId="2291BDB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16</w:t>
            </w:r>
          </w:p>
        </w:tc>
        <w:tc>
          <w:tcPr>
            <w:tcW w:w="3318" w:type="dxa"/>
            <w:tcBorders>
              <w:top w:val="single" w:sz="4" w:space="0" w:color="FFFFFF"/>
              <w:left w:val="nil"/>
              <w:bottom w:val="single" w:sz="4" w:space="0" w:color="FFFFFF"/>
              <w:right w:val="single" w:sz="4" w:space="0" w:color="FFFFFF"/>
            </w:tcBorders>
            <w:shd w:val="clear" w:color="B4C6E7" w:fill="B4C6E7"/>
            <w:noWrap/>
            <w:vAlign w:val="bottom"/>
            <w:hideMark/>
          </w:tcPr>
          <w:p w14:paraId="4C28EB4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Cristóbal Verapaz</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8D66B9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Q27,914,862.70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4EAD7A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Q3,679,562.23</w:t>
            </w:r>
          </w:p>
        </w:tc>
        <w:tc>
          <w:tcPr>
            <w:tcW w:w="1198" w:type="dxa"/>
            <w:tcBorders>
              <w:top w:val="single" w:sz="4" w:space="0" w:color="FFFFFF"/>
              <w:left w:val="single" w:sz="4" w:space="0" w:color="FFFFFF"/>
              <w:bottom w:val="single" w:sz="4" w:space="0" w:color="FFFFFF"/>
              <w:right w:val="nil"/>
            </w:tcBorders>
            <w:shd w:val="clear" w:color="B4C6E7" w:fill="F98570"/>
            <w:noWrap/>
            <w:vAlign w:val="bottom"/>
          </w:tcPr>
          <w:p w14:paraId="305FD9F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13.18%</w:t>
            </w:r>
          </w:p>
        </w:tc>
      </w:tr>
      <w:tr w:rsidR="00693BD9" w:rsidRPr="003051CD" w14:paraId="27FE4F85" w14:textId="77777777" w:rsidTr="00D219CB">
        <w:trPr>
          <w:trHeight w:val="300"/>
        </w:trPr>
        <w:tc>
          <w:tcPr>
            <w:tcW w:w="544" w:type="dxa"/>
            <w:tcBorders>
              <w:top w:val="single" w:sz="4" w:space="0" w:color="FFFFFF"/>
              <w:left w:val="nil"/>
              <w:bottom w:val="nil"/>
              <w:right w:val="single" w:sz="4" w:space="0" w:color="FFFFFF"/>
            </w:tcBorders>
            <w:shd w:val="clear" w:color="D9E1F2" w:fill="D9E1F2"/>
          </w:tcPr>
          <w:p w14:paraId="62A4B0E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17</w:t>
            </w:r>
          </w:p>
        </w:tc>
        <w:tc>
          <w:tcPr>
            <w:tcW w:w="3318" w:type="dxa"/>
            <w:tcBorders>
              <w:top w:val="single" w:sz="4" w:space="0" w:color="FFFFFF"/>
              <w:left w:val="nil"/>
              <w:bottom w:val="nil"/>
              <w:right w:val="single" w:sz="4" w:space="0" w:color="FFFFFF"/>
            </w:tcBorders>
            <w:shd w:val="clear" w:color="D9E1F2" w:fill="D9E1F2"/>
            <w:noWrap/>
            <w:vAlign w:val="bottom"/>
            <w:hideMark/>
          </w:tcPr>
          <w:p w14:paraId="63245A4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Raxruhá</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04A90C8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64522E45"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98" w:type="dxa"/>
            <w:tcBorders>
              <w:top w:val="single" w:sz="4" w:space="0" w:color="FFFFFF"/>
              <w:left w:val="single" w:sz="4" w:space="0" w:color="FFFFFF"/>
              <w:bottom w:val="single" w:sz="4" w:space="0" w:color="FFFFFF"/>
              <w:right w:val="nil"/>
            </w:tcBorders>
            <w:shd w:val="clear" w:color="D9E1F2" w:fill="F8696B"/>
            <w:noWrap/>
            <w:vAlign w:val="bottom"/>
          </w:tcPr>
          <w:p w14:paraId="3FC5F2B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623D7BC1" w14:textId="2A7F92C3"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6BC17E2B"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5F26514" w14:textId="662B56EE" w:rsidR="00693BD9" w:rsidRPr="00E47805" w:rsidRDefault="00693BD9" w:rsidP="00E47805">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E47805">
        <w:rPr>
          <w:rFonts w:ascii="Helvetica" w:eastAsia="Times New Roman" w:hAnsi="Helvetica" w:cs="Helvetica"/>
          <w:b/>
          <w:color w:val="002060"/>
          <w:sz w:val="28"/>
          <w:szCs w:val="28"/>
          <w:lang w:val="es-ES"/>
        </w:rPr>
        <w:t>Baja Verapaz</w:t>
      </w:r>
    </w:p>
    <w:p w14:paraId="7F1C8D40"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563BA0D" w14:textId="305C3B35"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78.57%. Los municipios con mayor ejecución son: Cubulco con 90.18%, Rabinal 87.17 y San Miguel Chicaj 83.17%. Cabe mencionar que Purulhá, no entregó informe del tercer cuatrimestre.</w:t>
      </w:r>
      <w:r w:rsidR="00111CDE">
        <w:rPr>
          <w:rFonts w:ascii="Helvetica" w:eastAsia="Times New Roman" w:hAnsi="Helvetica" w:cs="Helvetica"/>
          <w:sz w:val="24"/>
          <w:szCs w:val="24"/>
          <w:lang w:val="es-ES"/>
        </w:rPr>
        <w:t xml:space="preserve"> Ver tabla 13.</w:t>
      </w:r>
    </w:p>
    <w:p w14:paraId="5DE54A7B" w14:textId="279BA4F8"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0672EA5" w14:textId="7B7EE897" w:rsidR="00693BD9" w:rsidRPr="00016865" w:rsidRDefault="00111CDE" w:rsidP="00016865">
      <w:pPr>
        <w:pStyle w:val="ttulosgrficas"/>
        <w:rPr>
          <w:rFonts w:eastAsia="Times New Roman"/>
          <w:color w:val="4472C4" w:themeColor="accent1"/>
          <w:lang w:val="es-ES"/>
        </w:rPr>
      </w:pPr>
      <w:bookmarkStart w:id="46" w:name="_Toc67589126"/>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13</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Baja Verapaz</w:t>
      </w:r>
      <w:bookmarkEnd w:id="46"/>
    </w:p>
    <w:p w14:paraId="7CFBDF58" w14:textId="77777777" w:rsidR="00BC2B6E" w:rsidRPr="003051CD" w:rsidRDefault="00BC2B6E" w:rsidP="00BC2B6E">
      <w:pPr>
        <w:pStyle w:val="ttulosgrficas"/>
        <w:spacing w:line="120" w:lineRule="auto"/>
        <w:rPr>
          <w:lang w:val="es-ES"/>
        </w:rPr>
      </w:pPr>
    </w:p>
    <w:tbl>
      <w:tblPr>
        <w:tblW w:w="8341" w:type="dxa"/>
        <w:tblInd w:w="637" w:type="dxa"/>
        <w:tblCellMar>
          <w:left w:w="70" w:type="dxa"/>
          <w:right w:w="70" w:type="dxa"/>
        </w:tblCellMar>
        <w:tblLook w:val="04A0" w:firstRow="1" w:lastRow="0" w:firstColumn="1" w:lastColumn="0" w:noHBand="0" w:noVBand="1"/>
      </w:tblPr>
      <w:tblGrid>
        <w:gridCol w:w="527"/>
        <w:gridCol w:w="2599"/>
        <w:gridCol w:w="1995"/>
        <w:gridCol w:w="1995"/>
        <w:gridCol w:w="1274"/>
      </w:tblGrid>
      <w:tr w:rsidR="00693BD9" w:rsidRPr="003051CD" w14:paraId="198657D4" w14:textId="77777777" w:rsidTr="00BC2B6E">
        <w:trPr>
          <w:trHeight w:val="300"/>
        </w:trPr>
        <w:tc>
          <w:tcPr>
            <w:tcW w:w="552" w:type="dxa"/>
            <w:tcBorders>
              <w:top w:val="nil"/>
              <w:left w:val="nil"/>
              <w:bottom w:val="single" w:sz="12" w:space="0" w:color="FFFFFF"/>
              <w:right w:val="single" w:sz="4" w:space="0" w:color="FFFFFF"/>
            </w:tcBorders>
            <w:shd w:val="clear" w:color="4472C4" w:fill="4472C4"/>
            <w:vAlign w:val="center"/>
          </w:tcPr>
          <w:p w14:paraId="5175413D" w14:textId="32E6C795"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599" w:type="dxa"/>
            <w:tcBorders>
              <w:top w:val="nil"/>
              <w:left w:val="nil"/>
              <w:bottom w:val="single" w:sz="12" w:space="0" w:color="FFFFFF"/>
              <w:right w:val="single" w:sz="4" w:space="0" w:color="FFFFFF"/>
            </w:tcBorders>
            <w:shd w:val="clear" w:color="4472C4" w:fill="4472C4"/>
            <w:noWrap/>
            <w:vAlign w:val="center"/>
            <w:hideMark/>
          </w:tcPr>
          <w:p w14:paraId="1A549E13"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single" w:sz="4" w:space="0" w:color="FFFFFF"/>
              <w:bottom w:val="single" w:sz="12" w:space="0" w:color="FFFFFF"/>
              <w:right w:val="single" w:sz="4" w:space="0" w:color="FFFFFF"/>
            </w:tcBorders>
            <w:shd w:val="clear" w:color="4472C4" w:fill="4472C4"/>
            <w:noWrap/>
            <w:vAlign w:val="center"/>
            <w:hideMark/>
          </w:tcPr>
          <w:p w14:paraId="3B40FB5F"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single" w:sz="4" w:space="0" w:color="FFFFFF"/>
              <w:bottom w:val="single" w:sz="12" w:space="0" w:color="FFFFFF"/>
              <w:right w:val="single" w:sz="4" w:space="0" w:color="FFFFFF"/>
            </w:tcBorders>
            <w:shd w:val="clear" w:color="4472C4" w:fill="4472C4"/>
            <w:noWrap/>
            <w:vAlign w:val="center"/>
            <w:hideMark/>
          </w:tcPr>
          <w:p w14:paraId="46F83564"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0" w:type="dxa"/>
            <w:tcBorders>
              <w:top w:val="nil"/>
              <w:left w:val="single" w:sz="4" w:space="0" w:color="FFFFFF"/>
              <w:bottom w:val="single" w:sz="12" w:space="0" w:color="FFFFFF"/>
              <w:right w:val="nil"/>
            </w:tcBorders>
            <w:shd w:val="clear" w:color="4472C4" w:fill="4472C4"/>
            <w:noWrap/>
            <w:vAlign w:val="center"/>
            <w:hideMark/>
          </w:tcPr>
          <w:p w14:paraId="3B251AEA"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47B11F17"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auto" w:fill="4F81BD"/>
          </w:tcPr>
          <w:p w14:paraId="51E42B2B"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599" w:type="dxa"/>
            <w:tcBorders>
              <w:top w:val="single" w:sz="4" w:space="0" w:color="FFFFFF"/>
              <w:left w:val="nil"/>
              <w:bottom w:val="single" w:sz="4" w:space="0" w:color="FFFFFF"/>
              <w:right w:val="single" w:sz="4" w:space="0" w:color="FFFFFF"/>
            </w:tcBorders>
            <w:shd w:val="clear" w:color="auto" w:fill="4F81BD"/>
            <w:noWrap/>
            <w:vAlign w:val="bottom"/>
            <w:hideMark/>
          </w:tcPr>
          <w:p w14:paraId="3958F19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2438964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Q171,355,554.96</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29E90D2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Q134,635,833.37</w:t>
            </w:r>
          </w:p>
        </w:tc>
        <w:tc>
          <w:tcPr>
            <w:tcW w:w="1200" w:type="dxa"/>
            <w:tcBorders>
              <w:top w:val="single" w:sz="4" w:space="0" w:color="FFFFFF"/>
              <w:left w:val="single" w:sz="4" w:space="0" w:color="FFFFFF"/>
              <w:bottom w:val="single" w:sz="4" w:space="0" w:color="FFFFFF"/>
              <w:right w:val="nil"/>
            </w:tcBorders>
            <w:shd w:val="clear" w:color="B4C6E7" w:fill="89D06C"/>
            <w:noWrap/>
            <w:vAlign w:val="bottom"/>
            <w:hideMark/>
          </w:tcPr>
          <w:p w14:paraId="6CA9C32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78.57%</w:t>
            </w:r>
          </w:p>
        </w:tc>
      </w:tr>
      <w:tr w:rsidR="00693BD9" w:rsidRPr="003051CD" w14:paraId="7C2CA509"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7102808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0808DC30"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Cubulco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6F3D2B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Q38,191,689.79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2E76F9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Q34,440,056.50</w:t>
            </w:r>
          </w:p>
        </w:tc>
        <w:tc>
          <w:tcPr>
            <w:tcW w:w="1200" w:type="dxa"/>
            <w:tcBorders>
              <w:top w:val="single" w:sz="4" w:space="0" w:color="FFFFFF"/>
              <w:left w:val="single" w:sz="4" w:space="0" w:color="FFFFFF"/>
              <w:bottom w:val="single" w:sz="4" w:space="0" w:color="FFFFFF"/>
              <w:right w:val="nil"/>
            </w:tcBorders>
            <w:shd w:val="clear" w:color="D9E1F2" w:fill="3FBF5D"/>
            <w:noWrap/>
            <w:vAlign w:val="bottom"/>
            <w:hideMark/>
          </w:tcPr>
          <w:p w14:paraId="63B043F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90.18%</w:t>
            </w:r>
          </w:p>
        </w:tc>
      </w:tr>
      <w:tr w:rsidR="00693BD9" w:rsidRPr="003051CD" w14:paraId="0E0049B7"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57C4349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1D227B78"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Rabinal</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EE772A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Q15,981,138.63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02726A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Q13,930,001.23</w:t>
            </w:r>
          </w:p>
        </w:tc>
        <w:tc>
          <w:tcPr>
            <w:tcW w:w="1200" w:type="dxa"/>
            <w:tcBorders>
              <w:top w:val="single" w:sz="4" w:space="0" w:color="FFFFFF"/>
              <w:left w:val="single" w:sz="4" w:space="0" w:color="FFFFFF"/>
              <w:bottom w:val="single" w:sz="4" w:space="0" w:color="FFFFFF"/>
              <w:right w:val="nil"/>
            </w:tcBorders>
            <w:shd w:val="clear" w:color="B4C6E7" w:fill="52C361"/>
            <w:noWrap/>
            <w:vAlign w:val="bottom"/>
            <w:hideMark/>
          </w:tcPr>
          <w:p w14:paraId="190272F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87.17%</w:t>
            </w:r>
          </w:p>
        </w:tc>
      </w:tr>
      <w:tr w:rsidR="00693BD9" w:rsidRPr="003051CD" w14:paraId="34549A34"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3C18B3D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1AB922F1"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Miguel Chicaj</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B7E427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Q22,611,397.49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5C934B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Q18,893,216.02</w:t>
            </w:r>
          </w:p>
        </w:tc>
        <w:tc>
          <w:tcPr>
            <w:tcW w:w="1200" w:type="dxa"/>
            <w:tcBorders>
              <w:top w:val="single" w:sz="4" w:space="0" w:color="FFFFFF"/>
              <w:left w:val="single" w:sz="4" w:space="0" w:color="FFFFFF"/>
              <w:bottom w:val="single" w:sz="4" w:space="0" w:color="FFFFFF"/>
              <w:right w:val="nil"/>
            </w:tcBorders>
            <w:shd w:val="clear" w:color="D9E1F2" w:fill="69C966"/>
            <w:noWrap/>
            <w:vAlign w:val="bottom"/>
            <w:hideMark/>
          </w:tcPr>
          <w:p w14:paraId="52F8F82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83.56%</w:t>
            </w:r>
          </w:p>
        </w:tc>
      </w:tr>
      <w:tr w:rsidR="00693BD9" w:rsidRPr="003051CD" w14:paraId="561F338C"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2CAC92E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738CBC33"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chol</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91CDC45"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Q18,650,600.60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33B4B0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Q15,404,754.60</w:t>
            </w:r>
          </w:p>
        </w:tc>
        <w:tc>
          <w:tcPr>
            <w:tcW w:w="1200" w:type="dxa"/>
            <w:tcBorders>
              <w:top w:val="single" w:sz="4" w:space="0" w:color="FFFFFF"/>
              <w:left w:val="single" w:sz="4" w:space="0" w:color="FFFFFF"/>
              <w:bottom w:val="single" w:sz="4" w:space="0" w:color="FFFFFF"/>
              <w:right w:val="nil"/>
            </w:tcBorders>
            <w:shd w:val="clear" w:color="B4C6E7" w:fill="6FCA67"/>
            <w:noWrap/>
            <w:vAlign w:val="bottom"/>
            <w:hideMark/>
          </w:tcPr>
          <w:p w14:paraId="74BB725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82.60%</w:t>
            </w:r>
          </w:p>
        </w:tc>
      </w:tr>
      <w:tr w:rsidR="00693BD9" w:rsidRPr="003051CD" w14:paraId="56A8D887"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0609731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33908B5A"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Granados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B3EC14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Q26,189,899.68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18A9D5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Q19,092,639.04</w:t>
            </w:r>
          </w:p>
        </w:tc>
        <w:tc>
          <w:tcPr>
            <w:tcW w:w="1200" w:type="dxa"/>
            <w:tcBorders>
              <w:top w:val="single" w:sz="4" w:space="0" w:color="FFFFFF"/>
              <w:left w:val="single" w:sz="4" w:space="0" w:color="FFFFFF"/>
              <w:bottom w:val="single" w:sz="4" w:space="0" w:color="FFFFFF"/>
              <w:right w:val="nil"/>
            </w:tcBorders>
            <w:shd w:val="clear" w:color="D9E1F2" w:fill="ADD874"/>
            <w:noWrap/>
            <w:vAlign w:val="bottom"/>
            <w:hideMark/>
          </w:tcPr>
          <w:p w14:paraId="7DC3ABF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72.90%</w:t>
            </w:r>
          </w:p>
        </w:tc>
      </w:tr>
      <w:tr w:rsidR="00693BD9" w:rsidRPr="003051CD" w14:paraId="4E33CE19"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26879D1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3BA16FD7"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Salamá</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4C5CB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Q25,793,956.56</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B8D37C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Q18,274,781.29</w:t>
            </w:r>
          </w:p>
        </w:tc>
        <w:tc>
          <w:tcPr>
            <w:tcW w:w="1200" w:type="dxa"/>
            <w:tcBorders>
              <w:top w:val="single" w:sz="4" w:space="0" w:color="FFFFFF"/>
              <w:left w:val="single" w:sz="4" w:space="0" w:color="FFFFFF"/>
              <w:bottom w:val="single" w:sz="4" w:space="0" w:color="FFFFFF"/>
              <w:right w:val="nil"/>
            </w:tcBorders>
            <w:shd w:val="clear" w:color="B4C6E7" w:fill="BADB76"/>
            <w:noWrap/>
            <w:vAlign w:val="bottom"/>
            <w:hideMark/>
          </w:tcPr>
          <w:p w14:paraId="73A2F8E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70.85%</w:t>
            </w:r>
          </w:p>
        </w:tc>
      </w:tr>
      <w:tr w:rsidR="00693BD9" w:rsidRPr="003051CD" w14:paraId="474A759B"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34766BA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3E0BAB19"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Jerónimo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0AFACF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Q23,936,872.21</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E8BFD4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Q14,600,384.69</w:t>
            </w:r>
          </w:p>
        </w:tc>
        <w:tc>
          <w:tcPr>
            <w:tcW w:w="1200" w:type="dxa"/>
            <w:tcBorders>
              <w:top w:val="single" w:sz="4" w:space="0" w:color="FFFFFF"/>
              <w:left w:val="single" w:sz="4" w:space="0" w:color="FFFFFF"/>
              <w:bottom w:val="single" w:sz="4" w:space="0" w:color="FFFFFF"/>
              <w:right w:val="nil"/>
            </w:tcBorders>
            <w:shd w:val="clear" w:color="D9E1F2" w:fill="F9EA83"/>
            <w:noWrap/>
            <w:vAlign w:val="bottom"/>
            <w:hideMark/>
          </w:tcPr>
          <w:p w14:paraId="6B80CD2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61.00%</w:t>
            </w:r>
          </w:p>
        </w:tc>
      </w:tr>
      <w:tr w:rsidR="00693BD9" w:rsidRPr="003051CD" w14:paraId="3AB52B64" w14:textId="77777777" w:rsidTr="00D219CB">
        <w:trPr>
          <w:trHeight w:val="300"/>
        </w:trPr>
        <w:tc>
          <w:tcPr>
            <w:tcW w:w="552" w:type="dxa"/>
            <w:tcBorders>
              <w:top w:val="single" w:sz="4" w:space="0" w:color="FFFFFF"/>
              <w:left w:val="nil"/>
              <w:bottom w:val="nil"/>
              <w:right w:val="single" w:sz="4" w:space="0" w:color="FFFFFF"/>
            </w:tcBorders>
            <w:shd w:val="clear" w:color="B4C6E7" w:fill="B4C6E7"/>
          </w:tcPr>
          <w:p w14:paraId="0E8E96A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2599" w:type="dxa"/>
            <w:tcBorders>
              <w:top w:val="single" w:sz="4" w:space="0" w:color="FFFFFF"/>
              <w:left w:val="nil"/>
              <w:bottom w:val="nil"/>
              <w:right w:val="single" w:sz="4" w:space="0" w:color="FFFFFF"/>
            </w:tcBorders>
            <w:shd w:val="clear" w:color="B4C6E7" w:fill="B4C6E7"/>
            <w:noWrap/>
            <w:vAlign w:val="bottom"/>
            <w:hideMark/>
          </w:tcPr>
          <w:p w14:paraId="0F3621E5"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Purulhá</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2ABEFB8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7BC41965"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2D0F301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534E5BEA" w14:textId="25EC74D3"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00290FE1"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252E57B"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13A891D" w14:textId="6B1C0CC1" w:rsidR="00693BD9" w:rsidRPr="00E47805" w:rsidRDefault="00693BD9" w:rsidP="00E47805">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E47805">
        <w:rPr>
          <w:rFonts w:ascii="Helvetica" w:eastAsia="Times New Roman" w:hAnsi="Helvetica" w:cs="Helvetica"/>
          <w:b/>
          <w:color w:val="002060"/>
          <w:sz w:val="28"/>
          <w:szCs w:val="28"/>
          <w:lang w:val="es-ES"/>
        </w:rPr>
        <w:t>Chimaltenango</w:t>
      </w:r>
    </w:p>
    <w:p w14:paraId="3DAACED7"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49E0AB8" w14:textId="1A187EE0"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84.78%. Los municipios con mayor ejecución son: Zaragoza con 86.08%, Santa Cruz Balanya 82.61% y Parramos con 80.92%. Santa Polonia y Patzún, no presentaron el tercer informe cuatrimestral.</w:t>
      </w:r>
      <w:r w:rsidR="00111CDE">
        <w:rPr>
          <w:rFonts w:ascii="Helvetica" w:eastAsia="Times New Roman" w:hAnsi="Helvetica" w:cs="Helvetica"/>
          <w:sz w:val="24"/>
          <w:szCs w:val="24"/>
          <w:lang w:val="es-ES"/>
        </w:rPr>
        <w:t xml:space="preserve"> Ver tabla 14.</w:t>
      </w:r>
    </w:p>
    <w:p w14:paraId="38C82454" w14:textId="459846E0"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DE3CA13" w14:textId="4F7128B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333D510" w14:textId="2DCA857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D6E74DA" w14:textId="085E333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0DF7FCD" w14:textId="184BB1C2"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AEF2B62" w14:textId="5529DAAF"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1B74D48" w14:textId="55A74BF6"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E19F5FC" w14:textId="44D2820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AD31CDD" w14:textId="79CDB07D"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2F8B07B" w14:textId="2FE29AFF"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361039A" w14:textId="45084B06"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A3308E8" w14:textId="60E07976"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EA0917D" w14:textId="5066CDAA"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2ECDBE3" w14:textId="238FABF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9C485E2" w14:textId="187DF946"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3D0A768" w14:textId="7777777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285EBAA" w14:textId="067E5CF3" w:rsidR="00693BD9" w:rsidRPr="005D4383" w:rsidRDefault="00111CDE" w:rsidP="00016865">
      <w:pPr>
        <w:pStyle w:val="ttulosgrficas"/>
        <w:rPr>
          <w:rFonts w:eastAsia="Times New Roman"/>
          <w:b w:val="0"/>
          <w:lang w:val="es-ES"/>
        </w:rPr>
      </w:pPr>
      <w:bookmarkStart w:id="47" w:name="_Toc67589127"/>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14</w:t>
      </w:r>
      <w:r w:rsidR="007F134F" w:rsidRPr="00016865">
        <w:rPr>
          <w:rFonts w:eastAsia="Times New Roman"/>
          <w:color w:val="4472C4" w:themeColor="accent1"/>
          <w:lang w:val="es-ES"/>
        </w:rPr>
        <w:fldChar w:fldCharType="end"/>
      </w:r>
      <w:r w:rsidR="00016865">
        <w:rPr>
          <w:rFonts w:eastAsia="Times New Roman"/>
          <w:color w:val="4472C4" w:themeColor="accent1"/>
          <w:lang w:val="es-ES"/>
        </w:rPr>
        <w:t>,</w:t>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Chimaltenango</w:t>
      </w:r>
      <w:bookmarkEnd w:id="47"/>
    </w:p>
    <w:tbl>
      <w:tblPr>
        <w:tblW w:w="8425" w:type="dxa"/>
        <w:tblInd w:w="637" w:type="dxa"/>
        <w:tblCellMar>
          <w:left w:w="70" w:type="dxa"/>
          <w:right w:w="70" w:type="dxa"/>
        </w:tblCellMar>
        <w:tblLook w:val="04A0" w:firstRow="1" w:lastRow="0" w:firstColumn="1" w:lastColumn="0" w:noHBand="0" w:noVBand="1"/>
      </w:tblPr>
      <w:tblGrid>
        <w:gridCol w:w="527"/>
        <w:gridCol w:w="2634"/>
        <w:gridCol w:w="1995"/>
        <w:gridCol w:w="1995"/>
        <w:gridCol w:w="1274"/>
      </w:tblGrid>
      <w:tr w:rsidR="00693BD9" w:rsidRPr="003051CD" w14:paraId="553D5BD9" w14:textId="77777777" w:rsidTr="009F235F">
        <w:trPr>
          <w:trHeight w:val="315"/>
          <w:tblHeader/>
        </w:trPr>
        <w:tc>
          <w:tcPr>
            <w:tcW w:w="527" w:type="dxa"/>
            <w:tcBorders>
              <w:top w:val="nil"/>
              <w:left w:val="nil"/>
              <w:bottom w:val="single" w:sz="12" w:space="0" w:color="FFFFFF"/>
              <w:right w:val="single" w:sz="4" w:space="0" w:color="FFFFFF"/>
            </w:tcBorders>
            <w:shd w:val="clear" w:color="4472C4" w:fill="4472C4"/>
            <w:vAlign w:val="center"/>
          </w:tcPr>
          <w:p w14:paraId="16AED25F" w14:textId="28D091DB"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634" w:type="dxa"/>
            <w:tcBorders>
              <w:top w:val="nil"/>
              <w:left w:val="nil"/>
              <w:bottom w:val="single" w:sz="12" w:space="0" w:color="FFFFFF"/>
              <w:right w:val="single" w:sz="4" w:space="0" w:color="FFFFFF"/>
            </w:tcBorders>
            <w:shd w:val="clear" w:color="4472C4" w:fill="4472C4"/>
            <w:noWrap/>
            <w:vAlign w:val="center"/>
            <w:hideMark/>
          </w:tcPr>
          <w:p w14:paraId="4BC9327F"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00A2FD85"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07E48075"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74" w:type="dxa"/>
            <w:tcBorders>
              <w:top w:val="nil"/>
              <w:left w:val="nil"/>
              <w:bottom w:val="single" w:sz="12" w:space="0" w:color="FFFFFF"/>
              <w:right w:val="nil"/>
            </w:tcBorders>
            <w:shd w:val="clear" w:color="4472C4" w:fill="4472C4"/>
            <w:noWrap/>
            <w:vAlign w:val="center"/>
            <w:hideMark/>
          </w:tcPr>
          <w:p w14:paraId="6420B144"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5E84CF27" w14:textId="77777777" w:rsidTr="009F235F">
        <w:trPr>
          <w:trHeight w:val="315"/>
          <w:tblHeader/>
        </w:trPr>
        <w:tc>
          <w:tcPr>
            <w:tcW w:w="527" w:type="dxa"/>
            <w:tcBorders>
              <w:top w:val="single" w:sz="4" w:space="0" w:color="FFFFFF"/>
              <w:left w:val="nil"/>
              <w:bottom w:val="single" w:sz="4" w:space="0" w:color="FFFFFF"/>
              <w:right w:val="single" w:sz="4" w:space="0" w:color="FFFFFF"/>
            </w:tcBorders>
            <w:shd w:val="clear" w:color="auto" w:fill="4F81BD"/>
          </w:tcPr>
          <w:p w14:paraId="2DF989C5"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634" w:type="dxa"/>
            <w:tcBorders>
              <w:top w:val="single" w:sz="4" w:space="0" w:color="FFFFFF"/>
              <w:left w:val="nil"/>
              <w:bottom w:val="single" w:sz="4" w:space="0" w:color="FFFFFF"/>
              <w:right w:val="single" w:sz="4" w:space="0" w:color="FFFFFF"/>
            </w:tcBorders>
            <w:shd w:val="clear" w:color="auto" w:fill="4F81BD"/>
            <w:noWrap/>
            <w:vAlign w:val="bottom"/>
            <w:hideMark/>
          </w:tcPr>
          <w:p w14:paraId="592720A8"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4D1CC1E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Q432,238,406.09</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63483BF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Q280,003,497.80</w:t>
            </w:r>
          </w:p>
        </w:tc>
        <w:tc>
          <w:tcPr>
            <w:tcW w:w="1274" w:type="dxa"/>
            <w:tcBorders>
              <w:top w:val="single" w:sz="4" w:space="0" w:color="FFFFFF"/>
              <w:left w:val="single" w:sz="4" w:space="0" w:color="FFFFFF"/>
              <w:bottom w:val="single" w:sz="4" w:space="0" w:color="FFFFFF"/>
              <w:right w:val="nil"/>
            </w:tcBorders>
            <w:shd w:val="clear" w:color="B4C6E7" w:fill="FEDB81"/>
            <w:noWrap/>
            <w:vAlign w:val="bottom"/>
            <w:hideMark/>
          </w:tcPr>
          <w:p w14:paraId="6532877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64.78%</w:t>
            </w:r>
          </w:p>
        </w:tc>
      </w:tr>
      <w:tr w:rsidR="00693BD9" w:rsidRPr="003051CD" w14:paraId="3F8842D7"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280BF7F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6E348EAD"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Zaragoza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1527BC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Q27,400,144.24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463881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Q23,586,748.90</w:t>
            </w:r>
          </w:p>
        </w:tc>
        <w:tc>
          <w:tcPr>
            <w:tcW w:w="1274" w:type="dxa"/>
            <w:tcBorders>
              <w:top w:val="single" w:sz="4" w:space="0" w:color="FFFFFF"/>
              <w:left w:val="single" w:sz="4" w:space="0" w:color="FFFFFF"/>
              <w:bottom w:val="single" w:sz="4" w:space="0" w:color="FFFFFF"/>
              <w:right w:val="nil"/>
            </w:tcBorders>
            <w:shd w:val="clear" w:color="D9E1F2" w:fill="86CF6C"/>
            <w:noWrap/>
            <w:vAlign w:val="bottom"/>
            <w:hideMark/>
          </w:tcPr>
          <w:p w14:paraId="7968AB8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86.08%</w:t>
            </w:r>
          </w:p>
        </w:tc>
      </w:tr>
      <w:tr w:rsidR="00693BD9" w:rsidRPr="003051CD" w14:paraId="47D48E3D"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B4C6E7" w:fill="B4C6E7"/>
          </w:tcPr>
          <w:p w14:paraId="6978F6F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2634" w:type="dxa"/>
            <w:tcBorders>
              <w:top w:val="single" w:sz="4" w:space="0" w:color="FFFFFF"/>
              <w:left w:val="nil"/>
              <w:bottom w:val="single" w:sz="4" w:space="0" w:color="FFFFFF"/>
              <w:right w:val="single" w:sz="4" w:space="0" w:color="FFFFFF"/>
            </w:tcBorders>
            <w:shd w:val="clear" w:color="B4C6E7" w:fill="B4C6E7"/>
            <w:noWrap/>
            <w:vAlign w:val="bottom"/>
            <w:hideMark/>
          </w:tcPr>
          <w:p w14:paraId="60A738CC" w14:textId="69DB1FF6"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Santa Cruz </w:t>
            </w:r>
            <w:proofErr w:type="spellStart"/>
            <w:r w:rsidRPr="003051CD">
              <w:rPr>
                <w:rFonts w:ascii="Helvetica" w:eastAsia="Times New Roman" w:hAnsi="Helvetica" w:cs="Helvetica"/>
                <w:sz w:val="24"/>
                <w:szCs w:val="24"/>
                <w:lang w:val="es-ES"/>
              </w:rPr>
              <w:t>Balany</w:t>
            </w:r>
            <w:r w:rsidR="009F235F">
              <w:rPr>
                <w:rFonts w:ascii="Helvetica" w:eastAsia="Times New Roman" w:hAnsi="Helvetica" w:cs="Helvetica"/>
                <w:sz w:val="24"/>
                <w:szCs w:val="24"/>
                <w:lang w:val="es-ES"/>
              </w:rPr>
              <w:t>á</w:t>
            </w:r>
            <w:proofErr w:type="spellEnd"/>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A3AC68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Q12,788,634.73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BDDCE8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Q10,564,374.36</w:t>
            </w:r>
          </w:p>
        </w:tc>
        <w:tc>
          <w:tcPr>
            <w:tcW w:w="1274" w:type="dxa"/>
            <w:tcBorders>
              <w:top w:val="single" w:sz="4" w:space="0" w:color="FFFFFF"/>
              <w:left w:val="single" w:sz="4" w:space="0" w:color="FFFFFF"/>
              <w:bottom w:val="single" w:sz="4" w:space="0" w:color="FFFFFF"/>
              <w:right w:val="nil"/>
            </w:tcBorders>
            <w:shd w:val="clear" w:color="B4C6E7" w:fill="A7D772"/>
            <w:noWrap/>
            <w:vAlign w:val="bottom"/>
            <w:hideMark/>
          </w:tcPr>
          <w:p w14:paraId="5749DDF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82.61%</w:t>
            </w:r>
          </w:p>
        </w:tc>
      </w:tr>
      <w:tr w:rsidR="00693BD9" w:rsidRPr="003051CD" w14:paraId="3F50DC62"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4061A7A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7D68B3C9"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Parramos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4C6203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Q22,274,306.89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FCF34C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Q18,023,964.28</w:t>
            </w:r>
          </w:p>
        </w:tc>
        <w:tc>
          <w:tcPr>
            <w:tcW w:w="1274" w:type="dxa"/>
            <w:tcBorders>
              <w:top w:val="single" w:sz="4" w:space="0" w:color="FFFFFF"/>
              <w:left w:val="single" w:sz="4" w:space="0" w:color="FFFFFF"/>
              <w:bottom w:val="single" w:sz="4" w:space="0" w:color="FFFFFF"/>
              <w:right w:val="nil"/>
            </w:tcBorders>
            <w:shd w:val="clear" w:color="D9E1F2" w:fill="B7DB76"/>
            <w:noWrap/>
            <w:vAlign w:val="bottom"/>
            <w:hideMark/>
          </w:tcPr>
          <w:p w14:paraId="3B296D3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80.92%</w:t>
            </w:r>
          </w:p>
        </w:tc>
      </w:tr>
      <w:tr w:rsidR="00693BD9" w:rsidRPr="003051CD" w14:paraId="7D73B624"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B4C6E7" w:fill="B4C6E7"/>
          </w:tcPr>
          <w:p w14:paraId="1C2374E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2634" w:type="dxa"/>
            <w:tcBorders>
              <w:top w:val="single" w:sz="4" w:space="0" w:color="FFFFFF"/>
              <w:left w:val="nil"/>
              <w:bottom w:val="single" w:sz="4" w:space="0" w:color="FFFFFF"/>
              <w:right w:val="single" w:sz="4" w:space="0" w:color="FFFFFF"/>
            </w:tcBorders>
            <w:shd w:val="clear" w:color="B4C6E7" w:fill="B4C6E7"/>
            <w:noWrap/>
            <w:vAlign w:val="bottom"/>
            <w:hideMark/>
          </w:tcPr>
          <w:p w14:paraId="174922A1"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Chimaltenango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BC24A5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Q64,001,959.00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7AB9D6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Q50,908,779.29</w:t>
            </w:r>
          </w:p>
        </w:tc>
        <w:tc>
          <w:tcPr>
            <w:tcW w:w="1274" w:type="dxa"/>
            <w:tcBorders>
              <w:top w:val="single" w:sz="4" w:space="0" w:color="FFFFFF"/>
              <w:left w:val="single" w:sz="4" w:space="0" w:color="FFFFFF"/>
              <w:bottom w:val="single" w:sz="4" w:space="0" w:color="FFFFFF"/>
              <w:right w:val="nil"/>
            </w:tcBorders>
            <w:shd w:val="clear" w:color="B4C6E7" w:fill="C4DE78"/>
            <w:noWrap/>
            <w:vAlign w:val="bottom"/>
            <w:hideMark/>
          </w:tcPr>
          <w:p w14:paraId="2DC1C37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79.54%</w:t>
            </w:r>
          </w:p>
        </w:tc>
      </w:tr>
      <w:tr w:rsidR="00693BD9" w:rsidRPr="003051CD" w14:paraId="71318AB2"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5B1F791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6175447D"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Tecpán Guatemala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AD16725"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Q35,503,159.49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E6EDA5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Q27,938,743.03</w:t>
            </w:r>
          </w:p>
        </w:tc>
        <w:tc>
          <w:tcPr>
            <w:tcW w:w="1274" w:type="dxa"/>
            <w:tcBorders>
              <w:top w:val="single" w:sz="4" w:space="0" w:color="FFFFFF"/>
              <w:left w:val="single" w:sz="4" w:space="0" w:color="FFFFFF"/>
              <w:bottom w:val="single" w:sz="4" w:space="0" w:color="FFFFFF"/>
              <w:right w:val="nil"/>
            </w:tcBorders>
            <w:shd w:val="clear" w:color="D9E1F2" w:fill="CCE07A"/>
            <w:noWrap/>
            <w:vAlign w:val="bottom"/>
            <w:hideMark/>
          </w:tcPr>
          <w:p w14:paraId="7DBA5A9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78.69%</w:t>
            </w:r>
          </w:p>
        </w:tc>
      </w:tr>
      <w:tr w:rsidR="00693BD9" w:rsidRPr="003051CD" w14:paraId="684C5D6E"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B4C6E7" w:fill="B4C6E7"/>
          </w:tcPr>
          <w:p w14:paraId="14A2D20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2634" w:type="dxa"/>
            <w:tcBorders>
              <w:top w:val="single" w:sz="4" w:space="0" w:color="FFFFFF"/>
              <w:left w:val="nil"/>
              <w:bottom w:val="single" w:sz="4" w:space="0" w:color="FFFFFF"/>
              <w:right w:val="single" w:sz="4" w:space="0" w:color="FFFFFF"/>
            </w:tcBorders>
            <w:shd w:val="clear" w:color="B4C6E7" w:fill="B4C6E7"/>
            <w:noWrap/>
            <w:vAlign w:val="bottom"/>
            <w:hideMark/>
          </w:tcPr>
          <w:p w14:paraId="455FA6F7"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Patzicía</w:t>
            </w:r>
            <w:proofErr w:type="spellEnd"/>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1951E7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Q28,777,139.79</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0BE485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Q21,543,469.80</w:t>
            </w:r>
          </w:p>
        </w:tc>
        <w:tc>
          <w:tcPr>
            <w:tcW w:w="1274" w:type="dxa"/>
            <w:tcBorders>
              <w:top w:val="single" w:sz="4" w:space="0" w:color="FFFFFF"/>
              <w:left w:val="single" w:sz="4" w:space="0" w:color="FFFFFF"/>
              <w:bottom w:val="single" w:sz="4" w:space="0" w:color="FFFFFF"/>
              <w:right w:val="nil"/>
            </w:tcBorders>
            <w:shd w:val="clear" w:color="B4C6E7" w:fill="F1E881"/>
            <w:noWrap/>
            <w:vAlign w:val="bottom"/>
            <w:hideMark/>
          </w:tcPr>
          <w:p w14:paraId="2EEA29A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74.86%</w:t>
            </w:r>
          </w:p>
        </w:tc>
      </w:tr>
      <w:tr w:rsidR="00693BD9" w:rsidRPr="003051CD" w14:paraId="0F05C54B"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54A9318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79DE0FCF"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Yepocapa</w:t>
            </w:r>
            <w:proofErr w:type="spellEnd"/>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7117D7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Q31,656,347.45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508505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Q23,089,928.28</w:t>
            </w:r>
          </w:p>
        </w:tc>
        <w:tc>
          <w:tcPr>
            <w:tcW w:w="1274" w:type="dxa"/>
            <w:tcBorders>
              <w:top w:val="single" w:sz="4" w:space="0" w:color="FFFFFF"/>
              <w:left w:val="single" w:sz="4" w:space="0" w:color="FFFFFF"/>
              <w:bottom w:val="single" w:sz="4" w:space="0" w:color="FFFFFF"/>
              <w:right w:val="nil"/>
            </w:tcBorders>
            <w:shd w:val="clear" w:color="D9E1F2" w:fill="FEEA83"/>
            <w:noWrap/>
            <w:vAlign w:val="bottom"/>
            <w:hideMark/>
          </w:tcPr>
          <w:p w14:paraId="3B00212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72.94%</w:t>
            </w:r>
          </w:p>
        </w:tc>
      </w:tr>
      <w:tr w:rsidR="00693BD9" w:rsidRPr="003051CD" w14:paraId="1BE18D0B"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B4C6E7" w:fill="B4C6E7"/>
          </w:tcPr>
          <w:p w14:paraId="6B6E911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2634" w:type="dxa"/>
            <w:tcBorders>
              <w:top w:val="single" w:sz="4" w:space="0" w:color="FFFFFF"/>
              <w:left w:val="nil"/>
              <w:bottom w:val="single" w:sz="4" w:space="0" w:color="FFFFFF"/>
              <w:right w:val="single" w:sz="4" w:space="0" w:color="FFFFFF"/>
            </w:tcBorders>
            <w:shd w:val="clear" w:color="B4C6E7" w:fill="B4C6E7"/>
            <w:noWrap/>
            <w:vAlign w:val="bottom"/>
            <w:hideMark/>
          </w:tcPr>
          <w:p w14:paraId="0BC0AD5F"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Comalapa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9C7C7C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Q26,384,447.38</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04865A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Q19,104,026.69</w:t>
            </w:r>
          </w:p>
        </w:tc>
        <w:tc>
          <w:tcPr>
            <w:tcW w:w="1274" w:type="dxa"/>
            <w:tcBorders>
              <w:top w:val="single" w:sz="4" w:space="0" w:color="FFFFFF"/>
              <w:left w:val="single" w:sz="4" w:space="0" w:color="FFFFFF"/>
              <w:bottom w:val="single" w:sz="4" w:space="0" w:color="FFFFFF"/>
              <w:right w:val="nil"/>
            </w:tcBorders>
            <w:shd w:val="clear" w:color="B4C6E7" w:fill="FEE983"/>
            <w:noWrap/>
            <w:vAlign w:val="bottom"/>
            <w:hideMark/>
          </w:tcPr>
          <w:p w14:paraId="7470866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72.41%</w:t>
            </w:r>
          </w:p>
        </w:tc>
      </w:tr>
      <w:tr w:rsidR="00693BD9" w:rsidRPr="003051CD" w14:paraId="1EBB303B"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36EC9C8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2E3D2C4D"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Poaquil</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BD9503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Q20,695,283.89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AE79B2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Q14,677,830.29</w:t>
            </w:r>
          </w:p>
        </w:tc>
        <w:tc>
          <w:tcPr>
            <w:tcW w:w="1274" w:type="dxa"/>
            <w:tcBorders>
              <w:top w:val="single" w:sz="4" w:space="0" w:color="FFFFFF"/>
              <w:left w:val="single" w:sz="4" w:space="0" w:color="FFFFFF"/>
              <w:bottom w:val="single" w:sz="4" w:space="0" w:color="FFFFFF"/>
              <w:right w:val="nil"/>
            </w:tcBorders>
            <w:shd w:val="clear" w:color="D9E1F2" w:fill="FEE683"/>
            <w:noWrap/>
            <w:vAlign w:val="bottom"/>
            <w:hideMark/>
          </w:tcPr>
          <w:p w14:paraId="02374E1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70.92%</w:t>
            </w:r>
          </w:p>
        </w:tc>
      </w:tr>
      <w:tr w:rsidR="00693BD9" w:rsidRPr="003051CD" w14:paraId="6883FA59"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B4C6E7" w:fill="B4C6E7"/>
          </w:tcPr>
          <w:p w14:paraId="0E360E8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10</w:t>
            </w:r>
          </w:p>
        </w:tc>
        <w:tc>
          <w:tcPr>
            <w:tcW w:w="2634" w:type="dxa"/>
            <w:tcBorders>
              <w:top w:val="single" w:sz="4" w:space="0" w:color="FFFFFF"/>
              <w:left w:val="nil"/>
              <w:bottom w:val="single" w:sz="4" w:space="0" w:color="FFFFFF"/>
              <w:right w:val="single" w:sz="4" w:space="0" w:color="FFFFFF"/>
            </w:tcBorders>
            <w:shd w:val="clear" w:color="B4C6E7" w:fill="B4C6E7"/>
            <w:noWrap/>
            <w:vAlign w:val="bottom"/>
            <w:hideMark/>
          </w:tcPr>
          <w:p w14:paraId="4AD8C370"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Pochuta</w:t>
            </w:r>
            <w:proofErr w:type="spellEnd"/>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8CE6A7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Q9,876,729.34</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1D73BB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Q6,485,745.44</w:t>
            </w:r>
          </w:p>
        </w:tc>
        <w:tc>
          <w:tcPr>
            <w:tcW w:w="1274" w:type="dxa"/>
            <w:tcBorders>
              <w:top w:val="single" w:sz="4" w:space="0" w:color="FFFFFF"/>
              <w:left w:val="single" w:sz="4" w:space="0" w:color="FFFFFF"/>
              <w:bottom w:val="single" w:sz="4" w:space="0" w:color="FFFFFF"/>
              <w:right w:val="nil"/>
            </w:tcBorders>
            <w:shd w:val="clear" w:color="B4C6E7" w:fill="FEDD81"/>
            <w:noWrap/>
            <w:vAlign w:val="bottom"/>
            <w:hideMark/>
          </w:tcPr>
          <w:p w14:paraId="591A7EE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65.67%</w:t>
            </w:r>
          </w:p>
        </w:tc>
      </w:tr>
      <w:tr w:rsidR="00693BD9" w:rsidRPr="003051CD" w14:paraId="53A0F4F5"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2A2827A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11</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618562FE"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Acatenango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5338EC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Q23,294,715.10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5F84BD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Q12,598,266.85</w:t>
            </w:r>
          </w:p>
        </w:tc>
        <w:tc>
          <w:tcPr>
            <w:tcW w:w="1274" w:type="dxa"/>
            <w:tcBorders>
              <w:top w:val="single" w:sz="4" w:space="0" w:color="FFFFFF"/>
              <w:left w:val="single" w:sz="4" w:space="0" w:color="FFFFFF"/>
              <w:bottom w:val="single" w:sz="4" w:space="0" w:color="FFFFFF"/>
              <w:right w:val="nil"/>
            </w:tcBorders>
            <w:shd w:val="clear" w:color="D9E1F2" w:fill="FDC87D"/>
            <w:noWrap/>
            <w:vAlign w:val="bottom"/>
            <w:hideMark/>
          </w:tcPr>
          <w:p w14:paraId="11826D1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54.08%</w:t>
            </w:r>
          </w:p>
        </w:tc>
      </w:tr>
      <w:tr w:rsidR="00693BD9" w:rsidRPr="003051CD" w14:paraId="7AA17A57"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B4C6E7" w:fill="B4C6E7"/>
          </w:tcPr>
          <w:p w14:paraId="60E24BC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12</w:t>
            </w:r>
          </w:p>
        </w:tc>
        <w:tc>
          <w:tcPr>
            <w:tcW w:w="2634" w:type="dxa"/>
            <w:tcBorders>
              <w:top w:val="single" w:sz="4" w:space="0" w:color="FFFFFF"/>
              <w:left w:val="nil"/>
              <w:bottom w:val="single" w:sz="4" w:space="0" w:color="FFFFFF"/>
              <w:right w:val="single" w:sz="4" w:space="0" w:color="FFFFFF"/>
            </w:tcBorders>
            <w:shd w:val="clear" w:color="B4C6E7" w:fill="B4C6E7"/>
            <w:noWrap/>
            <w:vAlign w:val="bottom"/>
            <w:hideMark/>
          </w:tcPr>
          <w:p w14:paraId="6481AC91"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Andrés Itzapa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DC6150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Q24,980,882.12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320E1D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Q13,292,271.67</w:t>
            </w:r>
          </w:p>
        </w:tc>
        <w:tc>
          <w:tcPr>
            <w:tcW w:w="1274" w:type="dxa"/>
            <w:tcBorders>
              <w:top w:val="single" w:sz="4" w:space="0" w:color="FFFFFF"/>
              <w:left w:val="single" w:sz="4" w:space="0" w:color="FFFFFF"/>
              <w:bottom w:val="single" w:sz="4" w:space="0" w:color="FFFFFF"/>
              <w:right w:val="nil"/>
            </w:tcBorders>
            <w:shd w:val="clear" w:color="B4C6E7" w:fill="FDC77D"/>
            <w:noWrap/>
            <w:vAlign w:val="bottom"/>
            <w:hideMark/>
          </w:tcPr>
          <w:p w14:paraId="6F85C9F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53.21%</w:t>
            </w:r>
          </w:p>
        </w:tc>
      </w:tr>
      <w:tr w:rsidR="00693BD9" w:rsidRPr="003051CD" w14:paraId="7C738905"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1FDF609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13</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5789DDAB" w14:textId="6666D96F"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Mart</w:t>
            </w:r>
            <w:r w:rsidR="009F235F">
              <w:rPr>
                <w:rFonts w:ascii="Helvetica" w:eastAsia="Times New Roman" w:hAnsi="Helvetica" w:cs="Helvetica"/>
                <w:sz w:val="24"/>
                <w:szCs w:val="24"/>
                <w:lang w:val="es-ES"/>
              </w:rPr>
              <w:t>í</w:t>
            </w:r>
            <w:r w:rsidRPr="003051CD">
              <w:rPr>
                <w:rFonts w:ascii="Helvetica" w:eastAsia="Times New Roman" w:hAnsi="Helvetica" w:cs="Helvetica"/>
                <w:sz w:val="24"/>
                <w:szCs w:val="24"/>
                <w:lang w:val="es-ES"/>
              </w:rPr>
              <w:t>n Jilotepeque</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F09CE4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Q46,023,900.26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63B358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Q17,384,509.34</w:t>
            </w:r>
          </w:p>
        </w:tc>
        <w:tc>
          <w:tcPr>
            <w:tcW w:w="1274" w:type="dxa"/>
            <w:tcBorders>
              <w:top w:val="single" w:sz="4" w:space="0" w:color="FFFFFF"/>
              <w:left w:val="single" w:sz="4" w:space="0" w:color="FFFFFF"/>
              <w:bottom w:val="single" w:sz="4" w:space="0" w:color="FFFFFF"/>
              <w:right w:val="nil"/>
            </w:tcBorders>
            <w:shd w:val="clear" w:color="D9E1F2" w:fill="FBAB77"/>
            <w:noWrap/>
            <w:vAlign w:val="bottom"/>
            <w:hideMark/>
          </w:tcPr>
          <w:p w14:paraId="7880B38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37.77%</w:t>
            </w:r>
          </w:p>
        </w:tc>
      </w:tr>
      <w:tr w:rsidR="00693BD9" w:rsidRPr="003051CD" w14:paraId="39AF9D0F"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B4C6E7" w:fill="B4C6E7"/>
          </w:tcPr>
          <w:p w14:paraId="775C7C5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14</w:t>
            </w:r>
          </w:p>
        </w:tc>
        <w:tc>
          <w:tcPr>
            <w:tcW w:w="2634" w:type="dxa"/>
            <w:tcBorders>
              <w:top w:val="single" w:sz="4" w:space="0" w:color="FFFFFF"/>
              <w:left w:val="nil"/>
              <w:bottom w:val="single" w:sz="4" w:space="0" w:color="FFFFFF"/>
              <w:right w:val="single" w:sz="4" w:space="0" w:color="FFFFFF"/>
            </w:tcBorders>
            <w:shd w:val="clear" w:color="B4C6E7" w:fill="B4C6E7"/>
            <w:noWrap/>
            <w:vAlign w:val="bottom"/>
            <w:hideMark/>
          </w:tcPr>
          <w:p w14:paraId="321A7191"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Tejar</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83936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Q58,580,756.41</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1BBAEF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Q20,804,839.58</w:t>
            </w:r>
          </w:p>
        </w:tc>
        <w:tc>
          <w:tcPr>
            <w:tcW w:w="1274" w:type="dxa"/>
            <w:tcBorders>
              <w:top w:val="single" w:sz="4" w:space="0" w:color="FFFFFF"/>
              <w:left w:val="single" w:sz="4" w:space="0" w:color="FFFFFF"/>
              <w:bottom w:val="single" w:sz="4" w:space="0" w:color="FFFFFF"/>
              <w:right w:val="nil"/>
            </w:tcBorders>
            <w:shd w:val="clear" w:color="B4C6E7" w:fill="FBA777"/>
            <w:noWrap/>
            <w:vAlign w:val="bottom"/>
            <w:hideMark/>
          </w:tcPr>
          <w:p w14:paraId="58330E1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35.51%</w:t>
            </w:r>
          </w:p>
        </w:tc>
      </w:tr>
      <w:tr w:rsidR="00693BD9" w:rsidRPr="003051CD" w14:paraId="078C68C1" w14:textId="77777777" w:rsidTr="009F235F">
        <w:trPr>
          <w:trHeight w:val="300"/>
          <w:tblHeader/>
        </w:trPr>
        <w:tc>
          <w:tcPr>
            <w:tcW w:w="527" w:type="dxa"/>
            <w:tcBorders>
              <w:top w:val="single" w:sz="4" w:space="0" w:color="FFFFFF"/>
              <w:left w:val="nil"/>
              <w:bottom w:val="single" w:sz="4" w:space="0" w:color="FFFFFF"/>
              <w:right w:val="single" w:sz="4" w:space="0" w:color="FFFFFF"/>
            </w:tcBorders>
            <w:shd w:val="clear" w:color="D9E1F2" w:fill="D9E1F2"/>
          </w:tcPr>
          <w:p w14:paraId="21291E1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15</w:t>
            </w:r>
          </w:p>
        </w:tc>
        <w:tc>
          <w:tcPr>
            <w:tcW w:w="2634" w:type="dxa"/>
            <w:tcBorders>
              <w:top w:val="single" w:sz="4" w:space="0" w:color="FFFFFF"/>
              <w:left w:val="nil"/>
              <w:bottom w:val="single" w:sz="4" w:space="0" w:color="FFFFFF"/>
              <w:right w:val="single" w:sz="4" w:space="0" w:color="FFFFFF"/>
            </w:tcBorders>
            <w:shd w:val="clear" w:color="D9E1F2" w:fill="D9E1F2"/>
            <w:noWrap/>
            <w:vAlign w:val="bottom"/>
            <w:hideMark/>
          </w:tcPr>
          <w:p w14:paraId="417449C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Apolonia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53FF11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1112BB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single" w:sz="4" w:space="0" w:color="FFFFFF"/>
              <w:right w:val="nil"/>
            </w:tcBorders>
            <w:shd w:val="clear" w:color="D9E1F2" w:fill="F8696B"/>
            <w:noWrap/>
            <w:vAlign w:val="bottom"/>
            <w:hideMark/>
          </w:tcPr>
          <w:p w14:paraId="2AC5F67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693BD9" w:rsidRPr="003051CD" w14:paraId="48CFDC47" w14:textId="77777777" w:rsidTr="009F235F">
        <w:trPr>
          <w:trHeight w:val="300"/>
          <w:tblHeader/>
        </w:trPr>
        <w:tc>
          <w:tcPr>
            <w:tcW w:w="527" w:type="dxa"/>
            <w:tcBorders>
              <w:top w:val="single" w:sz="4" w:space="0" w:color="FFFFFF"/>
              <w:left w:val="nil"/>
              <w:bottom w:val="nil"/>
              <w:right w:val="single" w:sz="4" w:space="0" w:color="FFFFFF"/>
            </w:tcBorders>
            <w:shd w:val="clear" w:color="B4C6E7" w:fill="B4C6E7"/>
          </w:tcPr>
          <w:p w14:paraId="309B78D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16</w:t>
            </w:r>
          </w:p>
        </w:tc>
        <w:tc>
          <w:tcPr>
            <w:tcW w:w="2634" w:type="dxa"/>
            <w:tcBorders>
              <w:top w:val="single" w:sz="4" w:space="0" w:color="FFFFFF"/>
              <w:left w:val="nil"/>
              <w:bottom w:val="nil"/>
              <w:right w:val="single" w:sz="4" w:space="0" w:color="FFFFFF"/>
            </w:tcBorders>
            <w:shd w:val="clear" w:color="B4C6E7" w:fill="B4C6E7"/>
            <w:noWrap/>
            <w:vAlign w:val="bottom"/>
            <w:hideMark/>
          </w:tcPr>
          <w:p w14:paraId="5776FFC8"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Patzún</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0B3F804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1E29483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single" w:sz="4" w:space="0" w:color="FFFFFF"/>
              <w:right w:val="nil"/>
            </w:tcBorders>
            <w:shd w:val="clear" w:color="B4C6E7" w:fill="F8696B"/>
            <w:noWrap/>
            <w:vAlign w:val="bottom"/>
            <w:hideMark/>
          </w:tcPr>
          <w:p w14:paraId="30C320D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69427984" w14:textId="63EB7F0A"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363CA21B"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p>
    <w:p w14:paraId="4F23C7E4"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p>
    <w:p w14:paraId="2AB846C1" w14:textId="2695FE28" w:rsidR="00693BD9" w:rsidRPr="00E47805" w:rsidRDefault="00693BD9" w:rsidP="00E47805">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E47805">
        <w:rPr>
          <w:rFonts w:ascii="Helvetica" w:eastAsia="Times New Roman" w:hAnsi="Helvetica" w:cs="Helvetica"/>
          <w:b/>
          <w:color w:val="002060"/>
          <w:sz w:val="28"/>
          <w:szCs w:val="28"/>
          <w:lang w:val="es-ES"/>
        </w:rPr>
        <w:t>Chiquimula</w:t>
      </w:r>
    </w:p>
    <w:p w14:paraId="7A7F142E" w14:textId="77777777" w:rsidR="00693BD9" w:rsidRPr="003051CD" w:rsidRDefault="00693BD9" w:rsidP="00693BD9">
      <w:pPr>
        <w:autoSpaceDE w:val="0"/>
        <w:autoSpaceDN w:val="0"/>
        <w:adjustRightInd w:val="0"/>
        <w:spacing w:after="0" w:line="240" w:lineRule="auto"/>
        <w:ind w:left="360"/>
        <w:contextualSpacing/>
        <w:jc w:val="both"/>
        <w:rPr>
          <w:rFonts w:ascii="Helvetica" w:eastAsia="Times New Roman" w:hAnsi="Helvetica" w:cs="Helvetica"/>
          <w:b/>
          <w:sz w:val="24"/>
          <w:szCs w:val="24"/>
          <w:lang w:val="es-ES"/>
        </w:rPr>
      </w:pPr>
    </w:p>
    <w:p w14:paraId="78362025" w14:textId="011E9218"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63.61%. Los municipios con mayor ejecución son: Ipala 85.25%, Esquipulas 82.25 y San Juan Ermita 74.11%. Cabe mencionar que Chiquimula, no presentó informe del tercer cuatrimestre.</w:t>
      </w:r>
      <w:r w:rsidR="00111CDE">
        <w:rPr>
          <w:rFonts w:ascii="Helvetica" w:eastAsia="Times New Roman" w:hAnsi="Helvetica" w:cs="Helvetica"/>
          <w:sz w:val="24"/>
          <w:szCs w:val="24"/>
          <w:lang w:val="es-ES"/>
        </w:rPr>
        <w:t xml:space="preserve"> Ver tabla 15.</w:t>
      </w:r>
    </w:p>
    <w:p w14:paraId="169DC132" w14:textId="12B06732" w:rsidR="00111CDE" w:rsidRDefault="00111CDE"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473A3E9" w14:textId="3363E4B5"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A49BD09" w14:textId="19E5CE79"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02EC762" w14:textId="3DA3C2C2"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E73633E" w14:textId="3BB3286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321B9F4" w14:textId="1FE7AADF"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592EFB3" w14:textId="410272D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5FC0FD3" w14:textId="01F7DF35"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D3AA7A8" w14:textId="6E3EA2BC"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3F5FACF" w14:textId="3EA3C26C"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B668061" w14:textId="1657C63C"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05C99BA" w14:textId="3B825BAC"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303ACEE" w14:textId="0F0DD8F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1493F8B" w14:textId="7777777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D172D57" w14:textId="77777777" w:rsidR="00111CDE" w:rsidRDefault="00111CDE"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ABFE41A" w14:textId="761E17AB" w:rsidR="00693BD9" w:rsidRPr="00016865" w:rsidRDefault="00111CDE" w:rsidP="00016865">
      <w:pPr>
        <w:pStyle w:val="ttulosgrficas"/>
        <w:rPr>
          <w:rFonts w:eastAsia="Times New Roman"/>
          <w:color w:val="4472C4" w:themeColor="accent1"/>
          <w:lang w:val="es-ES"/>
        </w:rPr>
      </w:pPr>
      <w:bookmarkStart w:id="48" w:name="_Toc67589128"/>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15</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Chiquimula</w:t>
      </w:r>
      <w:bookmarkEnd w:id="48"/>
    </w:p>
    <w:p w14:paraId="4FEEFC94" w14:textId="77777777" w:rsidR="00BC2B6E" w:rsidRPr="003051CD" w:rsidRDefault="00BC2B6E" w:rsidP="00BC2B6E">
      <w:pPr>
        <w:pStyle w:val="ttulosgrficas"/>
        <w:spacing w:line="120" w:lineRule="auto"/>
        <w:rPr>
          <w:lang w:val="es-ES"/>
        </w:rPr>
      </w:pPr>
    </w:p>
    <w:tbl>
      <w:tblPr>
        <w:tblW w:w="8341" w:type="dxa"/>
        <w:tblInd w:w="637" w:type="dxa"/>
        <w:tblCellMar>
          <w:left w:w="70" w:type="dxa"/>
          <w:right w:w="70" w:type="dxa"/>
        </w:tblCellMar>
        <w:tblLook w:val="04A0" w:firstRow="1" w:lastRow="0" w:firstColumn="1" w:lastColumn="0" w:noHBand="0" w:noVBand="1"/>
      </w:tblPr>
      <w:tblGrid>
        <w:gridCol w:w="527"/>
        <w:gridCol w:w="2599"/>
        <w:gridCol w:w="1995"/>
        <w:gridCol w:w="1995"/>
        <w:gridCol w:w="1274"/>
      </w:tblGrid>
      <w:tr w:rsidR="00693BD9" w:rsidRPr="003051CD" w14:paraId="2CC40392" w14:textId="77777777" w:rsidTr="00BC2B6E">
        <w:trPr>
          <w:trHeight w:val="315"/>
        </w:trPr>
        <w:tc>
          <w:tcPr>
            <w:tcW w:w="552" w:type="dxa"/>
            <w:tcBorders>
              <w:top w:val="nil"/>
              <w:left w:val="nil"/>
              <w:bottom w:val="single" w:sz="12" w:space="0" w:color="FFFFFF"/>
              <w:right w:val="single" w:sz="4" w:space="0" w:color="FFFFFF"/>
            </w:tcBorders>
            <w:shd w:val="clear" w:color="4472C4" w:fill="4472C4"/>
            <w:vAlign w:val="center"/>
          </w:tcPr>
          <w:p w14:paraId="7E9E77DB" w14:textId="234099DD"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599" w:type="dxa"/>
            <w:tcBorders>
              <w:top w:val="nil"/>
              <w:left w:val="nil"/>
              <w:bottom w:val="single" w:sz="12" w:space="0" w:color="FFFFFF"/>
              <w:right w:val="single" w:sz="4" w:space="0" w:color="FFFFFF"/>
            </w:tcBorders>
            <w:shd w:val="clear" w:color="4472C4" w:fill="4472C4"/>
            <w:noWrap/>
            <w:vAlign w:val="center"/>
            <w:hideMark/>
          </w:tcPr>
          <w:p w14:paraId="20691887"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7ADEB234"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4C6779D0"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38B90365"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783B8FA0" w14:textId="77777777" w:rsidTr="00D219CB">
        <w:trPr>
          <w:trHeight w:val="315"/>
        </w:trPr>
        <w:tc>
          <w:tcPr>
            <w:tcW w:w="552" w:type="dxa"/>
            <w:tcBorders>
              <w:top w:val="single" w:sz="4" w:space="0" w:color="FFFFFF"/>
              <w:left w:val="nil"/>
              <w:bottom w:val="single" w:sz="4" w:space="0" w:color="FFFFFF"/>
              <w:right w:val="single" w:sz="4" w:space="0" w:color="FFFFFF"/>
            </w:tcBorders>
            <w:shd w:val="clear" w:color="auto" w:fill="4F81BD"/>
          </w:tcPr>
          <w:p w14:paraId="76C9D59F"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599" w:type="dxa"/>
            <w:tcBorders>
              <w:top w:val="single" w:sz="4" w:space="0" w:color="FFFFFF"/>
              <w:left w:val="nil"/>
              <w:bottom w:val="single" w:sz="4" w:space="0" w:color="FFFFFF"/>
              <w:right w:val="single" w:sz="4" w:space="0" w:color="FFFFFF"/>
            </w:tcBorders>
            <w:shd w:val="clear" w:color="auto" w:fill="4F81BD"/>
            <w:noWrap/>
            <w:vAlign w:val="bottom"/>
            <w:hideMark/>
          </w:tcPr>
          <w:p w14:paraId="38152FF2"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1FDD221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Q297,947,753.20</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0170C72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Q189,513,755.47</w:t>
            </w:r>
          </w:p>
        </w:tc>
        <w:tc>
          <w:tcPr>
            <w:tcW w:w="1200" w:type="dxa"/>
            <w:tcBorders>
              <w:top w:val="single" w:sz="4" w:space="0" w:color="FFFFFF"/>
              <w:left w:val="single" w:sz="4" w:space="0" w:color="FFFFFF"/>
              <w:bottom w:val="single" w:sz="4" w:space="0" w:color="FFFFFF"/>
              <w:right w:val="nil"/>
            </w:tcBorders>
            <w:shd w:val="clear" w:color="B4C6E7" w:fill="F9EA83"/>
            <w:noWrap/>
            <w:vAlign w:val="bottom"/>
            <w:hideMark/>
          </w:tcPr>
          <w:p w14:paraId="5E943ED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63.61%</w:t>
            </w:r>
          </w:p>
        </w:tc>
      </w:tr>
      <w:tr w:rsidR="00693BD9" w:rsidRPr="003051CD" w14:paraId="04F22A6D"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2001EA6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048A663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Ipala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C80C61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Q29,222,820.05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3C465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Q24,912,828.21</w:t>
            </w:r>
          </w:p>
        </w:tc>
        <w:tc>
          <w:tcPr>
            <w:tcW w:w="1200" w:type="dxa"/>
            <w:tcBorders>
              <w:top w:val="single" w:sz="4" w:space="0" w:color="FFFFFF"/>
              <w:left w:val="single" w:sz="4" w:space="0" w:color="FFFFFF"/>
              <w:bottom w:val="single" w:sz="4" w:space="0" w:color="FFFFFF"/>
              <w:right w:val="nil"/>
            </w:tcBorders>
            <w:shd w:val="clear" w:color="D9E1F2" w:fill="65C865"/>
            <w:noWrap/>
            <w:vAlign w:val="bottom"/>
            <w:hideMark/>
          </w:tcPr>
          <w:p w14:paraId="3A630CE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85.25%</w:t>
            </w:r>
          </w:p>
        </w:tc>
      </w:tr>
      <w:tr w:rsidR="00693BD9" w:rsidRPr="003051CD" w14:paraId="4ED33565"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5952466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4464B198"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Esquipulas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5FDE09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Q51,050,143.74</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79D1E6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Q42,297,081.82</w:t>
            </w:r>
          </w:p>
        </w:tc>
        <w:tc>
          <w:tcPr>
            <w:tcW w:w="1200" w:type="dxa"/>
            <w:tcBorders>
              <w:top w:val="single" w:sz="4" w:space="0" w:color="FFFFFF"/>
              <w:left w:val="single" w:sz="4" w:space="0" w:color="FFFFFF"/>
              <w:bottom w:val="single" w:sz="4" w:space="0" w:color="FFFFFF"/>
              <w:right w:val="nil"/>
            </w:tcBorders>
            <w:shd w:val="clear" w:color="B4C6E7" w:fill="75CC68"/>
            <w:noWrap/>
            <w:vAlign w:val="bottom"/>
            <w:hideMark/>
          </w:tcPr>
          <w:p w14:paraId="41A4155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82.85%</w:t>
            </w:r>
          </w:p>
        </w:tc>
      </w:tr>
      <w:tr w:rsidR="00693BD9" w:rsidRPr="003051CD" w14:paraId="15141E52"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17B4438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798F51BB"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Ermita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A3F5BE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Q23,852,153.92</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BB5BF8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Q17,677,154.65</w:t>
            </w:r>
          </w:p>
        </w:tc>
        <w:tc>
          <w:tcPr>
            <w:tcW w:w="1200" w:type="dxa"/>
            <w:tcBorders>
              <w:top w:val="single" w:sz="4" w:space="0" w:color="FFFFFF"/>
              <w:left w:val="single" w:sz="4" w:space="0" w:color="FFFFFF"/>
              <w:bottom w:val="single" w:sz="4" w:space="0" w:color="FFFFFF"/>
              <w:right w:val="nil"/>
            </w:tcBorders>
            <w:shd w:val="clear" w:color="D9E1F2" w:fill="B1D974"/>
            <w:noWrap/>
            <w:vAlign w:val="bottom"/>
            <w:hideMark/>
          </w:tcPr>
          <w:p w14:paraId="4682701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74.11%</w:t>
            </w:r>
          </w:p>
        </w:tc>
      </w:tr>
      <w:tr w:rsidR="00693BD9" w:rsidRPr="003051CD" w14:paraId="1F6A9F30"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3FDBE71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723D12C7"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Quezaltepeque</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C0649B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Q20,128,338.48</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845C64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Q12,549,824.48</w:t>
            </w:r>
          </w:p>
        </w:tc>
        <w:tc>
          <w:tcPr>
            <w:tcW w:w="1200" w:type="dxa"/>
            <w:tcBorders>
              <w:top w:val="single" w:sz="4" w:space="0" w:color="FFFFFF"/>
              <w:left w:val="single" w:sz="4" w:space="0" w:color="FFFFFF"/>
              <w:bottom w:val="single" w:sz="4" w:space="0" w:color="FFFFFF"/>
              <w:right w:val="nil"/>
            </w:tcBorders>
            <w:shd w:val="clear" w:color="B4C6E7" w:fill="FEEA83"/>
            <w:noWrap/>
            <w:vAlign w:val="bottom"/>
            <w:hideMark/>
          </w:tcPr>
          <w:p w14:paraId="77D41D0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62.35%</w:t>
            </w:r>
          </w:p>
        </w:tc>
      </w:tr>
      <w:tr w:rsidR="00693BD9" w:rsidRPr="003051CD" w14:paraId="2205184F"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5869C1D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6C3E20EE"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Jocotán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68243C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Q38,270,098.01</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E6EB96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Q23,522,786.92</w:t>
            </w:r>
          </w:p>
        </w:tc>
        <w:tc>
          <w:tcPr>
            <w:tcW w:w="1200" w:type="dxa"/>
            <w:tcBorders>
              <w:top w:val="single" w:sz="4" w:space="0" w:color="FFFFFF"/>
              <w:left w:val="single" w:sz="4" w:space="0" w:color="FFFFFF"/>
              <w:bottom w:val="single" w:sz="4" w:space="0" w:color="FFFFFF"/>
              <w:right w:val="nil"/>
            </w:tcBorders>
            <w:shd w:val="clear" w:color="D9E1F2" w:fill="FEE883"/>
            <w:noWrap/>
            <w:vAlign w:val="bottom"/>
            <w:hideMark/>
          </w:tcPr>
          <w:p w14:paraId="28CB804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61.47%</w:t>
            </w:r>
          </w:p>
        </w:tc>
      </w:tr>
      <w:tr w:rsidR="00693BD9" w:rsidRPr="003051CD" w14:paraId="1268A40E"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3882537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7AC98C2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Olopa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11247F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Q28,739,230.86</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55F0D5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Q16,797,461.81</w:t>
            </w:r>
          </w:p>
        </w:tc>
        <w:tc>
          <w:tcPr>
            <w:tcW w:w="1200" w:type="dxa"/>
            <w:tcBorders>
              <w:top w:val="single" w:sz="4" w:space="0" w:color="FFFFFF"/>
              <w:left w:val="single" w:sz="4" w:space="0" w:color="FFFFFF"/>
              <w:bottom w:val="single" w:sz="4" w:space="0" w:color="FFFFFF"/>
              <w:right w:val="nil"/>
            </w:tcBorders>
            <w:shd w:val="clear" w:color="B4C6E7" w:fill="FEE282"/>
            <w:noWrap/>
            <w:vAlign w:val="bottom"/>
            <w:hideMark/>
          </w:tcPr>
          <w:p w14:paraId="3A8EC6A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58.45%</w:t>
            </w:r>
          </w:p>
        </w:tc>
      </w:tr>
      <w:tr w:rsidR="00693BD9" w:rsidRPr="003051CD" w14:paraId="6E4D0B24"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536A725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35B08756"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La Arada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044B60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Q10,210,115.00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707DE7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Q5,841,415.60</w:t>
            </w:r>
          </w:p>
        </w:tc>
        <w:tc>
          <w:tcPr>
            <w:tcW w:w="1200" w:type="dxa"/>
            <w:tcBorders>
              <w:top w:val="single" w:sz="4" w:space="0" w:color="FFFFFF"/>
              <w:left w:val="single" w:sz="4" w:space="0" w:color="FFFFFF"/>
              <w:bottom w:val="single" w:sz="4" w:space="0" w:color="FFFFFF"/>
              <w:right w:val="nil"/>
            </w:tcBorders>
            <w:shd w:val="clear" w:color="D9E1F2" w:fill="FEDF81"/>
            <w:noWrap/>
            <w:vAlign w:val="bottom"/>
            <w:hideMark/>
          </w:tcPr>
          <w:p w14:paraId="03EE76B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57.21%</w:t>
            </w:r>
          </w:p>
        </w:tc>
      </w:tr>
      <w:tr w:rsidR="00693BD9" w:rsidRPr="003051CD" w14:paraId="577DAF18"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1CB15AE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5AF9A02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Jacinto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5817CD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Q15,563,460.53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39E1B7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Q8,663,329.88</w:t>
            </w:r>
          </w:p>
        </w:tc>
        <w:tc>
          <w:tcPr>
            <w:tcW w:w="1200" w:type="dxa"/>
            <w:tcBorders>
              <w:top w:val="single" w:sz="4" w:space="0" w:color="FFFFFF"/>
              <w:left w:val="single" w:sz="4" w:space="0" w:color="FFFFFF"/>
              <w:bottom w:val="single" w:sz="4" w:space="0" w:color="FFFFFF"/>
              <w:right w:val="nil"/>
            </w:tcBorders>
            <w:shd w:val="clear" w:color="B4C6E7" w:fill="FEDC81"/>
            <w:noWrap/>
            <w:vAlign w:val="bottom"/>
            <w:hideMark/>
          </w:tcPr>
          <w:p w14:paraId="238F9CC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55.66%</w:t>
            </w:r>
          </w:p>
        </w:tc>
      </w:tr>
      <w:tr w:rsidR="00693BD9" w:rsidRPr="003051CD" w14:paraId="1994C6FC"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0BB305C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w:t>
            </w:r>
          </w:p>
        </w:tc>
        <w:tc>
          <w:tcPr>
            <w:tcW w:w="2599" w:type="dxa"/>
            <w:tcBorders>
              <w:top w:val="single" w:sz="4" w:space="0" w:color="FFFFFF"/>
              <w:left w:val="nil"/>
              <w:bottom w:val="single" w:sz="4" w:space="0" w:color="FFFFFF"/>
              <w:right w:val="single" w:sz="4" w:space="0" w:color="FFFFFF"/>
            </w:tcBorders>
            <w:shd w:val="clear" w:color="D9E1F2" w:fill="D9E1F2"/>
            <w:noWrap/>
            <w:vAlign w:val="bottom"/>
            <w:hideMark/>
          </w:tcPr>
          <w:p w14:paraId="6DF1B03B"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Camotán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C02BAD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Q52,040,467.88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FC6000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Q27,713,787.82</w:t>
            </w:r>
          </w:p>
        </w:tc>
        <w:tc>
          <w:tcPr>
            <w:tcW w:w="1200" w:type="dxa"/>
            <w:tcBorders>
              <w:top w:val="single" w:sz="4" w:space="0" w:color="FFFFFF"/>
              <w:left w:val="single" w:sz="4" w:space="0" w:color="FFFFFF"/>
              <w:bottom w:val="single" w:sz="4" w:space="0" w:color="FFFFFF"/>
              <w:right w:val="nil"/>
            </w:tcBorders>
            <w:shd w:val="clear" w:color="D9E1F2" w:fill="FDD780"/>
            <w:noWrap/>
            <w:vAlign w:val="bottom"/>
            <w:hideMark/>
          </w:tcPr>
          <w:p w14:paraId="29FAE7A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53.25%</w:t>
            </w:r>
          </w:p>
        </w:tc>
      </w:tr>
      <w:tr w:rsidR="00693BD9" w:rsidRPr="003051CD" w14:paraId="0281AEE6"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7BA26D9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10</w:t>
            </w:r>
          </w:p>
        </w:tc>
        <w:tc>
          <w:tcPr>
            <w:tcW w:w="2599" w:type="dxa"/>
            <w:tcBorders>
              <w:top w:val="single" w:sz="4" w:space="0" w:color="FFFFFF"/>
              <w:left w:val="nil"/>
              <w:bottom w:val="single" w:sz="4" w:space="0" w:color="FFFFFF"/>
              <w:right w:val="single" w:sz="4" w:space="0" w:color="FFFFFF"/>
            </w:tcBorders>
            <w:shd w:val="clear" w:color="B4C6E7" w:fill="B4C6E7"/>
            <w:noWrap/>
            <w:vAlign w:val="bottom"/>
            <w:hideMark/>
          </w:tcPr>
          <w:p w14:paraId="21521A1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Concepción las Minas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5C0741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Q28,870,924.73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3339BD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Q9,538,084.28</w:t>
            </w:r>
          </w:p>
        </w:tc>
        <w:tc>
          <w:tcPr>
            <w:tcW w:w="1200" w:type="dxa"/>
            <w:tcBorders>
              <w:top w:val="single" w:sz="4" w:space="0" w:color="FFFFFF"/>
              <w:left w:val="single" w:sz="4" w:space="0" w:color="FFFFFF"/>
              <w:bottom w:val="single" w:sz="4" w:space="0" w:color="FFFFFF"/>
              <w:right w:val="nil"/>
            </w:tcBorders>
            <w:shd w:val="clear" w:color="B4C6E7" w:fill="FBAD78"/>
            <w:noWrap/>
            <w:vAlign w:val="bottom"/>
            <w:hideMark/>
          </w:tcPr>
          <w:p w14:paraId="0DEE1AA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33.04%</w:t>
            </w:r>
          </w:p>
        </w:tc>
      </w:tr>
      <w:tr w:rsidR="00693BD9" w:rsidRPr="003051CD" w14:paraId="38352FDA" w14:textId="77777777" w:rsidTr="00D219CB">
        <w:trPr>
          <w:trHeight w:val="300"/>
        </w:trPr>
        <w:tc>
          <w:tcPr>
            <w:tcW w:w="552" w:type="dxa"/>
            <w:tcBorders>
              <w:top w:val="single" w:sz="4" w:space="0" w:color="FFFFFF"/>
              <w:left w:val="nil"/>
              <w:bottom w:val="nil"/>
              <w:right w:val="single" w:sz="4" w:space="0" w:color="FFFFFF"/>
            </w:tcBorders>
            <w:shd w:val="clear" w:color="D9E1F2" w:fill="D9E1F2"/>
          </w:tcPr>
          <w:p w14:paraId="441F577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11</w:t>
            </w:r>
          </w:p>
        </w:tc>
        <w:tc>
          <w:tcPr>
            <w:tcW w:w="2599" w:type="dxa"/>
            <w:tcBorders>
              <w:top w:val="single" w:sz="4" w:space="0" w:color="FFFFFF"/>
              <w:left w:val="nil"/>
              <w:bottom w:val="nil"/>
              <w:right w:val="single" w:sz="4" w:space="0" w:color="FFFFFF"/>
            </w:tcBorders>
            <w:shd w:val="clear" w:color="D9E1F2" w:fill="D9E1F2"/>
            <w:noWrap/>
            <w:vAlign w:val="bottom"/>
            <w:hideMark/>
          </w:tcPr>
          <w:p w14:paraId="016A5223"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Chiquimula</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66DDC92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657ABF1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310216E5" w14:textId="77777777" w:rsidR="00693BD9" w:rsidRPr="003051CD" w:rsidRDefault="00693BD9" w:rsidP="00D219CB">
            <w:pPr>
              <w:autoSpaceDE w:val="0"/>
              <w:autoSpaceDN w:val="0"/>
              <w:adjustRightInd w:val="0"/>
              <w:spacing w:after="0" w:line="240" w:lineRule="auto"/>
              <w:jc w:val="center"/>
              <w:rPr>
                <w:rFonts w:ascii="Calibri" w:eastAsia="Calibri" w:hAnsi="Calibri" w:cs="Calibri"/>
                <w:color w:val="000000"/>
              </w:rPr>
            </w:pPr>
            <w:r w:rsidRPr="003051CD">
              <w:rPr>
                <w:rFonts w:ascii="Helvetica" w:eastAsia="Times New Roman" w:hAnsi="Helvetica" w:cs="Helvetica"/>
                <w:sz w:val="24"/>
                <w:szCs w:val="24"/>
                <w:lang w:val="es-ES"/>
              </w:rPr>
              <w:t>0.00%</w:t>
            </w:r>
          </w:p>
        </w:tc>
      </w:tr>
    </w:tbl>
    <w:p w14:paraId="6B797DCF" w14:textId="5B59BC50"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2EDC5035"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4FDCB35" w14:textId="5C9A3913" w:rsidR="00693BD9" w:rsidRPr="00E47805" w:rsidRDefault="00693BD9" w:rsidP="00E47805">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E47805">
        <w:rPr>
          <w:rFonts w:ascii="Helvetica" w:eastAsia="Times New Roman" w:hAnsi="Helvetica" w:cs="Helvetica"/>
          <w:b/>
          <w:color w:val="002060"/>
          <w:sz w:val="28"/>
          <w:szCs w:val="28"/>
          <w:lang w:val="es-ES"/>
        </w:rPr>
        <w:t>El Progreso</w:t>
      </w:r>
    </w:p>
    <w:p w14:paraId="276994CF" w14:textId="77777777" w:rsidR="00693BD9" w:rsidRPr="003051CD" w:rsidRDefault="00693BD9" w:rsidP="00693BD9">
      <w:pPr>
        <w:autoSpaceDE w:val="0"/>
        <w:autoSpaceDN w:val="0"/>
        <w:adjustRightInd w:val="0"/>
        <w:spacing w:after="0" w:line="240" w:lineRule="auto"/>
        <w:ind w:left="360"/>
        <w:contextualSpacing/>
        <w:jc w:val="both"/>
        <w:rPr>
          <w:rFonts w:ascii="Helvetica" w:eastAsia="Times New Roman" w:hAnsi="Helvetica" w:cs="Helvetica"/>
          <w:b/>
          <w:sz w:val="24"/>
          <w:szCs w:val="24"/>
          <w:lang w:val="es-ES"/>
        </w:rPr>
      </w:pPr>
    </w:p>
    <w:p w14:paraId="187E99E6" w14:textId="51A004EB"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68.72%. Los municipios con mayor ejecución son: Morazán 90.44%, San Antonio La Paz 78.73% y Guastatoya 71.36%. Cabe mencionar que El Jícaro, no presentó el tercer informe cuatrimestral.</w:t>
      </w:r>
      <w:r w:rsidR="00F407CB">
        <w:rPr>
          <w:rFonts w:ascii="Helvetica" w:eastAsia="Times New Roman" w:hAnsi="Helvetica" w:cs="Helvetica"/>
          <w:sz w:val="24"/>
          <w:szCs w:val="24"/>
          <w:lang w:val="es-ES"/>
        </w:rPr>
        <w:t xml:space="preserve"> Ver tabla 16.</w:t>
      </w:r>
    </w:p>
    <w:p w14:paraId="4BE2D815" w14:textId="2945D1E4"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8887B10" w14:textId="6FD26949" w:rsidR="00693BD9" w:rsidRPr="00016865" w:rsidRDefault="00F407CB" w:rsidP="00016865">
      <w:pPr>
        <w:pStyle w:val="ttulosgrficas"/>
        <w:rPr>
          <w:rFonts w:eastAsia="Times New Roman"/>
          <w:color w:val="4472C4" w:themeColor="accent1"/>
          <w:lang w:val="es-ES"/>
        </w:rPr>
      </w:pPr>
      <w:bookmarkStart w:id="49" w:name="_Toc67589129"/>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16</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El Progreso</w:t>
      </w:r>
      <w:bookmarkEnd w:id="49"/>
    </w:p>
    <w:p w14:paraId="6D784F92" w14:textId="77777777" w:rsidR="00BC2B6E" w:rsidRPr="003051CD" w:rsidRDefault="00BC2B6E" w:rsidP="00BC2B6E">
      <w:pPr>
        <w:pStyle w:val="ttulosgrficas"/>
        <w:spacing w:line="120" w:lineRule="auto"/>
        <w:rPr>
          <w:lang w:val="es-ES"/>
        </w:rPr>
      </w:pPr>
    </w:p>
    <w:tbl>
      <w:tblPr>
        <w:tblW w:w="8978" w:type="dxa"/>
        <w:tblCellMar>
          <w:left w:w="70" w:type="dxa"/>
          <w:right w:w="70" w:type="dxa"/>
        </w:tblCellMar>
        <w:tblLook w:val="04A0" w:firstRow="1" w:lastRow="0" w:firstColumn="1" w:lastColumn="0" w:noHBand="0" w:noVBand="1"/>
      </w:tblPr>
      <w:tblGrid>
        <w:gridCol w:w="527"/>
        <w:gridCol w:w="3264"/>
        <w:gridCol w:w="1995"/>
        <w:gridCol w:w="1995"/>
        <w:gridCol w:w="1274"/>
      </w:tblGrid>
      <w:tr w:rsidR="00693BD9" w:rsidRPr="003051CD" w14:paraId="77743A86" w14:textId="77777777" w:rsidTr="00BC2B6E">
        <w:trPr>
          <w:trHeight w:val="315"/>
        </w:trPr>
        <w:tc>
          <w:tcPr>
            <w:tcW w:w="524" w:type="dxa"/>
            <w:tcBorders>
              <w:top w:val="nil"/>
              <w:left w:val="nil"/>
              <w:bottom w:val="single" w:sz="12" w:space="0" w:color="FFFFFF"/>
              <w:right w:val="single" w:sz="4" w:space="0" w:color="FFFFFF"/>
            </w:tcBorders>
            <w:shd w:val="clear" w:color="4472C4" w:fill="4472C4"/>
            <w:vAlign w:val="center"/>
          </w:tcPr>
          <w:p w14:paraId="06E60210" w14:textId="06AF5821"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3264" w:type="dxa"/>
            <w:tcBorders>
              <w:top w:val="nil"/>
              <w:left w:val="nil"/>
              <w:bottom w:val="single" w:sz="12" w:space="0" w:color="FFFFFF"/>
              <w:right w:val="single" w:sz="4" w:space="0" w:color="FFFFFF"/>
            </w:tcBorders>
            <w:shd w:val="clear" w:color="4472C4" w:fill="4472C4"/>
            <w:noWrap/>
            <w:vAlign w:val="center"/>
            <w:hideMark/>
          </w:tcPr>
          <w:p w14:paraId="40E9CCD8"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64645AAD"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78F78160"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4A2B3A9B"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22357AB5" w14:textId="77777777" w:rsidTr="00D219CB">
        <w:trPr>
          <w:trHeight w:val="315"/>
        </w:trPr>
        <w:tc>
          <w:tcPr>
            <w:tcW w:w="524" w:type="dxa"/>
            <w:tcBorders>
              <w:top w:val="single" w:sz="4" w:space="0" w:color="FFFFFF"/>
              <w:left w:val="nil"/>
              <w:bottom w:val="single" w:sz="4" w:space="0" w:color="FFFFFF"/>
              <w:right w:val="single" w:sz="4" w:space="0" w:color="FFFFFF"/>
            </w:tcBorders>
            <w:shd w:val="clear" w:color="auto" w:fill="4F81BD"/>
          </w:tcPr>
          <w:p w14:paraId="40F62E4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p>
        </w:tc>
        <w:tc>
          <w:tcPr>
            <w:tcW w:w="3264" w:type="dxa"/>
            <w:tcBorders>
              <w:top w:val="single" w:sz="4" w:space="0" w:color="FFFFFF"/>
              <w:left w:val="nil"/>
              <w:bottom w:val="single" w:sz="4" w:space="0" w:color="FFFFFF"/>
              <w:right w:val="single" w:sz="4" w:space="0" w:color="FFFFFF"/>
            </w:tcBorders>
            <w:shd w:val="clear" w:color="auto" w:fill="4F81BD"/>
            <w:noWrap/>
            <w:vAlign w:val="bottom"/>
            <w:hideMark/>
          </w:tcPr>
          <w:p w14:paraId="3F5B111F"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23ACA13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Q253,344,221.82</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30B265D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Q174,087,657.38</w:t>
            </w:r>
          </w:p>
        </w:tc>
        <w:tc>
          <w:tcPr>
            <w:tcW w:w="1200" w:type="dxa"/>
            <w:tcBorders>
              <w:top w:val="single" w:sz="4" w:space="0" w:color="FFFFFF"/>
              <w:left w:val="single" w:sz="4" w:space="0" w:color="FFFFFF"/>
              <w:bottom w:val="single" w:sz="4" w:space="0" w:color="FFFFFF"/>
              <w:right w:val="nil"/>
            </w:tcBorders>
            <w:shd w:val="clear" w:color="B4C6E7" w:fill="C8DF79"/>
            <w:noWrap/>
            <w:vAlign w:val="bottom"/>
            <w:hideMark/>
          </w:tcPr>
          <w:p w14:paraId="46FAE52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68.72%</w:t>
            </w:r>
          </w:p>
        </w:tc>
      </w:tr>
      <w:tr w:rsidR="00693BD9" w:rsidRPr="003051CD" w14:paraId="16094CA4" w14:textId="77777777" w:rsidTr="00D219CB">
        <w:trPr>
          <w:trHeight w:val="300"/>
        </w:trPr>
        <w:tc>
          <w:tcPr>
            <w:tcW w:w="524" w:type="dxa"/>
            <w:tcBorders>
              <w:top w:val="single" w:sz="4" w:space="0" w:color="FFFFFF"/>
              <w:left w:val="nil"/>
              <w:bottom w:val="single" w:sz="4" w:space="0" w:color="FFFFFF"/>
              <w:right w:val="single" w:sz="4" w:space="0" w:color="FFFFFF"/>
            </w:tcBorders>
            <w:shd w:val="clear" w:color="D9E1F2" w:fill="D9E1F2"/>
          </w:tcPr>
          <w:p w14:paraId="78B1496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3264" w:type="dxa"/>
            <w:tcBorders>
              <w:top w:val="single" w:sz="4" w:space="0" w:color="FFFFFF"/>
              <w:left w:val="nil"/>
              <w:bottom w:val="single" w:sz="4" w:space="0" w:color="FFFFFF"/>
              <w:right w:val="single" w:sz="4" w:space="0" w:color="FFFFFF"/>
            </w:tcBorders>
            <w:shd w:val="clear" w:color="D9E1F2" w:fill="D9E1F2"/>
            <w:noWrap/>
            <w:vAlign w:val="bottom"/>
            <w:hideMark/>
          </w:tcPr>
          <w:p w14:paraId="445A7BA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Morazán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E46207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Q32,215,920.20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3583F8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Q29,136,660.43</w:t>
            </w:r>
          </w:p>
        </w:tc>
        <w:tc>
          <w:tcPr>
            <w:tcW w:w="1200" w:type="dxa"/>
            <w:tcBorders>
              <w:top w:val="single" w:sz="4" w:space="0" w:color="FFFFFF"/>
              <w:left w:val="single" w:sz="4" w:space="0" w:color="FFFFFF"/>
              <w:bottom w:val="single" w:sz="4" w:space="0" w:color="FFFFFF"/>
              <w:right w:val="nil"/>
            </w:tcBorders>
            <w:shd w:val="clear" w:color="D9E1F2" w:fill="3DBF5D"/>
            <w:noWrap/>
            <w:vAlign w:val="bottom"/>
            <w:hideMark/>
          </w:tcPr>
          <w:p w14:paraId="2B8B31F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90.44%</w:t>
            </w:r>
          </w:p>
        </w:tc>
      </w:tr>
      <w:tr w:rsidR="00693BD9" w:rsidRPr="003051CD" w14:paraId="436FDE98" w14:textId="77777777" w:rsidTr="00D219CB">
        <w:trPr>
          <w:trHeight w:val="300"/>
        </w:trPr>
        <w:tc>
          <w:tcPr>
            <w:tcW w:w="524" w:type="dxa"/>
            <w:tcBorders>
              <w:top w:val="single" w:sz="4" w:space="0" w:color="FFFFFF"/>
              <w:left w:val="nil"/>
              <w:bottom w:val="single" w:sz="4" w:space="0" w:color="FFFFFF"/>
              <w:right w:val="single" w:sz="4" w:space="0" w:color="FFFFFF"/>
            </w:tcBorders>
            <w:shd w:val="clear" w:color="B4C6E7" w:fill="B4C6E7"/>
          </w:tcPr>
          <w:p w14:paraId="7DCDFCF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3264" w:type="dxa"/>
            <w:tcBorders>
              <w:top w:val="single" w:sz="4" w:space="0" w:color="FFFFFF"/>
              <w:left w:val="nil"/>
              <w:bottom w:val="single" w:sz="4" w:space="0" w:color="FFFFFF"/>
              <w:right w:val="single" w:sz="4" w:space="0" w:color="FFFFFF"/>
            </w:tcBorders>
            <w:shd w:val="clear" w:color="B4C6E7" w:fill="B4C6E7"/>
            <w:noWrap/>
            <w:vAlign w:val="bottom"/>
            <w:hideMark/>
          </w:tcPr>
          <w:p w14:paraId="626EF502"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Antonio La Paz</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5BA470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Q20,727,301.23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644010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Q16,317,697.80</w:t>
            </w:r>
          </w:p>
        </w:tc>
        <w:tc>
          <w:tcPr>
            <w:tcW w:w="1200" w:type="dxa"/>
            <w:tcBorders>
              <w:top w:val="single" w:sz="4" w:space="0" w:color="FFFFFF"/>
              <w:left w:val="single" w:sz="4" w:space="0" w:color="FFFFFF"/>
              <w:bottom w:val="single" w:sz="4" w:space="0" w:color="FFFFFF"/>
              <w:right w:val="nil"/>
            </w:tcBorders>
            <w:shd w:val="clear" w:color="B4C6E7" w:fill="88D06C"/>
            <w:noWrap/>
            <w:vAlign w:val="bottom"/>
            <w:hideMark/>
          </w:tcPr>
          <w:p w14:paraId="59E864C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78.73%</w:t>
            </w:r>
          </w:p>
        </w:tc>
      </w:tr>
      <w:tr w:rsidR="00693BD9" w:rsidRPr="003051CD" w14:paraId="7D5EA009" w14:textId="77777777" w:rsidTr="00D219CB">
        <w:trPr>
          <w:trHeight w:val="300"/>
        </w:trPr>
        <w:tc>
          <w:tcPr>
            <w:tcW w:w="524" w:type="dxa"/>
            <w:tcBorders>
              <w:top w:val="single" w:sz="4" w:space="0" w:color="FFFFFF"/>
              <w:left w:val="nil"/>
              <w:bottom w:val="single" w:sz="4" w:space="0" w:color="FFFFFF"/>
              <w:right w:val="single" w:sz="4" w:space="0" w:color="FFFFFF"/>
            </w:tcBorders>
            <w:shd w:val="clear" w:color="D9E1F2" w:fill="D9E1F2"/>
          </w:tcPr>
          <w:p w14:paraId="35BB4A0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3264" w:type="dxa"/>
            <w:tcBorders>
              <w:top w:val="single" w:sz="4" w:space="0" w:color="FFFFFF"/>
              <w:left w:val="nil"/>
              <w:bottom w:val="single" w:sz="4" w:space="0" w:color="FFFFFF"/>
              <w:right w:val="single" w:sz="4" w:space="0" w:color="FFFFFF"/>
            </w:tcBorders>
            <w:shd w:val="clear" w:color="D9E1F2" w:fill="D9E1F2"/>
            <w:noWrap/>
            <w:vAlign w:val="bottom"/>
            <w:hideMark/>
          </w:tcPr>
          <w:p w14:paraId="6D14D6F2"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Guastatoya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386F64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Q84,033,913.96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BA2DF1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Q59,969,085.97</w:t>
            </w:r>
          </w:p>
        </w:tc>
        <w:tc>
          <w:tcPr>
            <w:tcW w:w="1200" w:type="dxa"/>
            <w:tcBorders>
              <w:top w:val="single" w:sz="4" w:space="0" w:color="FFFFFF"/>
              <w:left w:val="single" w:sz="4" w:space="0" w:color="FFFFFF"/>
              <w:bottom w:val="single" w:sz="4" w:space="0" w:color="FFFFFF"/>
              <w:right w:val="nil"/>
            </w:tcBorders>
            <w:shd w:val="clear" w:color="D9E1F2" w:fill="B7DB76"/>
            <w:noWrap/>
            <w:vAlign w:val="bottom"/>
            <w:hideMark/>
          </w:tcPr>
          <w:p w14:paraId="3254E19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71.36%</w:t>
            </w:r>
          </w:p>
        </w:tc>
      </w:tr>
      <w:tr w:rsidR="00693BD9" w:rsidRPr="003051CD" w14:paraId="000C8EC0" w14:textId="77777777" w:rsidTr="00D219CB">
        <w:trPr>
          <w:trHeight w:val="300"/>
        </w:trPr>
        <w:tc>
          <w:tcPr>
            <w:tcW w:w="524" w:type="dxa"/>
            <w:tcBorders>
              <w:top w:val="single" w:sz="4" w:space="0" w:color="FFFFFF"/>
              <w:left w:val="nil"/>
              <w:bottom w:val="single" w:sz="4" w:space="0" w:color="FFFFFF"/>
              <w:right w:val="single" w:sz="4" w:space="0" w:color="FFFFFF"/>
            </w:tcBorders>
            <w:shd w:val="clear" w:color="B4C6E7" w:fill="B4C6E7"/>
          </w:tcPr>
          <w:p w14:paraId="322E7F1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3264" w:type="dxa"/>
            <w:tcBorders>
              <w:top w:val="single" w:sz="4" w:space="0" w:color="FFFFFF"/>
              <w:left w:val="nil"/>
              <w:bottom w:val="single" w:sz="4" w:space="0" w:color="FFFFFF"/>
              <w:right w:val="single" w:sz="4" w:space="0" w:color="FFFFFF"/>
            </w:tcBorders>
            <w:shd w:val="clear" w:color="B4C6E7" w:fill="B4C6E7"/>
            <w:noWrap/>
            <w:vAlign w:val="bottom"/>
            <w:hideMark/>
          </w:tcPr>
          <w:p w14:paraId="3CCE7F1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Sansare</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8EE076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Q25,636,523.92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E9F75F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Q17,867,997.55</w:t>
            </w:r>
          </w:p>
        </w:tc>
        <w:tc>
          <w:tcPr>
            <w:tcW w:w="1200" w:type="dxa"/>
            <w:tcBorders>
              <w:top w:val="single" w:sz="4" w:space="0" w:color="FFFFFF"/>
              <w:left w:val="single" w:sz="4" w:space="0" w:color="FFFFFF"/>
              <w:bottom w:val="single" w:sz="4" w:space="0" w:color="FFFFFF"/>
              <w:right w:val="nil"/>
            </w:tcBorders>
            <w:shd w:val="clear" w:color="B4C6E7" w:fill="C2DD78"/>
            <w:noWrap/>
            <w:vAlign w:val="bottom"/>
            <w:hideMark/>
          </w:tcPr>
          <w:p w14:paraId="067CE29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69.70%</w:t>
            </w:r>
          </w:p>
        </w:tc>
      </w:tr>
      <w:tr w:rsidR="00693BD9" w:rsidRPr="003051CD" w14:paraId="569E66C0" w14:textId="77777777" w:rsidTr="00D219CB">
        <w:trPr>
          <w:trHeight w:val="300"/>
        </w:trPr>
        <w:tc>
          <w:tcPr>
            <w:tcW w:w="524" w:type="dxa"/>
            <w:tcBorders>
              <w:top w:val="single" w:sz="4" w:space="0" w:color="FFFFFF"/>
              <w:left w:val="nil"/>
              <w:bottom w:val="single" w:sz="4" w:space="0" w:color="FFFFFF"/>
              <w:right w:val="single" w:sz="4" w:space="0" w:color="FFFFFF"/>
            </w:tcBorders>
            <w:shd w:val="clear" w:color="D9E1F2" w:fill="D9E1F2"/>
          </w:tcPr>
          <w:p w14:paraId="7CCD067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3264" w:type="dxa"/>
            <w:tcBorders>
              <w:top w:val="single" w:sz="4" w:space="0" w:color="FFFFFF"/>
              <w:left w:val="nil"/>
              <w:bottom w:val="single" w:sz="4" w:space="0" w:color="FFFFFF"/>
              <w:right w:val="single" w:sz="4" w:space="0" w:color="FFFFFF"/>
            </w:tcBorders>
            <w:shd w:val="clear" w:color="D9E1F2" w:fill="D9E1F2"/>
            <w:noWrap/>
            <w:vAlign w:val="bottom"/>
            <w:hideMark/>
          </w:tcPr>
          <w:p w14:paraId="607DA4DF"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Sanarate</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2AFBE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Q46,299,765.98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F0F385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Q30,580,686.95</w:t>
            </w:r>
          </w:p>
        </w:tc>
        <w:tc>
          <w:tcPr>
            <w:tcW w:w="1200" w:type="dxa"/>
            <w:tcBorders>
              <w:top w:val="single" w:sz="4" w:space="0" w:color="FFFFFF"/>
              <w:left w:val="single" w:sz="4" w:space="0" w:color="FFFFFF"/>
              <w:bottom w:val="single" w:sz="4" w:space="0" w:color="FFFFFF"/>
              <w:right w:val="nil"/>
            </w:tcBorders>
            <w:shd w:val="clear" w:color="D9E1F2" w:fill="D9E37D"/>
            <w:noWrap/>
            <w:vAlign w:val="bottom"/>
            <w:hideMark/>
          </w:tcPr>
          <w:p w14:paraId="45F156D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66.05%</w:t>
            </w:r>
          </w:p>
        </w:tc>
      </w:tr>
      <w:tr w:rsidR="00693BD9" w:rsidRPr="003051CD" w14:paraId="537B759D" w14:textId="77777777" w:rsidTr="00D219CB">
        <w:trPr>
          <w:trHeight w:val="300"/>
        </w:trPr>
        <w:tc>
          <w:tcPr>
            <w:tcW w:w="524" w:type="dxa"/>
            <w:tcBorders>
              <w:top w:val="single" w:sz="4" w:space="0" w:color="FFFFFF"/>
              <w:left w:val="nil"/>
              <w:bottom w:val="single" w:sz="4" w:space="0" w:color="FFFFFF"/>
              <w:right w:val="single" w:sz="4" w:space="0" w:color="FFFFFF"/>
            </w:tcBorders>
            <w:shd w:val="clear" w:color="B4C6E7" w:fill="B4C6E7"/>
          </w:tcPr>
          <w:p w14:paraId="15D8C75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3264" w:type="dxa"/>
            <w:tcBorders>
              <w:top w:val="single" w:sz="4" w:space="0" w:color="FFFFFF"/>
              <w:left w:val="nil"/>
              <w:bottom w:val="single" w:sz="4" w:space="0" w:color="FFFFFF"/>
              <w:right w:val="single" w:sz="4" w:space="0" w:color="FFFFFF"/>
            </w:tcBorders>
            <w:shd w:val="clear" w:color="B4C6E7" w:fill="B4C6E7"/>
            <w:noWrap/>
            <w:vAlign w:val="bottom"/>
            <w:hideMark/>
          </w:tcPr>
          <w:p w14:paraId="38651F0A"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Agustín Acasaguastlán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A649DD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Q22,726,241.92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1075D4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Q12,252,611.27</w:t>
            </w:r>
          </w:p>
        </w:tc>
        <w:tc>
          <w:tcPr>
            <w:tcW w:w="1200" w:type="dxa"/>
            <w:tcBorders>
              <w:top w:val="single" w:sz="4" w:space="0" w:color="FFFFFF"/>
              <w:left w:val="single" w:sz="4" w:space="0" w:color="FFFFFF"/>
              <w:bottom w:val="single" w:sz="4" w:space="0" w:color="FFFFFF"/>
              <w:right w:val="nil"/>
            </w:tcBorders>
            <w:shd w:val="clear" w:color="B4C6E7" w:fill="FEDD81"/>
            <w:noWrap/>
            <w:vAlign w:val="bottom"/>
            <w:hideMark/>
          </w:tcPr>
          <w:p w14:paraId="32932EE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53.91%</w:t>
            </w:r>
          </w:p>
        </w:tc>
      </w:tr>
      <w:tr w:rsidR="00693BD9" w:rsidRPr="003051CD" w14:paraId="588DF464" w14:textId="77777777" w:rsidTr="00D219CB">
        <w:trPr>
          <w:trHeight w:val="300"/>
        </w:trPr>
        <w:tc>
          <w:tcPr>
            <w:tcW w:w="524" w:type="dxa"/>
            <w:tcBorders>
              <w:top w:val="single" w:sz="4" w:space="0" w:color="FFFFFF"/>
              <w:left w:val="nil"/>
              <w:bottom w:val="single" w:sz="4" w:space="0" w:color="FFFFFF"/>
              <w:right w:val="single" w:sz="4" w:space="0" w:color="FFFFFF"/>
            </w:tcBorders>
            <w:shd w:val="clear" w:color="D9E1F2" w:fill="D9E1F2"/>
          </w:tcPr>
          <w:p w14:paraId="425BE12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3264" w:type="dxa"/>
            <w:tcBorders>
              <w:top w:val="single" w:sz="4" w:space="0" w:color="FFFFFF"/>
              <w:left w:val="nil"/>
              <w:bottom w:val="single" w:sz="4" w:space="0" w:color="FFFFFF"/>
              <w:right w:val="single" w:sz="4" w:space="0" w:color="FFFFFF"/>
            </w:tcBorders>
            <w:shd w:val="clear" w:color="D9E1F2" w:fill="D9E1F2"/>
            <w:noWrap/>
            <w:vAlign w:val="bottom"/>
            <w:hideMark/>
          </w:tcPr>
          <w:p w14:paraId="59D86157"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Cristóbal Acasaguastlán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D1B22D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Q21,704,554.61</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51482F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Q7,962,917.41</w:t>
            </w:r>
          </w:p>
        </w:tc>
        <w:tc>
          <w:tcPr>
            <w:tcW w:w="1200" w:type="dxa"/>
            <w:tcBorders>
              <w:top w:val="single" w:sz="4" w:space="0" w:color="FFFFFF"/>
              <w:left w:val="single" w:sz="4" w:space="0" w:color="FFFFFF"/>
              <w:bottom w:val="single" w:sz="4" w:space="0" w:color="FFFFFF"/>
              <w:right w:val="nil"/>
            </w:tcBorders>
            <w:shd w:val="clear" w:color="D9E1F2" w:fill="FCB87A"/>
            <w:noWrap/>
            <w:vAlign w:val="bottom"/>
            <w:hideMark/>
          </w:tcPr>
          <w:p w14:paraId="2EF06CE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36.69%</w:t>
            </w:r>
          </w:p>
        </w:tc>
      </w:tr>
      <w:tr w:rsidR="00693BD9" w:rsidRPr="003051CD" w14:paraId="2F21FF7D" w14:textId="77777777" w:rsidTr="00D219CB">
        <w:trPr>
          <w:trHeight w:val="300"/>
        </w:trPr>
        <w:tc>
          <w:tcPr>
            <w:tcW w:w="524" w:type="dxa"/>
            <w:tcBorders>
              <w:top w:val="single" w:sz="4" w:space="0" w:color="FFFFFF"/>
              <w:left w:val="nil"/>
              <w:bottom w:val="nil"/>
              <w:right w:val="single" w:sz="4" w:space="0" w:color="FFFFFF"/>
            </w:tcBorders>
            <w:shd w:val="clear" w:color="B4C6E7" w:fill="B4C6E7"/>
          </w:tcPr>
          <w:p w14:paraId="58E5757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3264" w:type="dxa"/>
            <w:tcBorders>
              <w:top w:val="single" w:sz="4" w:space="0" w:color="FFFFFF"/>
              <w:left w:val="nil"/>
              <w:bottom w:val="nil"/>
              <w:right w:val="single" w:sz="4" w:space="0" w:color="FFFFFF"/>
            </w:tcBorders>
            <w:shd w:val="clear" w:color="B4C6E7" w:fill="B4C6E7"/>
            <w:noWrap/>
            <w:vAlign w:val="bottom"/>
            <w:hideMark/>
          </w:tcPr>
          <w:p w14:paraId="75D77D70"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Jícaro</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66F4288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3FC379D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4925184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46533D1F" w14:textId="4FEA0FAF"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025C9885"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553DA05" w14:textId="02E996D3"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64BBBE5" w14:textId="121779BC" w:rsidR="00F407CB"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9A5EAA7" w14:textId="5D27DBD6"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D299268" w14:textId="77777777" w:rsidR="009F235F" w:rsidRPr="003051CD"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CDFB208" w14:textId="55D2804E" w:rsidR="00693BD9" w:rsidRPr="00C75033" w:rsidRDefault="00693BD9"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C75033">
        <w:rPr>
          <w:rFonts w:ascii="Helvetica" w:eastAsia="Times New Roman" w:hAnsi="Helvetica" w:cs="Helvetica"/>
          <w:b/>
          <w:color w:val="002060"/>
          <w:sz w:val="28"/>
          <w:szCs w:val="28"/>
          <w:lang w:val="es-ES"/>
        </w:rPr>
        <w:t>El Petén</w:t>
      </w:r>
    </w:p>
    <w:p w14:paraId="5CBDC0EF" w14:textId="77777777" w:rsidR="00693BD9" w:rsidRPr="003051CD" w:rsidRDefault="00693BD9" w:rsidP="00693BD9">
      <w:pPr>
        <w:autoSpaceDE w:val="0"/>
        <w:autoSpaceDN w:val="0"/>
        <w:adjustRightInd w:val="0"/>
        <w:spacing w:after="0" w:line="240" w:lineRule="auto"/>
        <w:ind w:left="360"/>
        <w:contextualSpacing/>
        <w:jc w:val="both"/>
        <w:rPr>
          <w:rFonts w:ascii="Helvetica" w:eastAsia="Times New Roman" w:hAnsi="Helvetica" w:cs="Helvetica"/>
          <w:b/>
          <w:sz w:val="24"/>
          <w:szCs w:val="24"/>
          <w:lang w:val="es-ES"/>
        </w:rPr>
      </w:pPr>
    </w:p>
    <w:p w14:paraId="769F7D8B" w14:textId="558D7ADB"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59.56%. Los municipios con mayor ejecución son: San Andrés 95.13%, Flores 81.72% y San Benito 78.29%. Cabe mencionar que Santa Ana y Dolores, no presentaron el tercer informe cuatrimestral.</w:t>
      </w:r>
      <w:r w:rsidR="00F407CB">
        <w:rPr>
          <w:rFonts w:ascii="Helvetica" w:eastAsia="Times New Roman" w:hAnsi="Helvetica" w:cs="Helvetica"/>
          <w:sz w:val="24"/>
          <w:szCs w:val="24"/>
          <w:lang w:val="es-ES"/>
        </w:rPr>
        <w:t xml:space="preserve"> Ver tabla 17.</w:t>
      </w:r>
    </w:p>
    <w:p w14:paraId="5FA02CD7" w14:textId="32743695"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EE50AF3" w14:textId="332CF34B" w:rsidR="00693BD9" w:rsidRPr="00016865" w:rsidRDefault="00F407CB" w:rsidP="00016865">
      <w:pPr>
        <w:pStyle w:val="ttulosgrficas"/>
        <w:rPr>
          <w:rFonts w:eastAsia="Times New Roman"/>
          <w:color w:val="4472C4" w:themeColor="accent1"/>
          <w:lang w:val="es-ES"/>
        </w:rPr>
      </w:pPr>
      <w:bookmarkStart w:id="50" w:name="_Toc67589130"/>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17</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Petén</w:t>
      </w:r>
      <w:bookmarkEnd w:id="50"/>
    </w:p>
    <w:p w14:paraId="7688E0A9" w14:textId="77777777" w:rsidR="00BC2B6E" w:rsidRPr="003051CD" w:rsidRDefault="00BC2B6E" w:rsidP="00BC2B6E">
      <w:pPr>
        <w:pStyle w:val="ttulosgrficas"/>
        <w:spacing w:line="120" w:lineRule="auto"/>
        <w:rPr>
          <w:lang w:val="es-ES"/>
        </w:rPr>
      </w:pPr>
    </w:p>
    <w:tbl>
      <w:tblPr>
        <w:tblW w:w="8482" w:type="dxa"/>
        <w:tblInd w:w="496" w:type="dxa"/>
        <w:tblCellMar>
          <w:left w:w="70" w:type="dxa"/>
          <w:right w:w="70" w:type="dxa"/>
        </w:tblCellMar>
        <w:tblLook w:val="04A0" w:firstRow="1" w:lastRow="0" w:firstColumn="1" w:lastColumn="0" w:noHBand="0" w:noVBand="1"/>
      </w:tblPr>
      <w:tblGrid>
        <w:gridCol w:w="582"/>
        <w:gridCol w:w="2636"/>
        <w:gridCol w:w="1995"/>
        <w:gridCol w:w="1995"/>
        <w:gridCol w:w="1274"/>
      </w:tblGrid>
      <w:tr w:rsidR="00693BD9" w:rsidRPr="003051CD" w14:paraId="2701FEB4" w14:textId="77777777" w:rsidTr="00BC2B6E">
        <w:trPr>
          <w:trHeight w:val="315"/>
        </w:trPr>
        <w:tc>
          <w:tcPr>
            <w:tcW w:w="656" w:type="dxa"/>
            <w:tcBorders>
              <w:top w:val="nil"/>
              <w:left w:val="nil"/>
              <w:bottom w:val="single" w:sz="12" w:space="0" w:color="FFFFFF"/>
              <w:right w:val="single" w:sz="4" w:space="0" w:color="FFFFFF"/>
            </w:tcBorders>
            <w:shd w:val="clear" w:color="4472C4" w:fill="4472C4"/>
            <w:vAlign w:val="center"/>
          </w:tcPr>
          <w:p w14:paraId="53E1D3C2" w14:textId="02854ECB"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636" w:type="dxa"/>
            <w:tcBorders>
              <w:top w:val="nil"/>
              <w:left w:val="nil"/>
              <w:bottom w:val="single" w:sz="12" w:space="0" w:color="FFFFFF"/>
              <w:right w:val="single" w:sz="4" w:space="0" w:color="FFFFFF"/>
            </w:tcBorders>
            <w:shd w:val="clear" w:color="4472C4" w:fill="4472C4"/>
            <w:noWrap/>
            <w:vAlign w:val="center"/>
            <w:hideMark/>
          </w:tcPr>
          <w:p w14:paraId="19859E42"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36150938"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600F6882"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4A2921C9"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363030BD" w14:textId="77777777" w:rsidTr="00D219CB">
        <w:trPr>
          <w:trHeight w:val="315"/>
        </w:trPr>
        <w:tc>
          <w:tcPr>
            <w:tcW w:w="656" w:type="dxa"/>
            <w:tcBorders>
              <w:top w:val="single" w:sz="4" w:space="0" w:color="FFFFFF"/>
              <w:left w:val="nil"/>
              <w:bottom w:val="single" w:sz="4" w:space="0" w:color="FFFFFF"/>
              <w:right w:val="single" w:sz="4" w:space="0" w:color="FFFFFF"/>
            </w:tcBorders>
            <w:shd w:val="clear" w:color="auto" w:fill="4F81BD"/>
          </w:tcPr>
          <w:p w14:paraId="1294FB5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p>
        </w:tc>
        <w:tc>
          <w:tcPr>
            <w:tcW w:w="2636" w:type="dxa"/>
            <w:tcBorders>
              <w:top w:val="single" w:sz="4" w:space="0" w:color="FFFFFF"/>
              <w:left w:val="nil"/>
              <w:bottom w:val="single" w:sz="4" w:space="0" w:color="FFFFFF"/>
              <w:right w:val="single" w:sz="4" w:space="0" w:color="FFFFFF"/>
            </w:tcBorders>
            <w:shd w:val="clear" w:color="auto" w:fill="4F81BD"/>
            <w:noWrap/>
            <w:vAlign w:val="bottom"/>
            <w:hideMark/>
          </w:tcPr>
          <w:p w14:paraId="787AD1B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1ACBE0D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Q526,309,566.50</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1A7CD10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Q313,445,182.22</w:t>
            </w:r>
          </w:p>
        </w:tc>
        <w:tc>
          <w:tcPr>
            <w:tcW w:w="1200" w:type="dxa"/>
            <w:tcBorders>
              <w:top w:val="single" w:sz="4" w:space="0" w:color="FFFFFF"/>
              <w:left w:val="single" w:sz="4" w:space="0" w:color="FFFFFF"/>
              <w:bottom w:val="single" w:sz="4" w:space="0" w:color="FFFFFF"/>
              <w:right w:val="nil"/>
            </w:tcBorders>
            <w:shd w:val="clear" w:color="B4C6E7" w:fill="FEE883"/>
            <w:noWrap/>
            <w:vAlign w:val="bottom"/>
            <w:hideMark/>
          </w:tcPr>
          <w:p w14:paraId="416AB86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59.56%</w:t>
            </w:r>
          </w:p>
        </w:tc>
      </w:tr>
      <w:tr w:rsidR="00693BD9" w:rsidRPr="003051CD" w14:paraId="757F2053"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D9E1F2" w:fill="D9E1F2"/>
          </w:tcPr>
          <w:p w14:paraId="71CA91C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2636" w:type="dxa"/>
            <w:tcBorders>
              <w:top w:val="single" w:sz="4" w:space="0" w:color="FFFFFF"/>
              <w:left w:val="nil"/>
              <w:bottom w:val="single" w:sz="4" w:space="0" w:color="FFFFFF"/>
              <w:right w:val="single" w:sz="4" w:space="0" w:color="FFFFFF"/>
            </w:tcBorders>
            <w:shd w:val="clear" w:color="D9E1F2" w:fill="D9E1F2"/>
            <w:noWrap/>
            <w:vAlign w:val="bottom"/>
            <w:hideMark/>
          </w:tcPr>
          <w:p w14:paraId="03479EAB"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Andrés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D9EC715"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Q15,316,234.87</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F485CF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Q14,569,889.23</w:t>
            </w:r>
          </w:p>
        </w:tc>
        <w:tc>
          <w:tcPr>
            <w:tcW w:w="1200" w:type="dxa"/>
            <w:tcBorders>
              <w:top w:val="single" w:sz="4" w:space="0" w:color="FFFFFF"/>
              <w:left w:val="single" w:sz="4" w:space="0" w:color="FFFFFF"/>
              <w:bottom w:val="single" w:sz="4" w:space="0" w:color="FFFFFF"/>
              <w:right w:val="nil"/>
            </w:tcBorders>
            <w:shd w:val="clear" w:color="D9E1F2" w:fill="00B050"/>
            <w:noWrap/>
            <w:vAlign w:val="bottom"/>
            <w:hideMark/>
          </w:tcPr>
          <w:p w14:paraId="1623C66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95.13%</w:t>
            </w:r>
          </w:p>
        </w:tc>
      </w:tr>
      <w:tr w:rsidR="00693BD9" w:rsidRPr="003051CD" w14:paraId="30A15E6E"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B4C6E7" w:fill="B4C6E7"/>
          </w:tcPr>
          <w:p w14:paraId="2908183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2636" w:type="dxa"/>
            <w:tcBorders>
              <w:top w:val="single" w:sz="4" w:space="0" w:color="FFFFFF"/>
              <w:left w:val="nil"/>
              <w:bottom w:val="single" w:sz="4" w:space="0" w:color="FFFFFF"/>
              <w:right w:val="single" w:sz="4" w:space="0" w:color="FFFFFF"/>
            </w:tcBorders>
            <w:shd w:val="clear" w:color="B4C6E7" w:fill="B4C6E7"/>
            <w:noWrap/>
            <w:vAlign w:val="bottom"/>
            <w:hideMark/>
          </w:tcPr>
          <w:p w14:paraId="36961727"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Flores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70301D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Q57,885,011.24</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96A8AA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Q47,302,247.47</w:t>
            </w:r>
          </w:p>
        </w:tc>
        <w:tc>
          <w:tcPr>
            <w:tcW w:w="1200" w:type="dxa"/>
            <w:tcBorders>
              <w:top w:val="single" w:sz="4" w:space="0" w:color="FFFFFF"/>
              <w:left w:val="single" w:sz="4" w:space="0" w:color="FFFFFF"/>
              <w:bottom w:val="single" w:sz="4" w:space="0" w:color="FFFFFF"/>
              <w:right w:val="nil"/>
            </w:tcBorders>
            <w:shd w:val="clear" w:color="B4C6E7" w:fill="63C765"/>
            <w:noWrap/>
            <w:vAlign w:val="bottom"/>
            <w:hideMark/>
          </w:tcPr>
          <w:p w14:paraId="57569BB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81.72%</w:t>
            </w:r>
          </w:p>
        </w:tc>
      </w:tr>
      <w:tr w:rsidR="00693BD9" w:rsidRPr="003051CD" w14:paraId="3DFCDBF7"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D9E1F2" w:fill="D9E1F2"/>
          </w:tcPr>
          <w:p w14:paraId="39B0615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2636" w:type="dxa"/>
            <w:tcBorders>
              <w:top w:val="single" w:sz="4" w:space="0" w:color="FFFFFF"/>
              <w:left w:val="nil"/>
              <w:bottom w:val="single" w:sz="4" w:space="0" w:color="FFFFFF"/>
              <w:right w:val="single" w:sz="4" w:space="0" w:color="FFFFFF"/>
            </w:tcBorders>
            <w:shd w:val="clear" w:color="D9E1F2" w:fill="D9E1F2"/>
            <w:noWrap/>
            <w:vAlign w:val="bottom"/>
            <w:hideMark/>
          </w:tcPr>
          <w:p w14:paraId="3E9386C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Benito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CA7166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Q57,728,846.79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114370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Q45,197,393.82</w:t>
            </w:r>
          </w:p>
        </w:tc>
        <w:tc>
          <w:tcPr>
            <w:tcW w:w="1200" w:type="dxa"/>
            <w:tcBorders>
              <w:top w:val="single" w:sz="4" w:space="0" w:color="FFFFFF"/>
              <w:left w:val="single" w:sz="4" w:space="0" w:color="FFFFFF"/>
              <w:bottom w:val="single" w:sz="4" w:space="0" w:color="FFFFFF"/>
              <w:right w:val="nil"/>
            </w:tcBorders>
            <w:shd w:val="clear" w:color="D9E1F2" w:fill="7DCD6A"/>
            <w:noWrap/>
            <w:vAlign w:val="bottom"/>
            <w:hideMark/>
          </w:tcPr>
          <w:p w14:paraId="2F8FE2C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78.29%</w:t>
            </w:r>
          </w:p>
        </w:tc>
      </w:tr>
      <w:tr w:rsidR="00693BD9" w:rsidRPr="003051CD" w14:paraId="129E3E4C"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B4C6E7" w:fill="B4C6E7"/>
          </w:tcPr>
          <w:p w14:paraId="288F787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2636" w:type="dxa"/>
            <w:tcBorders>
              <w:top w:val="single" w:sz="4" w:space="0" w:color="FFFFFF"/>
              <w:left w:val="nil"/>
              <w:bottom w:val="single" w:sz="4" w:space="0" w:color="FFFFFF"/>
              <w:right w:val="single" w:sz="4" w:space="0" w:color="FFFFFF"/>
            </w:tcBorders>
            <w:shd w:val="clear" w:color="B4C6E7" w:fill="B4C6E7"/>
            <w:noWrap/>
            <w:vAlign w:val="bottom"/>
            <w:hideMark/>
          </w:tcPr>
          <w:p w14:paraId="230DFA26"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Chal</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A425A1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Q33,703,048.94</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E883AB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Q24,588,423.48</w:t>
            </w:r>
          </w:p>
        </w:tc>
        <w:tc>
          <w:tcPr>
            <w:tcW w:w="1200" w:type="dxa"/>
            <w:tcBorders>
              <w:top w:val="single" w:sz="4" w:space="0" w:color="FFFFFF"/>
              <w:left w:val="single" w:sz="4" w:space="0" w:color="FFFFFF"/>
              <w:bottom w:val="single" w:sz="4" w:space="0" w:color="FFFFFF"/>
              <w:right w:val="nil"/>
            </w:tcBorders>
            <w:shd w:val="clear" w:color="B4C6E7" w:fill="A4D672"/>
            <w:noWrap/>
            <w:vAlign w:val="bottom"/>
            <w:hideMark/>
          </w:tcPr>
          <w:p w14:paraId="1B40739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72.96%</w:t>
            </w:r>
          </w:p>
        </w:tc>
      </w:tr>
      <w:tr w:rsidR="00693BD9" w:rsidRPr="003051CD" w14:paraId="619C92E4"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D9E1F2" w:fill="D9E1F2"/>
          </w:tcPr>
          <w:p w14:paraId="5BC89B1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2636" w:type="dxa"/>
            <w:tcBorders>
              <w:top w:val="single" w:sz="4" w:space="0" w:color="FFFFFF"/>
              <w:left w:val="nil"/>
              <w:bottom w:val="single" w:sz="4" w:space="0" w:color="FFFFFF"/>
              <w:right w:val="single" w:sz="4" w:space="0" w:color="FFFFFF"/>
            </w:tcBorders>
            <w:shd w:val="clear" w:color="D9E1F2" w:fill="D9E1F2"/>
            <w:noWrap/>
            <w:vAlign w:val="bottom"/>
            <w:hideMark/>
          </w:tcPr>
          <w:p w14:paraId="39F18A28" w14:textId="7488561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Libertad, Pet</w:t>
            </w:r>
            <w:r w:rsidR="009F235F">
              <w:rPr>
                <w:rFonts w:ascii="Helvetica" w:eastAsia="Times New Roman" w:hAnsi="Helvetica" w:cs="Helvetica"/>
                <w:sz w:val="24"/>
                <w:szCs w:val="24"/>
                <w:lang w:val="es-ES"/>
              </w:rPr>
              <w:t>é</w:t>
            </w:r>
            <w:r w:rsidRPr="003051CD">
              <w:rPr>
                <w:rFonts w:ascii="Helvetica" w:eastAsia="Times New Roman" w:hAnsi="Helvetica" w:cs="Helvetica"/>
                <w:sz w:val="24"/>
                <w:szCs w:val="24"/>
                <w:lang w:val="es-ES"/>
              </w:rPr>
              <w:t>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24DF61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Q49,072,938.00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E7078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Q32,556,022.37</w:t>
            </w:r>
          </w:p>
        </w:tc>
        <w:tc>
          <w:tcPr>
            <w:tcW w:w="1200" w:type="dxa"/>
            <w:tcBorders>
              <w:top w:val="single" w:sz="4" w:space="0" w:color="FFFFFF"/>
              <w:left w:val="single" w:sz="4" w:space="0" w:color="FFFFFF"/>
              <w:bottom w:val="single" w:sz="4" w:space="0" w:color="FFFFFF"/>
              <w:right w:val="nil"/>
            </w:tcBorders>
            <w:shd w:val="clear" w:color="D9E1F2" w:fill="D5E27C"/>
            <w:noWrap/>
            <w:vAlign w:val="bottom"/>
            <w:hideMark/>
          </w:tcPr>
          <w:p w14:paraId="5119B0B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66.34%</w:t>
            </w:r>
          </w:p>
        </w:tc>
      </w:tr>
      <w:tr w:rsidR="00693BD9" w:rsidRPr="003051CD" w14:paraId="1E97F45A"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B4C6E7" w:fill="B4C6E7"/>
          </w:tcPr>
          <w:p w14:paraId="4EBC178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2636" w:type="dxa"/>
            <w:tcBorders>
              <w:top w:val="single" w:sz="4" w:space="0" w:color="FFFFFF"/>
              <w:left w:val="nil"/>
              <w:bottom w:val="single" w:sz="4" w:space="0" w:color="FFFFFF"/>
              <w:right w:val="single" w:sz="4" w:space="0" w:color="FFFFFF"/>
            </w:tcBorders>
            <w:shd w:val="clear" w:color="B4C6E7" w:fill="B4C6E7"/>
            <w:noWrap/>
            <w:vAlign w:val="bottom"/>
            <w:hideMark/>
          </w:tcPr>
          <w:p w14:paraId="20DEB889"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Sayaxché</w:t>
            </w:r>
            <w:proofErr w:type="spellEnd"/>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B5A1F3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Q60,473,063.96</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B6D14D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Q37,516,076.90</w:t>
            </w:r>
          </w:p>
        </w:tc>
        <w:tc>
          <w:tcPr>
            <w:tcW w:w="1200" w:type="dxa"/>
            <w:tcBorders>
              <w:top w:val="single" w:sz="4" w:space="0" w:color="FFFFFF"/>
              <w:left w:val="single" w:sz="4" w:space="0" w:color="FFFFFF"/>
              <w:bottom w:val="single" w:sz="4" w:space="0" w:color="FFFFFF"/>
              <w:right w:val="nil"/>
            </w:tcBorders>
            <w:shd w:val="clear" w:color="B4C6E7" w:fill="F5E982"/>
            <w:noWrap/>
            <w:vAlign w:val="bottom"/>
            <w:hideMark/>
          </w:tcPr>
          <w:p w14:paraId="52C65AD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62.04%</w:t>
            </w:r>
          </w:p>
        </w:tc>
      </w:tr>
      <w:tr w:rsidR="00693BD9" w:rsidRPr="003051CD" w14:paraId="32F0AEA9"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D9E1F2" w:fill="D9E1F2"/>
          </w:tcPr>
          <w:p w14:paraId="4685D90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2636" w:type="dxa"/>
            <w:tcBorders>
              <w:top w:val="single" w:sz="4" w:space="0" w:color="FFFFFF"/>
              <w:left w:val="nil"/>
              <w:bottom w:val="single" w:sz="4" w:space="0" w:color="FFFFFF"/>
              <w:right w:val="single" w:sz="4" w:space="0" w:color="FFFFFF"/>
            </w:tcBorders>
            <w:shd w:val="clear" w:color="D9E1F2" w:fill="D9E1F2"/>
            <w:noWrap/>
            <w:vAlign w:val="bottom"/>
            <w:hideMark/>
          </w:tcPr>
          <w:p w14:paraId="17E44541"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Francisco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B41825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Q25,641,109.00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B311DA5"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Q14,248,819.09</w:t>
            </w:r>
          </w:p>
        </w:tc>
        <w:tc>
          <w:tcPr>
            <w:tcW w:w="1200" w:type="dxa"/>
            <w:tcBorders>
              <w:top w:val="single" w:sz="4" w:space="0" w:color="FFFFFF"/>
              <w:left w:val="single" w:sz="4" w:space="0" w:color="FFFFFF"/>
              <w:bottom w:val="single" w:sz="4" w:space="0" w:color="FFFFFF"/>
              <w:right w:val="nil"/>
            </w:tcBorders>
            <w:shd w:val="clear" w:color="D9E1F2" w:fill="FEE081"/>
            <w:noWrap/>
            <w:vAlign w:val="bottom"/>
            <w:hideMark/>
          </w:tcPr>
          <w:p w14:paraId="764AE99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55.57%</w:t>
            </w:r>
          </w:p>
        </w:tc>
      </w:tr>
      <w:tr w:rsidR="00693BD9" w:rsidRPr="003051CD" w14:paraId="2D8F2A3E"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B4C6E7" w:fill="B4C6E7"/>
          </w:tcPr>
          <w:p w14:paraId="56694AA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2636" w:type="dxa"/>
            <w:tcBorders>
              <w:top w:val="single" w:sz="4" w:space="0" w:color="FFFFFF"/>
              <w:left w:val="nil"/>
              <w:bottom w:val="single" w:sz="4" w:space="0" w:color="FFFFFF"/>
              <w:right w:val="single" w:sz="4" w:space="0" w:color="FFFFFF"/>
            </w:tcBorders>
            <w:shd w:val="clear" w:color="B4C6E7" w:fill="B4C6E7"/>
            <w:noWrap/>
            <w:vAlign w:val="bottom"/>
            <w:hideMark/>
          </w:tcPr>
          <w:p w14:paraId="2061F0E4"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Peten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86316D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Q19,188,236.19</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C70494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Q10,227,101.67</w:t>
            </w:r>
          </w:p>
        </w:tc>
        <w:tc>
          <w:tcPr>
            <w:tcW w:w="1200" w:type="dxa"/>
            <w:tcBorders>
              <w:top w:val="single" w:sz="4" w:space="0" w:color="FFFFFF"/>
              <w:left w:val="single" w:sz="4" w:space="0" w:color="FFFFFF"/>
              <w:bottom w:val="single" w:sz="4" w:space="0" w:color="FFFFFF"/>
              <w:right w:val="nil"/>
            </w:tcBorders>
            <w:shd w:val="clear" w:color="B4C6E7" w:fill="FEDB81"/>
            <w:noWrap/>
            <w:vAlign w:val="bottom"/>
            <w:hideMark/>
          </w:tcPr>
          <w:p w14:paraId="3AB785A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53.30%</w:t>
            </w:r>
          </w:p>
        </w:tc>
      </w:tr>
      <w:tr w:rsidR="00693BD9" w:rsidRPr="003051CD" w14:paraId="24B5AEF6"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D9E1F2" w:fill="D9E1F2"/>
          </w:tcPr>
          <w:p w14:paraId="6854467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w:t>
            </w:r>
          </w:p>
        </w:tc>
        <w:tc>
          <w:tcPr>
            <w:tcW w:w="2636" w:type="dxa"/>
            <w:tcBorders>
              <w:top w:val="single" w:sz="4" w:space="0" w:color="FFFFFF"/>
              <w:left w:val="nil"/>
              <w:bottom w:val="single" w:sz="4" w:space="0" w:color="FFFFFF"/>
              <w:right w:val="single" w:sz="4" w:space="0" w:color="FFFFFF"/>
            </w:tcBorders>
            <w:shd w:val="clear" w:color="D9E1F2" w:fill="D9E1F2"/>
            <w:noWrap/>
            <w:vAlign w:val="bottom"/>
            <w:hideMark/>
          </w:tcPr>
          <w:p w14:paraId="041F468E"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Las Cruces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EE25F7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Q45,791,608.05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D756D0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Q23,407,301.50</w:t>
            </w:r>
          </w:p>
        </w:tc>
        <w:tc>
          <w:tcPr>
            <w:tcW w:w="1200" w:type="dxa"/>
            <w:tcBorders>
              <w:top w:val="single" w:sz="4" w:space="0" w:color="FFFFFF"/>
              <w:left w:val="single" w:sz="4" w:space="0" w:color="FFFFFF"/>
              <w:bottom w:val="single" w:sz="4" w:space="0" w:color="FFFFFF"/>
              <w:right w:val="nil"/>
            </w:tcBorders>
            <w:shd w:val="clear" w:color="D9E1F2" w:fill="FDD680"/>
            <w:noWrap/>
            <w:vAlign w:val="bottom"/>
            <w:hideMark/>
          </w:tcPr>
          <w:p w14:paraId="6CE4E86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51.12%</w:t>
            </w:r>
          </w:p>
        </w:tc>
      </w:tr>
      <w:tr w:rsidR="00693BD9" w:rsidRPr="003051CD" w14:paraId="42D6E4B6"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B4C6E7" w:fill="B4C6E7"/>
          </w:tcPr>
          <w:p w14:paraId="6905D58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10</w:t>
            </w:r>
          </w:p>
        </w:tc>
        <w:tc>
          <w:tcPr>
            <w:tcW w:w="2636" w:type="dxa"/>
            <w:tcBorders>
              <w:top w:val="single" w:sz="4" w:space="0" w:color="FFFFFF"/>
              <w:left w:val="nil"/>
              <w:bottom w:val="single" w:sz="4" w:space="0" w:color="FFFFFF"/>
              <w:right w:val="single" w:sz="4" w:space="0" w:color="FFFFFF"/>
            </w:tcBorders>
            <w:shd w:val="clear" w:color="B4C6E7" w:fill="B4C6E7"/>
            <w:noWrap/>
            <w:vAlign w:val="bottom"/>
            <w:hideMark/>
          </w:tcPr>
          <w:p w14:paraId="1FDD84C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Melchor de Mencos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03C370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Q47,927,036.52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118458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Q21,848,811.75</w:t>
            </w:r>
          </w:p>
        </w:tc>
        <w:tc>
          <w:tcPr>
            <w:tcW w:w="1200" w:type="dxa"/>
            <w:tcBorders>
              <w:top w:val="single" w:sz="4" w:space="0" w:color="FFFFFF"/>
              <w:left w:val="single" w:sz="4" w:space="0" w:color="FFFFFF"/>
              <w:bottom w:val="single" w:sz="4" w:space="0" w:color="FFFFFF"/>
              <w:right w:val="nil"/>
            </w:tcBorders>
            <w:shd w:val="clear" w:color="B4C6E7" w:fill="FDCA7D"/>
            <w:noWrap/>
            <w:vAlign w:val="bottom"/>
            <w:hideMark/>
          </w:tcPr>
          <w:p w14:paraId="4B31715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45.59%</w:t>
            </w:r>
          </w:p>
        </w:tc>
      </w:tr>
      <w:tr w:rsidR="00693BD9" w:rsidRPr="003051CD" w14:paraId="258D1AE9"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D9E1F2" w:fill="D9E1F2"/>
          </w:tcPr>
          <w:p w14:paraId="4910F17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11</w:t>
            </w:r>
          </w:p>
        </w:tc>
        <w:tc>
          <w:tcPr>
            <w:tcW w:w="2636" w:type="dxa"/>
            <w:tcBorders>
              <w:top w:val="single" w:sz="4" w:space="0" w:color="FFFFFF"/>
              <w:left w:val="nil"/>
              <w:bottom w:val="single" w:sz="4" w:space="0" w:color="FFFFFF"/>
              <w:right w:val="single" w:sz="4" w:space="0" w:color="FFFFFF"/>
            </w:tcBorders>
            <w:shd w:val="clear" w:color="D9E1F2" w:fill="D9E1F2"/>
            <w:noWrap/>
            <w:vAlign w:val="bottom"/>
            <w:hideMark/>
          </w:tcPr>
          <w:p w14:paraId="2A0CF3F2"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Luis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DF752D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Q54,277,400.80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43210B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Q22,157,654.61</w:t>
            </w:r>
          </w:p>
        </w:tc>
        <w:tc>
          <w:tcPr>
            <w:tcW w:w="1200" w:type="dxa"/>
            <w:tcBorders>
              <w:top w:val="single" w:sz="4" w:space="0" w:color="FFFFFF"/>
              <w:left w:val="single" w:sz="4" w:space="0" w:color="FFFFFF"/>
              <w:bottom w:val="single" w:sz="4" w:space="0" w:color="FFFFFF"/>
              <w:right w:val="nil"/>
            </w:tcBorders>
            <w:shd w:val="clear" w:color="D9E1F2" w:fill="FCC07B"/>
            <w:noWrap/>
            <w:vAlign w:val="bottom"/>
            <w:hideMark/>
          </w:tcPr>
          <w:p w14:paraId="2FB7498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40.82%</w:t>
            </w:r>
          </w:p>
        </w:tc>
      </w:tr>
      <w:tr w:rsidR="00693BD9" w:rsidRPr="003051CD" w14:paraId="0794394B"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B4C6E7" w:fill="B4C6E7"/>
          </w:tcPr>
          <w:p w14:paraId="314E2613"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12</w:t>
            </w:r>
          </w:p>
        </w:tc>
        <w:tc>
          <w:tcPr>
            <w:tcW w:w="2636" w:type="dxa"/>
            <w:tcBorders>
              <w:top w:val="single" w:sz="4" w:space="0" w:color="FFFFFF"/>
              <w:left w:val="nil"/>
              <w:bottom w:val="single" w:sz="4" w:space="0" w:color="FFFFFF"/>
              <w:right w:val="single" w:sz="4" w:space="0" w:color="FFFFFF"/>
            </w:tcBorders>
            <w:shd w:val="clear" w:color="B4C6E7" w:fill="B4C6E7"/>
            <w:noWrap/>
            <w:vAlign w:val="bottom"/>
            <w:hideMark/>
          </w:tcPr>
          <w:p w14:paraId="1E17810B"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Poptún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6BE4A2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Q59,305,032.14</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D308F9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Q19,825,440.33</w:t>
            </w:r>
          </w:p>
        </w:tc>
        <w:tc>
          <w:tcPr>
            <w:tcW w:w="1200" w:type="dxa"/>
            <w:tcBorders>
              <w:top w:val="single" w:sz="4" w:space="0" w:color="FFFFFF"/>
              <w:left w:val="single" w:sz="4" w:space="0" w:color="FFFFFF"/>
              <w:bottom w:val="single" w:sz="4" w:space="0" w:color="FFFFFF"/>
              <w:right w:val="nil"/>
            </w:tcBorders>
            <w:shd w:val="clear" w:color="B4C6E7" w:fill="FBB078"/>
            <w:noWrap/>
            <w:vAlign w:val="bottom"/>
            <w:hideMark/>
          </w:tcPr>
          <w:p w14:paraId="5B02701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33.43%</w:t>
            </w:r>
          </w:p>
        </w:tc>
      </w:tr>
      <w:tr w:rsidR="00693BD9" w:rsidRPr="003051CD" w14:paraId="6318D6CA" w14:textId="77777777" w:rsidTr="00D219CB">
        <w:trPr>
          <w:trHeight w:val="300"/>
        </w:trPr>
        <w:tc>
          <w:tcPr>
            <w:tcW w:w="656" w:type="dxa"/>
            <w:tcBorders>
              <w:top w:val="single" w:sz="4" w:space="0" w:color="FFFFFF"/>
              <w:left w:val="nil"/>
              <w:bottom w:val="single" w:sz="4" w:space="0" w:color="FFFFFF"/>
              <w:right w:val="single" w:sz="4" w:space="0" w:color="FFFFFF"/>
            </w:tcBorders>
            <w:shd w:val="clear" w:color="D9E1F2" w:fill="D9E1F2"/>
          </w:tcPr>
          <w:p w14:paraId="5C66B88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13</w:t>
            </w:r>
          </w:p>
        </w:tc>
        <w:tc>
          <w:tcPr>
            <w:tcW w:w="2636" w:type="dxa"/>
            <w:tcBorders>
              <w:top w:val="single" w:sz="4" w:space="0" w:color="FFFFFF"/>
              <w:left w:val="nil"/>
              <w:bottom w:val="single" w:sz="4" w:space="0" w:color="FFFFFF"/>
              <w:right w:val="single" w:sz="4" w:space="0" w:color="FFFFFF"/>
            </w:tcBorders>
            <w:shd w:val="clear" w:color="D9E1F2" w:fill="D9E1F2"/>
            <w:noWrap/>
            <w:vAlign w:val="bottom"/>
            <w:hideMark/>
          </w:tcPr>
          <w:p w14:paraId="6BC1FB6A"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Ana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BD712B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4F4A31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4822335A"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693BD9" w:rsidRPr="003051CD" w14:paraId="0C216CBB" w14:textId="77777777" w:rsidTr="00D219CB">
        <w:trPr>
          <w:trHeight w:val="300"/>
        </w:trPr>
        <w:tc>
          <w:tcPr>
            <w:tcW w:w="656" w:type="dxa"/>
            <w:tcBorders>
              <w:top w:val="single" w:sz="4" w:space="0" w:color="FFFFFF"/>
              <w:left w:val="nil"/>
              <w:bottom w:val="nil"/>
              <w:right w:val="single" w:sz="4" w:space="0" w:color="FFFFFF"/>
            </w:tcBorders>
            <w:shd w:val="clear" w:color="B4C6E7" w:fill="B4C6E7"/>
          </w:tcPr>
          <w:p w14:paraId="4AF4EE1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14</w:t>
            </w:r>
          </w:p>
        </w:tc>
        <w:tc>
          <w:tcPr>
            <w:tcW w:w="2636" w:type="dxa"/>
            <w:tcBorders>
              <w:top w:val="single" w:sz="4" w:space="0" w:color="FFFFFF"/>
              <w:left w:val="nil"/>
              <w:bottom w:val="nil"/>
              <w:right w:val="single" w:sz="4" w:space="0" w:color="FFFFFF"/>
            </w:tcBorders>
            <w:shd w:val="clear" w:color="B4C6E7" w:fill="B4C6E7"/>
            <w:noWrap/>
            <w:vAlign w:val="bottom"/>
            <w:hideMark/>
          </w:tcPr>
          <w:p w14:paraId="315E6848"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Dolores</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0DD3650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01D7935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nil"/>
              <w:right w:val="nil"/>
            </w:tcBorders>
            <w:shd w:val="clear" w:color="B4C6E7" w:fill="F8696B"/>
            <w:noWrap/>
            <w:vAlign w:val="bottom"/>
            <w:hideMark/>
          </w:tcPr>
          <w:p w14:paraId="463C234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7954EC91" w14:textId="1129AAFF"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18"/>
          <w:szCs w:val="24"/>
          <w:lang w:val="es-ES"/>
        </w:rPr>
        <w:t>Fuente: Siplangl, III informe cuatrimestral y acumulado.  Año 2020</w:t>
      </w:r>
      <w:r w:rsidR="00BC2B6E">
        <w:rPr>
          <w:rFonts w:ascii="Helvetica" w:eastAsia="Times New Roman" w:hAnsi="Helvetica" w:cs="Helvetica"/>
          <w:sz w:val="18"/>
          <w:szCs w:val="24"/>
          <w:lang w:val="es-ES"/>
        </w:rPr>
        <w:t>.</w:t>
      </w:r>
    </w:p>
    <w:p w14:paraId="4A045E14" w14:textId="2FAF05DE"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880D51C" w14:textId="77777777" w:rsidR="00F407CB" w:rsidRPr="003051CD"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499F238" w14:textId="7FD2E28B" w:rsidR="00693BD9" w:rsidRPr="00C75033" w:rsidRDefault="00693BD9"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C75033">
        <w:rPr>
          <w:rFonts w:ascii="Helvetica" w:eastAsia="Times New Roman" w:hAnsi="Helvetica" w:cs="Helvetica"/>
          <w:b/>
          <w:color w:val="002060"/>
          <w:sz w:val="28"/>
          <w:szCs w:val="28"/>
          <w:lang w:val="es-ES"/>
        </w:rPr>
        <w:t>Totonicapán</w:t>
      </w:r>
    </w:p>
    <w:p w14:paraId="40EE16BA"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8EAA2E2" w14:textId="281AB8F0"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55%. Los municipios con mayor ejecución son: San Francisco el Alto 69%, Santa Lucía La Reforma 52% y San Andrés Xecul 41%. Cabe menciona</w:t>
      </w:r>
      <w:r w:rsidR="009F235F">
        <w:rPr>
          <w:rFonts w:ascii="Helvetica" w:eastAsia="Times New Roman" w:hAnsi="Helvetica" w:cs="Helvetica"/>
          <w:sz w:val="24"/>
          <w:szCs w:val="24"/>
          <w:lang w:val="es-ES"/>
        </w:rPr>
        <w:t>r</w:t>
      </w:r>
      <w:r w:rsidRPr="003051CD">
        <w:rPr>
          <w:rFonts w:ascii="Helvetica" w:eastAsia="Times New Roman" w:hAnsi="Helvetica" w:cs="Helvetica"/>
          <w:sz w:val="24"/>
          <w:szCs w:val="24"/>
          <w:lang w:val="es-ES"/>
        </w:rPr>
        <w:t xml:space="preserve"> que Momostenango, San Bartolo Aguas Calientes, San Cristóbal Totonicapán, Santa María Chiquimula y Totonicapán, no presentaron el tercer informe cuatrimestral.</w:t>
      </w:r>
      <w:r w:rsidR="00F407CB">
        <w:rPr>
          <w:rFonts w:ascii="Helvetica" w:eastAsia="Times New Roman" w:hAnsi="Helvetica" w:cs="Helvetica"/>
          <w:sz w:val="24"/>
          <w:szCs w:val="24"/>
          <w:lang w:val="es-ES"/>
        </w:rPr>
        <w:t xml:space="preserve"> Ver tabla 18.</w:t>
      </w:r>
    </w:p>
    <w:p w14:paraId="2C776C41" w14:textId="317C8D9B"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2514582" w14:textId="04AC65DD" w:rsidR="00F407CB"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4CC8E4C" w14:textId="167BF099"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BC9E225" w14:textId="3B0BFD30"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5FCEC7C" w14:textId="7777777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BD7B4F3" w14:textId="0818CEA0"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ABB9369" w14:textId="627B386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C2F385C" w14:textId="7777777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C80BD45" w14:textId="253BDF3F" w:rsidR="00693BD9" w:rsidRPr="005D4383" w:rsidRDefault="00F407CB" w:rsidP="00016865">
      <w:pPr>
        <w:pStyle w:val="ttulosgrficas"/>
        <w:rPr>
          <w:rFonts w:eastAsia="Times New Roman"/>
          <w:b w:val="0"/>
          <w:lang w:val="es-ES"/>
        </w:rPr>
      </w:pPr>
      <w:bookmarkStart w:id="51" w:name="_Toc67589131"/>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18</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Totonicapán</w:t>
      </w:r>
      <w:bookmarkEnd w:id="51"/>
    </w:p>
    <w:p w14:paraId="0ACDAFEB" w14:textId="77777777" w:rsidR="00BC2B6E" w:rsidRPr="003051CD" w:rsidRDefault="00BC2B6E" w:rsidP="00BC2B6E">
      <w:pPr>
        <w:pStyle w:val="ttulosgrficas"/>
        <w:spacing w:line="120" w:lineRule="auto"/>
        <w:rPr>
          <w:lang w:val="es-ES"/>
        </w:rPr>
      </w:pPr>
    </w:p>
    <w:tbl>
      <w:tblPr>
        <w:tblW w:w="8349" w:type="dxa"/>
        <w:tblInd w:w="354" w:type="dxa"/>
        <w:tblCellMar>
          <w:left w:w="70" w:type="dxa"/>
          <w:right w:w="70" w:type="dxa"/>
        </w:tblCellMar>
        <w:tblLook w:val="04A0" w:firstRow="1" w:lastRow="0" w:firstColumn="1" w:lastColumn="0" w:noHBand="0" w:noVBand="1"/>
      </w:tblPr>
      <w:tblGrid>
        <w:gridCol w:w="527"/>
        <w:gridCol w:w="3001"/>
        <w:gridCol w:w="1995"/>
        <w:gridCol w:w="1862"/>
        <w:gridCol w:w="1274"/>
      </w:tblGrid>
      <w:tr w:rsidR="00693BD9" w:rsidRPr="003051CD" w14:paraId="0C09BFCC" w14:textId="77777777" w:rsidTr="00216644">
        <w:trPr>
          <w:trHeight w:val="312"/>
          <w:tblHeader/>
        </w:trPr>
        <w:tc>
          <w:tcPr>
            <w:tcW w:w="498" w:type="dxa"/>
            <w:tcBorders>
              <w:top w:val="nil"/>
              <w:left w:val="nil"/>
              <w:bottom w:val="single" w:sz="12" w:space="0" w:color="FFFFFF"/>
              <w:right w:val="single" w:sz="4" w:space="0" w:color="FFFFFF"/>
            </w:tcBorders>
            <w:shd w:val="clear" w:color="4472C4" w:fill="4472C4"/>
            <w:vAlign w:val="center"/>
          </w:tcPr>
          <w:p w14:paraId="71EA0117" w14:textId="065960A2"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3001" w:type="dxa"/>
            <w:tcBorders>
              <w:top w:val="nil"/>
              <w:left w:val="nil"/>
              <w:bottom w:val="single" w:sz="12" w:space="0" w:color="FFFFFF"/>
              <w:right w:val="single" w:sz="4" w:space="0" w:color="FFFFFF"/>
            </w:tcBorders>
            <w:shd w:val="clear" w:color="4472C4" w:fill="4472C4"/>
            <w:noWrap/>
            <w:vAlign w:val="center"/>
            <w:hideMark/>
          </w:tcPr>
          <w:p w14:paraId="3938C777"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886" w:type="dxa"/>
            <w:tcBorders>
              <w:top w:val="nil"/>
              <w:left w:val="nil"/>
              <w:bottom w:val="single" w:sz="12" w:space="0" w:color="FFFFFF"/>
              <w:right w:val="single" w:sz="4" w:space="0" w:color="FFFFFF"/>
            </w:tcBorders>
            <w:shd w:val="clear" w:color="4472C4" w:fill="4472C4"/>
            <w:noWrap/>
            <w:vAlign w:val="center"/>
            <w:hideMark/>
          </w:tcPr>
          <w:p w14:paraId="524900AA"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760" w:type="dxa"/>
            <w:tcBorders>
              <w:top w:val="nil"/>
              <w:left w:val="nil"/>
              <w:bottom w:val="single" w:sz="12" w:space="0" w:color="FFFFFF"/>
              <w:right w:val="single" w:sz="4" w:space="0" w:color="FFFFFF"/>
            </w:tcBorders>
            <w:shd w:val="clear" w:color="4472C4" w:fill="4472C4"/>
            <w:noWrap/>
            <w:vAlign w:val="center"/>
            <w:hideMark/>
          </w:tcPr>
          <w:p w14:paraId="55AB4AD4"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4" w:type="dxa"/>
            <w:tcBorders>
              <w:top w:val="nil"/>
              <w:left w:val="nil"/>
              <w:bottom w:val="single" w:sz="12" w:space="0" w:color="FFFFFF"/>
              <w:right w:val="nil"/>
            </w:tcBorders>
            <w:shd w:val="clear" w:color="4472C4" w:fill="4472C4"/>
            <w:noWrap/>
            <w:vAlign w:val="center"/>
            <w:hideMark/>
          </w:tcPr>
          <w:p w14:paraId="27629563"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58A809B5" w14:textId="77777777" w:rsidTr="00216644">
        <w:trPr>
          <w:trHeight w:val="312"/>
          <w:tblHeader/>
        </w:trPr>
        <w:tc>
          <w:tcPr>
            <w:tcW w:w="498" w:type="dxa"/>
            <w:tcBorders>
              <w:top w:val="single" w:sz="4" w:space="0" w:color="FFFFFF"/>
              <w:left w:val="nil"/>
              <w:bottom w:val="single" w:sz="4" w:space="0" w:color="FFFFFF"/>
              <w:right w:val="single" w:sz="4" w:space="0" w:color="FFFFFF"/>
            </w:tcBorders>
            <w:shd w:val="clear" w:color="4472C4" w:fill="4472C4"/>
          </w:tcPr>
          <w:p w14:paraId="6D0FBDD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p>
        </w:tc>
        <w:tc>
          <w:tcPr>
            <w:tcW w:w="3001" w:type="dxa"/>
            <w:tcBorders>
              <w:top w:val="single" w:sz="4" w:space="0" w:color="FFFFFF"/>
              <w:left w:val="nil"/>
              <w:bottom w:val="single" w:sz="4" w:space="0" w:color="FFFFFF"/>
              <w:right w:val="single" w:sz="4" w:space="0" w:color="FFFFFF"/>
            </w:tcBorders>
            <w:shd w:val="clear" w:color="4472C4" w:fill="4472C4"/>
            <w:noWrap/>
            <w:vAlign w:val="bottom"/>
            <w:hideMark/>
          </w:tcPr>
          <w:p w14:paraId="0FF3AF70"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886" w:type="dxa"/>
            <w:tcBorders>
              <w:top w:val="single" w:sz="4" w:space="0" w:color="FFFFFF"/>
              <w:left w:val="single" w:sz="4" w:space="0" w:color="FFFFFF"/>
              <w:bottom w:val="single" w:sz="4" w:space="0" w:color="FFFFFF"/>
              <w:right w:val="single" w:sz="4" w:space="0" w:color="FFFFFF"/>
            </w:tcBorders>
            <w:shd w:val="clear" w:color="4472C4" w:fill="4472C4"/>
            <w:noWrap/>
            <w:vAlign w:val="bottom"/>
            <w:hideMark/>
          </w:tcPr>
          <w:p w14:paraId="129E21C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Q102,121,947.14</w:t>
            </w:r>
          </w:p>
        </w:tc>
        <w:tc>
          <w:tcPr>
            <w:tcW w:w="1760" w:type="dxa"/>
            <w:tcBorders>
              <w:top w:val="single" w:sz="4" w:space="0" w:color="FFFFFF"/>
              <w:left w:val="single" w:sz="4" w:space="0" w:color="FFFFFF"/>
              <w:bottom w:val="single" w:sz="4" w:space="0" w:color="FFFFFF"/>
              <w:right w:val="single" w:sz="4" w:space="0" w:color="FFFFFF"/>
            </w:tcBorders>
            <w:shd w:val="clear" w:color="4472C4" w:fill="4472C4"/>
            <w:noWrap/>
            <w:vAlign w:val="bottom"/>
            <w:hideMark/>
          </w:tcPr>
          <w:p w14:paraId="57816FD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Q56,521,232.20</w:t>
            </w:r>
          </w:p>
        </w:tc>
        <w:tc>
          <w:tcPr>
            <w:tcW w:w="1204" w:type="dxa"/>
            <w:tcBorders>
              <w:top w:val="single" w:sz="4" w:space="0" w:color="FFFFFF"/>
              <w:left w:val="single" w:sz="4" w:space="0" w:color="FFFFFF"/>
              <w:bottom w:val="single" w:sz="4" w:space="0" w:color="FFFFFF"/>
              <w:right w:val="nil"/>
            </w:tcBorders>
            <w:shd w:val="clear" w:color="4472C4" w:fill="FDC87D"/>
            <w:noWrap/>
            <w:vAlign w:val="bottom"/>
            <w:hideMark/>
          </w:tcPr>
          <w:p w14:paraId="1BAD0BB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55%</w:t>
            </w:r>
          </w:p>
        </w:tc>
      </w:tr>
      <w:tr w:rsidR="00693BD9" w:rsidRPr="003051CD" w14:paraId="3B88C216" w14:textId="77777777" w:rsidTr="00216644">
        <w:trPr>
          <w:trHeight w:val="297"/>
          <w:tblHeader/>
        </w:trPr>
        <w:tc>
          <w:tcPr>
            <w:tcW w:w="498" w:type="dxa"/>
            <w:tcBorders>
              <w:top w:val="single" w:sz="4" w:space="0" w:color="FFFFFF"/>
              <w:left w:val="nil"/>
              <w:bottom w:val="single" w:sz="4" w:space="0" w:color="FFFFFF"/>
              <w:right w:val="single" w:sz="4" w:space="0" w:color="FFFFFF"/>
            </w:tcBorders>
            <w:shd w:val="clear" w:color="D9E1F2" w:fill="D9E1F2"/>
          </w:tcPr>
          <w:p w14:paraId="4189397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3001" w:type="dxa"/>
            <w:tcBorders>
              <w:top w:val="single" w:sz="4" w:space="0" w:color="FFFFFF"/>
              <w:left w:val="nil"/>
              <w:bottom w:val="single" w:sz="4" w:space="0" w:color="FFFFFF"/>
              <w:right w:val="single" w:sz="4" w:space="0" w:color="FFFFFF"/>
            </w:tcBorders>
            <w:shd w:val="clear" w:color="D9E1F2" w:fill="D9E1F2"/>
            <w:noWrap/>
            <w:vAlign w:val="bottom"/>
            <w:hideMark/>
          </w:tcPr>
          <w:p w14:paraId="486FA7AF" w14:textId="77777777"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Francisco El Alto</w:t>
            </w:r>
          </w:p>
        </w:tc>
        <w:tc>
          <w:tcPr>
            <w:tcW w:w="188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E80C9A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Q36,160,167.73</w:t>
            </w:r>
          </w:p>
        </w:tc>
        <w:tc>
          <w:tcPr>
            <w:tcW w:w="176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DC4E6C8"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Q24,803,282.38</w:t>
            </w:r>
          </w:p>
        </w:tc>
        <w:tc>
          <w:tcPr>
            <w:tcW w:w="1204" w:type="dxa"/>
            <w:tcBorders>
              <w:top w:val="single" w:sz="4" w:space="0" w:color="FFFFFF"/>
              <w:left w:val="single" w:sz="4" w:space="0" w:color="FFFFFF"/>
              <w:bottom w:val="single" w:sz="4" w:space="0" w:color="FFFFFF"/>
              <w:right w:val="nil"/>
            </w:tcBorders>
            <w:shd w:val="clear" w:color="D9E1F2" w:fill="FEDF81"/>
            <w:noWrap/>
            <w:vAlign w:val="bottom"/>
            <w:hideMark/>
          </w:tcPr>
          <w:p w14:paraId="75D65BB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69%</w:t>
            </w:r>
          </w:p>
        </w:tc>
      </w:tr>
      <w:tr w:rsidR="00693BD9" w:rsidRPr="003051CD" w14:paraId="0FAE9F10" w14:textId="77777777" w:rsidTr="00216644">
        <w:trPr>
          <w:trHeight w:val="297"/>
          <w:tblHeader/>
        </w:trPr>
        <w:tc>
          <w:tcPr>
            <w:tcW w:w="498" w:type="dxa"/>
            <w:tcBorders>
              <w:top w:val="single" w:sz="4" w:space="0" w:color="FFFFFF"/>
              <w:left w:val="nil"/>
              <w:bottom w:val="single" w:sz="4" w:space="0" w:color="FFFFFF"/>
              <w:right w:val="single" w:sz="4" w:space="0" w:color="FFFFFF"/>
            </w:tcBorders>
            <w:shd w:val="clear" w:color="B4C6E7" w:fill="B4C6E7"/>
          </w:tcPr>
          <w:p w14:paraId="088A9AB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3001" w:type="dxa"/>
            <w:tcBorders>
              <w:top w:val="single" w:sz="4" w:space="0" w:color="FFFFFF"/>
              <w:left w:val="nil"/>
              <w:bottom w:val="single" w:sz="4" w:space="0" w:color="FFFFFF"/>
              <w:right w:val="single" w:sz="4" w:space="0" w:color="FFFFFF"/>
            </w:tcBorders>
            <w:shd w:val="clear" w:color="B4C6E7" w:fill="B4C6E7"/>
            <w:noWrap/>
            <w:vAlign w:val="bottom"/>
            <w:hideMark/>
          </w:tcPr>
          <w:p w14:paraId="485F08D8" w14:textId="36BCA495"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Luc</w:t>
            </w:r>
            <w:r w:rsidR="009F235F">
              <w:rPr>
                <w:rFonts w:ascii="Helvetica" w:eastAsia="Times New Roman" w:hAnsi="Helvetica" w:cs="Helvetica"/>
                <w:sz w:val="24"/>
                <w:szCs w:val="24"/>
                <w:lang w:val="es-ES"/>
              </w:rPr>
              <w:t>í</w:t>
            </w:r>
            <w:r w:rsidRPr="003051CD">
              <w:rPr>
                <w:rFonts w:ascii="Helvetica" w:eastAsia="Times New Roman" w:hAnsi="Helvetica" w:cs="Helvetica"/>
                <w:sz w:val="24"/>
                <w:szCs w:val="24"/>
                <w:lang w:val="es-ES"/>
              </w:rPr>
              <w:t>a La Reforma</w:t>
            </w:r>
          </w:p>
        </w:tc>
        <w:tc>
          <w:tcPr>
            <w:tcW w:w="188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0E32B8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Q41,317,961.11</w:t>
            </w:r>
          </w:p>
        </w:tc>
        <w:tc>
          <w:tcPr>
            <w:tcW w:w="176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60A74F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Q21,508,688.60</w:t>
            </w:r>
          </w:p>
        </w:tc>
        <w:tc>
          <w:tcPr>
            <w:tcW w:w="1204" w:type="dxa"/>
            <w:tcBorders>
              <w:top w:val="single" w:sz="4" w:space="0" w:color="FFFFFF"/>
              <w:left w:val="single" w:sz="4" w:space="0" w:color="FFFFFF"/>
              <w:bottom w:val="single" w:sz="4" w:space="0" w:color="FFFFFF"/>
              <w:right w:val="nil"/>
            </w:tcBorders>
            <w:shd w:val="clear" w:color="B4C6E7" w:fill="FCC37C"/>
            <w:noWrap/>
            <w:vAlign w:val="bottom"/>
            <w:hideMark/>
          </w:tcPr>
          <w:p w14:paraId="7A364980"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52%</w:t>
            </w:r>
          </w:p>
        </w:tc>
      </w:tr>
      <w:tr w:rsidR="00693BD9" w:rsidRPr="003051CD" w14:paraId="21C72BBA" w14:textId="77777777" w:rsidTr="00216644">
        <w:trPr>
          <w:trHeight w:val="297"/>
          <w:tblHeader/>
        </w:trPr>
        <w:tc>
          <w:tcPr>
            <w:tcW w:w="498" w:type="dxa"/>
            <w:tcBorders>
              <w:top w:val="single" w:sz="4" w:space="0" w:color="FFFFFF"/>
              <w:left w:val="nil"/>
              <w:bottom w:val="single" w:sz="4" w:space="0" w:color="FFFFFF"/>
              <w:right w:val="single" w:sz="4" w:space="0" w:color="FFFFFF"/>
            </w:tcBorders>
            <w:shd w:val="clear" w:color="D9E1F2" w:fill="D9E1F2"/>
          </w:tcPr>
          <w:p w14:paraId="3918E5BB"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3001" w:type="dxa"/>
            <w:tcBorders>
              <w:top w:val="single" w:sz="4" w:space="0" w:color="FFFFFF"/>
              <w:left w:val="nil"/>
              <w:bottom w:val="single" w:sz="4" w:space="0" w:color="FFFFFF"/>
              <w:right w:val="single" w:sz="4" w:space="0" w:color="FFFFFF"/>
            </w:tcBorders>
            <w:shd w:val="clear" w:color="D9E1F2" w:fill="D9E1F2"/>
            <w:noWrap/>
            <w:vAlign w:val="bottom"/>
            <w:hideMark/>
          </w:tcPr>
          <w:p w14:paraId="0B320443" w14:textId="77777777"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Andrés Xecul</w:t>
            </w:r>
          </w:p>
        </w:tc>
        <w:tc>
          <w:tcPr>
            <w:tcW w:w="188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8DA433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Q24,643,818.30</w:t>
            </w:r>
          </w:p>
        </w:tc>
        <w:tc>
          <w:tcPr>
            <w:tcW w:w="176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850D29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Q10,209,261.22</w:t>
            </w:r>
          </w:p>
        </w:tc>
        <w:tc>
          <w:tcPr>
            <w:tcW w:w="1204" w:type="dxa"/>
            <w:tcBorders>
              <w:top w:val="single" w:sz="4" w:space="0" w:color="FFFFFF"/>
              <w:left w:val="single" w:sz="4" w:space="0" w:color="FFFFFF"/>
              <w:bottom w:val="single" w:sz="4" w:space="0" w:color="FFFFFF"/>
              <w:right w:val="nil"/>
            </w:tcBorders>
            <w:shd w:val="clear" w:color="D9E1F2" w:fill="FBB078"/>
            <w:noWrap/>
            <w:vAlign w:val="bottom"/>
            <w:hideMark/>
          </w:tcPr>
          <w:p w14:paraId="1FABED9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41%</w:t>
            </w:r>
          </w:p>
        </w:tc>
      </w:tr>
      <w:tr w:rsidR="00693BD9" w:rsidRPr="003051CD" w14:paraId="6DC1AE6D" w14:textId="77777777" w:rsidTr="00216644">
        <w:trPr>
          <w:trHeight w:val="297"/>
          <w:tblHeader/>
        </w:trPr>
        <w:tc>
          <w:tcPr>
            <w:tcW w:w="498" w:type="dxa"/>
            <w:tcBorders>
              <w:top w:val="single" w:sz="4" w:space="0" w:color="FFFFFF"/>
              <w:left w:val="nil"/>
              <w:bottom w:val="single" w:sz="4" w:space="0" w:color="FFFFFF"/>
              <w:right w:val="single" w:sz="4" w:space="0" w:color="FFFFFF"/>
            </w:tcBorders>
            <w:shd w:val="clear" w:color="B4C6E7" w:fill="B4C6E7"/>
          </w:tcPr>
          <w:p w14:paraId="70E53EE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3001" w:type="dxa"/>
            <w:tcBorders>
              <w:top w:val="single" w:sz="4" w:space="0" w:color="FFFFFF"/>
              <w:left w:val="nil"/>
              <w:bottom w:val="single" w:sz="4" w:space="0" w:color="FFFFFF"/>
              <w:right w:val="single" w:sz="4" w:space="0" w:color="FFFFFF"/>
            </w:tcBorders>
            <w:shd w:val="clear" w:color="B4C6E7" w:fill="B4C6E7"/>
            <w:noWrap/>
            <w:vAlign w:val="bottom"/>
            <w:hideMark/>
          </w:tcPr>
          <w:p w14:paraId="25AC31CA" w14:textId="77777777"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Momostenango</w:t>
            </w:r>
          </w:p>
        </w:tc>
        <w:tc>
          <w:tcPr>
            <w:tcW w:w="188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9FED9A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6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0F0387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4" w:type="dxa"/>
            <w:tcBorders>
              <w:top w:val="single" w:sz="4" w:space="0" w:color="FFFFFF"/>
              <w:left w:val="single" w:sz="4" w:space="0" w:color="FFFFFF"/>
              <w:bottom w:val="single" w:sz="4" w:space="0" w:color="FFFFFF"/>
              <w:right w:val="nil"/>
            </w:tcBorders>
            <w:shd w:val="clear" w:color="B4C6E7" w:fill="F8696B"/>
            <w:noWrap/>
            <w:vAlign w:val="bottom"/>
            <w:hideMark/>
          </w:tcPr>
          <w:p w14:paraId="3AB285B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w:t>
            </w:r>
          </w:p>
        </w:tc>
      </w:tr>
      <w:tr w:rsidR="00693BD9" w:rsidRPr="003051CD" w14:paraId="47C225D8" w14:textId="77777777" w:rsidTr="00216644">
        <w:trPr>
          <w:trHeight w:val="297"/>
          <w:tblHeader/>
        </w:trPr>
        <w:tc>
          <w:tcPr>
            <w:tcW w:w="498" w:type="dxa"/>
            <w:tcBorders>
              <w:top w:val="single" w:sz="4" w:space="0" w:color="FFFFFF"/>
              <w:left w:val="nil"/>
              <w:bottom w:val="single" w:sz="4" w:space="0" w:color="FFFFFF"/>
              <w:right w:val="single" w:sz="4" w:space="0" w:color="FFFFFF"/>
            </w:tcBorders>
            <w:shd w:val="clear" w:color="D9E1F2" w:fill="D9E1F2"/>
          </w:tcPr>
          <w:p w14:paraId="3A4D74B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3001" w:type="dxa"/>
            <w:tcBorders>
              <w:top w:val="single" w:sz="4" w:space="0" w:color="FFFFFF"/>
              <w:left w:val="nil"/>
              <w:bottom w:val="single" w:sz="4" w:space="0" w:color="FFFFFF"/>
              <w:right w:val="single" w:sz="4" w:space="0" w:color="FFFFFF"/>
            </w:tcBorders>
            <w:shd w:val="clear" w:color="D9E1F2" w:fill="D9E1F2"/>
            <w:noWrap/>
            <w:vAlign w:val="bottom"/>
            <w:hideMark/>
          </w:tcPr>
          <w:p w14:paraId="4883B10D" w14:textId="49232C6C"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San Bartolo Aguas </w:t>
            </w:r>
            <w:r w:rsidR="009F235F">
              <w:rPr>
                <w:rFonts w:ascii="Helvetica" w:eastAsia="Times New Roman" w:hAnsi="Helvetica" w:cs="Helvetica"/>
                <w:sz w:val="24"/>
                <w:szCs w:val="24"/>
                <w:lang w:val="es-ES"/>
              </w:rPr>
              <w:t>C</w:t>
            </w:r>
            <w:r w:rsidRPr="003051CD">
              <w:rPr>
                <w:rFonts w:ascii="Helvetica" w:eastAsia="Times New Roman" w:hAnsi="Helvetica" w:cs="Helvetica"/>
                <w:sz w:val="24"/>
                <w:szCs w:val="24"/>
                <w:lang w:val="es-ES"/>
              </w:rPr>
              <w:t>alientes</w:t>
            </w:r>
          </w:p>
        </w:tc>
        <w:tc>
          <w:tcPr>
            <w:tcW w:w="188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F2C2360"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6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B560A0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4" w:type="dxa"/>
            <w:tcBorders>
              <w:top w:val="single" w:sz="4" w:space="0" w:color="FFFFFF"/>
              <w:left w:val="single" w:sz="4" w:space="0" w:color="FFFFFF"/>
              <w:bottom w:val="single" w:sz="4" w:space="0" w:color="FFFFFF"/>
              <w:right w:val="nil"/>
            </w:tcBorders>
            <w:shd w:val="clear" w:color="D9E1F2" w:fill="F8696B"/>
            <w:noWrap/>
            <w:vAlign w:val="bottom"/>
            <w:hideMark/>
          </w:tcPr>
          <w:p w14:paraId="0ECC1EB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w:t>
            </w:r>
          </w:p>
        </w:tc>
      </w:tr>
      <w:tr w:rsidR="00693BD9" w:rsidRPr="003051CD" w14:paraId="646F896E" w14:textId="77777777" w:rsidTr="00216644">
        <w:trPr>
          <w:trHeight w:val="297"/>
          <w:tblHeader/>
        </w:trPr>
        <w:tc>
          <w:tcPr>
            <w:tcW w:w="498" w:type="dxa"/>
            <w:tcBorders>
              <w:top w:val="single" w:sz="4" w:space="0" w:color="FFFFFF"/>
              <w:left w:val="nil"/>
              <w:bottom w:val="single" w:sz="4" w:space="0" w:color="FFFFFF"/>
              <w:right w:val="single" w:sz="4" w:space="0" w:color="FFFFFF"/>
            </w:tcBorders>
            <w:shd w:val="clear" w:color="B4C6E7" w:fill="B4C6E7"/>
          </w:tcPr>
          <w:p w14:paraId="7E32BC7C"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3001" w:type="dxa"/>
            <w:tcBorders>
              <w:top w:val="single" w:sz="4" w:space="0" w:color="FFFFFF"/>
              <w:left w:val="nil"/>
              <w:bottom w:val="single" w:sz="4" w:space="0" w:color="FFFFFF"/>
              <w:right w:val="single" w:sz="4" w:space="0" w:color="FFFFFF"/>
            </w:tcBorders>
            <w:shd w:val="clear" w:color="B4C6E7" w:fill="B4C6E7"/>
            <w:noWrap/>
            <w:vAlign w:val="bottom"/>
            <w:hideMark/>
          </w:tcPr>
          <w:p w14:paraId="7B75EC43" w14:textId="77777777"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Cristóbal Totonicapán</w:t>
            </w:r>
          </w:p>
        </w:tc>
        <w:tc>
          <w:tcPr>
            <w:tcW w:w="188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5F5B30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6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DE335DD"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4" w:type="dxa"/>
            <w:tcBorders>
              <w:top w:val="single" w:sz="4" w:space="0" w:color="FFFFFF"/>
              <w:left w:val="single" w:sz="4" w:space="0" w:color="FFFFFF"/>
              <w:bottom w:val="single" w:sz="4" w:space="0" w:color="FFFFFF"/>
              <w:right w:val="nil"/>
            </w:tcBorders>
            <w:shd w:val="clear" w:color="B4C6E7" w:fill="F8696B"/>
            <w:noWrap/>
            <w:vAlign w:val="bottom"/>
            <w:hideMark/>
          </w:tcPr>
          <w:p w14:paraId="4096636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w:t>
            </w:r>
          </w:p>
        </w:tc>
      </w:tr>
      <w:tr w:rsidR="00693BD9" w:rsidRPr="003051CD" w14:paraId="0B8175F8" w14:textId="77777777" w:rsidTr="00216644">
        <w:trPr>
          <w:trHeight w:val="297"/>
          <w:tblHeader/>
        </w:trPr>
        <w:tc>
          <w:tcPr>
            <w:tcW w:w="498" w:type="dxa"/>
            <w:tcBorders>
              <w:top w:val="single" w:sz="4" w:space="0" w:color="FFFFFF"/>
              <w:left w:val="nil"/>
              <w:bottom w:val="single" w:sz="4" w:space="0" w:color="FFFFFF"/>
              <w:right w:val="single" w:sz="4" w:space="0" w:color="FFFFFF"/>
            </w:tcBorders>
            <w:shd w:val="clear" w:color="D9E1F2" w:fill="D9E1F2"/>
          </w:tcPr>
          <w:p w14:paraId="25F8313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3001" w:type="dxa"/>
            <w:tcBorders>
              <w:top w:val="single" w:sz="4" w:space="0" w:color="FFFFFF"/>
              <w:left w:val="nil"/>
              <w:bottom w:val="single" w:sz="4" w:space="0" w:color="FFFFFF"/>
              <w:right w:val="single" w:sz="4" w:space="0" w:color="FFFFFF"/>
            </w:tcBorders>
            <w:shd w:val="clear" w:color="D9E1F2" w:fill="D9E1F2"/>
            <w:noWrap/>
            <w:vAlign w:val="bottom"/>
            <w:hideMark/>
          </w:tcPr>
          <w:p w14:paraId="3D84757A" w14:textId="77777777"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María Chiquimula</w:t>
            </w:r>
          </w:p>
        </w:tc>
        <w:tc>
          <w:tcPr>
            <w:tcW w:w="188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D9B9E2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6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60E963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4" w:type="dxa"/>
            <w:tcBorders>
              <w:top w:val="single" w:sz="4" w:space="0" w:color="FFFFFF"/>
              <w:left w:val="single" w:sz="4" w:space="0" w:color="FFFFFF"/>
              <w:bottom w:val="single" w:sz="4" w:space="0" w:color="FFFFFF"/>
              <w:right w:val="nil"/>
            </w:tcBorders>
            <w:shd w:val="clear" w:color="D9E1F2" w:fill="F8696B"/>
            <w:noWrap/>
            <w:vAlign w:val="bottom"/>
            <w:hideMark/>
          </w:tcPr>
          <w:p w14:paraId="28A6366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w:t>
            </w:r>
          </w:p>
        </w:tc>
      </w:tr>
      <w:tr w:rsidR="00693BD9" w:rsidRPr="003051CD" w14:paraId="0A389D6D" w14:textId="77777777" w:rsidTr="00216644">
        <w:trPr>
          <w:trHeight w:val="297"/>
          <w:tblHeader/>
        </w:trPr>
        <w:tc>
          <w:tcPr>
            <w:tcW w:w="498" w:type="dxa"/>
            <w:tcBorders>
              <w:top w:val="single" w:sz="4" w:space="0" w:color="FFFFFF"/>
              <w:left w:val="nil"/>
              <w:bottom w:val="nil"/>
              <w:right w:val="single" w:sz="4" w:space="0" w:color="FFFFFF"/>
            </w:tcBorders>
            <w:shd w:val="clear" w:color="B4C6E7" w:fill="B4C6E7"/>
          </w:tcPr>
          <w:p w14:paraId="0097643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3001" w:type="dxa"/>
            <w:tcBorders>
              <w:top w:val="single" w:sz="4" w:space="0" w:color="FFFFFF"/>
              <w:left w:val="nil"/>
              <w:bottom w:val="nil"/>
              <w:right w:val="single" w:sz="4" w:space="0" w:color="FFFFFF"/>
            </w:tcBorders>
            <w:shd w:val="clear" w:color="B4C6E7" w:fill="B4C6E7"/>
            <w:noWrap/>
            <w:vAlign w:val="bottom"/>
            <w:hideMark/>
          </w:tcPr>
          <w:p w14:paraId="4AEB6F03" w14:textId="77777777" w:rsidR="00693BD9" w:rsidRPr="003051CD" w:rsidRDefault="00693BD9"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Totonicapán</w:t>
            </w:r>
          </w:p>
        </w:tc>
        <w:tc>
          <w:tcPr>
            <w:tcW w:w="1886" w:type="dxa"/>
            <w:tcBorders>
              <w:top w:val="single" w:sz="4" w:space="0" w:color="FFFFFF"/>
              <w:left w:val="single" w:sz="4" w:space="0" w:color="FFFFFF"/>
              <w:bottom w:val="nil"/>
              <w:right w:val="single" w:sz="4" w:space="0" w:color="FFFFFF"/>
            </w:tcBorders>
            <w:shd w:val="clear" w:color="B4C6E7" w:fill="B4C6E7"/>
            <w:noWrap/>
            <w:vAlign w:val="bottom"/>
            <w:hideMark/>
          </w:tcPr>
          <w:p w14:paraId="450E9D4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60" w:type="dxa"/>
            <w:tcBorders>
              <w:top w:val="single" w:sz="4" w:space="0" w:color="FFFFFF"/>
              <w:left w:val="single" w:sz="4" w:space="0" w:color="FFFFFF"/>
              <w:bottom w:val="nil"/>
              <w:right w:val="single" w:sz="4" w:space="0" w:color="FFFFFF"/>
            </w:tcBorders>
            <w:shd w:val="clear" w:color="B4C6E7" w:fill="B4C6E7"/>
            <w:noWrap/>
            <w:vAlign w:val="bottom"/>
            <w:hideMark/>
          </w:tcPr>
          <w:p w14:paraId="5CB5AF1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4" w:type="dxa"/>
            <w:tcBorders>
              <w:top w:val="single" w:sz="4" w:space="0" w:color="FFFFFF"/>
              <w:left w:val="single" w:sz="4" w:space="0" w:color="FFFFFF"/>
              <w:bottom w:val="single" w:sz="4" w:space="0" w:color="FFFFFF"/>
              <w:right w:val="nil"/>
            </w:tcBorders>
            <w:shd w:val="clear" w:color="B4C6E7" w:fill="F8696B"/>
            <w:noWrap/>
            <w:vAlign w:val="bottom"/>
            <w:hideMark/>
          </w:tcPr>
          <w:p w14:paraId="410C26C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w:t>
            </w:r>
          </w:p>
        </w:tc>
      </w:tr>
    </w:tbl>
    <w:p w14:paraId="38FC1F1D" w14:textId="6CB9D9A1"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3B425E12"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8BFF140" w14:textId="10926DFB" w:rsidR="00693BD9" w:rsidRPr="00C75033" w:rsidRDefault="00693BD9"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C75033">
        <w:rPr>
          <w:rFonts w:ascii="Helvetica" w:eastAsia="Times New Roman" w:hAnsi="Helvetica" w:cs="Helvetica"/>
          <w:b/>
          <w:color w:val="002060"/>
          <w:sz w:val="28"/>
          <w:szCs w:val="28"/>
          <w:lang w:val="es-ES"/>
        </w:rPr>
        <w:t>Zacapa</w:t>
      </w:r>
    </w:p>
    <w:p w14:paraId="26971791"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7A6AAC3" w14:textId="2EBB7B52"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w:t>
      </w:r>
      <w:r w:rsidR="00325439">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 xml:space="preserve">65.73%, Los municipios con mayor ejecución son: Zacapa 83.64%, La Unión 78.38% y Teculután 71.56%. Cabe mencionar que San Diego, no presentó el tercer informe cuatrimestral. </w:t>
      </w:r>
      <w:r w:rsidR="00F407CB">
        <w:rPr>
          <w:rFonts w:ascii="Helvetica" w:eastAsia="Times New Roman" w:hAnsi="Helvetica" w:cs="Helvetica"/>
          <w:sz w:val="24"/>
          <w:szCs w:val="24"/>
          <w:lang w:val="es-ES"/>
        </w:rPr>
        <w:t>Ver tabla 19.</w:t>
      </w:r>
    </w:p>
    <w:p w14:paraId="6FF1AEFD" w14:textId="77777777"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6543209" w14:textId="607677E8" w:rsidR="00693BD9" w:rsidRPr="00016865" w:rsidRDefault="00F407CB" w:rsidP="00016865">
      <w:pPr>
        <w:pStyle w:val="ttulosgrficas"/>
        <w:rPr>
          <w:rFonts w:eastAsia="Times New Roman"/>
          <w:color w:val="4472C4" w:themeColor="accent1"/>
          <w:lang w:val="es-ES"/>
        </w:rPr>
      </w:pPr>
      <w:bookmarkStart w:id="52" w:name="_Toc67589132"/>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19</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Zacapa</w:t>
      </w:r>
      <w:bookmarkEnd w:id="52"/>
    </w:p>
    <w:p w14:paraId="070AC059" w14:textId="77777777" w:rsidR="00BC2B6E" w:rsidRPr="003051CD" w:rsidRDefault="00BC2B6E" w:rsidP="00BC2B6E">
      <w:pPr>
        <w:pStyle w:val="ttulosgrficas"/>
        <w:spacing w:line="120" w:lineRule="auto"/>
        <w:rPr>
          <w:lang w:val="es-ES"/>
        </w:rPr>
      </w:pPr>
    </w:p>
    <w:tbl>
      <w:tblPr>
        <w:tblW w:w="8482" w:type="dxa"/>
        <w:tblInd w:w="496" w:type="dxa"/>
        <w:tblCellMar>
          <w:left w:w="70" w:type="dxa"/>
          <w:right w:w="70" w:type="dxa"/>
        </w:tblCellMar>
        <w:tblLook w:val="04A0" w:firstRow="1" w:lastRow="0" w:firstColumn="1" w:lastColumn="0" w:noHBand="0" w:noVBand="1"/>
      </w:tblPr>
      <w:tblGrid>
        <w:gridCol w:w="527"/>
        <w:gridCol w:w="2740"/>
        <w:gridCol w:w="1995"/>
        <w:gridCol w:w="1995"/>
        <w:gridCol w:w="1274"/>
      </w:tblGrid>
      <w:tr w:rsidR="00693BD9" w:rsidRPr="003051CD" w14:paraId="5E84CE56" w14:textId="77777777" w:rsidTr="00BC2B6E">
        <w:trPr>
          <w:trHeight w:val="315"/>
        </w:trPr>
        <w:tc>
          <w:tcPr>
            <w:tcW w:w="552" w:type="dxa"/>
            <w:tcBorders>
              <w:top w:val="nil"/>
              <w:left w:val="nil"/>
              <w:bottom w:val="single" w:sz="12" w:space="0" w:color="FFFFFF"/>
              <w:right w:val="single" w:sz="4" w:space="0" w:color="FFFFFF"/>
            </w:tcBorders>
            <w:shd w:val="clear" w:color="4472C4" w:fill="4472C4"/>
            <w:vAlign w:val="center"/>
          </w:tcPr>
          <w:p w14:paraId="17107C6E" w14:textId="07957732" w:rsidR="00693BD9"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740" w:type="dxa"/>
            <w:tcBorders>
              <w:top w:val="nil"/>
              <w:left w:val="nil"/>
              <w:bottom w:val="single" w:sz="12" w:space="0" w:color="FFFFFF"/>
              <w:right w:val="single" w:sz="4" w:space="0" w:color="FFFFFF"/>
            </w:tcBorders>
            <w:shd w:val="clear" w:color="4472C4" w:fill="4472C4"/>
            <w:noWrap/>
            <w:vAlign w:val="center"/>
            <w:hideMark/>
          </w:tcPr>
          <w:p w14:paraId="6E8256DC"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194B1A07"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71324BCB"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31928F00" w14:textId="77777777" w:rsidR="00693BD9" w:rsidRPr="00BC2B6E" w:rsidRDefault="00693BD9"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693BD9" w:rsidRPr="003051CD" w14:paraId="2A8BBC7B" w14:textId="77777777" w:rsidTr="00D219CB">
        <w:trPr>
          <w:trHeight w:val="315"/>
        </w:trPr>
        <w:tc>
          <w:tcPr>
            <w:tcW w:w="552" w:type="dxa"/>
            <w:tcBorders>
              <w:top w:val="single" w:sz="4" w:space="0" w:color="FFFFFF"/>
              <w:left w:val="nil"/>
              <w:bottom w:val="single" w:sz="4" w:space="0" w:color="FFFFFF"/>
              <w:right w:val="single" w:sz="4" w:space="0" w:color="FFFFFF"/>
            </w:tcBorders>
            <w:shd w:val="clear" w:color="B4C6E7" w:fill="B4C6E7"/>
          </w:tcPr>
          <w:p w14:paraId="27ECA33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b/>
                <w:sz w:val="24"/>
                <w:szCs w:val="24"/>
                <w:lang w:val="es-ES"/>
              </w:rPr>
            </w:pP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3C3D627F"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b/>
                <w:sz w:val="24"/>
                <w:szCs w:val="24"/>
                <w:lang w:val="es-ES"/>
              </w:rPr>
            </w:pPr>
            <w:r w:rsidRPr="003051CD">
              <w:rPr>
                <w:rFonts w:ascii="Helvetica" w:eastAsia="Times New Roman" w:hAnsi="Helvetica" w:cs="Helvetica"/>
                <w:b/>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9F877DB"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b/>
                <w:sz w:val="24"/>
                <w:szCs w:val="24"/>
                <w:lang w:val="es-ES"/>
              </w:rPr>
            </w:pPr>
            <w:r w:rsidRPr="003051CD">
              <w:rPr>
                <w:rFonts w:ascii="Helvetica" w:eastAsia="Times New Roman" w:hAnsi="Helvetica" w:cs="Helvetica"/>
                <w:b/>
                <w:sz w:val="24"/>
                <w:szCs w:val="24"/>
                <w:lang w:val="es-ES"/>
              </w:rPr>
              <w:t>Q372,194,500.13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C1ADE9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b/>
                <w:sz w:val="24"/>
                <w:szCs w:val="24"/>
                <w:lang w:val="es-ES"/>
              </w:rPr>
            </w:pPr>
            <w:r w:rsidRPr="003051CD">
              <w:rPr>
                <w:rFonts w:ascii="Helvetica" w:eastAsia="Times New Roman" w:hAnsi="Helvetica" w:cs="Helvetica"/>
                <w:b/>
                <w:sz w:val="24"/>
                <w:szCs w:val="24"/>
                <w:lang w:val="es-ES"/>
              </w:rPr>
              <w:t>Q244,637,239.37</w:t>
            </w:r>
          </w:p>
        </w:tc>
        <w:tc>
          <w:tcPr>
            <w:tcW w:w="1200" w:type="dxa"/>
            <w:tcBorders>
              <w:top w:val="single" w:sz="4" w:space="0" w:color="FFFFFF"/>
              <w:left w:val="single" w:sz="4" w:space="0" w:color="FFFFFF"/>
              <w:bottom w:val="single" w:sz="4" w:space="0" w:color="FFFFFF"/>
              <w:right w:val="nil"/>
            </w:tcBorders>
            <w:shd w:val="clear" w:color="B4C6E7" w:fill="DBE37D"/>
            <w:noWrap/>
            <w:vAlign w:val="bottom"/>
            <w:hideMark/>
          </w:tcPr>
          <w:p w14:paraId="5DDAB62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65.73%</w:t>
            </w:r>
          </w:p>
        </w:tc>
      </w:tr>
      <w:tr w:rsidR="00693BD9" w:rsidRPr="003051CD" w14:paraId="213DDFE9"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4DCA963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6FF2C760"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Zacapa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D79B9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Q104,647,965.16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D7806E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Q87,524,170.01</w:t>
            </w:r>
          </w:p>
        </w:tc>
        <w:tc>
          <w:tcPr>
            <w:tcW w:w="1200" w:type="dxa"/>
            <w:tcBorders>
              <w:top w:val="single" w:sz="4" w:space="0" w:color="FFFFFF"/>
              <w:left w:val="single" w:sz="4" w:space="0" w:color="FFFFFF"/>
              <w:bottom w:val="single" w:sz="4" w:space="0" w:color="FFFFFF"/>
              <w:right w:val="nil"/>
            </w:tcBorders>
            <w:shd w:val="clear" w:color="D9E1F2" w:fill="69C966"/>
            <w:noWrap/>
            <w:vAlign w:val="bottom"/>
            <w:hideMark/>
          </w:tcPr>
          <w:p w14:paraId="20ACD39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83.64%</w:t>
            </w:r>
          </w:p>
        </w:tc>
      </w:tr>
      <w:tr w:rsidR="00693BD9" w:rsidRPr="003051CD" w14:paraId="1E93EB04"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5DC3ACE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36CC3FA1"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Unión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4B1E20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Q37,653,305.48</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739C90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Q29,513,278.45</w:t>
            </w:r>
          </w:p>
        </w:tc>
        <w:tc>
          <w:tcPr>
            <w:tcW w:w="1200" w:type="dxa"/>
            <w:tcBorders>
              <w:top w:val="single" w:sz="4" w:space="0" w:color="FFFFFF"/>
              <w:left w:val="single" w:sz="4" w:space="0" w:color="FFFFFF"/>
              <w:bottom w:val="single" w:sz="4" w:space="0" w:color="FFFFFF"/>
              <w:right w:val="nil"/>
            </w:tcBorders>
            <w:shd w:val="clear" w:color="B4C6E7" w:fill="8AD06D"/>
            <w:noWrap/>
            <w:vAlign w:val="bottom"/>
            <w:hideMark/>
          </w:tcPr>
          <w:p w14:paraId="0EE266F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78.38%</w:t>
            </w:r>
          </w:p>
        </w:tc>
      </w:tr>
      <w:tr w:rsidR="00693BD9" w:rsidRPr="003051CD" w14:paraId="2D1498A5"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2BABCC8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78D202DF"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Teculután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BC52F2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Q25,700,739.14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6AFCF7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Q18,391,232.84</w:t>
            </w:r>
          </w:p>
        </w:tc>
        <w:tc>
          <w:tcPr>
            <w:tcW w:w="1200" w:type="dxa"/>
            <w:tcBorders>
              <w:top w:val="single" w:sz="4" w:space="0" w:color="FFFFFF"/>
              <w:left w:val="single" w:sz="4" w:space="0" w:color="FFFFFF"/>
              <w:bottom w:val="single" w:sz="4" w:space="0" w:color="FFFFFF"/>
              <w:right w:val="nil"/>
            </w:tcBorders>
            <w:shd w:val="clear" w:color="D9E1F2" w:fill="B6DA75"/>
            <w:noWrap/>
            <w:vAlign w:val="bottom"/>
            <w:hideMark/>
          </w:tcPr>
          <w:p w14:paraId="61B6638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71.56%</w:t>
            </w:r>
          </w:p>
        </w:tc>
      </w:tr>
      <w:tr w:rsidR="00693BD9" w:rsidRPr="003051CD" w14:paraId="7E4863C2"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0A30B5A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09B68F7C" w14:textId="7DE2E65C"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R</w:t>
            </w:r>
            <w:r w:rsidR="009F235F">
              <w:rPr>
                <w:rFonts w:ascii="Helvetica" w:eastAsia="Times New Roman" w:hAnsi="Helvetica" w:cs="Helvetica"/>
                <w:sz w:val="24"/>
                <w:szCs w:val="24"/>
                <w:lang w:val="es-ES"/>
              </w:rPr>
              <w:t>í</w:t>
            </w:r>
            <w:r w:rsidRPr="003051CD">
              <w:rPr>
                <w:rFonts w:ascii="Helvetica" w:eastAsia="Times New Roman" w:hAnsi="Helvetica" w:cs="Helvetica"/>
                <w:sz w:val="24"/>
                <w:szCs w:val="24"/>
                <w:lang w:val="es-ES"/>
              </w:rPr>
              <w:t>o Hondo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AB2F2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Q37,896,279.75</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13D0AB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Q26,974,244.30</w:t>
            </w:r>
          </w:p>
        </w:tc>
        <w:tc>
          <w:tcPr>
            <w:tcW w:w="1200" w:type="dxa"/>
            <w:tcBorders>
              <w:top w:val="single" w:sz="4" w:space="0" w:color="FFFFFF"/>
              <w:left w:val="single" w:sz="4" w:space="0" w:color="FFFFFF"/>
              <w:bottom w:val="single" w:sz="4" w:space="0" w:color="FFFFFF"/>
              <w:right w:val="nil"/>
            </w:tcBorders>
            <w:shd w:val="clear" w:color="B4C6E7" w:fill="B8DB76"/>
            <w:noWrap/>
            <w:vAlign w:val="bottom"/>
            <w:hideMark/>
          </w:tcPr>
          <w:p w14:paraId="0DCFF721"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71.18%</w:t>
            </w:r>
          </w:p>
        </w:tc>
      </w:tr>
      <w:tr w:rsidR="00693BD9" w:rsidRPr="003051CD" w14:paraId="75EAE7C9"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3A280136"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2BC358A6"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Usumatlán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02C9E97"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Q21,879,941.30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ACCC8D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Q15,158,666.39</w:t>
            </w:r>
          </w:p>
        </w:tc>
        <w:tc>
          <w:tcPr>
            <w:tcW w:w="1200" w:type="dxa"/>
            <w:tcBorders>
              <w:top w:val="single" w:sz="4" w:space="0" w:color="FFFFFF"/>
              <w:left w:val="single" w:sz="4" w:space="0" w:color="FFFFFF"/>
              <w:bottom w:val="single" w:sz="4" w:space="0" w:color="FFFFFF"/>
              <w:right w:val="nil"/>
            </w:tcBorders>
            <w:shd w:val="clear" w:color="D9E1F2" w:fill="C4DE78"/>
            <w:noWrap/>
            <w:vAlign w:val="bottom"/>
            <w:hideMark/>
          </w:tcPr>
          <w:p w14:paraId="2D42C77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69.28%</w:t>
            </w:r>
          </w:p>
        </w:tc>
      </w:tr>
      <w:tr w:rsidR="00693BD9" w:rsidRPr="003051CD" w14:paraId="1BC89D0E"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4FCAF5C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384341D6"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Huite</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7417C3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Q14,787,407.95</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6474323"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Q9,065,955.22</w:t>
            </w:r>
          </w:p>
        </w:tc>
        <w:tc>
          <w:tcPr>
            <w:tcW w:w="1200" w:type="dxa"/>
            <w:tcBorders>
              <w:top w:val="single" w:sz="4" w:space="0" w:color="FFFFFF"/>
              <w:left w:val="single" w:sz="4" w:space="0" w:color="FFFFFF"/>
              <w:bottom w:val="single" w:sz="4" w:space="0" w:color="FFFFFF"/>
              <w:right w:val="nil"/>
            </w:tcBorders>
            <w:shd w:val="clear" w:color="B4C6E7" w:fill="F7EA83"/>
            <w:noWrap/>
            <w:vAlign w:val="bottom"/>
            <w:hideMark/>
          </w:tcPr>
          <w:p w14:paraId="26E78AE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61.31%</w:t>
            </w:r>
          </w:p>
        </w:tc>
      </w:tr>
      <w:tr w:rsidR="00693BD9" w:rsidRPr="003051CD" w14:paraId="03FF0345"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7A3DF374"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35B1B362"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Estanzuela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D3B956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Q26,857,048.25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1DEC82F"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Q15,111,284.75</w:t>
            </w:r>
          </w:p>
        </w:tc>
        <w:tc>
          <w:tcPr>
            <w:tcW w:w="1200" w:type="dxa"/>
            <w:tcBorders>
              <w:top w:val="single" w:sz="4" w:space="0" w:color="FFFFFF"/>
              <w:left w:val="single" w:sz="4" w:space="0" w:color="FFFFFF"/>
              <w:bottom w:val="single" w:sz="4" w:space="0" w:color="FFFFFF"/>
              <w:right w:val="nil"/>
            </w:tcBorders>
            <w:shd w:val="clear" w:color="D9E1F2" w:fill="FEE282"/>
            <w:noWrap/>
            <w:vAlign w:val="bottom"/>
            <w:hideMark/>
          </w:tcPr>
          <w:p w14:paraId="0AB2AF6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56.27%</w:t>
            </w:r>
          </w:p>
        </w:tc>
      </w:tr>
      <w:tr w:rsidR="00693BD9" w:rsidRPr="003051CD" w14:paraId="21C3E3AF"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692D182D"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02055356"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Cabañas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15ACDAE"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Q25,767,907.11</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39151F9"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Q11,956,520.90</w:t>
            </w:r>
          </w:p>
        </w:tc>
        <w:tc>
          <w:tcPr>
            <w:tcW w:w="1200" w:type="dxa"/>
            <w:tcBorders>
              <w:top w:val="single" w:sz="4" w:space="0" w:color="FFFFFF"/>
              <w:left w:val="single" w:sz="4" w:space="0" w:color="FFFFFF"/>
              <w:bottom w:val="single" w:sz="4" w:space="0" w:color="FFFFFF"/>
              <w:right w:val="nil"/>
            </w:tcBorders>
            <w:shd w:val="clear" w:color="B4C6E7" w:fill="FDCD7E"/>
            <w:noWrap/>
            <w:vAlign w:val="bottom"/>
            <w:hideMark/>
          </w:tcPr>
          <w:p w14:paraId="69028C0E"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46.40%</w:t>
            </w:r>
          </w:p>
        </w:tc>
      </w:tr>
      <w:tr w:rsidR="00693BD9" w:rsidRPr="003051CD" w14:paraId="21405895"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D9E1F2" w:fill="D9E1F2"/>
          </w:tcPr>
          <w:p w14:paraId="730267F2"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3E5A91AC"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Gualán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393368C"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Q63,883,797.99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1A06224"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Q29,164,325.94</w:t>
            </w:r>
          </w:p>
        </w:tc>
        <w:tc>
          <w:tcPr>
            <w:tcW w:w="1200" w:type="dxa"/>
            <w:tcBorders>
              <w:top w:val="single" w:sz="4" w:space="0" w:color="FFFFFF"/>
              <w:left w:val="single" w:sz="4" w:space="0" w:color="FFFFFF"/>
              <w:bottom w:val="single" w:sz="4" w:space="0" w:color="FFFFFF"/>
              <w:right w:val="nil"/>
            </w:tcBorders>
            <w:shd w:val="clear" w:color="D9E1F2" w:fill="FDCB7E"/>
            <w:noWrap/>
            <w:vAlign w:val="bottom"/>
            <w:hideMark/>
          </w:tcPr>
          <w:p w14:paraId="70E1CB47"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45.65%</w:t>
            </w:r>
          </w:p>
        </w:tc>
      </w:tr>
      <w:tr w:rsidR="00693BD9" w:rsidRPr="003051CD" w14:paraId="7808F791" w14:textId="77777777" w:rsidTr="00D219CB">
        <w:trPr>
          <w:trHeight w:val="300"/>
        </w:trPr>
        <w:tc>
          <w:tcPr>
            <w:tcW w:w="552" w:type="dxa"/>
            <w:tcBorders>
              <w:top w:val="single" w:sz="4" w:space="0" w:color="FFFFFF"/>
              <w:left w:val="nil"/>
              <w:bottom w:val="single" w:sz="4" w:space="0" w:color="FFFFFF"/>
              <w:right w:val="single" w:sz="4" w:space="0" w:color="FFFFFF"/>
            </w:tcBorders>
            <w:shd w:val="clear" w:color="B4C6E7" w:fill="B4C6E7"/>
          </w:tcPr>
          <w:p w14:paraId="3C931449"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10</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717E0B49"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Jorge</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B83D666"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Q13,120,108.00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BC4C9AA"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Q1,777,560.56</w:t>
            </w:r>
          </w:p>
        </w:tc>
        <w:tc>
          <w:tcPr>
            <w:tcW w:w="1200" w:type="dxa"/>
            <w:tcBorders>
              <w:top w:val="single" w:sz="4" w:space="0" w:color="FFFFFF"/>
              <w:left w:val="single" w:sz="4" w:space="0" w:color="FFFFFF"/>
              <w:bottom w:val="single" w:sz="4" w:space="0" w:color="FFFFFF"/>
              <w:right w:val="nil"/>
            </w:tcBorders>
            <w:shd w:val="clear" w:color="B4C6E7" w:fill="F98670"/>
            <w:noWrap/>
            <w:vAlign w:val="bottom"/>
            <w:hideMark/>
          </w:tcPr>
          <w:p w14:paraId="27796AF5"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13.55%</w:t>
            </w:r>
          </w:p>
        </w:tc>
      </w:tr>
      <w:tr w:rsidR="00693BD9" w:rsidRPr="003051CD" w14:paraId="39FDD5DB" w14:textId="77777777" w:rsidTr="00D219CB">
        <w:trPr>
          <w:trHeight w:val="300"/>
        </w:trPr>
        <w:tc>
          <w:tcPr>
            <w:tcW w:w="552" w:type="dxa"/>
            <w:tcBorders>
              <w:top w:val="single" w:sz="4" w:space="0" w:color="FFFFFF"/>
              <w:left w:val="nil"/>
              <w:bottom w:val="nil"/>
              <w:right w:val="single" w:sz="4" w:space="0" w:color="FFFFFF"/>
            </w:tcBorders>
            <w:shd w:val="clear" w:color="D9E1F2" w:fill="D9E1F2"/>
          </w:tcPr>
          <w:p w14:paraId="0B0E6938"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11</w:t>
            </w:r>
          </w:p>
        </w:tc>
        <w:tc>
          <w:tcPr>
            <w:tcW w:w="2740" w:type="dxa"/>
            <w:tcBorders>
              <w:top w:val="single" w:sz="4" w:space="0" w:color="FFFFFF"/>
              <w:left w:val="nil"/>
              <w:bottom w:val="nil"/>
              <w:right w:val="single" w:sz="4" w:space="0" w:color="FFFFFF"/>
            </w:tcBorders>
            <w:shd w:val="clear" w:color="D9E1F2" w:fill="D9E1F2"/>
            <w:noWrap/>
            <w:vAlign w:val="bottom"/>
            <w:hideMark/>
          </w:tcPr>
          <w:p w14:paraId="42E7406B" w14:textId="77777777" w:rsidR="00693BD9" w:rsidRPr="003051CD" w:rsidRDefault="00693BD9"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Diego</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3C9F0FC1"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3D2C3282" w14:textId="77777777" w:rsidR="00693BD9" w:rsidRPr="003051CD" w:rsidRDefault="00693BD9"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639A856F" w14:textId="77777777" w:rsidR="00693BD9" w:rsidRPr="003051CD" w:rsidRDefault="00693BD9"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5A0206ED" w14:textId="4FE2255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1AD0A02B"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D41EA43" w14:textId="61265604" w:rsidR="00F407CB" w:rsidRDefault="00F407CB"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p>
    <w:p w14:paraId="16BEB6FD" w14:textId="61E21979" w:rsidR="009F235F" w:rsidRDefault="009F235F"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p>
    <w:p w14:paraId="39F829F9" w14:textId="006F0855" w:rsidR="009F235F" w:rsidRDefault="009F235F"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p>
    <w:p w14:paraId="509D64F1" w14:textId="6976CA75" w:rsidR="00693BD9" w:rsidRPr="00C75033" w:rsidRDefault="00693BD9"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C75033">
        <w:rPr>
          <w:rFonts w:ascii="Helvetica" w:eastAsia="Times New Roman" w:hAnsi="Helvetica" w:cs="Helvetica"/>
          <w:b/>
          <w:color w:val="002060"/>
          <w:sz w:val="28"/>
          <w:szCs w:val="28"/>
          <w:lang w:val="es-ES"/>
        </w:rPr>
        <w:t>Jalapa</w:t>
      </w:r>
    </w:p>
    <w:p w14:paraId="41364ACA"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AE00E09" w14:textId="709C4A13"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77.79%. Los municipios con mayor ejecución son: Jalapa 89.13%, San Luis Jilotepeque 71.05% y San Carlos Alzatate 70.83%.  Mataquescuintla, reportó un porcentaje superior al 100% de la ejecución.</w:t>
      </w:r>
      <w:r w:rsidR="00F407CB">
        <w:rPr>
          <w:rFonts w:ascii="Helvetica" w:eastAsia="Times New Roman" w:hAnsi="Helvetica" w:cs="Helvetica"/>
          <w:sz w:val="24"/>
          <w:szCs w:val="24"/>
          <w:lang w:val="es-ES"/>
        </w:rPr>
        <w:t xml:space="preserve"> Ver tabla 20.</w:t>
      </w:r>
    </w:p>
    <w:p w14:paraId="60874343" w14:textId="34C4B434"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02C52EE" w14:textId="5852308B" w:rsidR="00693BD9" w:rsidRPr="00016865" w:rsidRDefault="00F407CB" w:rsidP="00016865">
      <w:pPr>
        <w:pStyle w:val="ttulosgrficas"/>
        <w:rPr>
          <w:rFonts w:eastAsia="Times New Roman"/>
          <w:color w:val="4472C4" w:themeColor="accent1"/>
          <w:lang w:val="es-ES"/>
        </w:rPr>
      </w:pPr>
      <w:bookmarkStart w:id="53" w:name="_Toc67589133"/>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20</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Jalapa</w:t>
      </w:r>
      <w:bookmarkEnd w:id="53"/>
    </w:p>
    <w:p w14:paraId="4ED52517" w14:textId="77777777" w:rsidR="00BC2B6E" w:rsidRPr="003051CD" w:rsidRDefault="00BC2B6E" w:rsidP="00BC2B6E">
      <w:pPr>
        <w:pStyle w:val="ttulosgrficas"/>
        <w:spacing w:line="120" w:lineRule="auto"/>
        <w:rPr>
          <w:lang w:val="es-ES"/>
        </w:rPr>
      </w:pPr>
    </w:p>
    <w:tbl>
      <w:tblPr>
        <w:tblW w:w="8577" w:type="dxa"/>
        <w:tblInd w:w="496" w:type="dxa"/>
        <w:tblCellMar>
          <w:left w:w="70" w:type="dxa"/>
          <w:right w:w="70" w:type="dxa"/>
        </w:tblCellMar>
        <w:tblLook w:val="04A0" w:firstRow="1" w:lastRow="0" w:firstColumn="1" w:lastColumn="0" w:noHBand="0" w:noVBand="1"/>
      </w:tblPr>
      <w:tblGrid>
        <w:gridCol w:w="573"/>
        <w:gridCol w:w="2740"/>
        <w:gridCol w:w="1995"/>
        <w:gridCol w:w="1995"/>
        <w:gridCol w:w="1274"/>
      </w:tblGrid>
      <w:tr w:rsidR="00BC2B6E" w:rsidRPr="003051CD" w14:paraId="2C391396" w14:textId="77777777" w:rsidTr="00BC2B6E">
        <w:trPr>
          <w:trHeight w:val="315"/>
        </w:trPr>
        <w:tc>
          <w:tcPr>
            <w:tcW w:w="647" w:type="dxa"/>
            <w:tcBorders>
              <w:top w:val="nil"/>
              <w:left w:val="nil"/>
              <w:bottom w:val="single" w:sz="12" w:space="0" w:color="FFFFFF"/>
              <w:right w:val="single" w:sz="4" w:space="0" w:color="FFFFFF"/>
            </w:tcBorders>
            <w:shd w:val="clear" w:color="4472C4" w:fill="4472C4"/>
            <w:vAlign w:val="center"/>
          </w:tcPr>
          <w:p w14:paraId="299B9F7C" w14:textId="67A1FC64"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740" w:type="dxa"/>
            <w:tcBorders>
              <w:top w:val="nil"/>
              <w:left w:val="nil"/>
              <w:bottom w:val="single" w:sz="12" w:space="0" w:color="FFFFFF"/>
              <w:right w:val="single" w:sz="4" w:space="0" w:color="FFFFFF"/>
            </w:tcBorders>
            <w:shd w:val="clear" w:color="4472C4" w:fill="4472C4"/>
            <w:noWrap/>
            <w:vAlign w:val="center"/>
            <w:hideMark/>
          </w:tcPr>
          <w:p w14:paraId="7F765C62" w14:textId="48596C46"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7AC31954"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29AFA3ED"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5230910A"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BC2B6E" w:rsidRPr="003051CD" w14:paraId="4C0D8BA7" w14:textId="77777777" w:rsidTr="00BC2B6E">
        <w:trPr>
          <w:trHeight w:val="315"/>
        </w:trPr>
        <w:tc>
          <w:tcPr>
            <w:tcW w:w="647" w:type="dxa"/>
            <w:tcBorders>
              <w:top w:val="single" w:sz="4" w:space="0" w:color="FFFFFF"/>
              <w:left w:val="nil"/>
              <w:bottom w:val="single" w:sz="4" w:space="0" w:color="FFFFFF"/>
              <w:right w:val="single" w:sz="4" w:space="0" w:color="FFFFFF"/>
            </w:tcBorders>
            <w:shd w:val="clear" w:color="auto" w:fill="4F81BD"/>
          </w:tcPr>
          <w:p w14:paraId="50780386"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740" w:type="dxa"/>
            <w:tcBorders>
              <w:top w:val="single" w:sz="4" w:space="0" w:color="FFFFFF"/>
              <w:left w:val="nil"/>
              <w:bottom w:val="single" w:sz="4" w:space="0" w:color="FFFFFF"/>
              <w:right w:val="single" w:sz="4" w:space="0" w:color="FFFFFF"/>
            </w:tcBorders>
            <w:shd w:val="clear" w:color="auto" w:fill="4F81BD"/>
            <w:noWrap/>
            <w:vAlign w:val="bottom"/>
            <w:hideMark/>
          </w:tcPr>
          <w:p w14:paraId="24B12B00" w14:textId="524231A9"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3BCB59BF"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Q180,361,030.84</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033EB774"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Q140,309,166.45</w:t>
            </w:r>
          </w:p>
        </w:tc>
        <w:tc>
          <w:tcPr>
            <w:tcW w:w="1200" w:type="dxa"/>
            <w:tcBorders>
              <w:top w:val="single" w:sz="4" w:space="0" w:color="FFFFFF"/>
              <w:left w:val="single" w:sz="4" w:space="0" w:color="FFFFFF"/>
              <w:bottom w:val="single" w:sz="4" w:space="0" w:color="FFFFFF"/>
              <w:right w:val="nil"/>
            </w:tcBorders>
            <w:shd w:val="clear" w:color="B4C6E7" w:fill="FDCC7E"/>
            <w:noWrap/>
            <w:vAlign w:val="bottom"/>
            <w:hideMark/>
          </w:tcPr>
          <w:p w14:paraId="1810800F"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77.79%</w:t>
            </w:r>
          </w:p>
        </w:tc>
      </w:tr>
      <w:tr w:rsidR="00BC2B6E" w:rsidRPr="003051CD" w14:paraId="36FFEBD3" w14:textId="77777777" w:rsidTr="00BC2B6E">
        <w:trPr>
          <w:trHeight w:val="300"/>
        </w:trPr>
        <w:tc>
          <w:tcPr>
            <w:tcW w:w="647" w:type="dxa"/>
            <w:tcBorders>
              <w:top w:val="single" w:sz="4" w:space="0" w:color="FFFFFF"/>
              <w:left w:val="nil"/>
              <w:bottom w:val="single" w:sz="4" w:space="0" w:color="FFFFFF"/>
              <w:right w:val="single" w:sz="4" w:space="0" w:color="FFFFFF"/>
            </w:tcBorders>
            <w:shd w:val="clear" w:color="D9E1F2" w:fill="D9E1F2"/>
          </w:tcPr>
          <w:p w14:paraId="60A59C6C" w14:textId="4C5C7CFE"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3EB36C18" w14:textId="272C116F"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Mataquescuintla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446BA2D"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Q16,488,916.74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8610194"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Q16,708,279.29</w:t>
            </w:r>
          </w:p>
        </w:tc>
        <w:tc>
          <w:tcPr>
            <w:tcW w:w="1200" w:type="dxa"/>
            <w:tcBorders>
              <w:top w:val="single" w:sz="4" w:space="0" w:color="FFFFFF"/>
              <w:left w:val="single" w:sz="4" w:space="0" w:color="FFFFFF"/>
              <w:bottom w:val="single" w:sz="4" w:space="0" w:color="FFFFFF"/>
              <w:right w:val="nil"/>
            </w:tcBorders>
            <w:shd w:val="clear" w:color="D9E1F2" w:fill="00B050"/>
            <w:noWrap/>
            <w:vAlign w:val="bottom"/>
            <w:hideMark/>
          </w:tcPr>
          <w:p w14:paraId="2C864B35"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101.33%</w:t>
            </w:r>
          </w:p>
        </w:tc>
      </w:tr>
      <w:tr w:rsidR="00BC2B6E" w:rsidRPr="003051CD" w14:paraId="02BD5707" w14:textId="77777777" w:rsidTr="00BC2B6E">
        <w:trPr>
          <w:trHeight w:val="300"/>
        </w:trPr>
        <w:tc>
          <w:tcPr>
            <w:tcW w:w="647" w:type="dxa"/>
            <w:tcBorders>
              <w:top w:val="single" w:sz="4" w:space="0" w:color="FFFFFF"/>
              <w:left w:val="nil"/>
              <w:bottom w:val="single" w:sz="4" w:space="0" w:color="FFFFFF"/>
              <w:right w:val="single" w:sz="4" w:space="0" w:color="FFFFFF"/>
            </w:tcBorders>
            <w:shd w:val="clear" w:color="B4C6E7" w:fill="B4C6E7"/>
          </w:tcPr>
          <w:p w14:paraId="535E0F70" w14:textId="1333EEF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1306C0A4" w14:textId="4C6ED7EA"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Jalapa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51915E5"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Q69,046,148.14</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E699C27"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Q61,539,611.04</w:t>
            </w:r>
          </w:p>
        </w:tc>
        <w:tc>
          <w:tcPr>
            <w:tcW w:w="1200" w:type="dxa"/>
            <w:tcBorders>
              <w:top w:val="single" w:sz="4" w:space="0" w:color="FFFFFF"/>
              <w:left w:val="single" w:sz="4" w:space="0" w:color="FFFFFF"/>
              <w:bottom w:val="single" w:sz="4" w:space="0" w:color="FFFFFF"/>
              <w:right w:val="nil"/>
            </w:tcBorders>
            <w:shd w:val="clear" w:color="B4C6E7" w:fill="B4DA75"/>
            <w:noWrap/>
            <w:vAlign w:val="bottom"/>
            <w:hideMark/>
          </w:tcPr>
          <w:p w14:paraId="24985338"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89.13%</w:t>
            </w:r>
          </w:p>
        </w:tc>
      </w:tr>
      <w:tr w:rsidR="00BC2B6E" w:rsidRPr="003051CD" w14:paraId="7CE4BCA1" w14:textId="77777777" w:rsidTr="00BC2B6E">
        <w:trPr>
          <w:trHeight w:val="300"/>
        </w:trPr>
        <w:tc>
          <w:tcPr>
            <w:tcW w:w="647" w:type="dxa"/>
            <w:tcBorders>
              <w:top w:val="single" w:sz="4" w:space="0" w:color="FFFFFF"/>
              <w:left w:val="nil"/>
              <w:bottom w:val="single" w:sz="4" w:space="0" w:color="FFFFFF"/>
              <w:right w:val="single" w:sz="4" w:space="0" w:color="FFFFFF"/>
            </w:tcBorders>
            <w:shd w:val="clear" w:color="D9E1F2" w:fill="D9E1F2"/>
          </w:tcPr>
          <w:p w14:paraId="72144B41" w14:textId="4A64747E"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34C04631" w14:textId="5A8316F3"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Luis Jilotepeque</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518471"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Q14,982,546.17</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552CE34"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Q10,645,832.39</w:t>
            </w:r>
          </w:p>
        </w:tc>
        <w:tc>
          <w:tcPr>
            <w:tcW w:w="1200" w:type="dxa"/>
            <w:tcBorders>
              <w:top w:val="single" w:sz="4" w:space="0" w:color="FFFFFF"/>
              <w:left w:val="single" w:sz="4" w:space="0" w:color="FFFFFF"/>
              <w:bottom w:val="single" w:sz="4" w:space="0" w:color="FFFFFF"/>
              <w:right w:val="nil"/>
            </w:tcBorders>
            <w:shd w:val="clear" w:color="D9E1F2" w:fill="FBAA77"/>
            <w:noWrap/>
            <w:vAlign w:val="bottom"/>
            <w:hideMark/>
          </w:tcPr>
          <w:p w14:paraId="54BD4AA0"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71.05%</w:t>
            </w:r>
          </w:p>
        </w:tc>
      </w:tr>
      <w:tr w:rsidR="00BC2B6E" w:rsidRPr="003051CD" w14:paraId="74BBCB70" w14:textId="77777777" w:rsidTr="00BC2B6E">
        <w:trPr>
          <w:trHeight w:val="300"/>
        </w:trPr>
        <w:tc>
          <w:tcPr>
            <w:tcW w:w="647" w:type="dxa"/>
            <w:tcBorders>
              <w:top w:val="single" w:sz="4" w:space="0" w:color="FFFFFF"/>
              <w:left w:val="nil"/>
              <w:bottom w:val="single" w:sz="4" w:space="0" w:color="FFFFFF"/>
              <w:right w:val="single" w:sz="4" w:space="0" w:color="FFFFFF"/>
            </w:tcBorders>
            <w:shd w:val="clear" w:color="B4C6E7" w:fill="B4C6E7"/>
          </w:tcPr>
          <w:p w14:paraId="547D1317" w14:textId="0AD5E70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6E256AE4" w14:textId="0F97FACC"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Carlos Alzatate</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C829727"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Q24,012,327.39</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8ED836B"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Q17,008,662.59</w:t>
            </w:r>
          </w:p>
        </w:tc>
        <w:tc>
          <w:tcPr>
            <w:tcW w:w="1200" w:type="dxa"/>
            <w:tcBorders>
              <w:top w:val="single" w:sz="4" w:space="0" w:color="FFFFFF"/>
              <w:left w:val="single" w:sz="4" w:space="0" w:color="FFFFFF"/>
              <w:bottom w:val="single" w:sz="4" w:space="0" w:color="FFFFFF"/>
              <w:right w:val="nil"/>
            </w:tcBorders>
            <w:shd w:val="clear" w:color="B4C6E7" w:fill="FBA977"/>
            <w:noWrap/>
            <w:vAlign w:val="bottom"/>
            <w:hideMark/>
          </w:tcPr>
          <w:p w14:paraId="3AD767F4"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70.83%</w:t>
            </w:r>
          </w:p>
        </w:tc>
      </w:tr>
      <w:tr w:rsidR="00BC2B6E" w:rsidRPr="003051CD" w14:paraId="4F19E669" w14:textId="77777777" w:rsidTr="00BC2B6E">
        <w:trPr>
          <w:trHeight w:val="300"/>
        </w:trPr>
        <w:tc>
          <w:tcPr>
            <w:tcW w:w="647" w:type="dxa"/>
            <w:tcBorders>
              <w:top w:val="single" w:sz="4" w:space="0" w:color="FFFFFF"/>
              <w:left w:val="nil"/>
              <w:bottom w:val="single" w:sz="4" w:space="0" w:color="FFFFFF"/>
              <w:right w:val="single" w:sz="4" w:space="0" w:color="FFFFFF"/>
            </w:tcBorders>
            <w:shd w:val="clear" w:color="D9E1F2" w:fill="D9E1F2"/>
          </w:tcPr>
          <w:p w14:paraId="34DEFE35" w14:textId="4B0CEEE7"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740" w:type="dxa"/>
            <w:tcBorders>
              <w:top w:val="single" w:sz="4" w:space="0" w:color="FFFFFF"/>
              <w:left w:val="nil"/>
              <w:bottom w:val="single" w:sz="4" w:space="0" w:color="FFFFFF"/>
              <w:right w:val="single" w:sz="4" w:space="0" w:color="FFFFFF"/>
            </w:tcBorders>
            <w:shd w:val="clear" w:color="D9E1F2" w:fill="D9E1F2"/>
            <w:noWrap/>
            <w:vAlign w:val="bottom"/>
            <w:hideMark/>
          </w:tcPr>
          <w:p w14:paraId="637872AF" w14:textId="5D522EEC"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Pedro Pinula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ED48C1A"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Q25,124,516.38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B0F83D5"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Q15,827,076.12</w:t>
            </w:r>
          </w:p>
        </w:tc>
        <w:tc>
          <w:tcPr>
            <w:tcW w:w="1200" w:type="dxa"/>
            <w:tcBorders>
              <w:top w:val="single" w:sz="4" w:space="0" w:color="FFFFFF"/>
              <w:left w:val="single" w:sz="4" w:space="0" w:color="FFFFFF"/>
              <w:bottom w:val="single" w:sz="4" w:space="0" w:color="FFFFFF"/>
              <w:right w:val="nil"/>
            </w:tcBorders>
            <w:shd w:val="clear" w:color="D9E1F2" w:fill="F9826F"/>
            <w:noWrap/>
            <w:vAlign w:val="bottom"/>
            <w:hideMark/>
          </w:tcPr>
          <w:p w14:paraId="7D4159AB"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62.99%</w:t>
            </w:r>
          </w:p>
        </w:tc>
      </w:tr>
      <w:tr w:rsidR="00BC2B6E" w:rsidRPr="003051CD" w14:paraId="32790477" w14:textId="77777777" w:rsidTr="00BC2B6E">
        <w:trPr>
          <w:trHeight w:val="300"/>
        </w:trPr>
        <w:tc>
          <w:tcPr>
            <w:tcW w:w="647" w:type="dxa"/>
            <w:tcBorders>
              <w:top w:val="single" w:sz="4" w:space="0" w:color="FFFFFF"/>
              <w:left w:val="nil"/>
              <w:bottom w:val="single" w:sz="4" w:space="0" w:color="FFFFFF"/>
              <w:right w:val="single" w:sz="4" w:space="0" w:color="FFFFFF"/>
            </w:tcBorders>
            <w:shd w:val="clear" w:color="B4C6E7" w:fill="B4C6E7"/>
          </w:tcPr>
          <w:p w14:paraId="2EFF7005" w14:textId="4A35FB52"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740" w:type="dxa"/>
            <w:tcBorders>
              <w:top w:val="single" w:sz="4" w:space="0" w:color="FFFFFF"/>
              <w:left w:val="nil"/>
              <w:bottom w:val="single" w:sz="4" w:space="0" w:color="FFFFFF"/>
              <w:right w:val="single" w:sz="4" w:space="0" w:color="FFFFFF"/>
            </w:tcBorders>
            <w:shd w:val="clear" w:color="B4C6E7" w:fill="B4C6E7"/>
            <w:noWrap/>
            <w:vAlign w:val="bottom"/>
            <w:hideMark/>
          </w:tcPr>
          <w:p w14:paraId="2FA93C90" w14:textId="69CB155D"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Manuel Chaparrón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A8521CE"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Q16,402,519.80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06E85DF"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Q10,287,380.14</w:t>
            </w:r>
          </w:p>
        </w:tc>
        <w:tc>
          <w:tcPr>
            <w:tcW w:w="1200" w:type="dxa"/>
            <w:tcBorders>
              <w:top w:val="single" w:sz="4" w:space="0" w:color="FFFFFF"/>
              <w:left w:val="single" w:sz="4" w:space="0" w:color="FFFFFF"/>
              <w:bottom w:val="single" w:sz="4" w:space="0" w:color="FFFFFF"/>
              <w:right w:val="nil"/>
            </w:tcBorders>
            <w:shd w:val="clear" w:color="B4C6E7" w:fill="F9806F"/>
            <w:noWrap/>
            <w:vAlign w:val="bottom"/>
            <w:hideMark/>
          </w:tcPr>
          <w:p w14:paraId="1B129208"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62.72%</w:t>
            </w:r>
          </w:p>
        </w:tc>
      </w:tr>
      <w:tr w:rsidR="00BC2B6E" w:rsidRPr="003051CD" w14:paraId="778482BB" w14:textId="77777777" w:rsidTr="00BC2B6E">
        <w:trPr>
          <w:trHeight w:val="300"/>
        </w:trPr>
        <w:tc>
          <w:tcPr>
            <w:tcW w:w="647" w:type="dxa"/>
            <w:tcBorders>
              <w:top w:val="single" w:sz="4" w:space="0" w:color="FFFFFF"/>
              <w:left w:val="nil"/>
              <w:bottom w:val="nil"/>
              <w:right w:val="single" w:sz="4" w:space="0" w:color="FFFFFF"/>
            </w:tcBorders>
            <w:shd w:val="clear" w:color="D9E1F2" w:fill="D9E1F2"/>
          </w:tcPr>
          <w:p w14:paraId="7F452C9F" w14:textId="13F745BE"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740" w:type="dxa"/>
            <w:tcBorders>
              <w:top w:val="single" w:sz="4" w:space="0" w:color="FFFFFF"/>
              <w:left w:val="nil"/>
              <w:bottom w:val="nil"/>
              <w:right w:val="single" w:sz="4" w:space="0" w:color="FFFFFF"/>
            </w:tcBorders>
            <w:shd w:val="clear" w:color="D9E1F2" w:fill="D9E1F2"/>
            <w:noWrap/>
            <w:vAlign w:val="bottom"/>
            <w:hideMark/>
          </w:tcPr>
          <w:p w14:paraId="67AD0E9D" w14:textId="1879447D"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Monjas</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75167E84"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Q14,304,056.22</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7B0073DA"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Q8,292,324.88</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5B697398"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57.97%</w:t>
            </w:r>
          </w:p>
        </w:tc>
      </w:tr>
    </w:tbl>
    <w:p w14:paraId="31982B15" w14:textId="3770B8A6"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35B994E1"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p>
    <w:p w14:paraId="2B9143D2"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p>
    <w:p w14:paraId="7EE39F16" w14:textId="17B0C076" w:rsidR="00693BD9" w:rsidRPr="00C75033" w:rsidRDefault="00693BD9" w:rsidP="00C75033">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C75033">
        <w:rPr>
          <w:rFonts w:ascii="Helvetica" w:eastAsia="Times New Roman" w:hAnsi="Helvetica" w:cs="Helvetica"/>
          <w:b/>
          <w:color w:val="002060"/>
          <w:sz w:val="28"/>
          <w:szCs w:val="28"/>
          <w:lang w:val="es-ES"/>
        </w:rPr>
        <w:t>El Quiché</w:t>
      </w:r>
    </w:p>
    <w:p w14:paraId="7D5AF9FD"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p>
    <w:p w14:paraId="26354770" w14:textId="637594B9"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60.28%. Los municipios con mayor ejecución son: Chicamán 87.40%, San Bartolomé Jocotenango 75.40% y Zacualpa con 69.44%. Es importante evidenciar que la información consignada por Pachalum, solo registra la meta financiera vigente, más no, la ejecución financiera.</w:t>
      </w:r>
      <w:r>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 xml:space="preserve">Asimismo, San Antonio Ilotenango, reportó un porcentaje superior al 100% de la ejecución. Cabe mencionar que Chiché, </w:t>
      </w:r>
      <w:proofErr w:type="spellStart"/>
      <w:r w:rsidRPr="003051CD">
        <w:rPr>
          <w:rFonts w:ascii="Helvetica" w:eastAsia="Times New Roman" w:hAnsi="Helvetica" w:cs="Helvetica"/>
          <w:sz w:val="24"/>
          <w:szCs w:val="24"/>
          <w:lang w:val="es-ES"/>
        </w:rPr>
        <w:t>Chichicastenango</w:t>
      </w:r>
      <w:proofErr w:type="spellEnd"/>
      <w:r w:rsidRPr="003051CD">
        <w:rPr>
          <w:rFonts w:ascii="Helvetica" w:eastAsia="Times New Roman" w:hAnsi="Helvetica" w:cs="Helvetica"/>
          <w:sz w:val="24"/>
          <w:szCs w:val="24"/>
          <w:lang w:val="es-ES"/>
        </w:rPr>
        <w:t xml:space="preserve">, </w:t>
      </w:r>
      <w:proofErr w:type="spellStart"/>
      <w:r w:rsidRPr="003051CD">
        <w:rPr>
          <w:rFonts w:ascii="Helvetica" w:eastAsia="Times New Roman" w:hAnsi="Helvetica" w:cs="Helvetica"/>
          <w:sz w:val="24"/>
          <w:szCs w:val="24"/>
          <w:lang w:val="es-ES"/>
        </w:rPr>
        <w:t>Chinique</w:t>
      </w:r>
      <w:proofErr w:type="spellEnd"/>
      <w:r w:rsidRPr="003051CD">
        <w:rPr>
          <w:rFonts w:ascii="Helvetica" w:eastAsia="Times New Roman" w:hAnsi="Helvetica" w:cs="Helvetica"/>
          <w:sz w:val="24"/>
          <w:szCs w:val="24"/>
          <w:lang w:val="es-ES"/>
        </w:rPr>
        <w:t xml:space="preserve">, </w:t>
      </w:r>
      <w:proofErr w:type="spellStart"/>
      <w:r w:rsidRPr="003051CD">
        <w:rPr>
          <w:rFonts w:ascii="Helvetica" w:eastAsia="Times New Roman" w:hAnsi="Helvetica" w:cs="Helvetica"/>
          <w:sz w:val="24"/>
          <w:szCs w:val="24"/>
          <w:lang w:val="es-ES"/>
        </w:rPr>
        <w:t>Cunén</w:t>
      </w:r>
      <w:proofErr w:type="spellEnd"/>
      <w:r w:rsidRPr="003051CD">
        <w:rPr>
          <w:rFonts w:ascii="Helvetica" w:eastAsia="Times New Roman" w:hAnsi="Helvetica" w:cs="Helvetica"/>
          <w:sz w:val="24"/>
          <w:szCs w:val="24"/>
          <w:lang w:val="es-ES"/>
        </w:rPr>
        <w:t xml:space="preserve">, </w:t>
      </w:r>
      <w:proofErr w:type="spellStart"/>
      <w:r w:rsidRPr="003051CD">
        <w:rPr>
          <w:rFonts w:ascii="Helvetica" w:eastAsia="Times New Roman" w:hAnsi="Helvetica" w:cs="Helvetica"/>
          <w:sz w:val="24"/>
          <w:szCs w:val="24"/>
          <w:lang w:val="es-ES"/>
        </w:rPr>
        <w:t>Joyabaj</w:t>
      </w:r>
      <w:proofErr w:type="spellEnd"/>
      <w:r w:rsidRPr="003051CD">
        <w:rPr>
          <w:rFonts w:ascii="Helvetica" w:eastAsia="Times New Roman" w:hAnsi="Helvetica" w:cs="Helvetica"/>
          <w:sz w:val="24"/>
          <w:szCs w:val="24"/>
          <w:lang w:val="es-ES"/>
        </w:rPr>
        <w:t xml:space="preserve">, </w:t>
      </w:r>
      <w:proofErr w:type="spellStart"/>
      <w:r w:rsidRPr="003051CD">
        <w:rPr>
          <w:rFonts w:ascii="Helvetica" w:eastAsia="Times New Roman" w:hAnsi="Helvetica" w:cs="Helvetica"/>
          <w:sz w:val="24"/>
          <w:szCs w:val="24"/>
          <w:lang w:val="es-ES"/>
        </w:rPr>
        <w:t>Sacapulas</w:t>
      </w:r>
      <w:proofErr w:type="spellEnd"/>
      <w:r w:rsidRPr="003051CD">
        <w:rPr>
          <w:rFonts w:ascii="Helvetica" w:eastAsia="Times New Roman" w:hAnsi="Helvetica" w:cs="Helvetica"/>
          <w:sz w:val="24"/>
          <w:szCs w:val="24"/>
          <w:lang w:val="es-ES"/>
        </w:rPr>
        <w:t xml:space="preserve">, </w:t>
      </w:r>
      <w:proofErr w:type="spellStart"/>
      <w:r w:rsidRPr="003051CD">
        <w:rPr>
          <w:rFonts w:ascii="Helvetica" w:eastAsia="Times New Roman" w:hAnsi="Helvetica" w:cs="Helvetica"/>
          <w:sz w:val="24"/>
          <w:szCs w:val="24"/>
          <w:lang w:val="es-ES"/>
        </w:rPr>
        <w:t>Patzité</w:t>
      </w:r>
      <w:proofErr w:type="spellEnd"/>
      <w:r w:rsidRPr="003051CD">
        <w:rPr>
          <w:rFonts w:ascii="Helvetica" w:eastAsia="Times New Roman" w:hAnsi="Helvetica" w:cs="Helvetica"/>
          <w:sz w:val="24"/>
          <w:szCs w:val="24"/>
          <w:lang w:val="es-ES"/>
        </w:rPr>
        <w:t xml:space="preserve">, </w:t>
      </w:r>
      <w:proofErr w:type="spellStart"/>
      <w:r w:rsidRPr="003051CD">
        <w:rPr>
          <w:rFonts w:ascii="Helvetica" w:eastAsia="Times New Roman" w:hAnsi="Helvetica" w:cs="Helvetica"/>
          <w:sz w:val="24"/>
          <w:szCs w:val="24"/>
          <w:lang w:val="es-ES"/>
        </w:rPr>
        <w:t>Pachalum</w:t>
      </w:r>
      <w:proofErr w:type="spellEnd"/>
      <w:r w:rsidRPr="003051CD">
        <w:rPr>
          <w:rFonts w:ascii="Helvetica" w:eastAsia="Times New Roman" w:hAnsi="Helvetica" w:cs="Helvetica"/>
          <w:sz w:val="24"/>
          <w:szCs w:val="24"/>
          <w:lang w:val="es-ES"/>
        </w:rPr>
        <w:t xml:space="preserve">, </w:t>
      </w:r>
      <w:proofErr w:type="spellStart"/>
      <w:r w:rsidRPr="003051CD">
        <w:rPr>
          <w:rFonts w:ascii="Helvetica" w:eastAsia="Times New Roman" w:hAnsi="Helvetica" w:cs="Helvetica"/>
          <w:sz w:val="24"/>
          <w:szCs w:val="24"/>
          <w:lang w:val="es-ES"/>
        </w:rPr>
        <w:t>Ixcán</w:t>
      </w:r>
      <w:proofErr w:type="spellEnd"/>
      <w:r w:rsidRPr="003051CD">
        <w:rPr>
          <w:rFonts w:ascii="Helvetica" w:eastAsia="Times New Roman" w:hAnsi="Helvetica" w:cs="Helvetica"/>
          <w:sz w:val="24"/>
          <w:szCs w:val="24"/>
          <w:lang w:val="es-ES"/>
        </w:rPr>
        <w:t>, San Juan Cotzal y San Pedro Jocopilas; no presentaron el tercer informe cuatrimestral.</w:t>
      </w:r>
      <w:r w:rsidR="00F407CB">
        <w:rPr>
          <w:rFonts w:ascii="Helvetica" w:eastAsia="Times New Roman" w:hAnsi="Helvetica" w:cs="Helvetica"/>
          <w:sz w:val="24"/>
          <w:szCs w:val="24"/>
          <w:lang w:val="es-ES"/>
        </w:rPr>
        <w:t xml:space="preserve"> Ver tabla 21</w:t>
      </w:r>
    </w:p>
    <w:p w14:paraId="4D412DE7" w14:textId="77777777" w:rsidR="00F407CB" w:rsidRPr="003051CD"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5AFCE11" w14:textId="77EA7810" w:rsidR="00693BD9" w:rsidRPr="00016865" w:rsidRDefault="00F407CB" w:rsidP="00016865">
      <w:pPr>
        <w:pStyle w:val="ttulosgrficas"/>
        <w:rPr>
          <w:rFonts w:eastAsia="Times New Roman"/>
          <w:color w:val="4472C4" w:themeColor="accent1"/>
          <w:lang w:val="es-ES"/>
        </w:rPr>
      </w:pPr>
      <w:bookmarkStart w:id="54" w:name="_Toc67589134"/>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21</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El Quiché</w:t>
      </w:r>
      <w:bookmarkEnd w:id="54"/>
    </w:p>
    <w:p w14:paraId="72E65581" w14:textId="77777777" w:rsidR="00BC2B6E" w:rsidRPr="003051CD" w:rsidRDefault="00BC2B6E" w:rsidP="00BC2B6E">
      <w:pPr>
        <w:pStyle w:val="ttulosgrficas"/>
        <w:spacing w:line="120" w:lineRule="auto"/>
        <w:rPr>
          <w:lang w:val="es-ES"/>
        </w:rPr>
      </w:pPr>
    </w:p>
    <w:tbl>
      <w:tblPr>
        <w:tblW w:w="8572" w:type="dxa"/>
        <w:tblInd w:w="212" w:type="dxa"/>
        <w:tblCellMar>
          <w:left w:w="70" w:type="dxa"/>
          <w:right w:w="70" w:type="dxa"/>
        </w:tblCellMar>
        <w:tblLook w:val="04A0" w:firstRow="1" w:lastRow="0" w:firstColumn="1" w:lastColumn="0" w:noHBand="0" w:noVBand="1"/>
      </w:tblPr>
      <w:tblGrid>
        <w:gridCol w:w="527"/>
        <w:gridCol w:w="2988"/>
        <w:gridCol w:w="1995"/>
        <w:gridCol w:w="1995"/>
        <w:gridCol w:w="146"/>
        <w:gridCol w:w="1274"/>
      </w:tblGrid>
      <w:tr w:rsidR="00BC2B6E" w:rsidRPr="003051CD" w14:paraId="4A551279" w14:textId="77777777" w:rsidTr="00216644">
        <w:trPr>
          <w:trHeight w:val="309"/>
        </w:trPr>
        <w:tc>
          <w:tcPr>
            <w:tcW w:w="483" w:type="dxa"/>
            <w:tcBorders>
              <w:top w:val="nil"/>
              <w:left w:val="nil"/>
              <w:bottom w:val="single" w:sz="12" w:space="0" w:color="FFFFFF"/>
              <w:right w:val="single" w:sz="4" w:space="0" w:color="FFFFFF"/>
            </w:tcBorders>
            <w:shd w:val="clear" w:color="4472C4" w:fill="4472C4"/>
            <w:vAlign w:val="center"/>
          </w:tcPr>
          <w:p w14:paraId="700252C4" w14:textId="24A61C09"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988" w:type="dxa"/>
            <w:tcBorders>
              <w:top w:val="nil"/>
              <w:left w:val="nil"/>
              <w:bottom w:val="single" w:sz="12" w:space="0" w:color="FFFFFF"/>
              <w:right w:val="single" w:sz="4" w:space="0" w:color="FFFFFF"/>
            </w:tcBorders>
            <w:shd w:val="clear" w:color="4472C4" w:fill="4472C4"/>
            <w:noWrap/>
            <w:vAlign w:val="center"/>
            <w:hideMark/>
          </w:tcPr>
          <w:p w14:paraId="648128FB" w14:textId="0588E693"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973" w:type="dxa"/>
            <w:tcBorders>
              <w:top w:val="nil"/>
              <w:left w:val="nil"/>
              <w:bottom w:val="single" w:sz="12" w:space="0" w:color="FFFFFF"/>
              <w:right w:val="single" w:sz="4" w:space="0" w:color="FFFFFF"/>
            </w:tcBorders>
            <w:shd w:val="clear" w:color="4472C4" w:fill="4472C4"/>
            <w:noWrap/>
            <w:vAlign w:val="center"/>
            <w:hideMark/>
          </w:tcPr>
          <w:p w14:paraId="4A0E17F9"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828" w:type="dxa"/>
            <w:tcBorders>
              <w:top w:val="nil"/>
              <w:left w:val="nil"/>
              <w:bottom w:val="single" w:sz="12" w:space="0" w:color="FFFFFF"/>
              <w:right w:val="single" w:sz="4" w:space="0" w:color="FFFFFF"/>
            </w:tcBorders>
            <w:shd w:val="clear" w:color="4472C4" w:fill="4472C4"/>
            <w:noWrap/>
            <w:vAlign w:val="center"/>
            <w:hideMark/>
          </w:tcPr>
          <w:p w14:paraId="19BA8FCA"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33" w:type="dxa"/>
            <w:tcBorders>
              <w:top w:val="nil"/>
              <w:left w:val="nil"/>
              <w:bottom w:val="single" w:sz="12" w:space="0" w:color="FFFFFF"/>
              <w:right w:val="nil"/>
            </w:tcBorders>
            <w:shd w:val="clear" w:color="4472C4" w:fill="4472C4"/>
            <w:vAlign w:val="center"/>
          </w:tcPr>
          <w:p w14:paraId="252AF42D"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p>
        </w:tc>
        <w:tc>
          <w:tcPr>
            <w:tcW w:w="1167" w:type="dxa"/>
            <w:tcBorders>
              <w:top w:val="nil"/>
              <w:left w:val="nil"/>
              <w:bottom w:val="single" w:sz="12" w:space="0" w:color="FFFFFF"/>
              <w:right w:val="nil"/>
            </w:tcBorders>
            <w:shd w:val="clear" w:color="4472C4" w:fill="4472C4"/>
            <w:noWrap/>
            <w:vAlign w:val="center"/>
            <w:hideMark/>
          </w:tcPr>
          <w:p w14:paraId="7BE63A3C"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BC2B6E" w:rsidRPr="003051CD" w14:paraId="38CE5D58" w14:textId="77777777" w:rsidTr="00216644">
        <w:trPr>
          <w:trHeight w:val="309"/>
        </w:trPr>
        <w:tc>
          <w:tcPr>
            <w:tcW w:w="483" w:type="dxa"/>
            <w:tcBorders>
              <w:top w:val="single" w:sz="4" w:space="0" w:color="FFFFFF"/>
              <w:left w:val="nil"/>
              <w:bottom w:val="single" w:sz="4" w:space="0" w:color="FFFFFF"/>
              <w:right w:val="single" w:sz="4" w:space="0" w:color="FFFFFF"/>
            </w:tcBorders>
            <w:shd w:val="clear" w:color="4472C4" w:fill="4472C4"/>
          </w:tcPr>
          <w:p w14:paraId="189B7C41"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988" w:type="dxa"/>
            <w:tcBorders>
              <w:top w:val="single" w:sz="4" w:space="0" w:color="FFFFFF"/>
              <w:left w:val="nil"/>
              <w:bottom w:val="single" w:sz="4" w:space="0" w:color="FFFFFF"/>
              <w:right w:val="single" w:sz="4" w:space="0" w:color="FFFFFF"/>
            </w:tcBorders>
            <w:shd w:val="clear" w:color="4472C4" w:fill="4472C4"/>
            <w:noWrap/>
            <w:vAlign w:val="bottom"/>
            <w:hideMark/>
          </w:tcPr>
          <w:p w14:paraId="3CB27D68" w14:textId="242E205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73" w:type="dxa"/>
            <w:tcBorders>
              <w:top w:val="single" w:sz="4" w:space="0" w:color="FFFFFF"/>
              <w:left w:val="single" w:sz="4" w:space="0" w:color="FFFFFF"/>
              <w:bottom w:val="single" w:sz="4" w:space="0" w:color="FFFFFF"/>
              <w:right w:val="single" w:sz="4" w:space="0" w:color="FFFFFF"/>
            </w:tcBorders>
            <w:shd w:val="clear" w:color="4472C4" w:fill="4472C4"/>
            <w:noWrap/>
            <w:vAlign w:val="bottom"/>
            <w:hideMark/>
          </w:tcPr>
          <w:p w14:paraId="2681C34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Q233,433,512.85</w:t>
            </w:r>
          </w:p>
        </w:tc>
        <w:tc>
          <w:tcPr>
            <w:tcW w:w="1828" w:type="dxa"/>
            <w:tcBorders>
              <w:top w:val="single" w:sz="4" w:space="0" w:color="FFFFFF"/>
              <w:left w:val="single" w:sz="4" w:space="0" w:color="FFFFFF"/>
              <w:bottom w:val="single" w:sz="4" w:space="0" w:color="FFFFFF"/>
              <w:right w:val="single" w:sz="4" w:space="0" w:color="FFFFFF"/>
            </w:tcBorders>
            <w:shd w:val="clear" w:color="4472C4" w:fill="4472C4"/>
            <w:noWrap/>
            <w:vAlign w:val="bottom"/>
            <w:hideMark/>
          </w:tcPr>
          <w:p w14:paraId="5B2CE24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Q140,710,029.15</w:t>
            </w:r>
          </w:p>
        </w:tc>
        <w:tc>
          <w:tcPr>
            <w:tcW w:w="133" w:type="dxa"/>
            <w:tcBorders>
              <w:top w:val="single" w:sz="4" w:space="0" w:color="FFFFFF"/>
              <w:left w:val="single" w:sz="4" w:space="0" w:color="FFFFFF"/>
              <w:bottom w:val="single" w:sz="4" w:space="0" w:color="FFFFFF"/>
              <w:right w:val="single" w:sz="4" w:space="0" w:color="FFFFFF"/>
            </w:tcBorders>
            <w:shd w:val="clear" w:color="4472C4" w:fill="FDCA7D"/>
          </w:tcPr>
          <w:p w14:paraId="63F221D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4472C4" w:fill="FDCA7D"/>
            <w:noWrap/>
            <w:vAlign w:val="bottom"/>
            <w:hideMark/>
          </w:tcPr>
          <w:p w14:paraId="5B0A64E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60.28%</w:t>
            </w:r>
          </w:p>
        </w:tc>
      </w:tr>
      <w:tr w:rsidR="00BC2B6E" w:rsidRPr="003051CD" w14:paraId="0BC1FA4E"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69A035E0" w14:textId="138E48E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5FDFC7DE" w14:textId="1FFA8A81"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Antonio Ilotenango</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70373C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Q15,893,796.35</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A7C805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Q21,213,705.58</w:t>
            </w:r>
          </w:p>
        </w:tc>
        <w:tc>
          <w:tcPr>
            <w:tcW w:w="133" w:type="dxa"/>
            <w:tcBorders>
              <w:top w:val="single" w:sz="4" w:space="0" w:color="FFFFFF"/>
              <w:left w:val="single" w:sz="4" w:space="0" w:color="FFFFFF"/>
              <w:bottom w:val="single" w:sz="4" w:space="0" w:color="FFFFFF"/>
              <w:right w:val="single" w:sz="4" w:space="0" w:color="FFFFFF"/>
            </w:tcBorders>
            <w:shd w:val="clear" w:color="D9E1F2" w:fill="00B050"/>
          </w:tcPr>
          <w:p w14:paraId="2555540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00B050"/>
            <w:noWrap/>
            <w:vAlign w:val="bottom"/>
            <w:hideMark/>
          </w:tcPr>
          <w:p w14:paraId="5585DED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133.47%</w:t>
            </w:r>
          </w:p>
        </w:tc>
      </w:tr>
      <w:tr w:rsidR="00BC2B6E" w:rsidRPr="003051CD" w14:paraId="11DDD7F3"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241CB959" w14:textId="5490AD20"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2BAC37E9" w14:textId="423FC95C"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Chicamán</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8E9BA9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Q13,521,698.09</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9A8F22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Q11,818,100.70</w:t>
            </w:r>
          </w:p>
        </w:tc>
        <w:tc>
          <w:tcPr>
            <w:tcW w:w="133" w:type="dxa"/>
            <w:tcBorders>
              <w:top w:val="single" w:sz="4" w:space="0" w:color="FFFFFF"/>
              <w:left w:val="single" w:sz="4" w:space="0" w:color="FFFFFF"/>
              <w:bottom w:val="single" w:sz="4" w:space="0" w:color="FFFFFF"/>
              <w:right w:val="single" w:sz="4" w:space="0" w:color="FFFFFF"/>
            </w:tcBorders>
            <w:shd w:val="clear" w:color="B4C6E7" w:fill="DDE37D"/>
          </w:tcPr>
          <w:p w14:paraId="315D8E5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DDE37D"/>
            <w:noWrap/>
            <w:vAlign w:val="bottom"/>
            <w:hideMark/>
          </w:tcPr>
          <w:p w14:paraId="6D2A7BD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87.40%</w:t>
            </w:r>
          </w:p>
        </w:tc>
      </w:tr>
      <w:tr w:rsidR="00BC2B6E" w:rsidRPr="003051CD" w14:paraId="5961B142"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68416F8C" w14:textId="4D4E763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06B24E09" w14:textId="7CFF4686"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Bartolomé Jocotenango</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168711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Q14,070,550.00</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EC6125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Q10,609,257.26</w:t>
            </w:r>
          </w:p>
        </w:tc>
        <w:tc>
          <w:tcPr>
            <w:tcW w:w="133" w:type="dxa"/>
            <w:tcBorders>
              <w:top w:val="single" w:sz="4" w:space="0" w:color="FFFFFF"/>
              <w:left w:val="single" w:sz="4" w:space="0" w:color="FFFFFF"/>
              <w:bottom w:val="single" w:sz="4" w:space="0" w:color="FFFFFF"/>
              <w:right w:val="single" w:sz="4" w:space="0" w:color="FFFFFF"/>
            </w:tcBorders>
            <w:shd w:val="clear" w:color="D9E1F2" w:fill="FEE382"/>
          </w:tcPr>
          <w:p w14:paraId="2FBB18F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EE382"/>
            <w:noWrap/>
            <w:vAlign w:val="bottom"/>
            <w:hideMark/>
          </w:tcPr>
          <w:p w14:paraId="37B9439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75.40%</w:t>
            </w:r>
          </w:p>
        </w:tc>
      </w:tr>
      <w:tr w:rsidR="00BC2B6E" w:rsidRPr="003051CD" w14:paraId="0D998E99"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7C8F5265" w14:textId="561A3B21"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13DA0D24" w14:textId="31614B37"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Zacualpa</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F36E19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Q14,886,118.00</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7792A94"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Q10,336,893.00</w:t>
            </w:r>
          </w:p>
        </w:tc>
        <w:tc>
          <w:tcPr>
            <w:tcW w:w="133" w:type="dxa"/>
            <w:tcBorders>
              <w:top w:val="single" w:sz="4" w:space="0" w:color="FFFFFF"/>
              <w:left w:val="single" w:sz="4" w:space="0" w:color="FFFFFF"/>
              <w:bottom w:val="single" w:sz="4" w:space="0" w:color="FFFFFF"/>
              <w:right w:val="single" w:sz="4" w:space="0" w:color="FFFFFF"/>
            </w:tcBorders>
            <w:shd w:val="clear" w:color="B4C6E7" w:fill="FED980"/>
          </w:tcPr>
          <w:p w14:paraId="2E636FF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ED980"/>
            <w:noWrap/>
            <w:vAlign w:val="bottom"/>
            <w:hideMark/>
          </w:tcPr>
          <w:p w14:paraId="37CB4EC4"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69.44%</w:t>
            </w:r>
          </w:p>
        </w:tc>
      </w:tr>
      <w:tr w:rsidR="00BC2B6E" w:rsidRPr="003051CD" w14:paraId="76456F64"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6BEC5A48" w14:textId="475B3356"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57002B71" w14:textId="1FFFF4D7"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Cruz del Quich</w:t>
            </w:r>
            <w:r w:rsidR="009F235F">
              <w:rPr>
                <w:rFonts w:ascii="Helvetica" w:eastAsia="Times New Roman" w:hAnsi="Helvetica" w:cs="Helvetica"/>
                <w:sz w:val="24"/>
                <w:szCs w:val="24"/>
                <w:lang w:val="es-ES"/>
              </w:rPr>
              <w:t>é</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C8F802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Q38,558,669.07</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834BD9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Q24,175,634.84</w:t>
            </w:r>
          </w:p>
        </w:tc>
        <w:tc>
          <w:tcPr>
            <w:tcW w:w="133" w:type="dxa"/>
            <w:tcBorders>
              <w:top w:val="single" w:sz="4" w:space="0" w:color="FFFFFF"/>
              <w:left w:val="single" w:sz="4" w:space="0" w:color="FFFFFF"/>
              <w:bottom w:val="single" w:sz="4" w:space="0" w:color="FFFFFF"/>
              <w:right w:val="single" w:sz="4" w:space="0" w:color="FFFFFF"/>
            </w:tcBorders>
            <w:shd w:val="clear" w:color="D9E1F2" w:fill="FDCE7E"/>
          </w:tcPr>
          <w:p w14:paraId="4A5A777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DCE7E"/>
            <w:noWrap/>
            <w:vAlign w:val="bottom"/>
            <w:hideMark/>
          </w:tcPr>
          <w:p w14:paraId="0BA5E4C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62.70%</w:t>
            </w:r>
          </w:p>
        </w:tc>
      </w:tr>
      <w:tr w:rsidR="00BC2B6E" w:rsidRPr="003051CD" w14:paraId="28B0A815"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57BD7569" w14:textId="10CD35A0"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60CF40C5" w14:textId="6550619B"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Canillá</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9F49FB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Q10,526,491.34</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89FA9F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Q6,506,472.06</w:t>
            </w:r>
          </w:p>
        </w:tc>
        <w:tc>
          <w:tcPr>
            <w:tcW w:w="133" w:type="dxa"/>
            <w:tcBorders>
              <w:top w:val="single" w:sz="4" w:space="0" w:color="FFFFFF"/>
              <w:left w:val="single" w:sz="4" w:space="0" w:color="FFFFFF"/>
              <w:bottom w:val="single" w:sz="4" w:space="0" w:color="FFFFFF"/>
              <w:right w:val="single" w:sz="4" w:space="0" w:color="FFFFFF"/>
            </w:tcBorders>
            <w:shd w:val="clear" w:color="B4C6E7" w:fill="FDCD7E"/>
          </w:tcPr>
          <w:p w14:paraId="7047251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DCD7E"/>
            <w:noWrap/>
            <w:vAlign w:val="bottom"/>
            <w:hideMark/>
          </w:tcPr>
          <w:p w14:paraId="7466D97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61.81%</w:t>
            </w:r>
          </w:p>
        </w:tc>
      </w:tr>
      <w:tr w:rsidR="00BC2B6E" w:rsidRPr="003051CD" w14:paraId="083C0B81"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44DC84CA" w14:textId="2B8EE443"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1C2CF3FD" w14:textId="1A4E31E3"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Uspantán</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98F9E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Q29,270,923.06</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EB7768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Q17,713,350.87</w:t>
            </w:r>
          </w:p>
        </w:tc>
        <w:tc>
          <w:tcPr>
            <w:tcW w:w="133" w:type="dxa"/>
            <w:tcBorders>
              <w:top w:val="single" w:sz="4" w:space="0" w:color="FFFFFF"/>
              <w:left w:val="single" w:sz="4" w:space="0" w:color="FFFFFF"/>
              <w:bottom w:val="single" w:sz="4" w:space="0" w:color="FFFFFF"/>
              <w:right w:val="single" w:sz="4" w:space="0" w:color="FFFFFF"/>
            </w:tcBorders>
            <w:shd w:val="clear" w:color="D9E1F2" w:fill="FDCB7D"/>
          </w:tcPr>
          <w:p w14:paraId="7F4AAC3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DCB7D"/>
            <w:noWrap/>
            <w:vAlign w:val="bottom"/>
            <w:hideMark/>
          </w:tcPr>
          <w:p w14:paraId="6EBDF3B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60.52%</w:t>
            </w:r>
          </w:p>
        </w:tc>
      </w:tr>
      <w:tr w:rsidR="00BC2B6E" w:rsidRPr="003051CD" w14:paraId="4B6A98A5"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3D610751" w14:textId="23D7AD77"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0291FAC1" w14:textId="5ADF237B"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Andrés Sajcabajá</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54D7C0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Q19,857,028.05</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89B0D8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Q11,764,807.89</w:t>
            </w:r>
          </w:p>
        </w:tc>
        <w:tc>
          <w:tcPr>
            <w:tcW w:w="133" w:type="dxa"/>
            <w:tcBorders>
              <w:top w:val="single" w:sz="4" w:space="0" w:color="FFFFFF"/>
              <w:left w:val="single" w:sz="4" w:space="0" w:color="FFFFFF"/>
              <w:bottom w:val="single" w:sz="4" w:space="0" w:color="FFFFFF"/>
              <w:right w:val="single" w:sz="4" w:space="0" w:color="FFFFFF"/>
            </w:tcBorders>
            <w:shd w:val="clear" w:color="B4C6E7" w:fill="FDC97D"/>
          </w:tcPr>
          <w:p w14:paraId="6F63CD3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DC97D"/>
            <w:noWrap/>
            <w:vAlign w:val="bottom"/>
            <w:hideMark/>
          </w:tcPr>
          <w:p w14:paraId="62C5701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59.25%</w:t>
            </w:r>
          </w:p>
        </w:tc>
      </w:tr>
      <w:tr w:rsidR="00BC2B6E" w:rsidRPr="003051CD" w14:paraId="654E8BA2"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33381FB7" w14:textId="242680E1"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536ECDCD" w14:textId="4E627BE7"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Chajul</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CDA25D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Q28,502,237.88</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7EA5FF4"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Q13,873,403.10</w:t>
            </w:r>
          </w:p>
        </w:tc>
        <w:tc>
          <w:tcPr>
            <w:tcW w:w="133" w:type="dxa"/>
            <w:tcBorders>
              <w:top w:val="single" w:sz="4" w:space="0" w:color="FFFFFF"/>
              <w:left w:val="single" w:sz="4" w:space="0" w:color="FFFFFF"/>
              <w:bottom w:val="single" w:sz="4" w:space="0" w:color="FFFFFF"/>
              <w:right w:val="single" w:sz="4" w:space="0" w:color="FFFFFF"/>
            </w:tcBorders>
            <w:shd w:val="clear" w:color="D9E1F2" w:fill="FCB87A"/>
          </w:tcPr>
          <w:p w14:paraId="356FEBF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CB87A"/>
            <w:noWrap/>
            <w:vAlign w:val="bottom"/>
            <w:hideMark/>
          </w:tcPr>
          <w:p w14:paraId="21BCDBF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48.67%</w:t>
            </w:r>
          </w:p>
        </w:tc>
      </w:tr>
      <w:tr w:rsidR="00BC2B6E" w:rsidRPr="003051CD" w14:paraId="074FF2D4"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386B5379" w14:textId="2F90F781"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114FB2F3" w14:textId="0B257E4F"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Nebaj</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990D9B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Q34,324,040.00</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4FDE9C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Q12,698,403.85</w:t>
            </w:r>
          </w:p>
        </w:tc>
        <w:tc>
          <w:tcPr>
            <w:tcW w:w="133" w:type="dxa"/>
            <w:tcBorders>
              <w:top w:val="single" w:sz="4" w:space="0" w:color="FFFFFF"/>
              <w:left w:val="single" w:sz="4" w:space="0" w:color="FFFFFF"/>
              <w:bottom w:val="single" w:sz="4" w:space="0" w:color="FFFFFF"/>
              <w:right w:val="single" w:sz="4" w:space="0" w:color="FFFFFF"/>
            </w:tcBorders>
            <w:shd w:val="clear" w:color="B4C6E7" w:fill="FBA576"/>
          </w:tcPr>
          <w:p w14:paraId="1BFD262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BA576"/>
            <w:noWrap/>
            <w:vAlign w:val="bottom"/>
            <w:hideMark/>
          </w:tcPr>
          <w:p w14:paraId="59AE1B0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37.00%</w:t>
            </w:r>
          </w:p>
        </w:tc>
      </w:tr>
      <w:tr w:rsidR="00BC2B6E" w:rsidRPr="003051CD" w14:paraId="385CDD9F"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02F4EC66" w14:textId="637ABFD7"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2123583A" w14:textId="086E1A55"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Chiché</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3FC7F2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8A73CC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D9E1F2" w:fill="F8696B"/>
          </w:tcPr>
          <w:p w14:paraId="72D3AC4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8696B"/>
            <w:noWrap/>
            <w:vAlign w:val="bottom"/>
            <w:hideMark/>
          </w:tcPr>
          <w:p w14:paraId="3D85280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26F24568"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54F7E2AC" w14:textId="67033360"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5DAEF121" w14:textId="091DBD68"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Chichicastenango</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B656D0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D15ABC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B4C6E7" w:fill="F8696B"/>
          </w:tcPr>
          <w:p w14:paraId="636B7DC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8696B"/>
            <w:noWrap/>
            <w:vAlign w:val="bottom"/>
            <w:hideMark/>
          </w:tcPr>
          <w:p w14:paraId="2DC62E7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6E8DD572"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0DD68FBA" w14:textId="0AB1286D"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375D7203" w14:textId="44BFD18B"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Chinique</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6EB9EA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832440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D9E1F2" w:fill="F8696B"/>
          </w:tcPr>
          <w:p w14:paraId="6B68DF2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8696B"/>
            <w:noWrap/>
            <w:vAlign w:val="bottom"/>
            <w:hideMark/>
          </w:tcPr>
          <w:p w14:paraId="31463C8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318A4534"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728AE457" w14:textId="4C58C5A5"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524269A7" w14:textId="4B6DB666"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Cun</w:t>
            </w:r>
            <w:r w:rsidR="009F235F">
              <w:rPr>
                <w:rFonts w:ascii="Helvetica" w:eastAsia="Times New Roman" w:hAnsi="Helvetica" w:cs="Helvetica"/>
                <w:sz w:val="24"/>
                <w:szCs w:val="24"/>
                <w:lang w:val="es-ES"/>
              </w:rPr>
              <w:t>é</w:t>
            </w:r>
            <w:r w:rsidRPr="003051CD">
              <w:rPr>
                <w:rFonts w:ascii="Helvetica" w:eastAsia="Times New Roman" w:hAnsi="Helvetica" w:cs="Helvetica"/>
                <w:sz w:val="24"/>
                <w:szCs w:val="24"/>
                <w:lang w:val="es-ES"/>
              </w:rPr>
              <w:t>n</w:t>
            </w:r>
            <w:proofErr w:type="spellEnd"/>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8DC139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DE8859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B4C6E7" w:fill="F8696B"/>
          </w:tcPr>
          <w:p w14:paraId="2C599D64"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8696B"/>
            <w:noWrap/>
            <w:vAlign w:val="bottom"/>
            <w:hideMark/>
          </w:tcPr>
          <w:p w14:paraId="04F7CD4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25015051"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676C1387" w14:textId="0170A236"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208DA8C5" w14:textId="5566E500"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Joyabaj</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5904EF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C32BC9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D9E1F2" w:fill="F8696B"/>
          </w:tcPr>
          <w:p w14:paraId="017AAD2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8696B"/>
            <w:noWrap/>
            <w:vAlign w:val="bottom"/>
            <w:hideMark/>
          </w:tcPr>
          <w:p w14:paraId="5A525E8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3E80112D"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0EFAC601" w14:textId="2FFFCD6D"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3E72E840" w14:textId="38361CC7"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Sacapulas</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944BB4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CD0D54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B4C6E7" w:fill="F8696B"/>
          </w:tcPr>
          <w:p w14:paraId="3292D9C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8696B"/>
            <w:noWrap/>
            <w:vAlign w:val="bottom"/>
            <w:hideMark/>
          </w:tcPr>
          <w:p w14:paraId="46B8E6E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7CFD1F85"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77274007" w14:textId="4513D72E"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521FC795" w14:textId="458AC152"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Patzité</w:t>
            </w:r>
            <w:proofErr w:type="spellEnd"/>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8388FF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CF80C1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D9E1F2" w:fill="F8696B"/>
          </w:tcPr>
          <w:p w14:paraId="72F39C0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8696B"/>
            <w:noWrap/>
            <w:vAlign w:val="bottom"/>
            <w:hideMark/>
          </w:tcPr>
          <w:p w14:paraId="06B586B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7957501D"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4948D94F" w14:textId="2C719525"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18</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15AF2EC0" w14:textId="37D03332"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Pachalum</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CA131E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Q14,021,961.01</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F05111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B4C6E7" w:fill="F8696B"/>
          </w:tcPr>
          <w:p w14:paraId="106D57A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8696B"/>
            <w:noWrap/>
            <w:vAlign w:val="bottom"/>
            <w:hideMark/>
          </w:tcPr>
          <w:p w14:paraId="4DC77EC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0B82DB3A"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D9E1F2" w:fill="D9E1F2"/>
            <w:vAlign w:val="center"/>
          </w:tcPr>
          <w:p w14:paraId="5686F1F8" w14:textId="139210C2"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19</w:t>
            </w:r>
          </w:p>
        </w:tc>
        <w:tc>
          <w:tcPr>
            <w:tcW w:w="2988" w:type="dxa"/>
            <w:tcBorders>
              <w:top w:val="single" w:sz="4" w:space="0" w:color="FFFFFF"/>
              <w:left w:val="nil"/>
              <w:bottom w:val="single" w:sz="4" w:space="0" w:color="FFFFFF"/>
              <w:right w:val="single" w:sz="4" w:space="0" w:color="FFFFFF"/>
            </w:tcBorders>
            <w:shd w:val="clear" w:color="D9E1F2" w:fill="D9E1F2"/>
            <w:noWrap/>
            <w:vAlign w:val="bottom"/>
            <w:hideMark/>
          </w:tcPr>
          <w:p w14:paraId="25A94EBD" w14:textId="0AC584DE"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Ixcán</w:t>
            </w:r>
          </w:p>
        </w:tc>
        <w:tc>
          <w:tcPr>
            <w:tcW w:w="1973"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B3E793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6BCCA3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D9E1F2" w:fill="F8696B"/>
          </w:tcPr>
          <w:p w14:paraId="23A6391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8696B"/>
            <w:noWrap/>
            <w:vAlign w:val="bottom"/>
            <w:hideMark/>
          </w:tcPr>
          <w:p w14:paraId="3AE8AEB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5F01002B" w14:textId="77777777" w:rsidTr="00216644">
        <w:trPr>
          <w:trHeight w:val="295"/>
        </w:trPr>
        <w:tc>
          <w:tcPr>
            <w:tcW w:w="483" w:type="dxa"/>
            <w:tcBorders>
              <w:top w:val="single" w:sz="4" w:space="0" w:color="FFFFFF"/>
              <w:left w:val="nil"/>
              <w:bottom w:val="single" w:sz="4" w:space="0" w:color="FFFFFF"/>
              <w:right w:val="single" w:sz="4" w:space="0" w:color="FFFFFF"/>
            </w:tcBorders>
            <w:shd w:val="clear" w:color="B4C6E7" w:fill="B4C6E7"/>
            <w:vAlign w:val="center"/>
          </w:tcPr>
          <w:p w14:paraId="476BD578" w14:textId="51F4CDF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20</w:t>
            </w:r>
          </w:p>
        </w:tc>
        <w:tc>
          <w:tcPr>
            <w:tcW w:w="2988" w:type="dxa"/>
            <w:tcBorders>
              <w:top w:val="single" w:sz="4" w:space="0" w:color="FFFFFF"/>
              <w:left w:val="nil"/>
              <w:bottom w:val="single" w:sz="4" w:space="0" w:color="FFFFFF"/>
              <w:right w:val="single" w:sz="4" w:space="0" w:color="FFFFFF"/>
            </w:tcBorders>
            <w:shd w:val="clear" w:color="B4C6E7" w:fill="B4C6E7"/>
            <w:noWrap/>
            <w:vAlign w:val="bottom"/>
            <w:hideMark/>
          </w:tcPr>
          <w:p w14:paraId="3620FD83" w14:textId="11FD8F36"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Cotzal</w:t>
            </w:r>
          </w:p>
        </w:tc>
        <w:tc>
          <w:tcPr>
            <w:tcW w:w="1973"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AAA625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58B254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B4C6E7" w:fill="F8696B"/>
          </w:tcPr>
          <w:p w14:paraId="2621084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B4C6E7" w:fill="F8696B"/>
            <w:noWrap/>
            <w:vAlign w:val="bottom"/>
            <w:hideMark/>
          </w:tcPr>
          <w:p w14:paraId="5C485C1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C75033" w14:paraId="138D29C9" w14:textId="77777777" w:rsidTr="00216644">
        <w:trPr>
          <w:trHeight w:val="295"/>
        </w:trPr>
        <w:tc>
          <w:tcPr>
            <w:tcW w:w="483" w:type="dxa"/>
            <w:tcBorders>
              <w:top w:val="single" w:sz="4" w:space="0" w:color="FFFFFF"/>
              <w:left w:val="nil"/>
              <w:bottom w:val="nil"/>
              <w:right w:val="single" w:sz="4" w:space="0" w:color="FFFFFF"/>
            </w:tcBorders>
            <w:shd w:val="clear" w:color="D9E1F2" w:fill="D9E1F2"/>
            <w:vAlign w:val="center"/>
          </w:tcPr>
          <w:p w14:paraId="267D939B" w14:textId="779F7AD2"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21</w:t>
            </w:r>
          </w:p>
        </w:tc>
        <w:tc>
          <w:tcPr>
            <w:tcW w:w="2988" w:type="dxa"/>
            <w:tcBorders>
              <w:top w:val="single" w:sz="4" w:space="0" w:color="FFFFFF"/>
              <w:left w:val="nil"/>
              <w:bottom w:val="nil"/>
              <w:right w:val="single" w:sz="4" w:space="0" w:color="FFFFFF"/>
            </w:tcBorders>
            <w:shd w:val="clear" w:color="D9E1F2" w:fill="D9E1F2"/>
            <w:noWrap/>
            <w:vAlign w:val="bottom"/>
            <w:hideMark/>
          </w:tcPr>
          <w:p w14:paraId="44706576" w14:textId="0EE9480B"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Pedro Jocopilas</w:t>
            </w:r>
          </w:p>
        </w:tc>
        <w:tc>
          <w:tcPr>
            <w:tcW w:w="1973" w:type="dxa"/>
            <w:tcBorders>
              <w:top w:val="single" w:sz="4" w:space="0" w:color="FFFFFF"/>
              <w:left w:val="single" w:sz="4" w:space="0" w:color="FFFFFF"/>
              <w:bottom w:val="nil"/>
              <w:right w:val="single" w:sz="4" w:space="0" w:color="FFFFFF"/>
            </w:tcBorders>
            <w:shd w:val="clear" w:color="D9E1F2" w:fill="D9E1F2"/>
            <w:noWrap/>
            <w:vAlign w:val="bottom"/>
            <w:hideMark/>
          </w:tcPr>
          <w:p w14:paraId="26F132A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28" w:type="dxa"/>
            <w:tcBorders>
              <w:top w:val="single" w:sz="4" w:space="0" w:color="FFFFFF"/>
              <w:left w:val="single" w:sz="4" w:space="0" w:color="FFFFFF"/>
              <w:bottom w:val="nil"/>
              <w:right w:val="single" w:sz="4" w:space="0" w:color="FFFFFF"/>
            </w:tcBorders>
            <w:shd w:val="clear" w:color="D9E1F2" w:fill="D9E1F2"/>
            <w:noWrap/>
            <w:vAlign w:val="bottom"/>
            <w:hideMark/>
          </w:tcPr>
          <w:p w14:paraId="0E31729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33" w:type="dxa"/>
            <w:tcBorders>
              <w:top w:val="single" w:sz="4" w:space="0" w:color="FFFFFF"/>
              <w:left w:val="single" w:sz="4" w:space="0" w:color="FFFFFF"/>
              <w:bottom w:val="single" w:sz="4" w:space="0" w:color="FFFFFF"/>
              <w:right w:val="single" w:sz="4" w:space="0" w:color="FFFFFF"/>
            </w:tcBorders>
            <w:shd w:val="clear" w:color="D9E1F2" w:fill="F8696B"/>
          </w:tcPr>
          <w:p w14:paraId="1A059B44"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p>
        </w:tc>
        <w:tc>
          <w:tcPr>
            <w:tcW w:w="1167" w:type="dxa"/>
            <w:tcBorders>
              <w:top w:val="single" w:sz="4" w:space="0" w:color="FFFFFF"/>
              <w:left w:val="single" w:sz="4" w:space="0" w:color="FFFFFF"/>
              <w:bottom w:val="single" w:sz="4" w:space="0" w:color="FFFFFF"/>
              <w:right w:val="nil"/>
            </w:tcBorders>
            <w:shd w:val="clear" w:color="D9E1F2" w:fill="F8696B"/>
            <w:noWrap/>
            <w:vAlign w:val="bottom"/>
            <w:hideMark/>
          </w:tcPr>
          <w:p w14:paraId="6422511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2988BC5E" w14:textId="03EA3ABD"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7DAF2C66"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447457B" w14:textId="74EA1E2F" w:rsidR="00693BD9" w:rsidRPr="00C75033" w:rsidRDefault="00693BD9" w:rsidP="00085107">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C75033">
        <w:rPr>
          <w:rFonts w:ascii="Helvetica" w:eastAsia="Times New Roman" w:hAnsi="Helvetica" w:cs="Helvetica"/>
          <w:b/>
          <w:color w:val="002060"/>
          <w:sz w:val="28"/>
          <w:szCs w:val="28"/>
          <w:lang w:val="es-ES"/>
        </w:rPr>
        <w:t>Huehuetenango</w:t>
      </w:r>
    </w:p>
    <w:p w14:paraId="7D416668" w14:textId="77777777" w:rsidR="00693BD9" w:rsidRPr="003051CD" w:rsidRDefault="00693BD9" w:rsidP="00693BD9">
      <w:pPr>
        <w:autoSpaceDE w:val="0"/>
        <w:autoSpaceDN w:val="0"/>
        <w:adjustRightInd w:val="0"/>
        <w:spacing w:after="0" w:line="240" w:lineRule="auto"/>
        <w:ind w:left="360"/>
        <w:contextualSpacing/>
        <w:jc w:val="both"/>
        <w:rPr>
          <w:rFonts w:ascii="Helvetica" w:eastAsia="Times New Roman" w:hAnsi="Helvetica" w:cs="Helvetica"/>
          <w:b/>
          <w:sz w:val="24"/>
          <w:szCs w:val="24"/>
          <w:lang w:val="es-ES"/>
        </w:rPr>
      </w:pPr>
    </w:p>
    <w:p w14:paraId="5102A51B" w14:textId="376A2B52"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El departamento presentó un promedio de ejecución financiera del 51.99%. Los municipios que presentaron mayor ejecución son: Colotenango 100%, San Gaspar Ixchil 84.99% y Jacaltenango 82.33%. Cabe mencionar que Cuilco y San Sebastián Huehuetenango, no presentaron el tercer informe cuatrimestral. </w:t>
      </w:r>
      <w:r w:rsidR="00F407CB">
        <w:rPr>
          <w:rFonts w:ascii="Helvetica" w:eastAsia="Times New Roman" w:hAnsi="Helvetica" w:cs="Helvetica"/>
          <w:sz w:val="24"/>
          <w:szCs w:val="24"/>
          <w:lang w:val="es-ES"/>
        </w:rPr>
        <w:t>Ver tabla 22.</w:t>
      </w:r>
    </w:p>
    <w:p w14:paraId="55554484" w14:textId="433260F5" w:rsidR="00BC2B6E" w:rsidRDefault="00BC2B6E"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F224DD6" w14:textId="3712C50B" w:rsidR="00693BD9" w:rsidRPr="005D4383" w:rsidRDefault="00F407CB" w:rsidP="00016865">
      <w:pPr>
        <w:pStyle w:val="ttulosgrficas"/>
        <w:rPr>
          <w:rFonts w:eastAsia="Times New Roman"/>
          <w:b w:val="0"/>
          <w:lang w:val="es-ES"/>
        </w:rPr>
      </w:pPr>
      <w:bookmarkStart w:id="55" w:name="_Toc67589135"/>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22</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Huehuetenango</w:t>
      </w:r>
      <w:bookmarkEnd w:id="55"/>
    </w:p>
    <w:p w14:paraId="73064514" w14:textId="77777777" w:rsidR="00BC2B6E" w:rsidRPr="003051CD" w:rsidRDefault="00BC2B6E" w:rsidP="00BC2B6E">
      <w:pPr>
        <w:autoSpaceDE w:val="0"/>
        <w:autoSpaceDN w:val="0"/>
        <w:adjustRightInd w:val="0"/>
        <w:spacing w:after="0" w:line="120" w:lineRule="auto"/>
        <w:jc w:val="center"/>
        <w:rPr>
          <w:rFonts w:ascii="Helvetica" w:eastAsia="Times New Roman" w:hAnsi="Helvetica" w:cs="Helvetica"/>
          <w:sz w:val="24"/>
          <w:szCs w:val="24"/>
          <w:lang w:val="es-ES"/>
        </w:rPr>
      </w:pPr>
    </w:p>
    <w:tbl>
      <w:tblPr>
        <w:tblW w:w="8427" w:type="dxa"/>
        <w:tblInd w:w="70" w:type="dxa"/>
        <w:tblCellMar>
          <w:left w:w="70" w:type="dxa"/>
          <w:right w:w="70" w:type="dxa"/>
        </w:tblCellMar>
        <w:tblLook w:val="04A0" w:firstRow="1" w:lastRow="0" w:firstColumn="1" w:lastColumn="0" w:noHBand="0" w:noVBand="1"/>
      </w:tblPr>
      <w:tblGrid>
        <w:gridCol w:w="527"/>
        <w:gridCol w:w="2495"/>
        <w:gridCol w:w="2378"/>
        <w:gridCol w:w="1995"/>
        <w:gridCol w:w="1274"/>
      </w:tblGrid>
      <w:tr w:rsidR="00BC2B6E" w:rsidRPr="003051CD" w14:paraId="168B2E45" w14:textId="77777777" w:rsidTr="00FB3DF5">
        <w:trPr>
          <w:trHeight w:val="300"/>
        </w:trPr>
        <w:tc>
          <w:tcPr>
            <w:tcW w:w="493" w:type="dxa"/>
            <w:tcBorders>
              <w:top w:val="nil"/>
              <w:left w:val="nil"/>
              <w:bottom w:val="single" w:sz="12" w:space="0" w:color="FFFFFF"/>
              <w:right w:val="single" w:sz="4" w:space="0" w:color="FFFFFF"/>
            </w:tcBorders>
            <w:shd w:val="clear" w:color="4472C4" w:fill="4472C4"/>
            <w:vAlign w:val="center"/>
          </w:tcPr>
          <w:p w14:paraId="0B6C3058" w14:textId="04A86A4E"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495" w:type="dxa"/>
            <w:tcBorders>
              <w:top w:val="nil"/>
              <w:left w:val="nil"/>
              <w:bottom w:val="single" w:sz="12" w:space="0" w:color="FFFFFF"/>
              <w:right w:val="single" w:sz="4" w:space="0" w:color="FFFFFF"/>
            </w:tcBorders>
            <w:shd w:val="clear" w:color="4472C4" w:fill="4472C4"/>
            <w:noWrap/>
            <w:vAlign w:val="center"/>
            <w:hideMark/>
          </w:tcPr>
          <w:p w14:paraId="0210D680" w14:textId="2195D07E"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2378" w:type="dxa"/>
            <w:tcBorders>
              <w:top w:val="nil"/>
              <w:left w:val="nil"/>
              <w:bottom w:val="single" w:sz="12" w:space="0" w:color="FFFFFF"/>
              <w:right w:val="single" w:sz="4" w:space="0" w:color="FFFFFF"/>
            </w:tcBorders>
            <w:shd w:val="clear" w:color="4472C4" w:fill="4472C4"/>
            <w:noWrap/>
            <w:vAlign w:val="center"/>
            <w:hideMark/>
          </w:tcPr>
          <w:p w14:paraId="5B01921D"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868" w:type="dxa"/>
            <w:tcBorders>
              <w:top w:val="nil"/>
              <w:left w:val="nil"/>
              <w:bottom w:val="single" w:sz="12" w:space="0" w:color="FFFFFF"/>
              <w:right w:val="single" w:sz="4" w:space="0" w:color="FFFFFF"/>
            </w:tcBorders>
            <w:shd w:val="clear" w:color="4472C4" w:fill="4472C4"/>
            <w:noWrap/>
            <w:vAlign w:val="center"/>
            <w:hideMark/>
          </w:tcPr>
          <w:p w14:paraId="664F436B"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193" w:type="dxa"/>
            <w:tcBorders>
              <w:top w:val="nil"/>
              <w:left w:val="nil"/>
              <w:bottom w:val="single" w:sz="12" w:space="0" w:color="FFFFFF"/>
              <w:right w:val="nil"/>
            </w:tcBorders>
            <w:shd w:val="clear" w:color="4472C4" w:fill="4472C4"/>
            <w:noWrap/>
            <w:vAlign w:val="center"/>
            <w:hideMark/>
          </w:tcPr>
          <w:p w14:paraId="09DA4B66"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BC2B6E" w:rsidRPr="003051CD" w14:paraId="6BB5AF78" w14:textId="77777777" w:rsidTr="00FB3DF5">
        <w:trPr>
          <w:trHeight w:val="300"/>
        </w:trPr>
        <w:tc>
          <w:tcPr>
            <w:tcW w:w="493" w:type="dxa"/>
            <w:tcBorders>
              <w:top w:val="single" w:sz="4" w:space="0" w:color="FFFFFF"/>
              <w:left w:val="nil"/>
              <w:bottom w:val="single" w:sz="4" w:space="0" w:color="FFFFFF"/>
              <w:right w:val="single" w:sz="4" w:space="0" w:color="FFFFFF"/>
            </w:tcBorders>
            <w:shd w:val="clear" w:color="auto" w:fill="4F81BD"/>
          </w:tcPr>
          <w:p w14:paraId="70B343F0"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495" w:type="dxa"/>
            <w:tcBorders>
              <w:top w:val="single" w:sz="4" w:space="0" w:color="FFFFFF"/>
              <w:left w:val="nil"/>
              <w:bottom w:val="single" w:sz="4" w:space="0" w:color="FFFFFF"/>
              <w:right w:val="single" w:sz="4" w:space="0" w:color="FFFFFF"/>
            </w:tcBorders>
            <w:shd w:val="clear" w:color="auto" w:fill="4F81BD"/>
            <w:noWrap/>
            <w:vAlign w:val="bottom"/>
            <w:hideMark/>
          </w:tcPr>
          <w:p w14:paraId="747AD8F7" w14:textId="508746C8"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2378"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27E27C0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Q655,401,813.74</w:t>
            </w:r>
          </w:p>
        </w:tc>
        <w:tc>
          <w:tcPr>
            <w:tcW w:w="1868"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36BC315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Q340,749,437.74</w:t>
            </w:r>
          </w:p>
        </w:tc>
        <w:tc>
          <w:tcPr>
            <w:tcW w:w="1193" w:type="dxa"/>
            <w:tcBorders>
              <w:top w:val="single" w:sz="4" w:space="0" w:color="FFFFFF"/>
              <w:left w:val="single" w:sz="4" w:space="0" w:color="FFFFFF"/>
              <w:bottom w:val="single" w:sz="4" w:space="0" w:color="FFFFFF"/>
              <w:right w:val="nil"/>
            </w:tcBorders>
            <w:shd w:val="clear" w:color="B4C6E7" w:fill="FED980"/>
            <w:noWrap/>
            <w:vAlign w:val="bottom"/>
            <w:hideMark/>
          </w:tcPr>
          <w:p w14:paraId="6CBEB86A"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51.99%</w:t>
            </w:r>
          </w:p>
        </w:tc>
      </w:tr>
      <w:tr w:rsidR="00BC2B6E" w:rsidRPr="003051CD" w14:paraId="456D6B1A"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1397FA90" w14:textId="4C02F4F2"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34197D44" w14:textId="284253DD"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Colotenango</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0E7581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Q19,557,441.29</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62C5C8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Q19,557,441.29</w:t>
            </w:r>
          </w:p>
        </w:tc>
        <w:tc>
          <w:tcPr>
            <w:tcW w:w="1193" w:type="dxa"/>
            <w:tcBorders>
              <w:top w:val="single" w:sz="4" w:space="0" w:color="FFFFFF"/>
              <w:left w:val="single" w:sz="4" w:space="0" w:color="FFFFFF"/>
              <w:bottom w:val="single" w:sz="4" w:space="0" w:color="FFFFFF"/>
              <w:right w:val="nil"/>
            </w:tcBorders>
            <w:shd w:val="clear" w:color="D9E1F2" w:fill="00B050"/>
            <w:noWrap/>
            <w:vAlign w:val="bottom"/>
            <w:hideMark/>
          </w:tcPr>
          <w:p w14:paraId="7EE58006"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100.00%</w:t>
            </w:r>
          </w:p>
        </w:tc>
      </w:tr>
      <w:tr w:rsidR="00BC2B6E" w:rsidRPr="003051CD" w14:paraId="51DBDB93"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29E5C25B" w14:textId="287BD41D"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11B2A747" w14:textId="48741F68"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Gaspar Ixchil</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DC818A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Q13,098,160.96</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0675C1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Q11,132,717.82</w:t>
            </w:r>
          </w:p>
        </w:tc>
        <w:tc>
          <w:tcPr>
            <w:tcW w:w="1193" w:type="dxa"/>
            <w:tcBorders>
              <w:top w:val="single" w:sz="4" w:space="0" w:color="FFFFFF"/>
              <w:left w:val="single" w:sz="4" w:space="0" w:color="FFFFFF"/>
              <w:bottom w:val="single" w:sz="4" w:space="0" w:color="FFFFFF"/>
              <w:right w:val="nil"/>
            </w:tcBorders>
            <w:shd w:val="clear" w:color="B4C6E7" w:fill="60C764"/>
            <w:noWrap/>
            <w:vAlign w:val="bottom"/>
            <w:hideMark/>
          </w:tcPr>
          <w:p w14:paraId="2843F35C"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84.99%</w:t>
            </w:r>
          </w:p>
        </w:tc>
      </w:tr>
      <w:tr w:rsidR="00BC2B6E" w:rsidRPr="003051CD" w14:paraId="62823942"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25710BC1" w14:textId="31851B1A"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7A83775B" w14:textId="6E5DF446"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Jacaltenango</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086DFE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Q32,581,590.06</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148BF3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Q26,824,110.20</w:t>
            </w:r>
          </w:p>
        </w:tc>
        <w:tc>
          <w:tcPr>
            <w:tcW w:w="1193" w:type="dxa"/>
            <w:tcBorders>
              <w:top w:val="single" w:sz="4" w:space="0" w:color="FFFFFF"/>
              <w:left w:val="single" w:sz="4" w:space="0" w:color="FFFFFF"/>
              <w:bottom w:val="single" w:sz="4" w:space="0" w:color="FFFFFF"/>
              <w:right w:val="nil"/>
            </w:tcBorders>
            <w:shd w:val="clear" w:color="D9E1F2" w:fill="71CB67"/>
            <w:noWrap/>
            <w:vAlign w:val="bottom"/>
            <w:hideMark/>
          </w:tcPr>
          <w:p w14:paraId="0EDD7FF3"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82.33%</w:t>
            </w:r>
          </w:p>
        </w:tc>
      </w:tr>
      <w:tr w:rsidR="00BC2B6E" w:rsidRPr="003051CD" w14:paraId="73BB8109"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3B0CA6DE" w14:textId="5A6D819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38DB8AB8" w14:textId="7CDCBB5C"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Sebastián Coatán</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965845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Q10,736,785.90</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692F31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Q8,127,295.15</w:t>
            </w:r>
          </w:p>
        </w:tc>
        <w:tc>
          <w:tcPr>
            <w:tcW w:w="1193" w:type="dxa"/>
            <w:tcBorders>
              <w:top w:val="single" w:sz="4" w:space="0" w:color="FFFFFF"/>
              <w:left w:val="single" w:sz="4" w:space="0" w:color="FFFFFF"/>
              <w:bottom w:val="single" w:sz="4" w:space="0" w:color="FFFFFF"/>
              <w:right w:val="nil"/>
            </w:tcBorders>
            <w:shd w:val="clear" w:color="B4C6E7" w:fill="9BD470"/>
            <w:noWrap/>
            <w:vAlign w:val="bottom"/>
            <w:hideMark/>
          </w:tcPr>
          <w:p w14:paraId="6E84B25D"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75.70%</w:t>
            </w:r>
          </w:p>
        </w:tc>
      </w:tr>
      <w:tr w:rsidR="00BC2B6E" w:rsidRPr="003051CD" w14:paraId="7FE4B136"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5F555A27" w14:textId="36128E0C"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7B521BCB" w14:textId="6F6A6298"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Unión Cantinil</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8013FB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Q19,919,237.37</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2F745C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Q15,015,055.80</w:t>
            </w:r>
          </w:p>
        </w:tc>
        <w:tc>
          <w:tcPr>
            <w:tcW w:w="1193" w:type="dxa"/>
            <w:tcBorders>
              <w:top w:val="single" w:sz="4" w:space="0" w:color="FFFFFF"/>
              <w:left w:val="single" w:sz="4" w:space="0" w:color="FFFFFF"/>
              <w:bottom w:val="single" w:sz="4" w:space="0" w:color="FFFFFF"/>
              <w:right w:val="nil"/>
            </w:tcBorders>
            <w:shd w:val="clear" w:color="D9E1F2" w:fill="9DD571"/>
            <w:noWrap/>
            <w:vAlign w:val="bottom"/>
            <w:hideMark/>
          </w:tcPr>
          <w:p w14:paraId="633B958A"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75.38%</w:t>
            </w:r>
          </w:p>
        </w:tc>
      </w:tr>
      <w:tr w:rsidR="00BC2B6E" w:rsidRPr="003051CD" w14:paraId="548095B7"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3BB66705" w14:textId="00E041AC"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036F72E9" w14:textId="68706A99"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Nentón</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59805B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Q18,426,319.89</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420631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Q13,649,010.37</w:t>
            </w:r>
          </w:p>
        </w:tc>
        <w:tc>
          <w:tcPr>
            <w:tcW w:w="1193" w:type="dxa"/>
            <w:tcBorders>
              <w:top w:val="single" w:sz="4" w:space="0" w:color="FFFFFF"/>
              <w:left w:val="single" w:sz="4" w:space="0" w:color="FFFFFF"/>
              <w:bottom w:val="single" w:sz="4" w:space="0" w:color="FFFFFF"/>
              <w:right w:val="nil"/>
            </w:tcBorders>
            <w:shd w:val="clear" w:color="B4C6E7" w:fill="A6D772"/>
            <w:noWrap/>
            <w:vAlign w:val="bottom"/>
            <w:hideMark/>
          </w:tcPr>
          <w:p w14:paraId="398593B7"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74.07%</w:t>
            </w:r>
          </w:p>
        </w:tc>
      </w:tr>
      <w:tr w:rsidR="00BC2B6E" w:rsidRPr="003051CD" w14:paraId="21AC4E64"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5662517B" w14:textId="364418C2"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63FC7D32" w14:textId="5F9AF2D2"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Rafael Petzal</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85BE0B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Q8,189,411.78</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7C7FE5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Q5,788,993.86</w:t>
            </w:r>
          </w:p>
        </w:tc>
        <w:tc>
          <w:tcPr>
            <w:tcW w:w="1193" w:type="dxa"/>
            <w:tcBorders>
              <w:top w:val="single" w:sz="4" w:space="0" w:color="FFFFFF"/>
              <w:left w:val="single" w:sz="4" w:space="0" w:color="FFFFFF"/>
              <w:bottom w:val="single" w:sz="4" w:space="0" w:color="FFFFFF"/>
              <w:right w:val="nil"/>
            </w:tcBorders>
            <w:shd w:val="clear" w:color="D9E1F2" w:fill="BBDC77"/>
            <w:noWrap/>
            <w:vAlign w:val="bottom"/>
            <w:hideMark/>
          </w:tcPr>
          <w:p w14:paraId="3E74CB69"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70.69%</w:t>
            </w:r>
          </w:p>
        </w:tc>
      </w:tr>
      <w:tr w:rsidR="00BC2B6E" w:rsidRPr="003051CD" w14:paraId="7470B288"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755D029F" w14:textId="6D76A9E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6A482499" w14:textId="14DCCACE"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Todos Santos Cuchumatanes</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CB0EC5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Q48,377,294.91</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A6832A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Q31,601,736.84</w:t>
            </w:r>
          </w:p>
        </w:tc>
        <w:tc>
          <w:tcPr>
            <w:tcW w:w="1193" w:type="dxa"/>
            <w:tcBorders>
              <w:top w:val="single" w:sz="4" w:space="0" w:color="FFFFFF"/>
              <w:left w:val="single" w:sz="4" w:space="0" w:color="FFFFFF"/>
              <w:bottom w:val="single" w:sz="4" w:space="0" w:color="FFFFFF"/>
              <w:right w:val="nil"/>
            </w:tcBorders>
            <w:shd w:val="clear" w:color="B4C6E7" w:fill="DEE47E"/>
            <w:noWrap/>
            <w:vAlign w:val="bottom"/>
            <w:hideMark/>
          </w:tcPr>
          <w:p w14:paraId="6A6D0BF5"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65.32%</w:t>
            </w:r>
          </w:p>
        </w:tc>
      </w:tr>
      <w:tr w:rsidR="00BC2B6E" w:rsidRPr="003051CD" w14:paraId="644311DB"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3A6870E1" w14:textId="7C622ADC"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227E0744" w14:textId="0BB9D310"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San Miguel </w:t>
            </w:r>
            <w:proofErr w:type="spellStart"/>
            <w:r w:rsidRPr="003051CD">
              <w:rPr>
                <w:rFonts w:ascii="Helvetica" w:eastAsia="Times New Roman" w:hAnsi="Helvetica" w:cs="Helvetica"/>
                <w:sz w:val="24"/>
                <w:szCs w:val="24"/>
                <w:lang w:val="es-ES"/>
              </w:rPr>
              <w:t>Acat</w:t>
            </w:r>
            <w:r w:rsidR="009F235F">
              <w:rPr>
                <w:rFonts w:ascii="Helvetica" w:eastAsia="Times New Roman" w:hAnsi="Helvetica" w:cs="Helvetica"/>
                <w:sz w:val="24"/>
                <w:szCs w:val="24"/>
                <w:lang w:val="es-ES"/>
              </w:rPr>
              <w:t>á</w:t>
            </w:r>
            <w:r w:rsidRPr="003051CD">
              <w:rPr>
                <w:rFonts w:ascii="Helvetica" w:eastAsia="Times New Roman" w:hAnsi="Helvetica" w:cs="Helvetica"/>
                <w:sz w:val="24"/>
                <w:szCs w:val="24"/>
                <w:lang w:val="es-ES"/>
              </w:rPr>
              <w:t>n</w:t>
            </w:r>
            <w:proofErr w:type="spellEnd"/>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7E978E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Q16,936,016.78</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2D0B89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Q11,009,589.23</w:t>
            </w:r>
          </w:p>
        </w:tc>
        <w:tc>
          <w:tcPr>
            <w:tcW w:w="1193" w:type="dxa"/>
            <w:tcBorders>
              <w:top w:val="single" w:sz="4" w:space="0" w:color="FFFFFF"/>
              <w:left w:val="single" w:sz="4" w:space="0" w:color="FFFFFF"/>
              <w:bottom w:val="single" w:sz="4" w:space="0" w:color="FFFFFF"/>
              <w:right w:val="nil"/>
            </w:tcBorders>
            <w:shd w:val="clear" w:color="D9E1F2" w:fill="E0E47E"/>
            <w:noWrap/>
            <w:vAlign w:val="bottom"/>
            <w:hideMark/>
          </w:tcPr>
          <w:p w14:paraId="0C4593C8"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65.01%</w:t>
            </w:r>
          </w:p>
        </w:tc>
      </w:tr>
      <w:tr w:rsidR="00BC2B6E" w:rsidRPr="003051CD" w14:paraId="45D33212"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69CB0D60" w14:textId="4417417A"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7C10F338" w14:textId="53BF37C3"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Ixcoy</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14FA46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Q17,162,304.11</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763D7D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Q11,108,596.72</w:t>
            </w:r>
          </w:p>
        </w:tc>
        <w:tc>
          <w:tcPr>
            <w:tcW w:w="1193" w:type="dxa"/>
            <w:tcBorders>
              <w:top w:val="single" w:sz="4" w:space="0" w:color="FFFFFF"/>
              <w:left w:val="single" w:sz="4" w:space="0" w:color="FFFFFF"/>
              <w:bottom w:val="single" w:sz="4" w:space="0" w:color="FFFFFF"/>
              <w:right w:val="nil"/>
            </w:tcBorders>
            <w:shd w:val="clear" w:color="B4C6E7" w:fill="E1E57E"/>
            <w:noWrap/>
            <w:vAlign w:val="bottom"/>
            <w:hideMark/>
          </w:tcPr>
          <w:p w14:paraId="2C5B4E2F"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64.73%</w:t>
            </w:r>
          </w:p>
        </w:tc>
      </w:tr>
      <w:tr w:rsidR="00BC2B6E" w:rsidRPr="003051CD" w14:paraId="371680AE"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311418EE" w14:textId="35E0EBBB"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5234C3F0" w14:textId="2DCD1E67"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Rafael La Independencia</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D4DC18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Q11,713,108.61</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B053A3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Q7,476,174.40</w:t>
            </w:r>
          </w:p>
        </w:tc>
        <w:tc>
          <w:tcPr>
            <w:tcW w:w="1193" w:type="dxa"/>
            <w:tcBorders>
              <w:top w:val="single" w:sz="4" w:space="0" w:color="FFFFFF"/>
              <w:left w:val="single" w:sz="4" w:space="0" w:color="FFFFFF"/>
              <w:bottom w:val="single" w:sz="4" w:space="0" w:color="FFFFFF"/>
              <w:right w:val="nil"/>
            </w:tcBorders>
            <w:shd w:val="clear" w:color="D9E1F2" w:fill="E7E680"/>
            <w:noWrap/>
            <w:vAlign w:val="bottom"/>
            <w:hideMark/>
          </w:tcPr>
          <w:p w14:paraId="52984832"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63.83%</w:t>
            </w:r>
          </w:p>
        </w:tc>
      </w:tr>
      <w:tr w:rsidR="00BC2B6E" w:rsidRPr="003051CD" w14:paraId="0D045FE0"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73D81E46" w14:textId="374C851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755356DE" w14:textId="6B0D2F2F"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Atitán</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93883A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Q16,858,240.67</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820559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Q10,372,205.78</w:t>
            </w:r>
          </w:p>
        </w:tc>
        <w:tc>
          <w:tcPr>
            <w:tcW w:w="1193" w:type="dxa"/>
            <w:tcBorders>
              <w:top w:val="single" w:sz="4" w:space="0" w:color="FFFFFF"/>
              <w:left w:val="single" w:sz="4" w:space="0" w:color="FFFFFF"/>
              <w:bottom w:val="single" w:sz="4" w:space="0" w:color="FFFFFF"/>
              <w:right w:val="nil"/>
            </w:tcBorders>
            <w:shd w:val="clear" w:color="B4C6E7" w:fill="F6E983"/>
            <w:noWrap/>
            <w:vAlign w:val="bottom"/>
            <w:hideMark/>
          </w:tcPr>
          <w:p w14:paraId="7B808893"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61.53%</w:t>
            </w:r>
          </w:p>
        </w:tc>
      </w:tr>
      <w:tr w:rsidR="00BC2B6E" w:rsidRPr="003051CD" w14:paraId="05851085"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52DA9D91" w14:textId="09F600F4"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7BDEBA36" w14:textId="450E5B8A"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Concepción Huista</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A9A9F6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Q11,875,504.11</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8E220F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Q7,280,436.40</w:t>
            </w:r>
          </w:p>
        </w:tc>
        <w:tc>
          <w:tcPr>
            <w:tcW w:w="1193" w:type="dxa"/>
            <w:tcBorders>
              <w:top w:val="single" w:sz="4" w:space="0" w:color="FFFFFF"/>
              <w:left w:val="single" w:sz="4" w:space="0" w:color="FFFFFF"/>
              <w:bottom w:val="single" w:sz="4" w:space="0" w:color="FFFFFF"/>
              <w:right w:val="nil"/>
            </w:tcBorders>
            <w:shd w:val="clear" w:color="D9E1F2" w:fill="F7EA83"/>
            <w:noWrap/>
            <w:vAlign w:val="bottom"/>
            <w:hideMark/>
          </w:tcPr>
          <w:p w14:paraId="66166DF4"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61.31%</w:t>
            </w:r>
          </w:p>
        </w:tc>
      </w:tr>
      <w:tr w:rsidR="00BC2B6E" w:rsidRPr="003051CD" w14:paraId="7629FB98"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2DE651C2" w14:textId="3E8DC98B"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5CD780DA" w14:textId="27DB94C0"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Barillas</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277106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Q14,370,134.00</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CBDE84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Q8,670,687.60</w:t>
            </w:r>
          </w:p>
        </w:tc>
        <w:tc>
          <w:tcPr>
            <w:tcW w:w="1193" w:type="dxa"/>
            <w:tcBorders>
              <w:top w:val="single" w:sz="4" w:space="0" w:color="FFFFFF"/>
              <w:left w:val="single" w:sz="4" w:space="0" w:color="FFFFFF"/>
              <w:bottom w:val="single" w:sz="4" w:space="0" w:color="FFFFFF"/>
              <w:right w:val="nil"/>
            </w:tcBorders>
            <w:shd w:val="clear" w:color="B4C6E7" w:fill="FDEB84"/>
            <w:noWrap/>
            <w:vAlign w:val="bottom"/>
            <w:hideMark/>
          </w:tcPr>
          <w:p w14:paraId="5C850552"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60.34%</w:t>
            </w:r>
          </w:p>
        </w:tc>
      </w:tr>
      <w:tr w:rsidR="00BC2B6E" w:rsidRPr="003051CD" w14:paraId="08BA4890"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3271C775" w14:textId="35387A91"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43A5EA22" w14:textId="77DB484E"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Antonio Huista</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13F43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Q19,609,543.69</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B8BCD7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Q11,802,741.70</w:t>
            </w:r>
          </w:p>
        </w:tc>
        <w:tc>
          <w:tcPr>
            <w:tcW w:w="1193" w:type="dxa"/>
            <w:tcBorders>
              <w:top w:val="single" w:sz="4" w:space="0" w:color="FFFFFF"/>
              <w:left w:val="single" w:sz="4" w:space="0" w:color="FFFFFF"/>
              <w:bottom w:val="single" w:sz="4" w:space="0" w:color="FFFFFF"/>
              <w:right w:val="nil"/>
            </w:tcBorders>
            <w:shd w:val="clear" w:color="D9E1F2" w:fill="FEEB84"/>
            <w:noWrap/>
            <w:vAlign w:val="bottom"/>
            <w:hideMark/>
          </w:tcPr>
          <w:p w14:paraId="4D567459"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60.19%</w:t>
            </w:r>
          </w:p>
        </w:tc>
      </w:tr>
      <w:tr w:rsidR="00BC2B6E" w:rsidRPr="003051CD" w14:paraId="30368306"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08580407" w14:textId="16E4AC3A"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6D7E61B3" w14:textId="51FD955D"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Eulalia</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477025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Q19,177,197.24</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4A2B12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Q11,524,023.38</w:t>
            </w:r>
          </w:p>
        </w:tc>
        <w:tc>
          <w:tcPr>
            <w:tcW w:w="1193" w:type="dxa"/>
            <w:tcBorders>
              <w:top w:val="single" w:sz="4" w:space="0" w:color="FFFFFF"/>
              <w:left w:val="single" w:sz="4" w:space="0" w:color="FFFFFF"/>
              <w:bottom w:val="single" w:sz="4" w:space="0" w:color="FFFFFF"/>
              <w:right w:val="nil"/>
            </w:tcBorders>
            <w:shd w:val="clear" w:color="B4C6E7" w:fill="FFEB84"/>
            <w:noWrap/>
            <w:vAlign w:val="bottom"/>
            <w:hideMark/>
          </w:tcPr>
          <w:p w14:paraId="7074142A"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60.09%</w:t>
            </w:r>
          </w:p>
        </w:tc>
      </w:tr>
      <w:tr w:rsidR="00BC2B6E" w:rsidRPr="003051CD" w14:paraId="1DBEE24D"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7FB21D6E" w14:textId="418232CC"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364D4915" w14:textId="339F41F5"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Soloma</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DF9848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Q31,276,451.56</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85EA12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Q18,443,376.01</w:t>
            </w:r>
          </w:p>
        </w:tc>
        <w:tc>
          <w:tcPr>
            <w:tcW w:w="1193" w:type="dxa"/>
            <w:tcBorders>
              <w:top w:val="single" w:sz="4" w:space="0" w:color="FFFFFF"/>
              <w:left w:val="single" w:sz="4" w:space="0" w:color="FFFFFF"/>
              <w:bottom w:val="single" w:sz="4" w:space="0" w:color="FFFFFF"/>
              <w:right w:val="nil"/>
            </w:tcBorders>
            <w:shd w:val="clear" w:color="D9E1F2" w:fill="FEE883"/>
            <w:noWrap/>
            <w:vAlign w:val="bottom"/>
            <w:hideMark/>
          </w:tcPr>
          <w:p w14:paraId="615890FB"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58.97%</w:t>
            </w:r>
          </w:p>
        </w:tc>
      </w:tr>
      <w:tr w:rsidR="00BC2B6E" w:rsidRPr="003051CD" w14:paraId="3E9DBF94"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3A7E6D7D" w14:textId="45C056A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18</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3EFC53C7" w14:textId="6F200576"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Pedro Necta</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126CEC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Q10,988,938.20</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8D7D88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Q6,198,514.20</w:t>
            </w:r>
          </w:p>
        </w:tc>
        <w:tc>
          <w:tcPr>
            <w:tcW w:w="1193" w:type="dxa"/>
            <w:tcBorders>
              <w:top w:val="single" w:sz="4" w:space="0" w:color="FFFFFF"/>
              <w:left w:val="single" w:sz="4" w:space="0" w:color="FFFFFF"/>
              <w:bottom w:val="single" w:sz="4" w:space="0" w:color="FFFFFF"/>
              <w:right w:val="nil"/>
            </w:tcBorders>
            <w:shd w:val="clear" w:color="B4C6E7" w:fill="FEE382"/>
            <w:noWrap/>
            <w:vAlign w:val="bottom"/>
            <w:hideMark/>
          </w:tcPr>
          <w:p w14:paraId="0B9A6EEA"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56.41%</w:t>
            </w:r>
          </w:p>
        </w:tc>
      </w:tr>
      <w:tr w:rsidR="00BC2B6E" w:rsidRPr="003051CD" w14:paraId="21C66F71"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3AEEAFFE" w14:textId="34BBA8F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20</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44CB6FED" w14:textId="1F3B245C"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Aguacatán</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B91A4C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Q29,934,946.57</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D6C0DD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Q16,371,164.77</w:t>
            </w:r>
          </w:p>
        </w:tc>
        <w:tc>
          <w:tcPr>
            <w:tcW w:w="1193" w:type="dxa"/>
            <w:tcBorders>
              <w:top w:val="single" w:sz="4" w:space="0" w:color="FFFFFF"/>
              <w:left w:val="single" w:sz="4" w:space="0" w:color="FFFFFF"/>
              <w:bottom w:val="single" w:sz="4" w:space="0" w:color="FFFFFF"/>
              <w:right w:val="nil"/>
            </w:tcBorders>
            <w:shd w:val="clear" w:color="D9E1F2" w:fill="FEDF81"/>
            <w:noWrap/>
            <w:vAlign w:val="bottom"/>
            <w:hideMark/>
          </w:tcPr>
          <w:p w14:paraId="255AA707"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54.69%</w:t>
            </w:r>
          </w:p>
        </w:tc>
      </w:tr>
      <w:tr w:rsidR="00BC2B6E" w:rsidRPr="003051CD" w14:paraId="0A9C201E"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19DDC816" w14:textId="5ADB1875"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21</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54AE08DB" w14:textId="71E2838E"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Democracia</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396AC5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Q13,131,005.19</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65EB6A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Q6,767,244.02</w:t>
            </w:r>
          </w:p>
        </w:tc>
        <w:tc>
          <w:tcPr>
            <w:tcW w:w="1193" w:type="dxa"/>
            <w:tcBorders>
              <w:top w:val="single" w:sz="4" w:space="0" w:color="FFFFFF"/>
              <w:left w:val="single" w:sz="4" w:space="0" w:color="FFFFFF"/>
              <w:bottom w:val="single" w:sz="4" w:space="0" w:color="FFFFFF"/>
              <w:right w:val="nil"/>
            </w:tcBorders>
            <w:shd w:val="clear" w:color="B4C6E7" w:fill="FED880"/>
            <w:noWrap/>
            <w:vAlign w:val="bottom"/>
            <w:hideMark/>
          </w:tcPr>
          <w:p w14:paraId="6A92538C"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51.54%</w:t>
            </w:r>
          </w:p>
        </w:tc>
      </w:tr>
      <w:tr w:rsidR="00BC2B6E" w:rsidRPr="003051CD" w14:paraId="356E31FF"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17E2469B" w14:textId="787E5BD7"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22</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2288D4D9" w14:textId="6C51C43D"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Santiago Chimaltenango</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65A5A4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Q16,709,855.88</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4640A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Q8,090,739.21</w:t>
            </w:r>
          </w:p>
        </w:tc>
        <w:tc>
          <w:tcPr>
            <w:tcW w:w="1193" w:type="dxa"/>
            <w:tcBorders>
              <w:top w:val="single" w:sz="4" w:space="0" w:color="FFFFFF"/>
              <w:left w:val="single" w:sz="4" w:space="0" w:color="FFFFFF"/>
              <w:bottom w:val="single" w:sz="4" w:space="0" w:color="FFFFFF"/>
              <w:right w:val="nil"/>
            </w:tcBorders>
            <w:shd w:val="clear" w:color="D9E1F2" w:fill="FDD17F"/>
            <w:noWrap/>
            <w:vAlign w:val="bottom"/>
            <w:hideMark/>
          </w:tcPr>
          <w:p w14:paraId="392AAE51"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48.42%</w:t>
            </w:r>
          </w:p>
        </w:tc>
      </w:tr>
      <w:tr w:rsidR="00BC2B6E" w:rsidRPr="003051CD" w14:paraId="02572FE9"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59014E8C" w14:textId="7B8224B3"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23</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5F80C293" w14:textId="5EBB7841"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Petatán</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9B5716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Q6,160,660.00</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0CD04E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Q2,948,308.03</w:t>
            </w:r>
          </w:p>
        </w:tc>
        <w:tc>
          <w:tcPr>
            <w:tcW w:w="1193" w:type="dxa"/>
            <w:tcBorders>
              <w:top w:val="single" w:sz="4" w:space="0" w:color="FFFFFF"/>
              <w:left w:val="single" w:sz="4" w:space="0" w:color="FFFFFF"/>
              <w:bottom w:val="single" w:sz="4" w:space="0" w:color="FFFFFF"/>
              <w:right w:val="nil"/>
            </w:tcBorders>
            <w:shd w:val="clear" w:color="B4C6E7" w:fill="FDD07E"/>
            <w:noWrap/>
            <w:vAlign w:val="bottom"/>
            <w:hideMark/>
          </w:tcPr>
          <w:p w14:paraId="04426632"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47.86%</w:t>
            </w:r>
          </w:p>
        </w:tc>
      </w:tr>
      <w:tr w:rsidR="00BC2B6E" w:rsidRPr="003051CD" w14:paraId="5AE469EA"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077D1B95" w14:textId="4B317926"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24</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65D5A368" w14:textId="222F3125"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Huehuetenango</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EABB9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Q68,269,740.37</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B2BE63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Q23,194,294.72</w:t>
            </w:r>
          </w:p>
        </w:tc>
        <w:tc>
          <w:tcPr>
            <w:tcW w:w="1193" w:type="dxa"/>
            <w:tcBorders>
              <w:top w:val="single" w:sz="4" w:space="0" w:color="FFFFFF"/>
              <w:left w:val="single" w:sz="4" w:space="0" w:color="FFFFFF"/>
              <w:bottom w:val="single" w:sz="4" w:space="0" w:color="FFFFFF"/>
              <w:right w:val="nil"/>
            </w:tcBorders>
            <w:shd w:val="clear" w:color="D9E1F2" w:fill="FBB279"/>
            <w:noWrap/>
            <w:vAlign w:val="bottom"/>
            <w:hideMark/>
          </w:tcPr>
          <w:p w14:paraId="5E2C0C65"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33.97%</w:t>
            </w:r>
          </w:p>
        </w:tc>
      </w:tr>
      <w:tr w:rsidR="00BC2B6E" w:rsidRPr="003051CD" w14:paraId="04E26D36"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0BA0DA8A" w14:textId="09B69FD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25</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07C00D14" w14:textId="6597CD03"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Malacatancito</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DC26E4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Q36,668,753.14</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70DE54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Q11,347,389.58</w:t>
            </w:r>
          </w:p>
        </w:tc>
        <w:tc>
          <w:tcPr>
            <w:tcW w:w="1193" w:type="dxa"/>
            <w:tcBorders>
              <w:top w:val="single" w:sz="4" w:space="0" w:color="FFFFFF"/>
              <w:left w:val="single" w:sz="4" w:space="0" w:color="FFFFFF"/>
              <w:bottom w:val="single" w:sz="4" w:space="0" w:color="FFFFFF"/>
              <w:right w:val="nil"/>
            </w:tcBorders>
            <w:shd w:val="clear" w:color="B4C6E7" w:fill="FBAC77"/>
            <w:noWrap/>
            <w:vAlign w:val="bottom"/>
            <w:hideMark/>
          </w:tcPr>
          <w:p w14:paraId="4B227B56"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30.95%</w:t>
            </w:r>
          </w:p>
        </w:tc>
      </w:tr>
      <w:tr w:rsidR="00BC2B6E" w:rsidRPr="003051CD" w14:paraId="339D5C0B"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71666AAC" w14:textId="46D52946"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26</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7D84515C" w14:textId="34EC8992"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Ana Huista</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8321EB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Q19,986,900.18</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5D1730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Q5,737,553.89</w:t>
            </w:r>
          </w:p>
        </w:tc>
        <w:tc>
          <w:tcPr>
            <w:tcW w:w="1193" w:type="dxa"/>
            <w:tcBorders>
              <w:top w:val="single" w:sz="4" w:space="0" w:color="FFFFFF"/>
              <w:left w:val="single" w:sz="4" w:space="0" w:color="FFFFFF"/>
              <w:bottom w:val="single" w:sz="4" w:space="0" w:color="FFFFFF"/>
              <w:right w:val="nil"/>
            </w:tcBorders>
            <w:shd w:val="clear" w:color="D9E1F2" w:fill="FBA776"/>
            <w:noWrap/>
            <w:vAlign w:val="bottom"/>
            <w:hideMark/>
          </w:tcPr>
          <w:p w14:paraId="1F379D61"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28.71%</w:t>
            </w:r>
          </w:p>
        </w:tc>
      </w:tr>
      <w:tr w:rsidR="00BC2B6E" w:rsidRPr="003051CD" w14:paraId="45998549"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71C0028C" w14:textId="7EB9023E"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27</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36E0E89D" w14:textId="01173103"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Chiantla</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D48A7F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Q22,026,560.30</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760EC9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Q6,217,347.80</w:t>
            </w:r>
          </w:p>
        </w:tc>
        <w:tc>
          <w:tcPr>
            <w:tcW w:w="1193" w:type="dxa"/>
            <w:tcBorders>
              <w:top w:val="single" w:sz="4" w:space="0" w:color="FFFFFF"/>
              <w:left w:val="single" w:sz="4" w:space="0" w:color="FFFFFF"/>
              <w:bottom w:val="single" w:sz="4" w:space="0" w:color="FFFFFF"/>
              <w:right w:val="nil"/>
            </w:tcBorders>
            <w:shd w:val="clear" w:color="B4C6E7" w:fill="FBA676"/>
            <w:noWrap/>
            <w:vAlign w:val="bottom"/>
            <w:hideMark/>
          </w:tcPr>
          <w:p w14:paraId="7C618E35"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28.23%</w:t>
            </w:r>
          </w:p>
        </w:tc>
      </w:tr>
      <w:tr w:rsidR="00BC2B6E" w:rsidRPr="003051CD" w14:paraId="2C2A62C6"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118E9C65" w14:textId="52D7FDE3"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28</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2D9B0914" w14:textId="6E2EB97B"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Mateo Ixtatán</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FB809A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Q28,754,778.90</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25706C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Q7,942,954.73</w:t>
            </w:r>
          </w:p>
        </w:tc>
        <w:tc>
          <w:tcPr>
            <w:tcW w:w="1193" w:type="dxa"/>
            <w:tcBorders>
              <w:top w:val="single" w:sz="4" w:space="0" w:color="FFFFFF"/>
              <w:left w:val="single" w:sz="4" w:space="0" w:color="FFFFFF"/>
              <w:bottom w:val="single" w:sz="4" w:space="0" w:color="FFFFFF"/>
              <w:right w:val="nil"/>
            </w:tcBorders>
            <w:shd w:val="clear" w:color="D9E1F2" w:fill="FBA476"/>
            <w:noWrap/>
            <w:vAlign w:val="bottom"/>
            <w:hideMark/>
          </w:tcPr>
          <w:p w14:paraId="1FAC32ED"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27.62%</w:t>
            </w:r>
          </w:p>
        </w:tc>
      </w:tr>
      <w:tr w:rsidR="00BC2B6E" w:rsidRPr="003051CD" w14:paraId="79D4D67C"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0FB053E9" w14:textId="37C7869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29</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711C1401" w14:textId="27129A25"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Ixtahuacán</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D384E8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Q30,625,355.25</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429FEC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Q7,664,652.03</w:t>
            </w:r>
          </w:p>
        </w:tc>
        <w:tc>
          <w:tcPr>
            <w:tcW w:w="1193" w:type="dxa"/>
            <w:tcBorders>
              <w:top w:val="single" w:sz="4" w:space="0" w:color="FFFFFF"/>
              <w:left w:val="single" w:sz="4" w:space="0" w:color="FFFFFF"/>
              <w:bottom w:val="single" w:sz="4" w:space="0" w:color="FFFFFF"/>
              <w:right w:val="nil"/>
            </w:tcBorders>
            <w:shd w:val="clear" w:color="B4C6E7" w:fill="FA9F75"/>
            <w:noWrap/>
            <w:vAlign w:val="bottom"/>
            <w:hideMark/>
          </w:tcPr>
          <w:p w14:paraId="6A20727B"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25.03%</w:t>
            </w:r>
          </w:p>
        </w:tc>
      </w:tr>
      <w:tr w:rsidR="00BC2B6E" w:rsidRPr="003051CD" w14:paraId="6C102098"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7C109F52" w14:textId="5AB81C58"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30</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75355246" w14:textId="7A8FDCA5"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Libertad</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9A231C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Q15,135,027.41</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E5B895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Q3,640,326.94</w:t>
            </w:r>
          </w:p>
        </w:tc>
        <w:tc>
          <w:tcPr>
            <w:tcW w:w="1193" w:type="dxa"/>
            <w:tcBorders>
              <w:top w:val="single" w:sz="4" w:space="0" w:color="FFFFFF"/>
              <w:left w:val="single" w:sz="4" w:space="0" w:color="FFFFFF"/>
              <w:bottom w:val="single" w:sz="4" w:space="0" w:color="FFFFFF"/>
              <w:right w:val="nil"/>
            </w:tcBorders>
            <w:shd w:val="clear" w:color="D9E1F2" w:fill="FA9D75"/>
            <w:noWrap/>
            <w:vAlign w:val="bottom"/>
            <w:hideMark/>
          </w:tcPr>
          <w:p w14:paraId="18B17CDE"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24.05%</w:t>
            </w:r>
          </w:p>
        </w:tc>
      </w:tr>
      <w:tr w:rsidR="00BC2B6E" w:rsidRPr="003051CD" w14:paraId="175B377C"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0523ACF4" w14:textId="5E533F4C"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31</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41BF6027" w14:textId="24BD16E2"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Tectitán</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5D89899"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Q10,960,575.98</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1631D0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Q2,288,644.30</w:t>
            </w:r>
          </w:p>
        </w:tc>
        <w:tc>
          <w:tcPr>
            <w:tcW w:w="1193" w:type="dxa"/>
            <w:tcBorders>
              <w:top w:val="single" w:sz="4" w:space="0" w:color="FFFFFF"/>
              <w:left w:val="single" w:sz="4" w:space="0" w:color="FFFFFF"/>
              <w:bottom w:val="single" w:sz="4" w:space="0" w:color="FFFFFF"/>
              <w:right w:val="nil"/>
            </w:tcBorders>
            <w:shd w:val="clear" w:color="B4C6E7" w:fill="FA9673"/>
            <w:noWrap/>
            <w:vAlign w:val="bottom"/>
            <w:hideMark/>
          </w:tcPr>
          <w:p w14:paraId="125D10D3"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20.88%</w:t>
            </w:r>
          </w:p>
        </w:tc>
      </w:tr>
      <w:tr w:rsidR="00BC2B6E" w:rsidRPr="003051CD" w14:paraId="171145E5"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D9E1F2" w:fill="D9E1F2"/>
          </w:tcPr>
          <w:p w14:paraId="7EFEB137" w14:textId="152C872C"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32</w:t>
            </w:r>
          </w:p>
        </w:tc>
        <w:tc>
          <w:tcPr>
            <w:tcW w:w="2495" w:type="dxa"/>
            <w:tcBorders>
              <w:top w:val="single" w:sz="4" w:space="0" w:color="FFFFFF"/>
              <w:left w:val="nil"/>
              <w:bottom w:val="single" w:sz="4" w:space="0" w:color="FFFFFF"/>
              <w:right w:val="single" w:sz="4" w:space="0" w:color="FFFFFF"/>
            </w:tcBorders>
            <w:shd w:val="clear" w:color="D9E1F2" w:fill="D9E1F2"/>
            <w:noWrap/>
            <w:vAlign w:val="bottom"/>
            <w:hideMark/>
          </w:tcPr>
          <w:p w14:paraId="216C58CE" w14:textId="44AEBFBE"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Bárbara</w:t>
            </w:r>
          </w:p>
        </w:tc>
        <w:tc>
          <w:tcPr>
            <w:tcW w:w="237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497989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Q16,183,973.44</w:t>
            </w:r>
          </w:p>
        </w:tc>
        <w:tc>
          <w:tcPr>
            <w:tcW w:w="186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6C6F80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Q2,956,110.97</w:t>
            </w:r>
          </w:p>
        </w:tc>
        <w:tc>
          <w:tcPr>
            <w:tcW w:w="1193" w:type="dxa"/>
            <w:tcBorders>
              <w:top w:val="single" w:sz="4" w:space="0" w:color="FFFFFF"/>
              <w:left w:val="single" w:sz="4" w:space="0" w:color="FFFFFF"/>
              <w:bottom w:val="single" w:sz="4" w:space="0" w:color="FFFFFF"/>
              <w:right w:val="nil"/>
            </w:tcBorders>
            <w:shd w:val="clear" w:color="D9E1F2" w:fill="FA9072"/>
            <w:noWrap/>
            <w:vAlign w:val="bottom"/>
            <w:hideMark/>
          </w:tcPr>
          <w:p w14:paraId="2A2636CE"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18.27%</w:t>
            </w:r>
          </w:p>
        </w:tc>
      </w:tr>
      <w:tr w:rsidR="00BC2B6E" w:rsidRPr="003051CD" w14:paraId="712BB432" w14:textId="77777777" w:rsidTr="00FB3DF5">
        <w:trPr>
          <w:trHeight w:val="286"/>
        </w:trPr>
        <w:tc>
          <w:tcPr>
            <w:tcW w:w="493" w:type="dxa"/>
            <w:tcBorders>
              <w:top w:val="single" w:sz="4" w:space="0" w:color="FFFFFF"/>
              <w:left w:val="nil"/>
              <w:bottom w:val="single" w:sz="4" w:space="0" w:color="FFFFFF"/>
              <w:right w:val="single" w:sz="4" w:space="0" w:color="FFFFFF"/>
            </w:tcBorders>
            <w:shd w:val="clear" w:color="B4C6E7" w:fill="B4C6E7"/>
          </w:tcPr>
          <w:p w14:paraId="63EADB2C" w14:textId="07FD71DE"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33</w:t>
            </w:r>
          </w:p>
        </w:tc>
        <w:tc>
          <w:tcPr>
            <w:tcW w:w="2495" w:type="dxa"/>
            <w:tcBorders>
              <w:top w:val="single" w:sz="4" w:space="0" w:color="FFFFFF"/>
              <w:left w:val="nil"/>
              <w:bottom w:val="single" w:sz="4" w:space="0" w:color="FFFFFF"/>
              <w:right w:val="single" w:sz="4" w:space="0" w:color="FFFFFF"/>
            </w:tcBorders>
            <w:shd w:val="clear" w:color="B4C6E7" w:fill="B4C6E7"/>
            <w:noWrap/>
            <w:vAlign w:val="bottom"/>
            <w:hideMark/>
          </w:tcPr>
          <w:p w14:paraId="0CB3197E" w14:textId="0BE178FB"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Cuilco</w:t>
            </w:r>
          </w:p>
        </w:tc>
        <w:tc>
          <w:tcPr>
            <w:tcW w:w="237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DE5AC3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6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F0BE78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93" w:type="dxa"/>
            <w:tcBorders>
              <w:top w:val="single" w:sz="4" w:space="0" w:color="FFFFFF"/>
              <w:left w:val="single" w:sz="4" w:space="0" w:color="FFFFFF"/>
              <w:bottom w:val="single" w:sz="4" w:space="0" w:color="FFFFFF"/>
              <w:right w:val="nil"/>
            </w:tcBorders>
            <w:shd w:val="clear" w:color="B4C6E7" w:fill="F8696B"/>
            <w:noWrap/>
            <w:vAlign w:val="bottom"/>
            <w:hideMark/>
          </w:tcPr>
          <w:p w14:paraId="06BF3A49"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6BCF10BA" w14:textId="77777777" w:rsidTr="00FB3DF5">
        <w:trPr>
          <w:trHeight w:val="286"/>
        </w:trPr>
        <w:tc>
          <w:tcPr>
            <w:tcW w:w="493" w:type="dxa"/>
            <w:tcBorders>
              <w:top w:val="single" w:sz="4" w:space="0" w:color="FFFFFF"/>
              <w:left w:val="nil"/>
              <w:bottom w:val="nil"/>
              <w:right w:val="single" w:sz="4" w:space="0" w:color="FFFFFF"/>
            </w:tcBorders>
            <w:shd w:val="clear" w:color="D9E1F2" w:fill="D9E1F2"/>
          </w:tcPr>
          <w:p w14:paraId="109E8A40" w14:textId="01A5CFC8"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34</w:t>
            </w:r>
          </w:p>
        </w:tc>
        <w:tc>
          <w:tcPr>
            <w:tcW w:w="2495" w:type="dxa"/>
            <w:tcBorders>
              <w:top w:val="single" w:sz="4" w:space="0" w:color="FFFFFF"/>
              <w:left w:val="nil"/>
              <w:bottom w:val="nil"/>
              <w:right w:val="single" w:sz="4" w:space="0" w:color="FFFFFF"/>
            </w:tcBorders>
            <w:shd w:val="clear" w:color="D9E1F2" w:fill="D9E1F2"/>
            <w:noWrap/>
            <w:vAlign w:val="bottom"/>
            <w:hideMark/>
          </w:tcPr>
          <w:p w14:paraId="34ACCC6A" w14:textId="37165D2A" w:rsidR="00BC2B6E" w:rsidRPr="003051CD" w:rsidRDefault="00BC2B6E"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w:t>
            </w:r>
            <w:r w:rsidR="00FB3DF5">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Sebastián Huehuetenango</w:t>
            </w:r>
          </w:p>
        </w:tc>
        <w:tc>
          <w:tcPr>
            <w:tcW w:w="2378" w:type="dxa"/>
            <w:tcBorders>
              <w:top w:val="single" w:sz="4" w:space="0" w:color="FFFFFF"/>
              <w:left w:val="single" w:sz="4" w:space="0" w:color="FFFFFF"/>
              <w:bottom w:val="nil"/>
              <w:right w:val="single" w:sz="4" w:space="0" w:color="FFFFFF"/>
            </w:tcBorders>
            <w:shd w:val="clear" w:color="D9E1F2" w:fill="D9E1F2"/>
            <w:noWrap/>
            <w:vAlign w:val="bottom"/>
            <w:hideMark/>
          </w:tcPr>
          <w:p w14:paraId="642AC7D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68" w:type="dxa"/>
            <w:tcBorders>
              <w:top w:val="single" w:sz="4" w:space="0" w:color="FFFFFF"/>
              <w:left w:val="single" w:sz="4" w:space="0" w:color="FFFFFF"/>
              <w:bottom w:val="nil"/>
              <w:right w:val="single" w:sz="4" w:space="0" w:color="FFFFFF"/>
            </w:tcBorders>
            <w:shd w:val="clear" w:color="D9E1F2" w:fill="D9E1F2"/>
            <w:noWrap/>
            <w:vAlign w:val="bottom"/>
            <w:hideMark/>
          </w:tcPr>
          <w:p w14:paraId="58423C74"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93" w:type="dxa"/>
            <w:tcBorders>
              <w:top w:val="single" w:sz="4" w:space="0" w:color="FFFFFF"/>
              <w:left w:val="single" w:sz="4" w:space="0" w:color="FFFFFF"/>
              <w:bottom w:val="nil"/>
              <w:right w:val="nil"/>
            </w:tcBorders>
            <w:shd w:val="clear" w:color="D9E1F2" w:fill="F8696B"/>
            <w:noWrap/>
            <w:vAlign w:val="bottom"/>
            <w:hideMark/>
          </w:tcPr>
          <w:p w14:paraId="00161FD0"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01C1A92F" w14:textId="3CEA1813" w:rsidR="00693BD9" w:rsidRPr="003051CD" w:rsidRDefault="00BC2B6E" w:rsidP="00693BD9">
      <w:pPr>
        <w:autoSpaceDE w:val="0"/>
        <w:autoSpaceDN w:val="0"/>
        <w:adjustRightInd w:val="0"/>
        <w:spacing w:after="0" w:line="240" w:lineRule="auto"/>
        <w:jc w:val="both"/>
        <w:rPr>
          <w:rFonts w:ascii="Helvetica" w:eastAsia="Times New Roman" w:hAnsi="Helvetica" w:cs="Helvetica"/>
          <w:sz w:val="18"/>
          <w:szCs w:val="18"/>
          <w:lang w:val="es-ES"/>
        </w:rPr>
      </w:pPr>
      <w:r>
        <w:rPr>
          <w:rFonts w:ascii="Helvetica" w:eastAsia="Times New Roman" w:hAnsi="Helvetica" w:cs="Helvetica"/>
          <w:sz w:val="18"/>
          <w:szCs w:val="18"/>
          <w:lang w:val="es-ES"/>
        </w:rPr>
        <w:t xml:space="preserve">   </w:t>
      </w:r>
      <w:r w:rsidR="00693BD9" w:rsidRPr="003051CD">
        <w:rPr>
          <w:rFonts w:ascii="Helvetica" w:eastAsia="Times New Roman" w:hAnsi="Helvetica" w:cs="Helvetica"/>
          <w:sz w:val="18"/>
          <w:szCs w:val="18"/>
          <w:lang w:val="es-ES"/>
        </w:rPr>
        <w:t>Fuente: Siplangl, III informe cuatrimestral y acumulado. Año 2020</w:t>
      </w:r>
      <w:r>
        <w:rPr>
          <w:rFonts w:ascii="Helvetica" w:eastAsia="Times New Roman" w:hAnsi="Helvetica" w:cs="Helvetica"/>
          <w:sz w:val="18"/>
          <w:szCs w:val="18"/>
          <w:lang w:val="es-ES"/>
        </w:rPr>
        <w:t>.</w:t>
      </w:r>
    </w:p>
    <w:p w14:paraId="7D8429B1"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A9491B2" w14:textId="6FB3962F" w:rsidR="00693BD9" w:rsidRPr="00085107" w:rsidRDefault="00693BD9" w:rsidP="00085107">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085107">
        <w:rPr>
          <w:rFonts w:ascii="Helvetica" w:eastAsia="Times New Roman" w:hAnsi="Helvetica" w:cs="Helvetica"/>
          <w:b/>
          <w:color w:val="002060"/>
          <w:sz w:val="28"/>
          <w:szCs w:val="28"/>
          <w:lang w:val="es-ES"/>
        </w:rPr>
        <w:t>Escuintla</w:t>
      </w:r>
    </w:p>
    <w:p w14:paraId="00A61E27"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FDF7264" w14:textId="38747796"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68.77%. Los municipios que mayor ejecución presentaron son: Escuintla 84.10%, Masagua 78.35% y Siquinalá 77.94%. Cabe mencionar que Guanagazapa, Iztapa La Democracia, Escuintla, Nueva Concepción, San José, Escuintla, San Vicente Pacaya, Santa Lucía Cotzulmalguapa y Sipacate; no entregaron el tercer informe cuatrimestral</w:t>
      </w:r>
      <w:r w:rsidR="00F407CB">
        <w:rPr>
          <w:rFonts w:ascii="Helvetica" w:eastAsia="Times New Roman" w:hAnsi="Helvetica" w:cs="Helvetica"/>
          <w:sz w:val="24"/>
          <w:szCs w:val="24"/>
          <w:lang w:val="es-ES"/>
        </w:rPr>
        <w:t>. Ver tabla 23.</w:t>
      </w:r>
    </w:p>
    <w:p w14:paraId="23D91719" w14:textId="77777777" w:rsidR="00F407CB" w:rsidRPr="003051CD"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506C6E0" w14:textId="57EE6126" w:rsidR="00693BD9" w:rsidRPr="00016865" w:rsidRDefault="00F407CB" w:rsidP="00016865">
      <w:pPr>
        <w:pStyle w:val="ttulosgrficas"/>
        <w:rPr>
          <w:rFonts w:eastAsia="Times New Roman"/>
          <w:color w:val="4472C4" w:themeColor="accent1"/>
          <w:lang w:val="es-ES"/>
        </w:rPr>
      </w:pPr>
      <w:bookmarkStart w:id="56" w:name="_Toc67589136"/>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23</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Escuintla</w:t>
      </w:r>
      <w:bookmarkEnd w:id="56"/>
    </w:p>
    <w:p w14:paraId="72EEFCD6" w14:textId="77777777" w:rsidR="00BC2B6E" w:rsidRPr="00BC2B6E" w:rsidRDefault="00BC2B6E" w:rsidP="00BC2B6E">
      <w:pPr>
        <w:autoSpaceDE w:val="0"/>
        <w:autoSpaceDN w:val="0"/>
        <w:adjustRightInd w:val="0"/>
        <w:spacing w:after="0" w:line="120" w:lineRule="auto"/>
        <w:jc w:val="center"/>
        <w:rPr>
          <w:rStyle w:val="ttulosgrficasCar"/>
        </w:rPr>
      </w:pPr>
    </w:p>
    <w:tbl>
      <w:tblPr>
        <w:tblW w:w="8807" w:type="dxa"/>
        <w:tblInd w:w="70" w:type="dxa"/>
        <w:tblCellMar>
          <w:left w:w="70" w:type="dxa"/>
          <w:right w:w="70" w:type="dxa"/>
        </w:tblCellMar>
        <w:tblLook w:val="04A0" w:firstRow="1" w:lastRow="0" w:firstColumn="1" w:lastColumn="0" w:noHBand="0" w:noVBand="1"/>
      </w:tblPr>
      <w:tblGrid>
        <w:gridCol w:w="491"/>
        <w:gridCol w:w="3138"/>
        <w:gridCol w:w="1995"/>
        <w:gridCol w:w="1995"/>
        <w:gridCol w:w="1274"/>
      </w:tblGrid>
      <w:tr w:rsidR="00BC2B6E" w:rsidRPr="003051CD" w14:paraId="753DD5A7" w14:textId="77777777" w:rsidTr="00FB3DF5">
        <w:trPr>
          <w:trHeight w:val="312"/>
        </w:trPr>
        <w:tc>
          <w:tcPr>
            <w:tcW w:w="703" w:type="dxa"/>
            <w:tcBorders>
              <w:top w:val="nil"/>
              <w:left w:val="nil"/>
              <w:bottom w:val="single" w:sz="12" w:space="0" w:color="FFFFFF"/>
              <w:right w:val="single" w:sz="4" w:space="0" w:color="FFFFFF"/>
            </w:tcBorders>
            <w:shd w:val="clear" w:color="4472C4" w:fill="4472C4"/>
            <w:vAlign w:val="center"/>
          </w:tcPr>
          <w:p w14:paraId="5B1E8DE0" w14:textId="3D243566"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w:t>
            </w:r>
            <w:r w:rsidRPr="00BC2B6E">
              <w:rPr>
                <w:rFonts w:eastAsia="Times New Roman"/>
                <w:b/>
                <w:bCs/>
                <w:lang w:val="es-ES"/>
              </w:rPr>
              <w:t>o.</w:t>
            </w:r>
          </w:p>
        </w:tc>
        <w:tc>
          <w:tcPr>
            <w:tcW w:w="3138" w:type="dxa"/>
            <w:tcBorders>
              <w:top w:val="nil"/>
              <w:left w:val="nil"/>
              <w:bottom w:val="single" w:sz="12" w:space="0" w:color="FFFFFF"/>
              <w:right w:val="single" w:sz="4" w:space="0" w:color="FFFFFF"/>
            </w:tcBorders>
            <w:shd w:val="clear" w:color="4472C4" w:fill="4472C4"/>
            <w:noWrap/>
            <w:vAlign w:val="center"/>
            <w:hideMark/>
          </w:tcPr>
          <w:p w14:paraId="700829EF" w14:textId="0A64E129"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882" w:type="dxa"/>
            <w:tcBorders>
              <w:top w:val="nil"/>
              <w:left w:val="nil"/>
              <w:bottom w:val="single" w:sz="12" w:space="0" w:color="FFFFFF"/>
              <w:right w:val="single" w:sz="4" w:space="0" w:color="FFFFFF"/>
            </w:tcBorders>
            <w:shd w:val="clear" w:color="4472C4" w:fill="4472C4"/>
            <w:noWrap/>
            <w:vAlign w:val="center"/>
            <w:hideMark/>
          </w:tcPr>
          <w:p w14:paraId="043D9643"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882" w:type="dxa"/>
            <w:tcBorders>
              <w:top w:val="nil"/>
              <w:left w:val="nil"/>
              <w:bottom w:val="single" w:sz="12" w:space="0" w:color="FFFFFF"/>
              <w:right w:val="single" w:sz="4" w:space="0" w:color="FFFFFF"/>
            </w:tcBorders>
            <w:shd w:val="clear" w:color="4472C4" w:fill="4472C4"/>
            <w:noWrap/>
            <w:vAlign w:val="center"/>
            <w:hideMark/>
          </w:tcPr>
          <w:p w14:paraId="49BA3320"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202" w:type="dxa"/>
            <w:tcBorders>
              <w:top w:val="nil"/>
              <w:left w:val="nil"/>
              <w:bottom w:val="single" w:sz="12" w:space="0" w:color="FFFFFF"/>
              <w:right w:val="nil"/>
            </w:tcBorders>
            <w:shd w:val="clear" w:color="4472C4" w:fill="4472C4"/>
            <w:noWrap/>
            <w:vAlign w:val="center"/>
            <w:hideMark/>
          </w:tcPr>
          <w:p w14:paraId="0748219A"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BC2B6E" w:rsidRPr="003051CD" w14:paraId="3D123979" w14:textId="77777777" w:rsidTr="00FB3DF5">
        <w:trPr>
          <w:trHeight w:val="312"/>
        </w:trPr>
        <w:tc>
          <w:tcPr>
            <w:tcW w:w="703" w:type="dxa"/>
            <w:tcBorders>
              <w:top w:val="single" w:sz="4" w:space="0" w:color="FFFFFF"/>
              <w:left w:val="nil"/>
              <w:bottom w:val="single" w:sz="4" w:space="0" w:color="FFFFFF"/>
              <w:right w:val="single" w:sz="4" w:space="0" w:color="FFFFFF"/>
            </w:tcBorders>
            <w:shd w:val="clear" w:color="auto" w:fill="4F81BD"/>
          </w:tcPr>
          <w:p w14:paraId="2E7E9A66"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3138" w:type="dxa"/>
            <w:tcBorders>
              <w:top w:val="single" w:sz="4" w:space="0" w:color="FFFFFF"/>
              <w:left w:val="nil"/>
              <w:bottom w:val="single" w:sz="4" w:space="0" w:color="FFFFFF"/>
              <w:right w:val="single" w:sz="4" w:space="0" w:color="FFFFFF"/>
            </w:tcBorders>
            <w:shd w:val="clear" w:color="auto" w:fill="4F81BD"/>
            <w:noWrap/>
            <w:vAlign w:val="bottom"/>
            <w:hideMark/>
          </w:tcPr>
          <w:p w14:paraId="603A5729" w14:textId="3E35BC1E"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882"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392EA48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Q330,272,496.41</w:t>
            </w:r>
          </w:p>
        </w:tc>
        <w:tc>
          <w:tcPr>
            <w:tcW w:w="1882"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4D6A805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Q227,114,727.34</w:t>
            </w:r>
          </w:p>
        </w:tc>
        <w:tc>
          <w:tcPr>
            <w:tcW w:w="1202" w:type="dxa"/>
            <w:tcBorders>
              <w:top w:val="single" w:sz="4" w:space="0" w:color="FFFFFF"/>
              <w:left w:val="single" w:sz="4" w:space="0" w:color="FFFFFF"/>
              <w:bottom w:val="single" w:sz="4" w:space="0" w:color="FFFFFF"/>
              <w:right w:val="nil"/>
            </w:tcBorders>
            <w:shd w:val="clear" w:color="B4C6E7" w:fill="C8DF79"/>
            <w:noWrap/>
            <w:vAlign w:val="bottom"/>
            <w:hideMark/>
          </w:tcPr>
          <w:p w14:paraId="09CA9DBE"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68.77%</w:t>
            </w:r>
          </w:p>
        </w:tc>
      </w:tr>
      <w:tr w:rsidR="00BC2B6E" w:rsidRPr="003051CD" w14:paraId="7D3D0A32"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D9E1F2" w:fill="D9E1F2"/>
          </w:tcPr>
          <w:p w14:paraId="7EF1595A" w14:textId="31216552"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3138" w:type="dxa"/>
            <w:tcBorders>
              <w:top w:val="single" w:sz="4" w:space="0" w:color="FFFFFF"/>
              <w:left w:val="nil"/>
              <w:bottom w:val="single" w:sz="4" w:space="0" w:color="FFFFFF"/>
              <w:right w:val="single" w:sz="4" w:space="0" w:color="FFFFFF"/>
            </w:tcBorders>
            <w:shd w:val="clear" w:color="D9E1F2" w:fill="D9E1F2"/>
            <w:noWrap/>
            <w:vAlign w:val="bottom"/>
            <w:hideMark/>
          </w:tcPr>
          <w:p w14:paraId="7F339A50" w14:textId="49F60A2E"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Escuintla</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9B3FA9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Q100,027,490.05</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8A0E200"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Q84,123,583.29</w:t>
            </w:r>
          </w:p>
        </w:tc>
        <w:tc>
          <w:tcPr>
            <w:tcW w:w="1202" w:type="dxa"/>
            <w:tcBorders>
              <w:top w:val="single" w:sz="4" w:space="0" w:color="FFFFFF"/>
              <w:left w:val="single" w:sz="4" w:space="0" w:color="FFFFFF"/>
              <w:bottom w:val="single" w:sz="4" w:space="0" w:color="FFFFFF"/>
              <w:right w:val="nil"/>
            </w:tcBorders>
            <w:shd w:val="clear" w:color="D9E1F2" w:fill="66C865"/>
            <w:noWrap/>
            <w:vAlign w:val="bottom"/>
            <w:hideMark/>
          </w:tcPr>
          <w:p w14:paraId="1F0AD293"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84.10%</w:t>
            </w:r>
          </w:p>
        </w:tc>
      </w:tr>
      <w:tr w:rsidR="00BC2B6E" w:rsidRPr="003051CD" w14:paraId="280593F1"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B4C6E7" w:fill="B4C6E7"/>
          </w:tcPr>
          <w:p w14:paraId="256CBF3B" w14:textId="6938B767"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3138" w:type="dxa"/>
            <w:tcBorders>
              <w:top w:val="single" w:sz="4" w:space="0" w:color="FFFFFF"/>
              <w:left w:val="nil"/>
              <w:bottom w:val="single" w:sz="4" w:space="0" w:color="FFFFFF"/>
              <w:right w:val="single" w:sz="4" w:space="0" w:color="FFFFFF"/>
            </w:tcBorders>
            <w:shd w:val="clear" w:color="B4C6E7" w:fill="B4C6E7"/>
            <w:noWrap/>
            <w:vAlign w:val="bottom"/>
            <w:hideMark/>
          </w:tcPr>
          <w:p w14:paraId="29BD143B" w14:textId="0BFDDF50"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Masagua</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5BDDCD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Q41,717,535.85</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FCE3A4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Q32,684,049.03</w:t>
            </w:r>
          </w:p>
        </w:tc>
        <w:tc>
          <w:tcPr>
            <w:tcW w:w="1202" w:type="dxa"/>
            <w:tcBorders>
              <w:top w:val="single" w:sz="4" w:space="0" w:color="FFFFFF"/>
              <w:left w:val="single" w:sz="4" w:space="0" w:color="FFFFFF"/>
              <w:bottom w:val="single" w:sz="4" w:space="0" w:color="FFFFFF"/>
              <w:right w:val="nil"/>
            </w:tcBorders>
            <w:shd w:val="clear" w:color="B4C6E7" w:fill="8BD06D"/>
            <w:noWrap/>
            <w:vAlign w:val="bottom"/>
            <w:hideMark/>
          </w:tcPr>
          <w:p w14:paraId="559DF67A"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78.35%</w:t>
            </w:r>
          </w:p>
        </w:tc>
      </w:tr>
      <w:tr w:rsidR="00BC2B6E" w:rsidRPr="003051CD" w14:paraId="112E0007"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D9E1F2" w:fill="D9E1F2"/>
          </w:tcPr>
          <w:p w14:paraId="5198ED2B" w14:textId="3FE0E89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3138" w:type="dxa"/>
            <w:tcBorders>
              <w:top w:val="single" w:sz="4" w:space="0" w:color="FFFFFF"/>
              <w:left w:val="nil"/>
              <w:bottom w:val="single" w:sz="4" w:space="0" w:color="FFFFFF"/>
              <w:right w:val="single" w:sz="4" w:space="0" w:color="FFFFFF"/>
            </w:tcBorders>
            <w:shd w:val="clear" w:color="D9E1F2" w:fill="D9E1F2"/>
            <w:noWrap/>
            <w:vAlign w:val="bottom"/>
            <w:hideMark/>
          </w:tcPr>
          <w:p w14:paraId="7909546C" w14:textId="57F0F2A1"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Siquinalá</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5F8A53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Q41,452,945.91</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EE67A0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Q32,307,014.87</w:t>
            </w:r>
          </w:p>
        </w:tc>
        <w:tc>
          <w:tcPr>
            <w:tcW w:w="1202" w:type="dxa"/>
            <w:tcBorders>
              <w:top w:val="single" w:sz="4" w:space="0" w:color="FFFFFF"/>
              <w:left w:val="single" w:sz="4" w:space="0" w:color="FFFFFF"/>
              <w:bottom w:val="single" w:sz="4" w:space="0" w:color="FFFFFF"/>
              <w:right w:val="nil"/>
            </w:tcBorders>
            <w:shd w:val="clear" w:color="D9E1F2" w:fill="8DD16D"/>
            <w:noWrap/>
            <w:vAlign w:val="bottom"/>
            <w:hideMark/>
          </w:tcPr>
          <w:p w14:paraId="4AE36888"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77.94%</w:t>
            </w:r>
          </w:p>
        </w:tc>
      </w:tr>
      <w:tr w:rsidR="00BC2B6E" w:rsidRPr="003051CD" w14:paraId="19FEDD3A"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B4C6E7" w:fill="B4C6E7"/>
          </w:tcPr>
          <w:p w14:paraId="1A92A5EE" w14:textId="32480AED"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3138" w:type="dxa"/>
            <w:tcBorders>
              <w:top w:val="single" w:sz="4" w:space="0" w:color="FFFFFF"/>
              <w:left w:val="nil"/>
              <w:bottom w:val="single" w:sz="4" w:space="0" w:color="FFFFFF"/>
              <w:right w:val="single" w:sz="4" w:space="0" w:color="FFFFFF"/>
            </w:tcBorders>
            <w:shd w:val="clear" w:color="B4C6E7" w:fill="B4C6E7"/>
            <w:noWrap/>
            <w:vAlign w:val="bottom"/>
            <w:hideMark/>
          </w:tcPr>
          <w:p w14:paraId="2CC3BF1F" w14:textId="72CF6CED"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Gomera</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C87D30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Q62,864,780.53</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1B80B1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Q41,595,532.56</w:t>
            </w:r>
          </w:p>
        </w:tc>
        <w:tc>
          <w:tcPr>
            <w:tcW w:w="1202" w:type="dxa"/>
            <w:tcBorders>
              <w:top w:val="single" w:sz="4" w:space="0" w:color="FFFFFF"/>
              <w:left w:val="single" w:sz="4" w:space="0" w:color="FFFFFF"/>
              <w:bottom w:val="single" w:sz="4" w:space="0" w:color="FFFFFF"/>
              <w:right w:val="nil"/>
            </w:tcBorders>
            <w:shd w:val="clear" w:color="B4C6E7" w:fill="D8E27C"/>
            <w:noWrap/>
            <w:vAlign w:val="bottom"/>
            <w:hideMark/>
          </w:tcPr>
          <w:p w14:paraId="7C8F2156"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66.17%</w:t>
            </w:r>
          </w:p>
        </w:tc>
      </w:tr>
      <w:tr w:rsidR="00BC2B6E" w:rsidRPr="003051CD" w14:paraId="71743990"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D9E1F2" w:fill="D9E1F2"/>
          </w:tcPr>
          <w:p w14:paraId="64AAA8B0" w14:textId="10D7FBAB"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3138" w:type="dxa"/>
            <w:tcBorders>
              <w:top w:val="single" w:sz="4" w:space="0" w:color="FFFFFF"/>
              <w:left w:val="nil"/>
              <w:bottom w:val="single" w:sz="4" w:space="0" w:color="FFFFFF"/>
              <w:right w:val="single" w:sz="4" w:space="0" w:color="FFFFFF"/>
            </w:tcBorders>
            <w:shd w:val="clear" w:color="D9E1F2" w:fill="D9E1F2"/>
            <w:noWrap/>
            <w:vAlign w:val="bottom"/>
            <w:hideMark/>
          </w:tcPr>
          <w:p w14:paraId="6179ACA5" w14:textId="06F4493F"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Palín</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3E1271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Q35,612,517.52</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FA5351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Q22,462,396.46</w:t>
            </w:r>
          </w:p>
        </w:tc>
        <w:tc>
          <w:tcPr>
            <w:tcW w:w="1202" w:type="dxa"/>
            <w:tcBorders>
              <w:top w:val="single" w:sz="4" w:space="0" w:color="FFFFFF"/>
              <w:left w:val="single" w:sz="4" w:space="0" w:color="FFFFFF"/>
              <w:bottom w:val="single" w:sz="4" w:space="0" w:color="FFFFFF"/>
              <w:right w:val="nil"/>
            </w:tcBorders>
            <w:shd w:val="clear" w:color="D9E1F2" w:fill="ECE781"/>
            <w:noWrap/>
            <w:vAlign w:val="bottom"/>
            <w:hideMark/>
          </w:tcPr>
          <w:p w14:paraId="3FF33CE7"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63.07%</w:t>
            </w:r>
          </w:p>
        </w:tc>
      </w:tr>
      <w:tr w:rsidR="00BC2B6E" w:rsidRPr="003051CD" w14:paraId="27E253BE"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B4C6E7" w:fill="B4C6E7"/>
          </w:tcPr>
          <w:p w14:paraId="2BC676E1" w14:textId="48DE933B"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3138" w:type="dxa"/>
            <w:tcBorders>
              <w:top w:val="single" w:sz="4" w:space="0" w:color="FFFFFF"/>
              <w:left w:val="nil"/>
              <w:bottom w:val="single" w:sz="4" w:space="0" w:color="FFFFFF"/>
              <w:right w:val="single" w:sz="4" w:space="0" w:color="FFFFFF"/>
            </w:tcBorders>
            <w:shd w:val="clear" w:color="B4C6E7" w:fill="B4C6E7"/>
            <w:noWrap/>
            <w:vAlign w:val="bottom"/>
            <w:hideMark/>
          </w:tcPr>
          <w:p w14:paraId="12D14CBD" w14:textId="021647A0"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Tiquisate</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279B93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Q48,597,226.55</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2C3428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Q13,942,151.13</w:t>
            </w:r>
          </w:p>
        </w:tc>
        <w:tc>
          <w:tcPr>
            <w:tcW w:w="1202" w:type="dxa"/>
            <w:tcBorders>
              <w:top w:val="single" w:sz="4" w:space="0" w:color="FFFFFF"/>
              <w:left w:val="single" w:sz="4" w:space="0" w:color="FFFFFF"/>
              <w:bottom w:val="single" w:sz="4" w:space="0" w:color="FFFFFF"/>
              <w:right w:val="nil"/>
            </w:tcBorders>
            <w:shd w:val="clear" w:color="B4C6E7" w:fill="FBA776"/>
            <w:noWrap/>
            <w:vAlign w:val="bottom"/>
            <w:hideMark/>
          </w:tcPr>
          <w:p w14:paraId="67DD17AE"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28.69%</w:t>
            </w:r>
          </w:p>
        </w:tc>
      </w:tr>
      <w:tr w:rsidR="00BC2B6E" w:rsidRPr="003051CD" w14:paraId="5AE8FA71"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D9E1F2" w:fill="D9E1F2"/>
          </w:tcPr>
          <w:p w14:paraId="5045834E" w14:textId="1DC31C8C"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3138" w:type="dxa"/>
            <w:tcBorders>
              <w:top w:val="single" w:sz="4" w:space="0" w:color="FFFFFF"/>
              <w:left w:val="nil"/>
              <w:bottom w:val="single" w:sz="4" w:space="0" w:color="FFFFFF"/>
              <w:right w:val="single" w:sz="4" w:space="0" w:color="FFFFFF"/>
            </w:tcBorders>
            <w:shd w:val="clear" w:color="D9E1F2" w:fill="D9E1F2"/>
            <w:noWrap/>
            <w:vAlign w:val="bottom"/>
            <w:hideMark/>
          </w:tcPr>
          <w:p w14:paraId="30B35839" w14:textId="77CB609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Guanagazapa</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B4C3F0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71AAB7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D9E1F2" w:fill="F8696B"/>
            <w:noWrap/>
            <w:vAlign w:val="bottom"/>
            <w:hideMark/>
          </w:tcPr>
          <w:p w14:paraId="053199E1"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78D96C20"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B4C6E7" w:fill="B4C6E7"/>
          </w:tcPr>
          <w:p w14:paraId="2E233D3E" w14:textId="612ADFBA"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3138" w:type="dxa"/>
            <w:tcBorders>
              <w:top w:val="single" w:sz="4" w:space="0" w:color="FFFFFF"/>
              <w:left w:val="nil"/>
              <w:bottom w:val="single" w:sz="4" w:space="0" w:color="FFFFFF"/>
              <w:right w:val="single" w:sz="4" w:space="0" w:color="FFFFFF"/>
            </w:tcBorders>
            <w:shd w:val="clear" w:color="B4C6E7" w:fill="B4C6E7"/>
            <w:noWrap/>
            <w:vAlign w:val="bottom"/>
            <w:hideMark/>
          </w:tcPr>
          <w:p w14:paraId="36DCB99C" w14:textId="15CB2A52"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Iztapa</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CC9797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846150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B4C6E7" w:fill="F8696B"/>
            <w:noWrap/>
            <w:vAlign w:val="bottom"/>
            <w:hideMark/>
          </w:tcPr>
          <w:p w14:paraId="63A2D530"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789ED0EB"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D9E1F2" w:fill="D9E1F2"/>
          </w:tcPr>
          <w:p w14:paraId="7B854237" w14:textId="44D5DD9A"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3138" w:type="dxa"/>
            <w:tcBorders>
              <w:top w:val="single" w:sz="4" w:space="0" w:color="FFFFFF"/>
              <w:left w:val="nil"/>
              <w:bottom w:val="single" w:sz="4" w:space="0" w:color="FFFFFF"/>
              <w:right w:val="single" w:sz="4" w:space="0" w:color="FFFFFF"/>
            </w:tcBorders>
            <w:shd w:val="clear" w:color="D9E1F2" w:fill="D9E1F2"/>
            <w:noWrap/>
            <w:vAlign w:val="bottom"/>
            <w:hideMark/>
          </w:tcPr>
          <w:p w14:paraId="4815F1B9" w14:textId="18F148DF"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Democracia, Escuintla</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CE727D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AF0309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D9E1F2" w:fill="F8696B"/>
            <w:noWrap/>
            <w:vAlign w:val="bottom"/>
            <w:hideMark/>
          </w:tcPr>
          <w:p w14:paraId="0B8496EE"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7DEC212F"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B4C6E7" w:fill="B4C6E7"/>
          </w:tcPr>
          <w:p w14:paraId="31189A54" w14:textId="193D42ED"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3138" w:type="dxa"/>
            <w:tcBorders>
              <w:top w:val="single" w:sz="4" w:space="0" w:color="FFFFFF"/>
              <w:left w:val="nil"/>
              <w:bottom w:val="single" w:sz="4" w:space="0" w:color="FFFFFF"/>
              <w:right w:val="single" w:sz="4" w:space="0" w:color="FFFFFF"/>
            </w:tcBorders>
            <w:shd w:val="clear" w:color="B4C6E7" w:fill="B4C6E7"/>
            <w:noWrap/>
            <w:vAlign w:val="bottom"/>
            <w:hideMark/>
          </w:tcPr>
          <w:p w14:paraId="7FC1CADE" w14:textId="424A2274"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Nueva Concepción</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8909E75"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F1BD96D"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B4C6E7" w:fill="F8696B"/>
            <w:noWrap/>
            <w:vAlign w:val="bottom"/>
            <w:hideMark/>
          </w:tcPr>
          <w:p w14:paraId="1A710C28"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3F65ED50"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D9E1F2" w:fill="D9E1F2"/>
          </w:tcPr>
          <w:p w14:paraId="52159B9B" w14:textId="6FB182E5"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3138" w:type="dxa"/>
            <w:tcBorders>
              <w:top w:val="single" w:sz="4" w:space="0" w:color="FFFFFF"/>
              <w:left w:val="nil"/>
              <w:bottom w:val="single" w:sz="4" w:space="0" w:color="FFFFFF"/>
              <w:right w:val="single" w:sz="4" w:space="0" w:color="FFFFFF"/>
            </w:tcBorders>
            <w:shd w:val="clear" w:color="D9E1F2" w:fill="D9E1F2"/>
            <w:noWrap/>
            <w:vAlign w:val="bottom"/>
            <w:hideMark/>
          </w:tcPr>
          <w:p w14:paraId="66C2134A" w14:textId="03E1A2F6"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E6AEA9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6B7054A"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D9E1F2" w:fill="F8696B"/>
            <w:noWrap/>
            <w:vAlign w:val="bottom"/>
            <w:hideMark/>
          </w:tcPr>
          <w:p w14:paraId="5652BE93"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37069CB2"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B4C6E7" w:fill="B4C6E7"/>
          </w:tcPr>
          <w:p w14:paraId="5F0F8904" w14:textId="3D5842B3"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3138" w:type="dxa"/>
            <w:tcBorders>
              <w:top w:val="single" w:sz="4" w:space="0" w:color="FFFFFF"/>
              <w:left w:val="nil"/>
              <w:bottom w:val="single" w:sz="4" w:space="0" w:color="FFFFFF"/>
              <w:right w:val="single" w:sz="4" w:space="0" w:color="FFFFFF"/>
            </w:tcBorders>
            <w:shd w:val="clear" w:color="B4C6E7" w:fill="B4C6E7"/>
            <w:noWrap/>
            <w:vAlign w:val="bottom"/>
            <w:hideMark/>
          </w:tcPr>
          <w:p w14:paraId="444DDCB8" w14:textId="21FF6D44"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Vicente Pacaya</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A1963B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12903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B4C6E7" w:fill="F8696B"/>
            <w:noWrap/>
            <w:vAlign w:val="bottom"/>
            <w:hideMark/>
          </w:tcPr>
          <w:p w14:paraId="52342F47"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1912E6EC" w14:textId="77777777" w:rsidTr="00FB3DF5">
        <w:trPr>
          <w:trHeight w:val="297"/>
        </w:trPr>
        <w:tc>
          <w:tcPr>
            <w:tcW w:w="703" w:type="dxa"/>
            <w:tcBorders>
              <w:top w:val="single" w:sz="4" w:space="0" w:color="FFFFFF"/>
              <w:left w:val="nil"/>
              <w:bottom w:val="single" w:sz="4" w:space="0" w:color="FFFFFF"/>
              <w:right w:val="single" w:sz="4" w:space="0" w:color="FFFFFF"/>
            </w:tcBorders>
            <w:shd w:val="clear" w:color="D9E1F2" w:fill="D9E1F2"/>
          </w:tcPr>
          <w:p w14:paraId="433026B7" w14:textId="6C424E89"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3138" w:type="dxa"/>
            <w:tcBorders>
              <w:top w:val="single" w:sz="4" w:space="0" w:color="FFFFFF"/>
              <w:left w:val="nil"/>
              <w:bottom w:val="single" w:sz="4" w:space="0" w:color="FFFFFF"/>
              <w:right w:val="single" w:sz="4" w:space="0" w:color="FFFFFF"/>
            </w:tcBorders>
            <w:shd w:val="clear" w:color="D9E1F2" w:fill="D9E1F2"/>
            <w:noWrap/>
            <w:vAlign w:val="bottom"/>
            <w:hideMark/>
          </w:tcPr>
          <w:p w14:paraId="13B633B4" w14:textId="72084AF2" w:rsidR="00BC2B6E" w:rsidRPr="003051CD" w:rsidRDefault="00BC2B6E" w:rsidP="00660E8C">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Lucía Cotzulmalguapa</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EA4E77"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AD10F6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D9E1F2" w:fill="F8696B"/>
            <w:noWrap/>
            <w:vAlign w:val="bottom"/>
            <w:hideMark/>
          </w:tcPr>
          <w:p w14:paraId="7149035C"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BC2B6E" w:rsidRPr="003051CD" w14:paraId="05BA34A5" w14:textId="77777777" w:rsidTr="00FB3DF5">
        <w:trPr>
          <w:trHeight w:val="297"/>
        </w:trPr>
        <w:tc>
          <w:tcPr>
            <w:tcW w:w="703" w:type="dxa"/>
            <w:tcBorders>
              <w:top w:val="single" w:sz="4" w:space="0" w:color="FFFFFF"/>
              <w:left w:val="nil"/>
              <w:bottom w:val="nil"/>
              <w:right w:val="single" w:sz="4" w:space="0" w:color="FFFFFF"/>
            </w:tcBorders>
            <w:shd w:val="clear" w:color="B4C6E7" w:fill="B4C6E7"/>
          </w:tcPr>
          <w:p w14:paraId="1B5ECF6D" w14:textId="130D0DDE"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3138" w:type="dxa"/>
            <w:tcBorders>
              <w:top w:val="single" w:sz="4" w:space="0" w:color="FFFFFF"/>
              <w:left w:val="nil"/>
              <w:bottom w:val="nil"/>
              <w:right w:val="single" w:sz="4" w:space="0" w:color="FFFFFF"/>
            </w:tcBorders>
            <w:shd w:val="clear" w:color="B4C6E7" w:fill="B4C6E7"/>
            <w:noWrap/>
            <w:vAlign w:val="bottom"/>
            <w:hideMark/>
          </w:tcPr>
          <w:p w14:paraId="0531A103" w14:textId="294A1D9D"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Sipacate</w:t>
            </w:r>
          </w:p>
        </w:tc>
        <w:tc>
          <w:tcPr>
            <w:tcW w:w="1882" w:type="dxa"/>
            <w:tcBorders>
              <w:top w:val="single" w:sz="4" w:space="0" w:color="FFFFFF"/>
              <w:left w:val="single" w:sz="4" w:space="0" w:color="FFFFFF"/>
              <w:bottom w:val="nil"/>
              <w:right w:val="single" w:sz="4" w:space="0" w:color="FFFFFF"/>
            </w:tcBorders>
            <w:shd w:val="clear" w:color="B4C6E7" w:fill="B4C6E7"/>
            <w:noWrap/>
            <w:vAlign w:val="bottom"/>
            <w:hideMark/>
          </w:tcPr>
          <w:p w14:paraId="5BFAA92F"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82" w:type="dxa"/>
            <w:tcBorders>
              <w:top w:val="single" w:sz="4" w:space="0" w:color="FFFFFF"/>
              <w:left w:val="single" w:sz="4" w:space="0" w:color="FFFFFF"/>
              <w:bottom w:val="nil"/>
              <w:right w:val="single" w:sz="4" w:space="0" w:color="FFFFFF"/>
            </w:tcBorders>
            <w:shd w:val="clear" w:color="B4C6E7" w:fill="B4C6E7"/>
            <w:noWrap/>
            <w:vAlign w:val="bottom"/>
            <w:hideMark/>
          </w:tcPr>
          <w:p w14:paraId="3A3959A6"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2" w:type="dxa"/>
            <w:tcBorders>
              <w:top w:val="single" w:sz="4" w:space="0" w:color="FFFFFF"/>
              <w:left w:val="single" w:sz="4" w:space="0" w:color="FFFFFF"/>
              <w:bottom w:val="single" w:sz="4" w:space="0" w:color="FFFFFF"/>
              <w:right w:val="nil"/>
            </w:tcBorders>
            <w:shd w:val="clear" w:color="B4C6E7" w:fill="F8696B"/>
            <w:noWrap/>
            <w:vAlign w:val="bottom"/>
            <w:hideMark/>
          </w:tcPr>
          <w:p w14:paraId="45310C85"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538247C0" w14:textId="6B5D5CD1" w:rsidR="00693BD9" w:rsidRPr="003051CD" w:rsidRDefault="00BC2B6E" w:rsidP="00693BD9">
      <w:pPr>
        <w:autoSpaceDE w:val="0"/>
        <w:autoSpaceDN w:val="0"/>
        <w:adjustRightInd w:val="0"/>
        <w:spacing w:after="0" w:line="240" w:lineRule="auto"/>
        <w:jc w:val="both"/>
        <w:rPr>
          <w:rFonts w:ascii="Helvetica" w:eastAsia="Times New Roman" w:hAnsi="Helvetica" w:cs="Helvetica"/>
          <w:sz w:val="18"/>
          <w:szCs w:val="24"/>
          <w:lang w:val="es-ES"/>
        </w:rPr>
      </w:pPr>
      <w:r>
        <w:rPr>
          <w:rFonts w:ascii="Helvetica" w:eastAsia="Times New Roman" w:hAnsi="Helvetica" w:cs="Helvetica"/>
          <w:sz w:val="18"/>
          <w:szCs w:val="24"/>
          <w:lang w:val="es-ES"/>
        </w:rPr>
        <w:t xml:space="preserve">  </w:t>
      </w:r>
      <w:r w:rsidR="00693BD9" w:rsidRPr="003051CD">
        <w:rPr>
          <w:rFonts w:ascii="Helvetica" w:eastAsia="Times New Roman" w:hAnsi="Helvetica" w:cs="Helvetica"/>
          <w:sz w:val="18"/>
          <w:szCs w:val="24"/>
          <w:lang w:val="es-ES"/>
        </w:rPr>
        <w:t>Fuente: Siplangl, III informe cuatrimestral y acumulado. Año 2020</w:t>
      </w:r>
      <w:r>
        <w:rPr>
          <w:rFonts w:ascii="Helvetica" w:eastAsia="Times New Roman" w:hAnsi="Helvetica" w:cs="Helvetica"/>
          <w:sz w:val="18"/>
          <w:szCs w:val="24"/>
          <w:lang w:val="es-ES"/>
        </w:rPr>
        <w:t>.</w:t>
      </w:r>
    </w:p>
    <w:p w14:paraId="4807783A"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19C1CFD" w14:textId="7FF49769" w:rsidR="00693BD9" w:rsidRPr="00085107" w:rsidRDefault="00693BD9" w:rsidP="00085107">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085107">
        <w:rPr>
          <w:rFonts w:ascii="Helvetica" w:eastAsia="Times New Roman" w:hAnsi="Helvetica" w:cs="Helvetica"/>
          <w:b/>
          <w:color w:val="002060"/>
          <w:sz w:val="28"/>
          <w:szCs w:val="28"/>
          <w:lang w:val="es-ES"/>
        </w:rPr>
        <w:t>Izabal</w:t>
      </w:r>
    </w:p>
    <w:p w14:paraId="3D110089" w14:textId="77777777" w:rsidR="00693BD9" w:rsidRPr="003051CD" w:rsidRDefault="00693BD9" w:rsidP="00693BD9">
      <w:pPr>
        <w:autoSpaceDE w:val="0"/>
        <w:autoSpaceDN w:val="0"/>
        <w:adjustRightInd w:val="0"/>
        <w:spacing w:after="0" w:line="240" w:lineRule="auto"/>
        <w:ind w:left="360"/>
        <w:contextualSpacing/>
        <w:jc w:val="both"/>
        <w:rPr>
          <w:rFonts w:ascii="Helvetica" w:eastAsia="Times New Roman" w:hAnsi="Helvetica" w:cs="Helvetica"/>
          <w:b/>
          <w:sz w:val="24"/>
          <w:szCs w:val="24"/>
          <w:lang w:val="es-ES"/>
        </w:rPr>
      </w:pPr>
    </w:p>
    <w:p w14:paraId="504E4D74" w14:textId="022C801C"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w:t>
      </w:r>
      <w:r w:rsidR="00E73C62">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57.61%. Los municipios que mayor ejecución presentaron son: Morales 65.34%, Los Amates 63.43% y El Estor 58.61%.</w:t>
      </w:r>
      <w:r w:rsidR="00F407CB">
        <w:rPr>
          <w:rFonts w:ascii="Helvetica" w:eastAsia="Times New Roman" w:hAnsi="Helvetica" w:cs="Helvetica"/>
          <w:sz w:val="24"/>
          <w:szCs w:val="24"/>
          <w:lang w:val="es-ES"/>
        </w:rPr>
        <w:t xml:space="preserve"> Ver tabla 24.</w:t>
      </w:r>
    </w:p>
    <w:p w14:paraId="55034124" w14:textId="77777777" w:rsidR="009F235F" w:rsidRDefault="009F235F" w:rsidP="00016865">
      <w:pPr>
        <w:pStyle w:val="ttulosgrficas"/>
        <w:rPr>
          <w:rFonts w:eastAsia="Times New Roman"/>
          <w:color w:val="4472C4" w:themeColor="accent1"/>
          <w:lang w:val="es-ES"/>
        </w:rPr>
      </w:pPr>
    </w:p>
    <w:p w14:paraId="40D617C5" w14:textId="02356228" w:rsidR="00693BD9" w:rsidRPr="00016865" w:rsidRDefault="00F407CB" w:rsidP="00016865">
      <w:pPr>
        <w:pStyle w:val="ttulosgrficas"/>
        <w:rPr>
          <w:rFonts w:eastAsia="Times New Roman"/>
          <w:color w:val="4472C4" w:themeColor="accent1"/>
          <w:lang w:val="es-ES"/>
        </w:rPr>
      </w:pPr>
      <w:bookmarkStart w:id="57" w:name="_Toc67589137"/>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24</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Izabal</w:t>
      </w:r>
      <w:bookmarkEnd w:id="57"/>
    </w:p>
    <w:p w14:paraId="50527889" w14:textId="77777777" w:rsidR="00BC2B6E" w:rsidRPr="003051CD" w:rsidRDefault="00BC2B6E" w:rsidP="00BC2B6E">
      <w:pPr>
        <w:pStyle w:val="ttulosgrficas"/>
        <w:spacing w:line="120" w:lineRule="auto"/>
        <w:rPr>
          <w:lang w:val="es-ES"/>
        </w:rPr>
      </w:pPr>
    </w:p>
    <w:tbl>
      <w:tblPr>
        <w:tblW w:w="8130" w:type="dxa"/>
        <w:tblInd w:w="637" w:type="dxa"/>
        <w:tblCellMar>
          <w:left w:w="70" w:type="dxa"/>
          <w:right w:w="70" w:type="dxa"/>
        </w:tblCellMar>
        <w:tblLook w:val="04A0" w:firstRow="1" w:lastRow="0" w:firstColumn="1" w:lastColumn="0" w:noHBand="0" w:noVBand="1"/>
      </w:tblPr>
      <w:tblGrid>
        <w:gridCol w:w="527"/>
        <w:gridCol w:w="2410"/>
        <w:gridCol w:w="1995"/>
        <w:gridCol w:w="1995"/>
        <w:gridCol w:w="1274"/>
      </w:tblGrid>
      <w:tr w:rsidR="00BC2B6E" w:rsidRPr="003051CD" w14:paraId="679172AB" w14:textId="77777777" w:rsidTr="00FB3DF5">
        <w:trPr>
          <w:trHeight w:val="317"/>
        </w:trPr>
        <w:tc>
          <w:tcPr>
            <w:tcW w:w="839" w:type="dxa"/>
            <w:tcBorders>
              <w:top w:val="nil"/>
              <w:left w:val="nil"/>
              <w:bottom w:val="single" w:sz="12" w:space="0" w:color="FFFFFF"/>
              <w:right w:val="single" w:sz="4" w:space="0" w:color="FFFFFF"/>
            </w:tcBorders>
            <w:shd w:val="clear" w:color="4472C4" w:fill="4472C4"/>
            <w:vAlign w:val="center"/>
          </w:tcPr>
          <w:p w14:paraId="2C6C182D" w14:textId="6C60FDFF"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No.</w:t>
            </w:r>
          </w:p>
        </w:tc>
        <w:tc>
          <w:tcPr>
            <w:tcW w:w="2410" w:type="dxa"/>
            <w:tcBorders>
              <w:top w:val="nil"/>
              <w:left w:val="nil"/>
              <w:bottom w:val="single" w:sz="12" w:space="0" w:color="FFFFFF"/>
              <w:right w:val="single" w:sz="4" w:space="0" w:color="FFFFFF"/>
            </w:tcBorders>
            <w:shd w:val="clear" w:color="4472C4" w:fill="4472C4"/>
            <w:noWrap/>
            <w:vAlign w:val="center"/>
            <w:hideMark/>
          </w:tcPr>
          <w:p w14:paraId="705ABD1A" w14:textId="15745EF8"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Municipio</w:t>
            </w:r>
          </w:p>
        </w:tc>
        <w:tc>
          <w:tcPr>
            <w:tcW w:w="1850" w:type="dxa"/>
            <w:tcBorders>
              <w:top w:val="nil"/>
              <w:left w:val="nil"/>
              <w:bottom w:val="single" w:sz="12" w:space="0" w:color="FFFFFF"/>
              <w:right w:val="single" w:sz="4" w:space="0" w:color="FFFFFF"/>
            </w:tcBorders>
            <w:shd w:val="clear" w:color="4472C4" w:fill="4472C4"/>
            <w:noWrap/>
            <w:vAlign w:val="center"/>
            <w:hideMark/>
          </w:tcPr>
          <w:p w14:paraId="641574CC"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Meta Financiera Vigente</w:t>
            </w:r>
          </w:p>
        </w:tc>
        <w:tc>
          <w:tcPr>
            <w:tcW w:w="1850" w:type="dxa"/>
            <w:tcBorders>
              <w:top w:val="nil"/>
              <w:left w:val="nil"/>
              <w:bottom w:val="single" w:sz="12" w:space="0" w:color="FFFFFF"/>
              <w:right w:val="single" w:sz="4" w:space="0" w:color="FFFFFF"/>
            </w:tcBorders>
            <w:shd w:val="clear" w:color="4472C4" w:fill="4472C4"/>
            <w:noWrap/>
            <w:vAlign w:val="center"/>
            <w:hideMark/>
          </w:tcPr>
          <w:p w14:paraId="262E94BF"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Ejecución Financiera</w:t>
            </w:r>
          </w:p>
        </w:tc>
        <w:tc>
          <w:tcPr>
            <w:tcW w:w="1181" w:type="dxa"/>
            <w:tcBorders>
              <w:top w:val="nil"/>
              <w:left w:val="nil"/>
              <w:bottom w:val="single" w:sz="12" w:space="0" w:color="FFFFFF"/>
              <w:right w:val="nil"/>
            </w:tcBorders>
            <w:shd w:val="clear" w:color="4472C4" w:fill="4472C4"/>
            <w:noWrap/>
            <w:vAlign w:val="center"/>
            <w:hideMark/>
          </w:tcPr>
          <w:p w14:paraId="640D26AC" w14:textId="77777777" w:rsidR="00BC2B6E" w:rsidRPr="00BC2B6E" w:rsidRDefault="00BC2B6E" w:rsidP="00BC2B6E">
            <w:pPr>
              <w:autoSpaceDE w:val="0"/>
              <w:autoSpaceDN w:val="0"/>
              <w:adjustRightInd w:val="0"/>
              <w:spacing w:after="0" w:line="240" w:lineRule="auto"/>
              <w:jc w:val="center"/>
              <w:rPr>
                <w:rFonts w:ascii="Helvetica" w:eastAsia="Times New Roman" w:hAnsi="Helvetica" w:cs="Helvetica"/>
                <w:b/>
                <w:bCs/>
                <w:sz w:val="24"/>
                <w:szCs w:val="24"/>
                <w:lang w:val="es-ES"/>
              </w:rPr>
            </w:pPr>
            <w:r w:rsidRPr="00BC2B6E">
              <w:rPr>
                <w:rFonts w:ascii="Helvetica" w:eastAsia="Times New Roman" w:hAnsi="Helvetica" w:cs="Helvetica"/>
                <w:b/>
                <w:bCs/>
                <w:sz w:val="24"/>
                <w:szCs w:val="24"/>
                <w:lang w:val="es-ES"/>
              </w:rPr>
              <w:t>% de Ejecución</w:t>
            </w:r>
          </w:p>
        </w:tc>
      </w:tr>
      <w:tr w:rsidR="00BC2B6E" w:rsidRPr="003051CD" w14:paraId="029EF42A" w14:textId="77777777" w:rsidTr="00FB3DF5">
        <w:trPr>
          <w:trHeight w:val="317"/>
        </w:trPr>
        <w:tc>
          <w:tcPr>
            <w:tcW w:w="839" w:type="dxa"/>
            <w:tcBorders>
              <w:top w:val="single" w:sz="4" w:space="0" w:color="FFFFFF"/>
              <w:left w:val="nil"/>
              <w:bottom w:val="single" w:sz="4" w:space="0" w:color="FFFFFF"/>
              <w:right w:val="single" w:sz="4" w:space="0" w:color="FFFFFF"/>
            </w:tcBorders>
            <w:shd w:val="clear" w:color="auto" w:fill="4F81BD"/>
          </w:tcPr>
          <w:p w14:paraId="6ED7E470" w14:textId="7777777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410" w:type="dxa"/>
            <w:tcBorders>
              <w:top w:val="single" w:sz="4" w:space="0" w:color="FFFFFF"/>
              <w:left w:val="nil"/>
              <w:bottom w:val="single" w:sz="4" w:space="0" w:color="FFFFFF"/>
              <w:right w:val="single" w:sz="4" w:space="0" w:color="FFFFFF"/>
            </w:tcBorders>
            <w:shd w:val="clear" w:color="auto" w:fill="4F81BD"/>
            <w:noWrap/>
            <w:vAlign w:val="bottom"/>
            <w:hideMark/>
          </w:tcPr>
          <w:p w14:paraId="51E8F053" w14:textId="49E84625"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850"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705870B3"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Q420,769,732.77</w:t>
            </w:r>
          </w:p>
        </w:tc>
        <w:tc>
          <w:tcPr>
            <w:tcW w:w="1850"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0BE866F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Q242,393,570.01</w:t>
            </w:r>
          </w:p>
        </w:tc>
        <w:tc>
          <w:tcPr>
            <w:tcW w:w="1181" w:type="dxa"/>
            <w:tcBorders>
              <w:top w:val="single" w:sz="4" w:space="0" w:color="FFFFFF"/>
              <w:left w:val="single" w:sz="4" w:space="0" w:color="FFFFFF"/>
              <w:bottom w:val="single" w:sz="4" w:space="0" w:color="FFFFFF"/>
              <w:right w:val="nil"/>
            </w:tcBorders>
            <w:shd w:val="clear" w:color="B4C6E7" w:fill="F98570"/>
            <w:noWrap/>
            <w:vAlign w:val="bottom"/>
            <w:hideMark/>
          </w:tcPr>
          <w:p w14:paraId="6DC39102"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57.61%</w:t>
            </w:r>
          </w:p>
        </w:tc>
      </w:tr>
      <w:tr w:rsidR="00BC2B6E" w:rsidRPr="003051CD" w14:paraId="5CC8A9B7" w14:textId="77777777" w:rsidTr="00FB3DF5">
        <w:trPr>
          <w:trHeight w:val="302"/>
        </w:trPr>
        <w:tc>
          <w:tcPr>
            <w:tcW w:w="839" w:type="dxa"/>
            <w:tcBorders>
              <w:top w:val="single" w:sz="4" w:space="0" w:color="FFFFFF"/>
              <w:left w:val="nil"/>
              <w:bottom w:val="single" w:sz="4" w:space="0" w:color="FFFFFF"/>
              <w:right w:val="single" w:sz="4" w:space="0" w:color="FFFFFF"/>
            </w:tcBorders>
            <w:shd w:val="clear" w:color="D9E1F2" w:fill="D9E1F2"/>
          </w:tcPr>
          <w:p w14:paraId="63FA5171" w14:textId="5FFD0F94"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410" w:type="dxa"/>
            <w:tcBorders>
              <w:top w:val="single" w:sz="4" w:space="0" w:color="FFFFFF"/>
              <w:left w:val="nil"/>
              <w:bottom w:val="single" w:sz="4" w:space="0" w:color="FFFFFF"/>
              <w:right w:val="single" w:sz="4" w:space="0" w:color="FFFFFF"/>
            </w:tcBorders>
            <w:shd w:val="clear" w:color="D9E1F2" w:fill="D9E1F2"/>
            <w:noWrap/>
            <w:vAlign w:val="bottom"/>
            <w:hideMark/>
          </w:tcPr>
          <w:p w14:paraId="27099B3E" w14:textId="6B638536"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Morales</w:t>
            </w:r>
          </w:p>
        </w:tc>
        <w:tc>
          <w:tcPr>
            <w:tcW w:w="185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69564E8"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Q124,155,651.83</w:t>
            </w:r>
          </w:p>
        </w:tc>
        <w:tc>
          <w:tcPr>
            <w:tcW w:w="185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C4CD86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Q81,125,394.98</w:t>
            </w:r>
          </w:p>
        </w:tc>
        <w:tc>
          <w:tcPr>
            <w:tcW w:w="1181" w:type="dxa"/>
            <w:tcBorders>
              <w:top w:val="single" w:sz="4" w:space="0" w:color="FFFFFF"/>
              <w:left w:val="single" w:sz="4" w:space="0" w:color="FFFFFF"/>
              <w:bottom w:val="single" w:sz="4" w:space="0" w:color="FFFFFF"/>
              <w:right w:val="nil"/>
            </w:tcBorders>
            <w:shd w:val="clear" w:color="D9E1F2" w:fill="FBA777"/>
            <w:noWrap/>
            <w:vAlign w:val="bottom"/>
            <w:hideMark/>
          </w:tcPr>
          <w:p w14:paraId="4B176D4B"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65.34%</w:t>
            </w:r>
          </w:p>
        </w:tc>
      </w:tr>
      <w:tr w:rsidR="00BC2B6E" w:rsidRPr="003051CD" w14:paraId="5F76EA53" w14:textId="77777777" w:rsidTr="00FB3DF5">
        <w:trPr>
          <w:trHeight w:val="302"/>
        </w:trPr>
        <w:tc>
          <w:tcPr>
            <w:tcW w:w="839" w:type="dxa"/>
            <w:tcBorders>
              <w:top w:val="single" w:sz="4" w:space="0" w:color="FFFFFF"/>
              <w:left w:val="nil"/>
              <w:bottom w:val="single" w:sz="4" w:space="0" w:color="FFFFFF"/>
              <w:right w:val="single" w:sz="4" w:space="0" w:color="FFFFFF"/>
            </w:tcBorders>
            <w:shd w:val="clear" w:color="B4C6E7" w:fill="B4C6E7"/>
          </w:tcPr>
          <w:p w14:paraId="1DB3B5BE" w14:textId="0A4B88F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410" w:type="dxa"/>
            <w:tcBorders>
              <w:top w:val="single" w:sz="4" w:space="0" w:color="FFFFFF"/>
              <w:left w:val="nil"/>
              <w:bottom w:val="single" w:sz="4" w:space="0" w:color="FFFFFF"/>
              <w:right w:val="single" w:sz="4" w:space="0" w:color="FFFFFF"/>
            </w:tcBorders>
            <w:shd w:val="clear" w:color="B4C6E7" w:fill="B4C6E7"/>
            <w:noWrap/>
            <w:vAlign w:val="bottom"/>
            <w:hideMark/>
          </w:tcPr>
          <w:p w14:paraId="1923B8A9" w14:textId="15133A63"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Los Amates</w:t>
            </w:r>
          </w:p>
        </w:tc>
        <w:tc>
          <w:tcPr>
            <w:tcW w:w="185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A6FE372"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Q31,100,000.00</w:t>
            </w:r>
          </w:p>
        </w:tc>
        <w:tc>
          <w:tcPr>
            <w:tcW w:w="185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1753AC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Q19,727,631.31</w:t>
            </w:r>
          </w:p>
        </w:tc>
        <w:tc>
          <w:tcPr>
            <w:tcW w:w="1181" w:type="dxa"/>
            <w:tcBorders>
              <w:top w:val="single" w:sz="4" w:space="0" w:color="FFFFFF"/>
              <w:left w:val="single" w:sz="4" w:space="0" w:color="FFFFFF"/>
              <w:bottom w:val="single" w:sz="4" w:space="0" w:color="FFFFFF"/>
              <w:right w:val="nil"/>
            </w:tcBorders>
            <w:shd w:val="clear" w:color="B4C6E7" w:fill="FA9F75"/>
            <w:noWrap/>
            <w:vAlign w:val="bottom"/>
            <w:hideMark/>
          </w:tcPr>
          <w:p w14:paraId="095D684C"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63.43%</w:t>
            </w:r>
          </w:p>
        </w:tc>
      </w:tr>
      <w:tr w:rsidR="00BC2B6E" w:rsidRPr="003051CD" w14:paraId="4173A729" w14:textId="77777777" w:rsidTr="00FB3DF5">
        <w:trPr>
          <w:trHeight w:val="302"/>
        </w:trPr>
        <w:tc>
          <w:tcPr>
            <w:tcW w:w="839" w:type="dxa"/>
            <w:tcBorders>
              <w:top w:val="single" w:sz="4" w:space="0" w:color="FFFFFF"/>
              <w:left w:val="nil"/>
              <w:bottom w:val="single" w:sz="4" w:space="0" w:color="FFFFFF"/>
              <w:right w:val="single" w:sz="4" w:space="0" w:color="FFFFFF"/>
            </w:tcBorders>
            <w:shd w:val="clear" w:color="D9E1F2" w:fill="D9E1F2"/>
          </w:tcPr>
          <w:p w14:paraId="22763539" w14:textId="0ED34527"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410" w:type="dxa"/>
            <w:tcBorders>
              <w:top w:val="single" w:sz="4" w:space="0" w:color="FFFFFF"/>
              <w:left w:val="nil"/>
              <w:bottom w:val="single" w:sz="4" w:space="0" w:color="FFFFFF"/>
              <w:right w:val="single" w:sz="4" w:space="0" w:color="FFFFFF"/>
            </w:tcBorders>
            <w:shd w:val="clear" w:color="D9E1F2" w:fill="D9E1F2"/>
            <w:noWrap/>
            <w:vAlign w:val="bottom"/>
            <w:hideMark/>
          </w:tcPr>
          <w:p w14:paraId="700858C4" w14:textId="12500255"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Estor</w:t>
            </w:r>
          </w:p>
        </w:tc>
        <w:tc>
          <w:tcPr>
            <w:tcW w:w="185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B423AD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Q66,277,942.32</w:t>
            </w:r>
          </w:p>
        </w:tc>
        <w:tc>
          <w:tcPr>
            <w:tcW w:w="185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6D8D3E1"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Q38,844,017.36</w:t>
            </w:r>
          </w:p>
        </w:tc>
        <w:tc>
          <w:tcPr>
            <w:tcW w:w="1181" w:type="dxa"/>
            <w:tcBorders>
              <w:top w:val="single" w:sz="4" w:space="0" w:color="FFFFFF"/>
              <w:left w:val="single" w:sz="4" w:space="0" w:color="FFFFFF"/>
              <w:bottom w:val="single" w:sz="4" w:space="0" w:color="FFFFFF"/>
              <w:right w:val="nil"/>
            </w:tcBorders>
            <w:shd w:val="clear" w:color="D9E1F2" w:fill="F98971"/>
            <w:noWrap/>
            <w:vAlign w:val="bottom"/>
            <w:hideMark/>
          </w:tcPr>
          <w:p w14:paraId="47451CEE"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58.61%</w:t>
            </w:r>
          </w:p>
        </w:tc>
      </w:tr>
      <w:tr w:rsidR="00BC2B6E" w:rsidRPr="003051CD" w14:paraId="4B88D5B4" w14:textId="77777777" w:rsidTr="00FB3DF5">
        <w:trPr>
          <w:trHeight w:val="302"/>
        </w:trPr>
        <w:tc>
          <w:tcPr>
            <w:tcW w:w="839" w:type="dxa"/>
            <w:tcBorders>
              <w:top w:val="single" w:sz="4" w:space="0" w:color="FFFFFF"/>
              <w:left w:val="nil"/>
              <w:bottom w:val="single" w:sz="4" w:space="0" w:color="FFFFFF"/>
              <w:right w:val="single" w:sz="4" w:space="0" w:color="FFFFFF"/>
            </w:tcBorders>
            <w:shd w:val="clear" w:color="B4C6E7" w:fill="B4C6E7"/>
          </w:tcPr>
          <w:p w14:paraId="78A7F777" w14:textId="5A10AA94"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410" w:type="dxa"/>
            <w:tcBorders>
              <w:top w:val="single" w:sz="4" w:space="0" w:color="FFFFFF"/>
              <w:left w:val="nil"/>
              <w:bottom w:val="single" w:sz="4" w:space="0" w:color="FFFFFF"/>
              <w:right w:val="single" w:sz="4" w:space="0" w:color="FFFFFF"/>
            </w:tcBorders>
            <w:shd w:val="clear" w:color="B4C6E7" w:fill="B4C6E7"/>
            <w:noWrap/>
            <w:vAlign w:val="bottom"/>
            <w:hideMark/>
          </w:tcPr>
          <w:p w14:paraId="0CE09B6D" w14:textId="2BE483FB"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Livingston</w:t>
            </w:r>
          </w:p>
        </w:tc>
        <w:tc>
          <w:tcPr>
            <w:tcW w:w="185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FB75BAC"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Q68,300,184.45</w:t>
            </w:r>
          </w:p>
        </w:tc>
        <w:tc>
          <w:tcPr>
            <w:tcW w:w="185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8449C5E"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Q35,610,524.41</w:t>
            </w:r>
          </w:p>
        </w:tc>
        <w:tc>
          <w:tcPr>
            <w:tcW w:w="1181" w:type="dxa"/>
            <w:tcBorders>
              <w:top w:val="single" w:sz="4" w:space="0" w:color="FFFFFF"/>
              <w:left w:val="single" w:sz="4" w:space="0" w:color="FFFFFF"/>
              <w:bottom w:val="single" w:sz="4" w:space="0" w:color="FFFFFF"/>
              <w:right w:val="nil"/>
            </w:tcBorders>
            <w:shd w:val="clear" w:color="B4C6E7" w:fill="F86D6B"/>
            <w:noWrap/>
            <w:vAlign w:val="bottom"/>
            <w:hideMark/>
          </w:tcPr>
          <w:p w14:paraId="5B2F958B"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52.14%</w:t>
            </w:r>
          </w:p>
        </w:tc>
      </w:tr>
      <w:tr w:rsidR="00BC2B6E" w:rsidRPr="003051CD" w14:paraId="0FAF46AC" w14:textId="77777777" w:rsidTr="00FB3DF5">
        <w:trPr>
          <w:trHeight w:val="302"/>
        </w:trPr>
        <w:tc>
          <w:tcPr>
            <w:tcW w:w="839" w:type="dxa"/>
            <w:tcBorders>
              <w:top w:val="single" w:sz="4" w:space="0" w:color="FFFFFF"/>
              <w:left w:val="nil"/>
              <w:bottom w:val="nil"/>
              <w:right w:val="single" w:sz="4" w:space="0" w:color="FFFFFF"/>
            </w:tcBorders>
            <w:shd w:val="clear" w:color="D9E1F2" w:fill="D9E1F2"/>
          </w:tcPr>
          <w:p w14:paraId="0FD17C93" w14:textId="4C6CDF8F" w:rsidR="00BC2B6E" w:rsidRPr="003051CD" w:rsidRDefault="00BC2B6E" w:rsidP="00BC2B6E">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410" w:type="dxa"/>
            <w:tcBorders>
              <w:top w:val="single" w:sz="4" w:space="0" w:color="FFFFFF"/>
              <w:left w:val="nil"/>
              <w:bottom w:val="nil"/>
              <w:right w:val="single" w:sz="4" w:space="0" w:color="FFFFFF"/>
            </w:tcBorders>
            <w:shd w:val="clear" w:color="D9E1F2" w:fill="D9E1F2"/>
            <w:noWrap/>
            <w:vAlign w:val="bottom"/>
            <w:hideMark/>
          </w:tcPr>
          <w:p w14:paraId="5B7B3CEC" w14:textId="5ECD94C7" w:rsidR="00BC2B6E" w:rsidRPr="003051CD" w:rsidRDefault="00BC2B6E"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Puerto Barrios</w:t>
            </w:r>
          </w:p>
        </w:tc>
        <w:tc>
          <w:tcPr>
            <w:tcW w:w="1850" w:type="dxa"/>
            <w:tcBorders>
              <w:top w:val="single" w:sz="4" w:space="0" w:color="FFFFFF"/>
              <w:left w:val="single" w:sz="4" w:space="0" w:color="FFFFFF"/>
              <w:bottom w:val="nil"/>
              <w:right w:val="single" w:sz="4" w:space="0" w:color="FFFFFF"/>
            </w:tcBorders>
            <w:shd w:val="clear" w:color="D9E1F2" w:fill="D9E1F2"/>
            <w:noWrap/>
            <w:vAlign w:val="bottom"/>
            <w:hideMark/>
          </w:tcPr>
          <w:p w14:paraId="21DCFE1B"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Q130,935,954.17</w:t>
            </w:r>
          </w:p>
        </w:tc>
        <w:tc>
          <w:tcPr>
            <w:tcW w:w="1850" w:type="dxa"/>
            <w:tcBorders>
              <w:top w:val="single" w:sz="4" w:space="0" w:color="FFFFFF"/>
              <w:left w:val="single" w:sz="4" w:space="0" w:color="FFFFFF"/>
              <w:bottom w:val="nil"/>
              <w:right w:val="single" w:sz="4" w:space="0" w:color="FFFFFF"/>
            </w:tcBorders>
            <w:shd w:val="clear" w:color="D9E1F2" w:fill="D9E1F2"/>
            <w:noWrap/>
            <w:vAlign w:val="bottom"/>
            <w:hideMark/>
          </w:tcPr>
          <w:p w14:paraId="360D1984" w14:textId="77777777" w:rsidR="00BC2B6E" w:rsidRPr="003051CD" w:rsidRDefault="00BC2B6E"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Q67,086,001.95</w:t>
            </w:r>
          </w:p>
        </w:tc>
        <w:tc>
          <w:tcPr>
            <w:tcW w:w="1181" w:type="dxa"/>
            <w:tcBorders>
              <w:top w:val="single" w:sz="4" w:space="0" w:color="FFFFFF"/>
              <w:left w:val="single" w:sz="4" w:space="0" w:color="FFFFFF"/>
              <w:bottom w:val="single" w:sz="4" w:space="0" w:color="FFFFFF"/>
              <w:right w:val="nil"/>
            </w:tcBorders>
            <w:shd w:val="clear" w:color="D9E1F2" w:fill="F8696B"/>
            <w:noWrap/>
            <w:vAlign w:val="bottom"/>
            <w:hideMark/>
          </w:tcPr>
          <w:p w14:paraId="2F98B046" w14:textId="77777777" w:rsidR="00BC2B6E" w:rsidRPr="003051CD" w:rsidRDefault="00BC2B6E"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51.24%</w:t>
            </w:r>
          </w:p>
        </w:tc>
      </w:tr>
    </w:tbl>
    <w:p w14:paraId="5236F4C6" w14:textId="576CFB36"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BC2B6E">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BC2B6E">
        <w:rPr>
          <w:rFonts w:ascii="Helvetica" w:eastAsia="Times New Roman" w:hAnsi="Helvetica" w:cs="Helvetica"/>
          <w:sz w:val="18"/>
          <w:szCs w:val="18"/>
          <w:lang w:val="es-ES"/>
        </w:rPr>
        <w:t>.</w:t>
      </w:r>
    </w:p>
    <w:p w14:paraId="215923ED" w14:textId="77777777"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80EEC9E" w14:textId="3CAA24BB" w:rsidR="00693BD9" w:rsidRPr="00085107" w:rsidRDefault="00693BD9" w:rsidP="00085107">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085107">
        <w:rPr>
          <w:rFonts w:ascii="Helvetica" w:eastAsia="Times New Roman" w:hAnsi="Helvetica" w:cs="Helvetica"/>
          <w:b/>
          <w:color w:val="002060"/>
          <w:sz w:val="28"/>
          <w:szCs w:val="28"/>
          <w:lang w:val="es-ES"/>
        </w:rPr>
        <w:t>Jutiapa</w:t>
      </w:r>
    </w:p>
    <w:p w14:paraId="7F985391"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1CAF0A4" w14:textId="0C77630E"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69.4%. Los municipios que mayor ejecución presentaron son: Zapotit</w:t>
      </w:r>
      <w:r w:rsidR="00F407CB">
        <w:rPr>
          <w:rFonts w:ascii="Helvetica" w:eastAsia="Times New Roman" w:hAnsi="Helvetica" w:cs="Helvetica"/>
          <w:sz w:val="24"/>
          <w:szCs w:val="24"/>
          <w:lang w:val="es-ES"/>
        </w:rPr>
        <w:t>l</w:t>
      </w:r>
      <w:r w:rsidRPr="003051CD">
        <w:rPr>
          <w:rFonts w:ascii="Helvetica" w:eastAsia="Times New Roman" w:hAnsi="Helvetica" w:cs="Helvetica"/>
          <w:sz w:val="24"/>
          <w:szCs w:val="24"/>
          <w:lang w:val="es-ES"/>
        </w:rPr>
        <w:t>án 95.99%, Conguaco 85.20</w:t>
      </w:r>
      <w:r w:rsidR="005809CC" w:rsidRPr="003051CD">
        <w:rPr>
          <w:rFonts w:ascii="Helvetica" w:eastAsia="Times New Roman" w:hAnsi="Helvetica" w:cs="Helvetica"/>
          <w:sz w:val="24"/>
          <w:szCs w:val="24"/>
          <w:lang w:val="es-ES"/>
        </w:rPr>
        <w:t>% y</w:t>
      </w:r>
      <w:r w:rsidRPr="003051CD">
        <w:rPr>
          <w:rFonts w:ascii="Helvetica" w:eastAsia="Times New Roman" w:hAnsi="Helvetica" w:cs="Helvetica"/>
          <w:sz w:val="24"/>
          <w:szCs w:val="24"/>
          <w:lang w:val="es-ES"/>
        </w:rPr>
        <w:t xml:space="preserve"> San José Acatempa 78.74%. Cabe mencionar que Agua Blanca, Asunción Mita, Atescatempa, Comapa, El Progreso, Jalpatagua, Jerez, Jutiapa, Pasaco, Santa Catarina Mita y Yupiltepeque, no presentaron el tercer informe cuatrimestral.</w:t>
      </w:r>
      <w:r w:rsidR="00F407CB">
        <w:rPr>
          <w:rFonts w:ascii="Helvetica" w:eastAsia="Times New Roman" w:hAnsi="Helvetica" w:cs="Helvetica"/>
          <w:sz w:val="24"/>
          <w:szCs w:val="24"/>
          <w:lang w:val="es-ES"/>
        </w:rPr>
        <w:t xml:space="preserve"> Ver tabla 25.</w:t>
      </w:r>
    </w:p>
    <w:p w14:paraId="317E8CEF"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EF17FFE" w14:textId="605965C5" w:rsidR="00693BD9" w:rsidRPr="00016865" w:rsidRDefault="00F407CB" w:rsidP="00016865">
      <w:pPr>
        <w:pStyle w:val="ttulosgrficas"/>
        <w:rPr>
          <w:rFonts w:eastAsia="Times New Roman"/>
          <w:color w:val="4472C4" w:themeColor="accent1"/>
          <w:lang w:val="es-ES"/>
        </w:rPr>
      </w:pPr>
      <w:bookmarkStart w:id="58" w:name="_Toc67589138"/>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25</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Jutiapa</w:t>
      </w:r>
      <w:bookmarkEnd w:id="58"/>
    </w:p>
    <w:p w14:paraId="127B96E0" w14:textId="77777777" w:rsidR="00216644" w:rsidRPr="003051CD" w:rsidRDefault="00216644" w:rsidP="00216644">
      <w:pPr>
        <w:pStyle w:val="ttulosgrficas"/>
        <w:spacing w:line="120" w:lineRule="auto"/>
        <w:rPr>
          <w:lang w:val="es-ES"/>
        </w:rPr>
      </w:pPr>
    </w:p>
    <w:tbl>
      <w:tblPr>
        <w:tblW w:w="8626" w:type="dxa"/>
        <w:jc w:val="center"/>
        <w:tblCellMar>
          <w:left w:w="70" w:type="dxa"/>
          <w:right w:w="70" w:type="dxa"/>
        </w:tblCellMar>
        <w:tblLook w:val="04A0" w:firstRow="1" w:lastRow="0" w:firstColumn="1" w:lastColumn="0" w:noHBand="0" w:noVBand="1"/>
      </w:tblPr>
      <w:tblGrid>
        <w:gridCol w:w="810"/>
        <w:gridCol w:w="2552"/>
        <w:gridCol w:w="1995"/>
        <w:gridCol w:w="1995"/>
        <w:gridCol w:w="1274"/>
      </w:tblGrid>
      <w:tr w:rsidR="00216644" w:rsidRPr="003051CD" w14:paraId="27D935B7" w14:textId="77777777" w:rsidTr="00FB3DF5">
        <w:trPr>
          <w:trHeight w:val="315"/>
          <w:jc w:val="center"/>
        </w:trPr>
        <w:tc>
          <w:tcPr>
            <w:tcW w:w="884" w:type="dxa"/>
            <w:tcBorders>
              <w:top w:val="nil"/>
              <w:left w:val="nil"/>
              <w:bottom w:val="single" w:sz="12" w:space="0" w:color="FFFFFF"/>
              <w:right w:val="single" w:sz="4" w:space="0" w:color="FFFFFF"/>
            </w:tcBorders>
            <w:shd w:val="clear" w:color="4472C4" w:fill="4472C4"/>
            <w:vAlign w:val="center"/>
          </w:tcPr>
          <w:p w14:paraId="4C34440F" w14:textId="485D9460"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2552" w:type="dxa"/>
            <w:tcBorders>
              <w:top w:val="nil"/>
              <w:left w:val="nil"/>
              <w:bottom w:val="single" w:sz="12" w:space="0" w:color="FFFFFF"/>
              <w:right w:val="single" w:sz="4" w:space="0" w:color="FFFFFF"/>
            </w:tcBorders>
            <w:shd w:val="clear" w:color="4472C4" w:fill="4472C4"/>
            <w:noWrap/>
            <w:vAlign w:val="center"/>
            <w:hideMark/>
          </w:tcPr>
          <w:p w14:paraId="71C824F0" w14:textId="64D14AED"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263DFA15"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32AFCAE0"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1D06C5A6"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6A9CF304" w14:textId="77777777" w:rsidTr="00FB3DF5">
        <w:trPr>
          <w:trHeight w:val="315"/>
          <w:jc w:val="center"/>
        </w:trPr>
        <w:tc>
          <w:tcPr>
            <w:tcW w:w="884" w:type="dxa"/>
            <w:tcBorders>
              <w:top w:val="single" w:sz="4" w:space="0" w:color="FFFFFF"/>
              <w:left w:val="nil"/>
              <w:bottom w:val="single" w:sz="4" w:space="0" w:color="FFFFFF"/>
              <w:right w:val="single" w:sz="4" w:space="0" w:color="FFFFFF"/>
            </w:tcBorders>
            <w:shd w:val="clear" w:color="auto" w:fill="4F81BD"/>
          </w:tcPr>
          <w:p w14:paraId="533FB04C"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552" w:type="dxa"/>
            <w:tcBorders>
              <w:top w:val="single" w:sz="4" w:space="0" w:color="FFFFFF"/>
              <w:left w:val="nil"/>
              <w:bottom w:val="single" w:sz="4" w:space="0" w:color="FFFFFF"/>
              <w:right w:val="single" w:sz="4" w:space="0" w:color="FFFFFF"/>
            </w:tcBorders>
            <w:shd w:val="clear" w:color="auto" w:fill="4F81BD"/>
            <w:noWrap/>
            <w:vAlign w:val="bottom"/>
            <w:hideMark/>
          </w:tcPr>
          <w:p w14:paraId="52EE811A" w14:textId="0C23C4C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22DB913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Q174,638,569.94</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5C5E015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Q121,205,345.14</w:t>
            </w:r>
          </w:p>
        </w:tc>
        <w:tc>
          <w:tcPr>
            <w:tcW w:w="1200" w:type="dxa"/>
            <w:tcBorders>
              <w:top w:val="single" w:sz="4" w:space="0" w:color="FFFFFF"/>
              <w:left w:val="single" w:sz="4" w:space="0" w:color="FFFFFF"/>
              <w:bottom w:val="single" w:sz="4" w:space="0" w:color="FFFFFF"/>
              <w:right w:val="nil"/>
            </w:tcBorders>
            <w:shd w:val="clear" w:color="B4C6E7" w:fill="D0DE82"/>
            <w:noWrap/>
            <w:vAlign w:val="bottom"/>
            <w:hideMark/>
          </w:tcPr>
          <w:p w14:paraId="1D65EF6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69.40%</w:t>
            </w:r>
          </w:p>
        </w:tc>
      </w:tr>
      <w:tr w:rsidR="00216644" w:rsidRPr="003051CD" w14:paraId="3CB1CC42"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3F4456EE" w14:textId="5E3EE4F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2223C2B0" w14:textId="4D5B367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Zapotitlán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0F0926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Q21,410,980.69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82E848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Q20,552,480.69</w:t>
            </w:r>
          </w:p>
        </w:tc>
        <w:tc>
          <w:tcPr>
            <w:tcW w:w="1200" w:type="dxa"/>
            <w:tcBorders>
              <w:top w:val="single" w:sz="4" w:space="0" w:color="FFFFFF"/>
              <w:left w:val="single" w:sz="4" w:space="0" w:color="FFFFFF"/>
              <w:bottom w:val="single" w:sz="4" w:space="0" w:color="FFFFFF"/>
              <w:right w:val="nil"/>
            </w:tcBorders>
            <w:shd w:val="clear" w:color="D9E1F2" w:fill="64BF7C"/>
            <w:noWrap/>
            <w:vAlign w:val="bottom"/>
            <w:hideMark/>
          </w:tcPr>
          <w:p w14:paraId="6B9E8DC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95.99%</w:t>
            </w:r>
          </w:p>
        </w:tc>
      </w:tr>
      <w:tr w:rsidR="00216644" w:rsidRPr="003051CD" w14:paraId="3372FFC9"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7A058F2D" w14:textId="2DE30A9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0BF5C60A" w14:textId="3BC7C60C"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Conguaco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EBB1AB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Q11,928,492.20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AFDABD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Q10,163,176.61</w:t>
            </w:r>
          </w:p>
        </w:tc>
        <w:tc>
          <w:tcPr>
            <w:tcW w:w="1200" w:type="dxa"/>
            <w:tcBorders>
              <w:top w:val="single" w:sz="4" w:space="0" w:color="FFFFFF"/>
              <w:left w:val="single" w:sz="4" w:space="0" w:color="FFFFFF"/>
              <w:bottom w:val="single" w:sz="4" w:space="0" w:color="FFFFFF"/>
              <w:right w:val="nil"/>
            </w:tcBorders>
            <w:shd w:val="clear" w:color="B4C6E7" w:fill="8FCB7E"/>
            <w:noWrap/>
            <w:vAlign w:val="bottom"/>
            <w:hideMark/>
          </w:tcPr>
          <w:p w14:paraId="10B60F3B"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85.20%</w:t>
            </w:r>
          </w:p>
        </w:tc>
      </w:tr>
      <w:tr w:rsidR="00216644" w:rsidRPr="003051CD" w14:paraId="40A2AA5F"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773ED950" w14:textId="7A19E61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5DCB8215" w14:textId="4252A2D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Acatempa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34A451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Q46,894,389.09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3490E3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Q36,926,004.93</w:t>
            </w:r>
          </w:p>
        </w:tc>
        <w:tc>
          <w:tcPr>
            <w:tcW w:w="1200" w:type="dxa"/>
            <w:tcBorders>
              <w:top w:val="single" w:sz="4" w:space="0" w:color="FFFFFF"/>
              <w:left w:val="single" w:sz="4" w:space="0" w:color="FFFFFF"/>
              <w:bottom w:val="single" w:sz="4" w:space="0" w:color="FFFFFF"/>
              <w:right w:val="nil"/>
            </w:tcBorders>
            <w:shd w:val="clear" w:color="D9E1F2" w:fill="AAD380"/>
            <w:noWrap/>
            <w:vAlign w:val="bottom"/>
            <w:hideMark/>
          </w:tcPr>
          <w:p w14:paraId="14B3612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78.74%</w:t>
            </w:r>
          </w:p>
        </w:tc>
      </w:tr>
      <w:tr w:rsidR="00216644" w:rsidRPr="003051CD" w14:paraId="432D4B8E"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1790DDA8" w14:textId="4E9C289D"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3B6EE7DD" w14:textId="4123DAE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Moyuta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8C1CB9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Q35,078,666.23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DAC7CE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Q21,107,956.23</w:t>
            </w:r>
          </w:p>
        </w:tc>
        <w:tc>
          <w:tcPr>
            <w:tcW w:w="1200" w:type="dxa"/>
            <w:tcBorders>
              <w:top w:val="single" w:sz="4" w:space="0" w:color="FFFFFF"/>
              <w:left w:val="single" w:sz="4" w:space="0" w:color="FFFFFF"/>
              <w:bottom w:val="single" w:sz="4" w:space="0" w:color="FFFFFF"/>
              <w:right w:val="nil"/>
            </w:tcBorders>
            <w:shd w:val="clear" w:color="B4C6E7" w:fill="F5E884"/>
            <w:noWrap/>
            <w:vAlign w:val="bottom"/>
            <w:hideMark/>
          </w:tcPr>
          <w:p w14:paraId="4D409F5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60.17%</w:t>
            </w:r>
          </w:p>
        </w:tc>
      </w:tr>
      <w:tr w:rsidR="00216644" w:rsidRPr="003051CD" w14:paraId="1BCBBF09"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6E065206" w14:textId="57CEF46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3BB871F5" w14:textId="2B94296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Adelanto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DF8A90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Q21,324,777.90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77885D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Q11,726,739.79</w:t>
            </w:r>
          </w:p>
        </w:tc>
        <w:tc>
          <w:tcPr>
            <w:tcW w:w="1200" w:type="dxa"/>
            <w:tcBorders>
              <w:top w:val="single" w:sz="4" w:space="0" w:color="FFFFFF"/>
              <w:left w:val="single" w:sz="4" w:space="0" w:color="FFFFFF"/>
              <w:bottom w:val="single" w:sz="4" w:space="0" w:color="FFFFFF"/>
              <w:right w:val="nil"/>
            </w:tcBorders>
            <w:shd w:val="clear" w:color="D9E1F2" w:fill="FEE582"/>
            <w:noWrap/>
            <w:vAlign w:val="bottom"/>
            <w:hideMark/>
          </w:tcPr>
          <w:p w14:paraId="25B4952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54.99%</w:t>
            </w:r>
          </w:p>
        </w:tc>
      </w:tr>
      <w:tr w:rsidR="00216644" w:rsidRPr="003051CD" w14:paraId="4104732F"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3B594AF0" w14:textId="3983572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726C6E05" w14:textId="0385B40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Quezada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4C5A70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Q38,001,263.83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DA5C96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Q20,728,986.89</w:t>
            </w:r>
          </w:p>
        </w:tc>
        <w:tc>
          <w:tcPr>
            <w:tcW w:w="1200" w:type="dxa"/>
            <w:tcBorders>
              <w:top w:val="single" w:sz="4" w:space="0" w:color="FFFFFF"/>
              <w:left w:val="single" w:sz="4" w:space="0" w:color="FFFFFF"/>
              <w:bottom w:val="single" w:sz="4" w:space="0" w:color="FFFFFF"/>
              <w:right w:val="nil"/>
            </w:tcBorders>
            <w:shd w:val="clear" w:color="B4C6E7" w:fill="FEE482"/>
            <w:noWrap/>
            <w:vAlign w:val="bottom"/>
            <w:hideMark/>
          </w:tcPr>
          <w:p w14:paraId="0C2D4D8B"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54.55%</w:t>
            </w:r>
          </w:p>
        </w:tc>
      </w:tr>
      <w:tr w:rsidR="00216644" w:rsidRPr="003051CD" w14:paraId="35FC20BD"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73F79772" w14:textId="7EB277E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62C3B9EC" w14:textId="6B9CA87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Agua Blanca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9C0898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A67A32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34EAFD1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33DB72B5"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6DD9E617" w14:textId="1FAF073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2480D425" w14:textId="7C79F5DC"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Asunción Mita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D574EF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97DCE3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0A5D2ED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89667D2"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17EB96B8" w14:textId="18B41C8D"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04CC59DB" w14:textId="5B5CF338"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Atescatempa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E9FE0B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67C316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2581333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B3DC9FB"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14819C32" w14:textId="3FA631B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6D19CEE2" w14:textId="4401CF7C"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Comapa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222AE0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77A70F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0F4BD52D"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BB23F63"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1E96CF6B" w14:textId="06AC24E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3C7A8996" w14:textId="4B51DCF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Progreso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3FD0C7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DD339C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0B5D0C6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78BA05A7"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046BDDFB" w14:textId="379A79F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50367CA0" w14:textId="1A9FEDA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Jalpatagua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557E0C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75776F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617C4D9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17C246B1"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74CA3BAC" w14:textId="5FBFC4C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1377C96A" w14:textId="392FAB45"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Jerez</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57690C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09D98C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18FC07C1"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4AD248B7"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3D7FE38D" w14:textId="58885DF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131EA408" w14:textId="0D602BE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Jutiapa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987956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17C849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20F7505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4A865B48"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D9E1F2" w:fill="D9E1F2"/>
          </w:tcPr>
          <w:p w14:paraId="1302BD7A" w14:textId="73C577DB"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2552" w:type="dxa"/>
            <w:tcBorders>
              <w:top w:val="single" w:sz="4" w:space="0" w:color="FFFFFF"/>
              <w:left w:val="nil"/>
              <w:bottom w:val="single" w:sz="4" w:space="0" w:color="FFFFFF"/>
              <w:right w:val="single" w:sz="4" w:space="0" w:color="FFFFFF"/>
            </w:tcBorders>
            <w:shd w:val="clear" w:color="D9E1F2" w:fill="D9E1F2"/>
            <w:noWrap/>
            <w:vAlign w:val="bottom"/>
            <w:hideMark/>
          </w:tcPr>
          <w:p w14:paraId="003C666B" w14:textId="6E49746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Pasaco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831CF1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9E1A1D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000B3F41"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7EB4CE37" w14:textId="77777777" w:rsidTr="00FB3DF5">
        <w:trPr>
          <w:trHeight w:val="300"/>
          <w:jc w:val="center"/>
        </w:trPr>
        <w:tc>
          <w:tcPr>
            <w:tcW w:w="884" w:type="dxa"/>
            <w:tcBorders>
              <w:top w:val="single" w:sz="4" w:space="0" w:color="FFFFFF"/>
              <w:left w:val="nil"/>
              <w:bottom w:val="single" w:sz="4" w:space="0" w:color="FFFFFF"/>
              <w:right w:val="single" w:sz="4" w:space="0" w:color="FFFFFF"/>
            </w:tcBorders>
            <w:shd w:val="clear" w:color="B4C6E7" w:fill="B4C6E7"/>
          </w:tcPr>
          <w:p w14:paraId="08298C13" w14:textId="40F98F3C"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2552" w:type="dxa"/>
            <w:tcBorders>
              <w:top w:val="single" w:sz="4" w:space="0" w:color="FFFFFF"/>
              <w:left w:val="nil"/>
              <w:bottom w:val="single" w:sz="4" w:space="0" w:color="FFFFFF"/>
              <w:right w:val="single" w:sz="4" w:space="0" w:color="FFFFFF"/>
            </w:tcBorders>
            <w:shd w:val="clear" w:color="B4C6E7" w:fill="B4C6E7"/>
            <w:noWrap/>
            <w:vAlign w:val="bottom"/>
            <w:hideMark/>
          </w:tcPr>
          <w:p w14:paraId="1F68BB9E" w14:textId="6B2BBE1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Catarina Mita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FF2511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E1D13F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1C94420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45151728" w14:textId="77777777" w:rsidTr="00FB3DF5">
        <w:trPr>
          <w:trHeight w:val="300"/>
          <w:jc w:val="center"/>
        </w:trPr>
        <w:tc>
          <w:tcPr>
            <w:tcW w:w="884" w:type="dxa"/>
            <w:tcBorders>
              <w:top w:val="single" w:sz="4" w:space="0" w:color="FFFFFF"/>
              <w:left w:val="nil"/>
              <w:bottom w:val="nil"/>
              <w:right w:val="single" w:sz="4" w:space="0" w:color="FFFFFF"/>
            </w:tcBorders>
            <w:shd w:val="clear" w:color="D9E1F2" w:fill="D9E1F2"/>
          </w:tcPr>
          <w:p w14:paraId="45ACB81F" w14:textId="2393E01D"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2552" w:type="dxa"/>
            <w:tcBorders>
              <w:top w:val="single" w:sz="4" w:space="0" w:color="FFFFFF"/>
              <w:left w:val="nil"/>
              <w:bottom w:val="nil"/>
              <w:right w:val="single" w:sz="4" w:space="0" w:color="FFFFFF"/>
            </w:tcBorders>
            <w:shd w:val="clear" w:color="D9E1F2" w:fill="D9E1F2"/>
            <w:noWrap/>
            <w:vAlign w:val="bottom"/>
            <w:hideMark/>
          </w:tcPr>
          <w:p w14:paraId="79581A79" w14:textId="3CEF5C1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Yupiltepeque</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43FC95F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4C11B78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nil"/>
              <w:right w:val="nil"/>
            </w:tcBorders>
            <w:shd w:val="clear" w:color="D9E1F2" w:fill="F8696B"/>
            <w:noWrap/>
            <w:vAlign w:val="bottom"/>
            <w:hideMark/>
          </w:tcPr>
          <w:p w14:paraId="5EBAF34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5526443A" w14:textId="5A9E5F22"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18"/>
          <w:szCs w:val="18"/>
          <w:lang w:val="es-ES"/>
        </w:rPr>
        <w:t xml:space="preserve">              </w:t>
      </w:r>
      <w:r w:rsidR="00BC2B6E">
        <w:rPr>
          <w:rFonts w:ascii="Helvetica" w:eastAsia="Times New Roman" w:hAnsi="Helvetica" w:cs="Helvetica"/>
          <w:sz w:val="18"/>
          <w:szCs w:val="18"/>
          <w:lang w:val="es-ES"/>
        </w:rPr>
        <w:t xml:space="preserve">   </w:t>
      </w:r>
      <w:r w:rsidRPr="003051CD">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4E24D14D" w14:textId="77777777" w:rsidR="009F235F" w:rsidRDefault="009F235F" w:rsidP="005809CC">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p>
    <w:p w14:paraId="7F8416DC" w14:textId="78E6ED26" w:rsidR="00693BD9" w:rsidRPr="005809CC" w:rsidRDefault="00693BD9" w:rsidP="005809CC">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5809CC">
        <w:rPr>
          <w:rFonts w:ascii="Helvetica" w:eastAsia="Times New Roman" w:hAnsi="Helvetica" w:cs="Helvetica"/>
          <w:b/>
          <w:color w:val="002060"/>
          <w:sz w:val="28"/>
          <w:szCs w:val="28"/>
          <w:lang w:val="es-ES"/>
        </w:rPr>
        <w:t>Guatemala</w:t>
      </w:r>
    </w:p>
    <w:p w14:paraId="096DF215"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9ECC25B" w14:textId="2B28C837"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48.</w:t>
      </w:r>
      <w:r w:rsidR="000222A5">
        <w:rPr>
          <w:rFonts w:ascii="Helvetica" w:eastAsia="Times New Roman" w:hAnsi="Helvetica" w:cs="Helvetica"/>
          <w:sz w:val="24"/>
          <w:szCs w:val="24"/>
          <w:lang w:val="es-ES"/>
        </w:rPr>
        <w:t>99</w:t>
      </w:r>
      <w:r w:rsidRPr="003051CD">
        <w:rPr>
          <w:rFonts w:ascii="Helvetica" w:eastAsia="Times New Roman" w:hAnsi="Helvetica" w:cs="Helvetica"/>
          <w:sz w:val="24"/>
          <w:szCs w:val="24"/>
          <w:lang w:val="es-ES"/>
        </w:rPr>
        <w:t>%. Los municipios que presentaron mayor ejecución son: Palencia 94.89%, San Juan Sacatepéquez 94.31% y San Pedro Sacatepéquez 84.48%. Cabe mencionar que Chuarrancho</w:t>
      </w:r>
      <w:r w:rsidR="0034725B">
        <w:rPr>
          <w:rFonts w:ascii="Helvetica" w:eastAsia="Times New Roman" w:hAnsi="Helvetica" w:cs="Helvetica"/>
          <w:sz w:val="24"/>
          <w:szCs w:val="24"/>
          <w:lang w:val="es-ES"/>
        </w:rPr>
        <w:t xml:space="preserve"> y</w:t>
      </w:r>
      <w:r w:rsidRPr="003051CD">
        <w:rPr>
          <w:rFonts w:ascii="Helvetica" w:eastAsia="Times New Roman" w:hAnsi="Helvetica" w:cs="Helvetica"/>
          <w:sz w:val="24"/>
          <w:szCs w:val="24"/>
          <w:lang w:val="es-ES"/>
        </w:rPr>
        <w:t xml:space="preserve"> Fraijanes; no entregaron el tercer informe cuatrimestral. Guatemala lo entregó, pero en formatos anteriores, más no en Siplangl. (han estado teniendo inconvenientes con la plataforma)</w:t>
      </w:r>
      <w:r>
        <w:rPr>
          <w:rFonts w:ascii="Helvetica" w:eastAsia="Times New Roman" w:hAnsi="Helvetica" w:cs="Helvetica"/>
          <w:sz w:val="24"/>
          <w:szCs w:val="24"/>
          <w:lang w:val="es-ES"/>
        </w:rPr>
        <w:t>.</w:t>
      </w:r>
      <w:r w:rsidR="00F407CB">
        <w:rPr>
          <w:rFonts w:ascii="Helvetica" w:eastAsia="Times New Roman" w:hAnsi="Helvetica" w:cs="Helvetica"/>
          <w:sz w:val="24"/>
          <w:szCs w:val="24"/>
          <w:lang w:val="es-ES"/>
        </w:rPr>
        <w:t xml:space="preserve"> Ver tabla 26.</w:t>
      </w:r>
    </w:p>
    <w:p w14:paraId="6EF701F4" w14:textId="46299472" w:rsidR="00F407CB"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E7635D5" w14:textId="66229FCB" w:rsidR="00693BD9" w:rsidRPr="00016865" w:rsidRDefault="00F407CB" w:rsidP="00016865">
      <w:pPr>
        <w:pStyle w:val="ttulosgrficas"/>
        <w:rPr>
          <w:rFonts w:eastAsia="Times New Roman"/>
          <w:color w:val="4472C4" w:themeColor="accent1"/>
          <w:lang w:val="es-ES"/>
        </w:rPr>
      </w:pPr>
      <w:bookmarkStart w:id="59" w:name="_Toc67589139"/>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26</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Guatemala</w:t>
      </w:r>
      <w:bookmarkEnd w:id="59"/>
    </w:p>
    <w:tbl>
      <w:tblPr>
        <w:tblW w:w="8930" w:type="dxa"/>
        <w:tblInd w:w="142" w:type="dxa"/>
        <w:tblCellMar>
          <w:left w:w="70" w:type="dxa"/>
          <w:right w:w="70" w:type="dxa"/>
        </w:tblCellMar>
        <w:tblLook w:val="04A0" w:firstRow="1" w:lastRow="0" w:firstColumn="1" w:lastColumn="0" w:noHBand="0" w:noVBand="1"/>
      </w:tblPr>
      <w:tblGrid>
        <w:gridCol w:w="567"/>
        <w:gridCol w:w="2897"/>
        <w:gridCol w:w="2196"/>
        <w:gridCol w:w="1995"/>
        <w:gridCol w:w="1275"/>
      </w:tblGrid>
      <w:tr w:rsidR="0034725B" w:rsidRPr="0034725B" w14:paraId="7BB51AEA" w14:textId="77777777" w:rsidTr="000222A5">
        <w:trPr>
          <w:trHeight w:val="315"/>
        </w:trPr>
        <w:tc>
          <w:tcPr>
            <w:tcW w:w="567" w:type="dxa"/>
            <w:tcBorders>
              <w:top w:val="nil"/>
              <w:left w:val="nil"/>
              <w:bottom w:val="single" w:sz="12" w:space="0" w:color="FFFFFF"/>
              <w:right w:val="single" w:sz="4" w:space="0" w:color="FFFFFF"/>
            </w:tcBorders>
            <w:shd w:val="clear" w:color="4472C4" w:fill="4472C4"/>
          </w:tcPr>
          <w:p w14:paraId="6EF02176"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p>
        </w:tc>
        <w:tc>
          <w:tcPr>
            <w:tcW w:w="2897" w:type="dxa"/>
            <w:tcBorders>
              <w:top w:val="nil"/>
              <w:left w:val="nil"/>
              <w:bottom w:val="single" w:sz="12" w:space="0" w:color="FFFFFF"/>
              <w:right w:val="single" w:sz="4" w:space="0" w:color="FFFFFF"/>
            </w:tcBorders>
            <w:shd w:val="clear" w:color="4472C4" w:fill="4472C4"/>
            <w:noWrap/>
            <w:vAlign w:val="center"/>
            <w:hideMark/>
          </w:tcPr>
          <w:p w14:paraId="5E9007B0" w14:textId="3D728F4C"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Municipio</w:t>
            </w:r>
          </w:p>
        </w:tc>
        <w:tc>
          <w:tcPr>
            <w:tcW w:w="2196" w:type="dxa"/>
            <w:tcBorders>
              <w:top w:val="nil"/>
              <w:left w:val="nil"/>
              <w:bottom w:val="single" w:sz="12" w:space="0" w:color="FFFFFF"/>
              <w:right w:val="single" w:sz="4" w:space="0" w:color="FFFFFF"/>
            </w:tcBorders>
            <w:shd w:val="clear" w:color="4472C4" w:fill="4472C4"/>
            <w:noWrap/>
            <w:vAlign w:val="bottom"/>
            <w:hideMark/>
          </w:tcPr>
          <w:p w14:paraId="5683D064" w14:textId="78B29825" w:rsidR="0034725B" w:rsidRPr="0034725B" w:rsidRDefault="0034725B" w:rsidP="0034725B">
            <w:pPr>
              <w:autoSpaceDE w:val="0"/>
              <w:autoSpaceDN w:val="0"/>
              <w:adjustRightInd w:val="0"/>
              <w:spacing w:after="0" w:line="240" w:lineRule="auto"/>
              <w:jc w:val="center"/>
              <w:rPr>
                <w:rFonts w:ascii="Helvetica" w:eastAsia="Times New Roman" w:hAnsi="Helvetica" w:cs="Helvetica"/>
                <w:b/>
                <w:bCs/>
                <w:sz w:val="24"/>
                <w:szCs w:val="24"/>
                <w:lang w:val="es-ES"/>
              </w:rPr>
            </w:pPr>
            <w:r w:rsidRPr="0034725B">
              <w:rPr>
                <w:rFonts w:ascii="Helvetica" w:eastAsia="Times New Roman" w:hAnsi="Helvetica" w:cs="Helvetica"/>
                <w:b/>
                <w:bCs/>
                <w:sz w:val="24"/>
                <w:szCs w:val="24"/>
                <w:lang w:val="es-ES"/>
              </w:rPr>
              <w:t xml:space="preserve">Meta </w:t>
            </w:r>
            <w:r>
              <w:rPr>
                <w:rFonts w:ascii="Helvetica" w:eastAsia="Times New Roman" w:hAnsi="Helvetica" w:cs="Helvetica"/>
                <w:b/>
                <w:bCs/>
                <w:sz w:val="24"/>
                <w:szCs w:val="24"/>
                <w:lang w:val="es-ES"/>
              </w:rPr>
              <w:t xml:space="preserve">Financiera </w:t>
            </w:r>
            <w:r w:rsidRPr="0034725B">
              <w:rPr>
                <w:rFonts w:ascii="Helvetica" w:eastAsia="Times New Roman" w:hAnsi="Helvetica" w:cs="Helvetica"/>
                <w:b/>
                <w:bCs/>
                <w:sz w:val="24"/>
                <w:szCs w:val="24"/>
                <w:lang w:val="es-ES"/>
              </w:rPr>
              <w:t>Vigente</w:t>
            </w:r>
          </w:p>
        </w:tc>
        <w:tc>
          <w:tcPr>
            <w:tcW w:w="1995" w:type="dxa"/>
            <w:tcBorders>
              <w:top w:val="nil"/>
              <w:left w:val="nil"/>
              <w:bottom w:val="single" w:sz="12" w:space="0" w:color="FFFFFF"/>
              <w:right w:val="single" w:sz="4" w:space="0" w:color="FFFFFF"/>
            </w:tcBorders>
            <w:shd w:val="clear" w:color="4472C4" w:fill="4472C4"/>
            <w:noWrap/>
            <w:vAlign w:val="bottom"/>
            <w:hideMark/>
          </w:tcPr>
          <w:p w14:paraId="19DE63EC" w14:textId="5C723593" w:rsidR="0034725B" w:rsidRPr="0034725B" w:rsidRDefault="0034725B" w:rsidP="0034725B">
            <w:pPr>
              <w:autoSpaceDE w:val="0"/>
              <w:autoSpaceDN w:val="0"/>
              <w:adjustRightInd w:val="0"/>
              <w:spacing w:after="0" w:line="240" w:lineRule="auto"/>
              <w:jc w:val="center"/>
              <w:rPr>
                <w:rFonts w:ascii="Helvetica" w:eastAsia="Times New Roman" w:hAnsi="Helvetica" w:cs="Helvetica"/>
                <w:b/>
                <w:bCs/>
                <w:sz w:val="24"/>
                <w:szCs w:val="24"/>
                <w:lang w:val="es-ES"/>
              </w:rPr>
            </w:pPr>
            <w:r>
              <w:rPr>
                <w:rFonts w:ascii="Helvetica" w:eastAsia="Times New Roman" w:hAnsi="Helvetica" w:cs="Helvetica"/>
                <w:b/>
                <w:bCs/>
                <w:sz w:val="24"/>
                <w:szCs w:val="24"/>
                <w:lang w:val="es-ES"/>
              </w:rPr>
              <w:t>Ejecución Financiera</w:t>
            </w:r>
          </w:p>
        </w:tc>
        <w:tc>
          <w:tcPr>
            <w:tcW w:w="1275" w:type="dxa"/>
            <w:tcBorders>
              <w:top w:val="nil"/>
              <w:left w:val="nil"/>
              <w:bottom w:val="single" w:sz="12" w:space="0" w:color="FFFFFF"/>
              <w:right w:val="nil"/>
            </w:tcBorders>
            <w:shd w:val="clear" w:color="4472C4" w:fill="4472C4"/>
            <w:noWrap/>
            <w:vAlign w:val="bottom"/>
            <w:hideMark/>
          </w:tcPr>
          <w:p w14:paraId="03AC152D" w14:textId="6BE15BA7" w:rsidR="0034725B" w:rsidRPr="0034725B" w:rsidRDefault="0034725B" w:rsidP="0034725B">
            <w:pPr>
              <w:autoSpaceDE w:val="0"/>
              <w:autoSpaceDN w:val="0"/>
              <w:adjustRightInd w:val="0"/>
              <w:spacing w:after="0" w:line="240" w:lineRule="auto"/>
              <w:jc w:val="center"/>
              <w:rPr>
                <w:rFonts w:ascii="Helvetica" w:eastAsia="Times New Roman" w:hAnsi="Helvetica" w:cs="Helvetica"/>
                <w:b/>
                <w:bCs/>
                <w:sz w:val="24"/>
                <w:szCs w:val="24"/>
                <w:lang w:val="es-ES"/>
              </w:rPr>
            </w:pPr>
            <w:r w:rsidRPr="0034725B">
              <w:rPr>
                <w:rFonts w:ascii="Helvetica" w:eastAsia="Times New Roman" w:hAnsi="Helvetica" w:cs="Helvetica"/>
                <w:b/>
                <w:bCs/>
                <w:sz w:val="24"/>
                <w:szCs w:val="24"/>
                <w:lang w:val="es-ES"/>
              </w:rPr>
              <w:t>% de ejecución</w:t>
            </w:r>
          </w:p>
        </w:tc>
      </w:tr>
      <w:tr w:rsidR="0034725B" w:rsidRPr="0034725B" w14:paraId="3C3E9A89" w14:textId="77777777" w:rsidTr="000222A5">
        <w:trPr>
          <w:trHeight w:val="315"/>
        </w:trPr>
        <w:tc>
          <w:tcPr>
            <w:tcW w:w="567" w:type="dxa"/>
            <w:tcBorders>
              <w:top w:val="single" w:sz="4" w:space="0" w:color="FFFFFF"/>
              <w:left w:val="nil"/>
              <w:bottom w:val="single" w:sz="4" w:space="0" w:color="FFFFFF"/>
              <w:right w:val="single" w:sz="4" w:space="0" w:color="FFFFFF"/>
            </w:tcBorders>
            <w:shd w:val="clear" w:color="auto" w:fill="4472C4" w:themeFill="accent1"/>
          </w:tcPr>
          <w:p w14:paraId="01F9C430" w14:textId="77777777"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p>
        </w:tc>
        <w:tc>
          <w:tcPr>
            <w:tcW w:w="2897" w:type="dxa"/>
            <w:tcBorders>
              <w:top w:val="single" w:sz="4" w:space="0" w:color="FFFFFF"/>
              <w:left w:val="nil"/>
              <w:bottom w:val="single" w:sz="4" w:space="0" w:color="FFFFFF"/>
              <w:right w:val="single" w:sz="4" w:space="0" w:color="FFFFFF"/>
            </w:tcBorders>
            <w:shd w:val="clear" w:color="auto" w:fill="4472C4" w:themeFill="accent1"/>
            <w:noWrap/>
            <w:vAlign w:val="bottom"/>
            <w:hideMark/>
          </w:tcPr>
          <w:p w14:paraId="6DD66C5B" w14:textId="0D409751"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Todo el Departamento</w:t>
            </w:r>
          </w:p>
        </w:tc>
        <w:tc>
          <w:tcPr>
            <w:tcW w:w="2196" w:type="dxa"/>
            <w:tcBorders>
              <w:top w:val="single" w:sz="4" w:space="0" w:color="FFFFFF"/>
              <w:left w:val="single" w:sz="4" w:space="0" w:color="FFFFFF"/>
              <w:bottom w:val="single" w:sz="4" w:space="0" w:color="FFFFFF"/>
              <w:right w:val="single" w:sz="4" w:space="0" w:color="FFFFFF"/>
            </w:tcBorders>
            <w:shd w:val="clear" w:color="auto" w:fill="4472C4" w:themeFill="accent1"/>
            <w:noWrap/>
            <w:vAlign w:val="bottom"/>
            <w:hideMark/>
          </w:tcPr>
          <w:p w14:paraId="5607C7E2"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Q1,576,006,001.25</w:t>
            </w:r>
          </w:p>
        </w:tc>
        <w:tc>
          <w:tcPr>
            <w:tcW w:w="1995" w:type="dxa"/>
            <w:tcBorders>
              <w:top w:val="single" w:sz="4" w:space="0" w:color="FFFFFF"/>
              <w:left w:val="single" w:sz="4" w:space="0" w:color="FFFFFF"/>
              <w:bottom w:val="single" w:sz="4" w:space="0" w:color="FFFFFF"/>
              <w:right w:val="single" w:sz="4" w:space="0" w:color="FFFFFF"/>
            </w:tcBorders>
            <w:shd w:val="clear" w:color="auto" w:fill="4472C4" w:themeFill="accent1"/>
            <w:noWrap/>
            <w:vAlign w:val="bottom"/>
            <w:hideMark/>
          </w:tcPr>
          <w:p w14:paraId="038C0771"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Q772,111,999.28</w:t>
            </w:r>
          </w:p>
        </w:tc>
        <w:tc>
          <w:tcPr>
            <w:tcW w:w="1275" w:type="dxa"/>
            <w:tcBorders>
              <w:top w:val="single" w:sz="4" w:space="0" w:color="FFFFFF"/>
              <w:left w:val="single" w:sz="4" w:space="0" w:color="FFFFFF"/>
              <w:bottom w:val="single" w:sz="4" w:space="0" w:color="FFFFFF"/>
              <w:right w:val="nil"/>
            </w:tcBorders>
            <w:shd w:val="clear" w:color="B4C6E7" w:fill="FED880"/>
            <w:noWrap/>
            <w:vAlign w:val="bottom"/>
            <w:hideMark/>
          </w:tcPr>
          <w:p w14:paraId="2E062177"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48.99%</w:t>
            </w:r>
          </w:p>
        </w:tc>
      </w:tr>
      <w:tr w:rsidR="0034725B" w:rsidRPr="0034725B" w14:paraId="02815191"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14AEB392" w14:textId="398B4219"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48BB5E79" w14:textId="65E81D08"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Palencia</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7242697"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Q34,319,065.47</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0E95882"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Q32,565,710.44</w:t>
            </w:r>
          </w:p>
        </w:tc>
        <w:tc>
          <w:tcPr>
            <w:tcW w:w="1275" w:type="dxa"/>
            <w:tcBorders>
              <w:top w:val="single" w:sz="4" w:space="0" w:color="FFFFFF"/>
              <w:left w:val="single" w:sz="4" w:space="0" w:color="FFFFFF"/>
              <w:bottom w:val="single" w:sz="4" w:space="0" w:color="FFFFFF"/>
              <w:right w:val="nil"/>
            </w:tcBorders>
            <w:shd w:val="clear" w:color="D9E1F2" w:fill="63BE7B"/>
            <w:noWrap/>
            <w:vAlign w:val="bottom"/>
            <w:hideMark/>
          </w:tcPr>
          <w:p w14:paraId="32F52B0D"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94.89%</w:t>
            </w:r>
          </w:p>
        </w:tc>
      </w:tr>
      <w:tr w:rsidR="0034725B" w:rsidRPr="0034725B" w14:paraId="01DE954B"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60E23B9E" w14:textId="2E7384E9"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3622D1DD" w14:textId="0D2BB598"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San Juan Sacatepéquez</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0D9C8E0"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Q50,177,471.95</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DFC360E"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Q47,323,879.72</w:t>
            </w:r>
          </w:p>
        </w:tc>
        <w:tc>
          <w:tcPr>
            <w:tcW w:w="1275" w:type="dxa"/>
            <w:tcBorders>
              <w:top w:val="single" w:sz="4" w:space="0" w:color="FFFFFF"/>
              <w:left w:val="single" w:sz="4" w:space="0" w:color="FFFFFF"/>
              <w:bottom w:val="single" w:sz="4" w:space="0" w:color="FFFFFF"/>
              <w:right w:val="nil"/>
            </w:tcBorders>
            <w:shd w:val="clear" w:color="B4C6E7" w:fill="66BF7C"/>
            <w:noWrap/>
            <w:vAlign w:val="bottom"/>
            <w:hideMark/>
          </w:tcPr>
          <w:p w14:paraId="7FB29A83"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94.31%</w:t>
            </w:r>
          </w:p>
        </w:tc>
      </w:tr>
      <w:tr w:rsidR="0034725B" w:rsidRPr="0034725B" w14:paraId="78FCE9DE"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030F6BBF" w14:textId="695537F6" w:rsidR="000222A5"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531221E8" w14:textId="07F60572"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San Pedro Sacatepéquez</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9AB9BF2"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Q51,063,447.24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78A7B84"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Q43,139,793.54</w:t>
            </w:r>
          </w:p>
        </w:tc>
        <w:tc>
          <w:tcPr>
            <w:tcW w:w="1275" w:type="dxa"/>
            <w:tcBorders>
              <w:top w:val="single" w:sz="4" w:space="0" w:color="FFFFFF"/>
              <w:left w:val="single" w:sz="4" w:space="0" w:color="FFFFFF"/>
              <w:bottom w:val="single" w:sz="4" w:space="0" w:color="FFFFFF"/>
              <w:right w:val="nil"/>
            </w:tcBorders>
            <w:shd w:val="clear" w:color="D9E1F2" w:fill="8ECB7E"/>
            <w:noWrap/>
            <w:vAlign w:val="bottom"/>
            <w:hideMark/>
          </w:tcPr>
          <w:p w14:paraId="26B1404F"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84.48%</w:t>
            </w:r>
          </w:p>
        </w:tc>
      </w:tr>
      <w:tr w:rsidR="0034725B" w:rsidRPr="0034725B" w14:paraId="7FB70A4A"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37AAD1A7" w14:textId="5B09C1EE"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19A4DB51" w14:textId="01A525E1"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Petapa</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47E7B08"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Q131,197,001.23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342BC1E"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Q109,320,109.62</w:t>
            </w:r>
          </w:p>
        </w:tc>
        <w:tc>
          <w:tcPr>
            <w:tcW w:w="1275" w:type="dxa"/>
            <w:tcBorders>
              <w:top w:val="single" w:sz="4" w:space="0" w:color="FFFFFF"/>
              <w:left w:val="single" w:sz="4" w:space="0" w:color="FFFFFF"/>
              <w:bottom w:val="single" w:sz="4" w:space="0" w:color="FFFFFF"/>
              <w:right w:val="nil"/>
            </w:tcBorders>
            <w:shd w:val="clear" w:color="B4C6E7" w:fill="93CC7E"/>
            <w:noWrap/>
            <w:vAlign w:val="bottom"/>
            <w:hideMark/>
          </w:tcPr>
          <w:p w14:paraId="1237BF6A"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83.33%</w:t>
            </w:r>
          </w:p>
        </w:tc>
      </w:tr>
      <w:tr w:rsidR="0034725B" w:rsidRPr="0034725B" w14:paraId="077435E5"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5642FB4D" w14:textId="20619F0E"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2C12AF59" w14:textId="2F39C4E3"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San José del Golfo</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3DDA38D"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Q38,168,653.95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8D8373B"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Q30,623,936.43</w:t>
            </w:r>
          </w:p>
        </w:tc>
        <w:tc>
          <w:tcPr>
            <w:tcW w:w="1275" w:type="dxa"/>
            <w:tcBorders>
              <w:top w:val="single" w:sz="4" w:space="0" w:color="FFFFFF"/>
              <w:left w:val="single" w:sz="4" w:space="0" w:color="FFFFFF"/>
              <w:bottom w:val="single" w:sz="4" w:space="0" w:color="FFFFFF"/>
              <w:right w:val="nil"/>
            </w:tcBorders>
            <w:shd w:val="clear" w:color="D9E1F2" w:fill="A0D07F"/>
            <w:noWrap/>
            <w:vAlign w:val="bottom"/>
            <w:hideMark/>
          </w:tcPr>
          <w:p w14:paraId="29CBB890"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80.23%</w:t>
            </w:r>
          </w:p>
        </w:tc>
      </w:tr>
      <w:tr w:rsidR="0034725B" w:rsidRPr="0034725B" w14:paraId="5E58D469"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04C285B0" w14:textId="5C1F9C86"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104453E8" w14:textId="62AF93B6"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San Pedro Ayampuc</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853AA39"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Q56,215,741.32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CB6165D"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Q34,094,976.96</w:t>
            </w:r>
          </w:p>
        </w:tc>
        <w:tc>
          <w:tcPr>
            <w:tcW w:w="1275" w:type="dxa"/>
            <w:tcBorders>
              <w:top w:val="single" w:sz="4" w:space="0" w:color="FFFFFF"/>
              <w:left w:val="single" w:sz="4" w:space="0" w:color="FFFFFF"/>
              <w:bottom w:val="single" w:sz="4" w:space="0" w:color="FFFFFF"/>
              <w:right w:val="nil"/>
            </w:tcBorders>
            <w:shd w:val="clear" w:color="B4C6E7" w:fill="F0E784"/>
            <w:noWrap/>
            <w:vAlign w:val="bottom"/>
            <w:hideMark/>
          </w:tcPr>
          <w:p w14:paraId="6084B677"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60.65%</w:t>
            </w:r>
          </w:p>
        </w:tc>
      </w:tr>
      <w:tr w:rsidR="0034725B" w:rsidRPr="0034725B" w14:paraId="178CA381"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57515C18" w14:textId="43C4A29C"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10D9B08A" w14:textId="358F58E0"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Villa Canales</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A56634C"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Q85,377,330.41</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F2C00D3"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Q50,994,479.41</w:t>
            </w:r>
          </w:p>
        </w:tc>
        <w:tc>
          <w:tcPr>
            <w:tcW w:w="1275" w:type="dxa"/>
            <w:tcBorders>
              <w:top w:val="single" w:sz="4" w:space="0" w:color="FFFFFF"/>
              <w:left w:val="single" w:sz="4" w:space="0" w:color="FFFFFF"/>
              <w:bottom w:val="single" w:sz="4" w:space="0" w:color="FFFFFF"/>
              <w:right w:val="nil"/>
            </w:tcBorders>
            <w:shd w:val="clear" w:color="D9E1F2" w:fill="F4E884"/>
            <w:noWrap/>
            <w:vAlign w:val="bottom"/>
            <w:hideMark/>
          </w:tcPr>
          <w:p w14:paraId="46286A8E"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59.73%</w:t>
            </w:r>
          </w:p>
        </w:tc>
      </w:tr>
      <w:tr w:rsidR="0034725B" w:rsidRPr="0034725B" w14:paraId="7C0F8FD1"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27E2C272" w14:textId="699F2405"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09693E25" w14:textId="6746F2F0"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Villa Nueva</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581C059"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Q92,306,181.32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DBCE4EE"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Q49,253,022.51</w:t>
            </w:r>
          </w:p>
        </w:tc>
        <w:tc>
          <w:tcPr>
            <w:tcW w:w="1275" w:type="dxa"/>
            <w:tcBorders>
              <w:top w:val="single" w:sz="4" w:space="0" w:color="FFFFFF"/>
              <w:left w:val="single" w:sz="4" w:space="0" w:color="FFFFFF"/>
              <w:bottom w:val="single" w:sz="4" w:space="0" w:color="FFFFFF"/>
              <w:right w:val="nil"/>
            </w:tcBorders>
            <w:shd w:val="clear" w:color="B4C6E7" w:fill="FEE282"/>
            <w:noWrap/>
            <w:vAlign w:val="bottom"/>
            <w:hideMark/>
          </w:tcPr>
          <w:p w14:paraId="52A76D0E"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53.36%</w:t>
            </w:r>
          </w:p>
        </w:tc>
      </w:tr>
      <w:tr w:rsidR="0034725B" w:rsidRPr="0034725B" w14:paraId="143D2CD9"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5D61838B" w14:textId="1935BC7E"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7C0D4E0B" w14:textId="414A6069"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Chinautla</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577E56C"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Q81,693,664.77</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A92998"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Q36,644,995.16</w:t>
            </w:r>
          </w:p>
        </w:tc>
        <w:tc>
          <w:tcPr>
            <w:tcW w:w="1275" w:type="dxa"/>
            <w:tcBorders>
              <w:top w:val="single" w:sz="4" w:space="0" w:color="FFFFFF"/>
              <w:left w:val="single" w:sz="4" w:space="0" w:color="FFFFFF"/>
              <w:bottom w:val="single" w:sz="4" w:space="0" w:color="FFFFFF"/>
              <w:right w:val="nil"/>
            </w:tcBorders>
            <w:shd w:val="clear" w:color="D9E1F2" w:fill="FDCF7E"/>
            <w:noWrap/>
            <w:vAlign w:val="bottom"/>
            <w:hideMark/>
          </w:tcPr>
          <w:p w14:paraId="0BAD5908"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44.86%</w:t>
            </w:r>
          </w:p>
        </w:tc>
      </w:tr>
      <w:tr w:rsidR="0034725B" w:rsidRPr="0034725B" w14:paraId="72C532E1"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064219F2" w14:textId="64FCD421"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09EE495E" w14:textId="01005ED1"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San José Pinula</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5814809"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Q92,068,874.26</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BB52D2E"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Q41,192,283.36</w:t>
            </w:r>
          </w:p>
        </w:tc>
        <w:tc>
          <w:tcPr>
            <w:tcW w:w="1275" w:type="dxa"/>
            <w:tcBorders>
              <w:top w:val="single" w:sz="4" w:space="0" w:color="FFFFFF"/>
              <w:left w:val="single" w:sz="4" w:space="0" w:color="FFFFFF"/>
              <w:bottom w:val="single" w:sz="4" w:space="0" w:color="FFFFFF"/>
              <w:right w:val="nil"/>
            </w:tcBorders>
            <w:shd w:val="clear" w:color="B4C6E7" w:fill="FDCF7E"/>
            <w:noWrap/>
            <w:vAlign w:val="bottom"/>
            <w:hideMark/>
          </w:tcPr>
          <w:p w14:paraId="10930220"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44.74%</w:t>
            </w:r>
          </w:p>
        </w:tc>
      </w:tr>
      <w:tr w:rsidR="0034725B" w:rsidRPr="0034725B" w14:paraId="67B1890B"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209656B8" w14:textId="376C3FEB"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123DD6DB" w14:textId="30EA1E3A"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Mixco</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9683F70"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Q453,421,893.19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F568826"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Q185,417,798.47</w:t>
            </w:r>
          </w:p>
        </w:tc>
        <w:tc>
          <w:tcPr>
            <w:tcW w:w="1275" w:type="dxa"/>
            <w:tcBorders>
              <w:top w:val="single" w:sz="4" w:space="0" w:color="FFFFFF"/>
              <w:left w:val="single" w:sz="4" w:space="0" w:color="FFFFFF"/>
              <w:bottom w:val="single" w:sz="4" w:space="0" w:color="FFFFFF"/>
              <w:right w:val="nil"/>
            </w:tcBorders>
            <w:shd w:val="clear" w:color="D9E1F2" w:fill="FDC67C"/>
            <w:noWrap/>
            <w:vAlign w:val="bottom"/>
            <w:hideMark/>
          </w:tcPr>
          <w:p w14:paraId="15B1F931"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40.89%</w:t>
            </w:r>
          </w:p>
        </w:tc>
      </w:tr>
      <w:tr w:rsidR="0034725B" w:rsidRPr="0034725B" w14:paraId="04E26ECB"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341FB770" w14:textId="097E1C3D"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20E34656" w14:textId="42899B83"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Amatitlán</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A0E14D4"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Q51,022,742.03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941DCB7"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Q18,620,619.43</w:t>
            </w:r>
          </w:p>
        </w:tc>
        <w:tc>
          <w:tcPr>
            <w:tcW w:w="1275" w:type="dxa"/>
            <w:tcBorders>
              <w:top w:val="single" w:sz="4" w:space="0" w:color="FFFFFF"/>
              <w:left w:val="single" w:sz="4" w:space="0" w:color="FFFFFF"/>
              <w:bottom w:val="single" w:sz="4" w:space="0" w:color="FFFFFF"/>
              <w:right w:val="nil"/>
            </w:tcBorders>
            <w:shd w:val="clear" w:color="B4C6E7" w:fill="FCBC7B"/>
            <w:noWrap/>
            <w:vAlign w:val="bottom"/>
            <w:hideMark/>
          </w:tcPr>
          <w:p w14:paraId="0EBD07D7"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36.49%</w:t>
            </w:r>
          </w:p>
        </w:tc>
      </w:tr>
      <w:tr w:rsidR="0034725B" w:rsidRPr="0034725B" w14:paraId="251D4471"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36946806" w14:textId="2294770E"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7DC1113F" w14:textId="3FCD0061"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San Raymundo</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2BFA43B"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Q40,193,896.72</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D0C5F7F"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Q11,786,605.63</w:t>
            </w:r>
          </w:p>
        </w:tc>
        <w:tc>
          <w:tcPr>
            <w:tcW w:w="1275" w:type="dxa"/>
            <w:tcBorders>
              <w:top w:val="single" w:sz="4" w:space="0" w:color="FFFFFF"/>
              <w:left w:val="single" w:sz="4" w:space="0" w:color="FFFFFF"/>
              <w:bottom w:val="single" w:sz="4" w:space="0" w:color="FFFFFF"/>
              <w:right w:val="nil"/>
            </w:tcBorders>
            <w:shd w:val="clear" w:color="D9E1F2" w:fill="FBAB77"/>
            <w:noWrap/>
            <w:vAlign w:val="bottom"/>
            <w:hideMark/>
          </w:tcPr>
          <w:p w14:paraId="1EB872EA"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29.32%</w:t>
            </w:r>
          </w:p>
        </w:tc>
      </w:tr>
      <w:tr w:rsidR="0034725B" w:rsidRPr="0034725B" w14:paraId="7562752B"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7B8F685B" w14:textId="2CF4D3F6"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6ED756D3" w14:textId="76677F66"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Santa Catarina Pinula</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62ACA32"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Q293,765,423.07</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29BCF95"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Q81,133,788.60</w:t>
            </w:r>
          </w:p>
        </w:tc>
        <w:tc>
          <w:tcPr>
            <w:tcW w:w="1275" w:type="dxa"/>
            <w:tcBorders>
              <w:top w:val="single" w:sz="4" w:space="0" w:color="FFFFFF"/>
              <w:left w:val="single" w:sz="4" w:space="0" w:color="FFFFFF"/>
              <w:bottom w:val="single" w:sz="4" w:space="0" w:color="FFFFFF"/>
              <w:right w:val="nil"/>
            </w:tcBorders>
            <w:shd w:val="clear" w:color="B4C6E7" w:fill="FBA877"/>
            <w:noWrap/>
            <w:vAlign w:val="bottom"/>
            <w:hideMark/>
          </w:tcPr>
          <w:p w14:paraId="6E7764C9"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27.62%</w:t>
            </w:r>
          </w:p>
        </w:tc>
      </w:tr>
      <w:tr w:rsidR="0034725B" w:rsidRPr="0034725B" w14:paraId="042C6FFE"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6550A453" w14:textId="5332ACC0"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5D35E017" w14:textId="47A37873"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Chuarrancho</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6E2BABA"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32272BE"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Q0.00</w:t>
            </w:r>
          </w:p>
        </w:tc>
        <w:tc>
          <w:tcPr>
            <w:tcW w:w="1275" w:type="dxa"/>
            <w:tcBorders>
              <w:top w:val="single" w:sz="4" w:space="0" w:color="FFFFFF"/>
              <w:left w:val="single" w:sz="4" w:space="0" w:color="FFFFFF"/>
              <w:bottom w:val="single" w:sz="4" w:space="0" w:color="FFFFFF"/>
              <w:right w:val="nil"/>
            </w:tcBorders>
            <w:shd w:val="clear" w:color="D9E1F2" w:fill="F8696B"/>
            <w:noWrap/>
            <w:vAlign w:val="bottom"/>
            <w:hideMark/>
          </w:tcPr>
          <w:p w14:paraId="0B98E8EC"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0.00%</w:t>
            </w:r>
          </w:p>
        </w:tc>
      </w:tr>
      <w:tr w:rsidR="0034725B" w:rsidRPr="0034725B" w14:paraId="1E11A78F"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B4C6E7" w:fill="B4C6E7"/>
          </w:tcPr>
          <w:p w14:paraId="2721397D" w14:textId="3528B278"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2897" w:type="dxa"/>
            <w:tcBorders>
              <w:top w:val="single" w:sz="4" w:space="0" w:color="FFFFFF"/>
              <w:left w:val="nil"/>
              <w:bottom w:val="single" w:sz="4" w:space="0" w:color="FFFFFF"/>
              <w:right w:val="single" w:sz="4" w:space="0" w:color="FFFFFF"/>
            </w:tcBorders>
            <w:shd w:val="clear" w:color="B4C6E7" w:fill="B4C6E7"/>
            <w:noWrap/>
            <w:vAlign w:val="bottom"/>
            <w:hideMark/>
          </w:tcPr>
          <w:p w14:paraId="37D116FA" w14:textId="61BCE81B"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Fraijanes</w:t>
            </w:r>
          </w:p>
        </w:tc>
        <w:tc>
          <w:tcPr>
            <w:tcW w:w="219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B6B3508"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ADE674D"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Q0.00</w:t>
            </w:r>
          </w:p>
        </w:tc>
        <w:tc>
          <w:tcPr>
            <w:tcW w:w="1275" w:type="dxa"/>
            <w:tcBorders>
              <w:top w:val="single" w:sz="4" w:space="0" w:color="FFFFFF"/>
              <w:left w:val="single" w:sz="4" w:space="0" w:color="FFFFFF"/>
              <w:bottom w:val="single" w:sz="4" w:space="0" w:color="FFFFFF"/>
              <w:right w:val="nil"/>
            </w:tcBorders>
            <w:shd w:val="clear" w:color="B4C6E7" w:fill="F8696B"/>
            <w:noWrap/>
            <w:vAlign w:val="bottom"/>
            <w:hideMark/>
          </w:tcPr>
          <w:p w14:paraId="112D9DF6"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0.00%</w:t>
            </w:r>
          </w:p>
        </w:tc>
      </w:tr>
      <w:tr w:rsidR="0034725B" w:rsidRPr="0034725B" w14:paraId="4A8BD600" w14:textId="77777777" w:rsidTr="000222A5">
        <w:trPr>
          <w:trHeight w:val="300"/>
        </w:trPr>
        <w:tc>
          <w:tcPr>
            <w:tcW w:w="567" w:type="dxa"/>
            <w:tcBorders>
              <w:top w:val="single" w:sz="4" w:space="0" w:color="FFFFFF"/>
              <w:left w:val="nil"/>
              <w:bottom w:val="single" w:sz="4" w:space="0" w:color="FFFFFF"/>
              <w:right w:val="single" w:sz="4" w:space="0" w:color="FFFFFF"/>
            </w:tcBorders>
            <w:shd w:val="clear" w:color="D9E1F2" w:fill="D9E1F2"/>
          </w:tcPr>
          <w:p w14:paraId="69E44CEF" w14:textId="1FA5B2FD" w:rsidR="0034725B" w:rsidRPr="0034725B" w:rsidRDefault="000222A5" w:rsidP="000222A5">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2897" w:type="dxa"/>
            <w:tcBorders>
              <w:top w:val="single" w:sz="4" w:space="0" w:color="FFFFFF"/>
              <w:left w:val="nil"/>
              <w:bottom w:val="single" w:sz="4" w:space="0" w:color="FFFFFF"/>
              <w:right w:val="single" w:sz="4" w:space="0" w:color="FFFFFF"/>
            </w:tcBorders>
            <w:shd w:val="clear" w:color="D9E1F2" w:fill="D9E1F2"/>
            <w:noWrap/>
            <w:vAlign w:val="bottom"/>
            <w:hideMark/>
          </w:tcPr>
          <w:p w14:paraId="2655CD7A" w14:textId="40A7368B" w:rsidR="0034725B" w:rsidRPr="0034725B" w:rsidRDefault="0034725B" w:rsidP="0034725B">
            <w:pPr>
              <w:autoSpaceDE w:val="0"/>
              <w:autoSpaceDN w:val="0"/>
              <w:adjustRightInd w:val="0"/>
              <w:spacing w:after="0" w:line="240" w:lineRule="auto"/>
              <w:jc w:val="both"/>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Guatemala</w:t>
            </w:r>
          </w:p>
        </w:tc>
        <w:tc>
          <w:tcPr>
            <w:tcW w:w="219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4B88175"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Q25,014,614.32</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54B51EC" w14:textId="77777777" w:rsidR="0034725B" w:rsidRPr="0034725B" w:rsidRDefault="0034725B" w:rsidP="0034725B">
            <w:pPr>
              <w:autoSpaceDE w:val="0"/>
              <w:autoSpaceDN w:val="0"/>
              <w:adjustRightInd w:val="0"/>
              <w:spacing w:after="0" w:line="240" w:lineRule="auto"/>
              <w:jc w:val="right"/>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Q0.00</w:t>
            </w:r>
          </w:p>
        </w:tc>
        <w:tc>
          <w:tcPr>
            <w:tcW w:w="1275" w:type="dxa"/>
            <w:tcBorders>
              <w:top w:val="single" w:sz="4" w:space="0" w:color="FFFFFF"/>
              <w:left w:val="single" w:sz="4" w:space="0" w:color="FFFFFF"/>
              <w:bottom w:val="single" w:sz="4" w:space="0" w:color="FFFFFF"/>
              <w:right w:val="nil"/>
            </w:tcBorders>
            <w:shd w:val="clear" w:color="D9E1F2" w:fill="F8696B"/>
            <w:noWrap/>
            <w:vAlign w:val="bottom"/>
            <w:hideMark/>
          </w:tcPr>
          <w:p w14:paraId="6592C491" w14:textId="77777777" w:rsidR="0034725B" w:rsidRPr="0034725B" w:rsidRDefault="0034725B" w:rsidP="0034725B">
            <w:pPr>
              <w:autoSpaceDE w:val="0"/>
              <w:autoSpaceDN w:val="0"/>
              <w:adjustRightInd w:val="0"/>
              <w:spacing w:after="0" w:line="240" w:lineRule="auto"/>
              <w:jc w:val="center"/>
              <w:rPr>
                <w:rFonts w:ascii="Helvetica" w:eastAsia="Times New Roman" w:hAnsi="Helvetica" w:cs="Helvetica"/>
                <w:sz w:val="24"/>
                <w:szCs w:val="24"/>
                <w:lang w:val="es-ES"/>
              </w:rPr>
            </w:pPr>
            <w:r w:rsidRPr="0034725B">
              <w:rPr>
                <w:rFonts w:ascii="Helvetica" w:eastAsia="Times New Roman" w:hAnsi="Helvetica" w:cs="Helvetica"/>
                <w:sz w:val="24"/>
                <w:szCs w:val="24"/>
                <w:lang w:val="es-ES"/>
              </w:rPr>
              <w:t>0.00%</w:t>
            </w:r>
          </w:p>
        </w:tc>
      </w:tr>
    </w:tbl>
    <w:p w14:paraId="4FEF63C6" w14:textId="07EA05E6" w:rsidR="00693BD9" w:rsidRPr="003051CD" w:rsidRDefault="000222A5" w:rsidP="00693BD9">
      <w:pPr>
        <w:autoSpaceDE w:val="0"/>
        <w:autoSpaceDN w:val="0"/>
        <w:adjustRightInd w:val="0"/>
        <w:spacing w:after="0" w:line="240" w:lineRule="auto"/>
        <w:jc w:val="both"/>
        <w:rPr>
          <w:rFonts w:ascii="Helvetica" w:eastAsia="Times New Roman" w:hAnsi="Helvetica" w:cs="Helvetica"/>
          <w:sz w:val="18"/>
          <w:szCs w:val="18"/>
          <w:lang w:val="es-ES"/>
        </w:rPr>
      </w:pPr>
      <w:r>
        <w:rPr>
          <w:rFonts w:ascii="Helvetica" w:eastAsia="Times New Roman" w:hAnsi="Helvetica" w:cs="Helvetica"/>
          <w:sz w:val="18"/>
          <w:szCs w:val="18"/>
          <w:lang w:val="es-ES"/>
        </w:rPr>
        <w:t xml:space="preserve">   </w:t>
      </w:r>
      <w:r w:rsidR="00693BD9" w:rsidRPr="003051CD">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2DD394AC"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8FB59FC" w14:textId="1AA680B6" w:rsidR="00693BD9" w:rsidRPr="005809CC" w:rsidRDefault="00693BD9" w:rsidP="005809CC">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5809CC">
        <w:rPr>
          <w:rFonts w:ascii="Helvetica" w:eastAsia="Times New Roman" w:hAnsi="Helvetica" w:cs="Helvetica"/>
          <w:b/>
          <w:color w:val="002060"/>
          <w:sz w:val="28"/>
          <w:szCs w:val="28"/>
          <w:lang w:val="es-ES"/>
        </w:rPr>
        <w:t>Retalhuleu</w:t>
      </w:r>
    </w:p>
    <w:p w14:paraId="4DB7E7AC"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33F8422" w14:textId="4AF84076"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68.84%. Los municipios que mayor ejecución presentaron son: San Andrés Villa Seca 97.63%, Champerico 85.39 y San Felipe 85.05%. Los municipios que no presentaron el III informe cuatrimestral son: Nuevo San Carlos y San Martín Zapotitlán.</w:t>
      </w:r>
      <w:r w:rsidR="00F407CB">
        <w:rPr>
          <w:rFonts w:ascii="Helvetica" w:eastAsia="Times New Roman" w:hAnsi="Helvetica" w:cs="Helvetica"/>
          <w:sz w:val="24"/>
          <w:szCs w:val="24"/>
          <w:lang w:val="es-ES"/>
        </w:rPr>
        <w:t xml:space="preserve"> Ver tabla 27.</w:t>
      </w:r>
    </w:p>
    <w:p w14:paraId="0A340A22" w14:textId="77777777" w:rsidR="009F235F" w:rsidRDefault="009F235F" w:rsidP="00016865">
      <w:pPr>
        <w:pStyle w:val="ttulosgrficas"/>
        <w:rPr>
          <w:rFonts w:eastAsia="Times New Roman"/>
          <w:color w:val="4472C4" w:themeColor="accent1"/>
          <w:lang w:val="es-ES"/>
        </w:rPr>
      </w:pPr>
    </w:p>
    <w:p w14:paraId="241A828A" w14:textId="757E529B" w:rsidR="00693BD9" w:rsidRPr="00016865" w:rsidRDefault="00F407CB" w:rsidP="00016865">
      <w:pPr>
        <w:pStyle w:val="ttulosgrficas"/>
        <w:rPr>
          <w:rFonts w:eastAsia="Times New Roman"/>
          <w:color w:val="4472C4" w:themeColor="accent1"/>
          <w:lang w:val="es-ES"/>
        </w:rPr>
      </w:pPr>
      <w:bookmarkStart w:id="60" w:name="_Toc67589140"/>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27</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Retalhuleu</w:t>
      </w:r>
      <w:bookmarkEnd w:id="60"/>
    </w:p>
    <w:p w14:paraId="7498F31E" w14:textId="77777777" w:rsidR="00216644" w:rsidRPr="003051CD" w:rsidRDefault="00216644" w:rsidP="00216644">
      <w:pPr>
        <w:pStyle w:val="ttulosgrficas"/>
        <w:spacing w:line="120" w:lineRule="auto"/>
        <w:rPr>
          <w:lang w:val="es-ES"/>
        </w:rPr>
      </w:pPr>
    </w:p>
    <w:tbl>
      <w:tblPr>
        <w:tblW w:w="8626" w:type="dxa"/>
        <w:jc w:val="center"/>
        <w:tblCellMar>
          <w:left w:w="70" w:type="dxa"/>
          <w:right w:w="70" w:type="dxa"/>
        </w:tblCellMar>
        <w:tblLook w:val="04A0" w:firstRow="1" w:lastRow="0" w:firstColumn="1" w:lastColumn="0" w:noHBand="0" w:noVBand="1"/>
      </w:tblPr>
      <w:tblGrid>
        <w:gridCol w:w="669"/>
        <w:gridCol w:w="2693"/>
        <w:gridCol w:w="1995"/>
        <w:gridCol w:w="1995"/>
        <w:gridCol w:w="1274"/>
      </w:tblGrid>
      <w:tr w:rsidR="00216644" w:rsidRPr="003051CD" w14:paraId="28C45F99" w14:textId="77777777" w:rsidTr="00FB3DF5">
        <w:trPr>
          <w:trHeight w:val="315"/>
          <w:jc w:val="center"/>
        </w:trPr>
        <w:tc>
          <w:tcPr>
            <w:tcW w:w="743" w:type="dxa"/>
            <w:tcBorders>
              <w:top w:val="nil"/>
              <w:left w:val="nil"/>
              <w:bottom w:val="single" w:sz="12" w:space="0" w:color="FFFFFF"/>
              <w:right w:val="single" w:sz="4" w:space="0" w:color="FFFFFF"/>
            </w:tcBorders>
            <w:shd w:val="clear" w:color="4472C4" w:fill="4472C4"/>
            <w:vAlign w:val="center"/>
          </w:tcPr>
          <w:p w14:paraId="1D4934B8" w14:textId="67635311"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2693" w:type="dxa"/>
            <w:tcBorders>
              <w:top w:val="nil"/>
              <w:left w:val="nil"/>
              <w:bottom w:val="single" w:sz="12" w:space="0" w:color="FFFFFF"/>
              <w:right w:val="single" w:sz="4" w:space="0" w:color="FFFFFF"/>
            </w:tcBorders>
            <w:shd w:val="clear" w:color="4472C4" w:fill="4472C4"/>
            <w:noWrap/>
            <w:vAlign w:val="center"/>
            <w:hideMark/>
          </w:tcPr>
          <w:p w14:paraId="280EB8C2" w14:textId="267CD020"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57D2AF09"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4891CDD3"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1C920487"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0756A4C9" w14:textId="77777777" w:rsidTr="00FB3DF5">
        <w:trPr>
          <w:trHeight w:val="315"/>
          <w:jc w:val="center"/>
        </w:trPr>
        <w:tc>
          <w:tcPr>
            <w:tcW w:w="743" w:type="dxa"/>
            <w:tcBorders>
              <w:top w:val="single" w:sz="4" w:space="0" w:color="FFFFFF"/>
              <w:left w:val="nil"/>
              <w:bottom w:val="single" w:sz="4" w:space="0" w:color="FFFFFF"/>
              <w:right w:val="single" w:sz="4" w:space="0" w:color="FFFFFF"/>
            </w:tcBorders>
            <w:shd w:val="clear" w:color="auto" w:fill="4F81BD"/>
          </w:tcPr>
          <w:p w14:paraId="48D13F67"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693" w:type="dxa"/>
            <w:tcBorders>
              <w:top w:val="single" w:sz="4" w:space="0" w:color="FFFFFF"/>
              <w:left w:val="nil"/>
              <w:bottom w:val="single" w:sz="4" w:space="0" w:color="FFFFFF"/>
              <w:right w:val="single" w:sz="4" w:space="0" w:color="FFFFFF"/>
            </w:tcBorders>
            <w:shd w:val="clear" w:color="auto" w:fill="4F81BD"/>
            <w:noWrap/>
            <w:vAlign w:val="bottom"/>
            <w:hideMark/>
          </w:tcPr>
          <w:p w14:paraId="10943F09" w14:textId="1C78293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2242F69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Q253,254,764.91</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7DF9D84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Q174,344,204.37</w:t>
            </w:r>
          </w:p>
        </w:tc>
        <w:tc>
          <w:tcPr>
            <w:tcW w:w="1200" w:type="dxa"/>
            <w:tcBorders>
              <w:top w:val="single" w:sz="4" w:space="0" w:color="FFFFFF"/>
              <w:left w:val="single" w:sz="4" w:space="0" w:color="FFFFFF"/>
              <w:bottom w:val="single" w:sz="4" w:space="0" w:color="FFFFFF"/>
              <w:right w:val="nil"/>
            </w:tcBorders>
            <w:shd w:val="clear" w:color="B4C6E7" w:fill="D7E082"/>
            <w:noWrap/>
            <w:vAlign w:val="bottom"/>
            <w:hideMark/>
          </w:tcPr>
          <w:p w14:paraId="74EB70E3"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68.84%</w:t>
            </w:r>
          </w:p>
        </w:tc>
      </w:tr>
      <w:tr w:rsidR="00216644" w:rsidRPr="003051CD" w14:paraId="1E7D1A64"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D9E1F2" w:fill="D9E1F2"/>
          </w:tcPr>
          <w:p w14:paraId="4DB36C29" w14:textId="68769C9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21FC7149" w14:textId="1E7A1CE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Andrés Villa Seca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C92D52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Q47,515,364.33</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80959D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Q46,391,588.69</w:t>
            </w:r>
          </w:p>
        </w:tc>
        <w:tc>
          <w:tcPr>
            <w:tcW w:w="1200" w:type="dxa"/>
            <w:tcBorders>
              <w:top w:val="single" w:sz="4" w:space="0" w:color="FFFFFF"/>
              <w:left w:val="single" w:sz="4" w:space="0" w:color="FFFFFF"/>
              <w:bottom w:val="single" w:sz="4" w:space="0" w:color="FFFFFF"/>
              <w:right w:val="nil"/>
            </w:tcBorders>
            <w:shd w:val="clear" w:color="D9E1F2" w:fill="63BE7B"/>
            <w:noWrap/>
            <w:vAlign w:val="bottom"/>
            <w:hideMark/>
          </w:tcPr>
          <w:p w14:paraId="79C8915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97.63%</w:t>
            </w:r>
          </w:p>
        </w:tc>
      </w:tr>
      <w:tr w:rsidR="00216644" w:rsidRPr="003051CD" w14:paraId="57A48D4D"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B4C6E7" w:fill="B4C6E7"/>
          </w:tcPr>
          <w:p w14:paraId="4F6D6F52" w14:textId="2962893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406A28FF" w14:textId="77493B1B"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Champerico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3B3A11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Q30,072,648.47</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D37E31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Q25,677,912.13</w:t>
            </w:r>
          </w:p>
        </w:tc>
        <w:tc>
          <w:tcPr>
            <w:tcW w:w="1200" w:type="dxa"/>
            <w:tcBorders>
              <w:top w:val="single" w:sz="4" w:space="0" w:color="FFFFFF"/>
              <w:left w:val="single" w:sz="4" w:space="0" w:color="FFFFFF"/>
              <w:bottom w:val="single" w:sz="4" w:space="0" w:color="FFFFFF"/>
              <w:right w:val="nil"/>
            </w:tcBorders>
            <w:shd w:val="clear" w:color="B4C6E7" w:fill="94CD7E"/>
            <w:noWrap/>
            <w:vAlign w:val="bottom"/>
            <w:hideMark/>
          </w:tcPr>
          <w:p w14:paraId="4410E81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85.39%</w:t>
            </w:r>
          </w:p>
        </w:tc>
      </w:tr>
      <w:tr w:rsidR="00216644" w:rsidRPr="003051CD" w14:paraId="44C9D3FA"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D9E1F2" w:fill="D9E1F2"/>
          </w:tcPr>
          <w:p w14:paraId="29F2B228" w14:textId="4437424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5ECD9FBB" w14:textId="3454880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Felipe</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175C43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Q16,864,574.74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DF45DE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Q14,343,321.16</w:t>
            </w:r>
          </w:p>
        </w:tc>
        <w:tc>
          <w:tcPr>
            <w:tcW w:w="1200" w:type="dxa"/>
            <w:tcBorders>
              <w:top w:val="single" w:sz="4" w:space="0" w:color="FFFFFF"/>
              <w:left w:val="single" w:sz="4" w:space="0" w:color="FFFFFF"/>
              <w:bottom w:val="single" w:sz="4" w:space="0" w:color="FFFFFF"/>
              <w:right w:val="nil"/>
            </w:tcBorders>
            <w:shd w:val="clear" w:color="D9E1F2" w:fill="96CD7E"/>
            <w:noWrap/>
            <w:vAlign w:val="bottom"/>
            <w:hideMark/>
          </w:tcPr>
          <w:p w14:paraId="52C4039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85.05%</w:t>
            </w:r>
          </w:p>
        </w:tc>
      </w:tr>
      <w:tr w:rsidR="00216644" w:rsidRPr="003051CD" w14:paraId="7571CFAF"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B4C6E7" w:fill="B4C6E7"/>
          </w:tcPr>
          <w:p w14:paraId="285D03CA" w14:textId="16F646DB"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0DD5F2CB" w14:textId="5EA984EB"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Asintal</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3D0087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Q10,876,738.51</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EE1E2A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Q8,661,500.24</w:t>
            </w:r>
          </w:p>
        </w:tc>
        <w:tc>
          <w:tcPr>
            <w:tcW w:w="1200" w:type="dxa"/>
            <w:tcBorders>
              <w:top w:val="single" w:sz="4" w:space="0" w:color="FFFFFF"/>
              <w:left w:val="single" w:sz="4" w:space="0" w:color="FFFFFF"/>
              <w:bottom w:val="single" w:sz="4" w:space="0" w:color="FFFFFF"/>
              <w:right w:val="nil"/>
            </w:tcBorders>
            <w:shd w:val="clear" w:color="B4C6E7" w:fill="ABD380"/>
            <w:noWrap/>
            <w:vAlign w:val="bottom"/>
            <w:hideMark/>
          </w:tcPr>
          <w:p w14:paraId="7AC1BCB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79.63%</w:t>
            </w:r>
          </w:p>
        </w:tc>
      </w:tr>
      <w:tr w:rsidR="00216644" w:rsidRPr="003051CD" w14:paraId="746C6DF9"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D9E1F2" w:fill="D9E1F2"/>
          </w:tcPr>
          <w:p w14:paraId="75C6A659" w14:textId="010907B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2A395BB2" w14:textId="13671CC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Cruz Muluá</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57F7D8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Q14,963,129.96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6FF70E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Q8,686,042.87</w:t>
            </w:r>
          </w:p>
        </w:tc>
        <w:tc>
          <w:tcPr>
            <w:tcW w:w="1200" w:type="dxa"/>
            <w:tcBorders>
              <w:top w:val="single" w:sz="4" w:space="0" w:color="FFFFFF"/>
              <w:left w:val="single" w:sz="4" w:space="0" w:color="FFFFFF"/>
              <w:bottom w:val="single" w:sz="4" w:space="0" w:color="FFFFFF"/>
              <w:right w:val="nil"/>
            </w:tcBorders>
            <w:shd w:val="clear" w:color="D9E1F2" w:fill="FEE983"/>
            <w:noWrap/>
            <w:vAlign w:val="bottom"/>
            <w:hideMark/>
          </w:tcPr>
          <w:p w14:paraId="009BCF4D"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58.05%</w:t>
            </w:r>
          </w:p>
        </w:tc>
      </w:tr>
      <w:tr w:rsidR="00216644" w:rsidRPr="003051CD" w14:paraId="01CADD08"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B4C6E7" w:fill="B4C6E7"/>
          </w:tcPr>
          <w:p w14:paraId="552E4DD9" w14:textId="5279CE3F"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7EC3E1B7" w14:textId="60E891C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Retalhuleu</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B7236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Q120,918,310.90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BD57B2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Q64,868,979.21</w:t>
            </w:r>
          </w:p>
        </w:tc>
        <w:tc>
          <w:tcPr>
            <w:tcW w:w="1200" w:type="dxa"/>
            <w:tcBorders>
              <w:top w:val="single" w:sz="4" w:space="0" w:color="FFFFFF"/>
              <w:left w:val="single" w:sz="4" w:space="0" w:color="FFFFFF"/>
              <w:bottom w:val="single" w:sz="4" w:space="0" w:color="FFFFFF"/>
              <w:right w:val="nil"/>
            </w:tcBorders>
            <w:shd w:val="clear" w:color="B4C6E7" w:fill="FEE081"/>
            <w:noWrap/>
            <w:vAlign w:val="bottom"/>
            <w:hideMark/>
          </w:tcPr>
          <w:p w14:paraId="47E39B5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53.65%</w:t>
            </w:r>
          </w:p>
        </w:tc>
      </w:tr>
      <w:tr w:rsidR="00216644" w:rsidRPr="003051CD" w14:paraId="52106BA2"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D9E1F2" w:fill="D9E1F2"/>
          </w:tcPr>
          <w:p w14:paraId="39EE917A" w14:textId="25EA2DC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5E8E2484" w14:textId="6C6D58A5"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Sebastián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E1BC70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Q12,043,998.00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AAF37A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Q5,714,860.07</w:t>
            </w:r>
          </w:p>
        </w:tc>
        <w:tc>
          <w:tcPr>
            <w:tcW w:w="1200" w:type="dxa"/>
            <w:tcBorders>
              <w:top w:val="single" w:sz="4" w:space="0" w:color="FFFFFF"/>
              <w:left w:val="single" w:sz="4" w:space="0" w:color="FFFFFF"/>
              <w:bottom w:val="single" w:sz="4" w:space="0" w:color="FFFFFF"/>
              <w:right w:val="nil"/>
            </w:tcBorders>
            <w:shd w:val="clear" w:color="D9E1F2" w:fill="FDD27F"/>
            <w:noWrap/>
            <w:vAlign w:val="bottom"/>
            <w:hideMark/>
          </w:tcPr>
          <w:p w14:paraId="0EF7C36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47.45%</w:t>
            </w:r>
          </w:p>
        </w:tc>
      </w:tr>
      <w:tr w:rsidR="00216644" w:rsidRPr="003051CD" w14:paraId="5EB135FC" w14:textId="77777777" w:rsidTr="00FB3DF5">
        <w:trPr>
          <w:trHeight w:val="300"/>
          <w:jc w:val="center"/>
        </w:trPr>
        <w:tc>
          <w:tcPr>
            <w:tcW w:w="743" w:type="dxa"/>
            <w:tcBorders>
              <w:top w:val="single" w:sz="4" w:space="0" w:color="FFFFFF"/>
              <w:left w:val="nil"/>
              <w:bottom w:val="single" w:sz="4" w:space="0" w:color="FFFFFF"/>
              <w:right w:val="single" w:sz="4" w:space="0" w:color="FFFFFF"/>
            </w:tcBorders>
            <w:shd w:val="clear" w:color="B4C6E7" w:fill="B4C6E7"/>
          </w:tcPr>
          <w:p w14:paraId="5E754477" w14:textId="23EA863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5AFE138C" w14:textId="104FBF9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Nuevo San Carlos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040B8B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DFA98E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01C787CB"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295B1E56" w14:textId="77777777" w:rsidTr="00FB3DF5">
        <w:trPr>
          <w:trHeight w:val="300"/>
          <w:jc w:val="center"/>
        </w:trPr>
        <w:tc>
          <w:tcPr>
            <w:tcW w:w="743" w:type="dxa"/>
            <w:tcBorders>
              <w:top w:val="single" w:sz="4" w:space="0" w:color="FFFFFF"/>
              <w:left w:val="nil"/>
              <w:bottom w:val="nil"/>
              <w:right w:val="single" w:sz="4" w:space="0" w:color="FFFFFF"/>
            </w:tcBorders>
            <w:shd w:val="clear" w:color="D9E1F2" w:fill="D9E1F2"/>
          </w:tcPr>
          <w:p w14:paraId="7E5E2539" w14:textId="772B561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693" w:type="dxa"/>
            <w:tcBorders>
              <w:top w:val="single" w:sz="4" w:space="0" w:color="FFFFFF"/>
              <w:left w:val="nil"/>
              <w:bottom w:val="nil"/>
              <w:right w:val="single" w:sz="4" w:space="0" w:color="FFFFFF"/>
            </w:tcBorders>
            <w:shd w:val="clear" w:color="D9E1F2" w:fill="D9E1F2"/>
            <w:noWrap/>
            <w:vAlign w:val="bottom"/>
            <w:hideMark/>
          </w:tcPr>
          <w:p w14:paraId="4F70EA14" w14:textId="53D06FC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Martin Zapotitlán</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39D0D07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1ADA3ED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nil"/>
              <w:right w:val="nil"/>
            </w:tcBorders>
            <w:shd w:val="clear" w:color="D9E1F2" w:fill="F8696B"/>
            <w:noWrap/>
            <w:vAlign w:val="bottom"/>
            <w:hideMark/>
          </w:tcPr>
          <w:p w14:paraId="41A9C799"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27A79658" w14:textId="0B35EA40"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216644">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633F8449"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 </w:t>
      </w:r>
    </w:p>
    <w:p w14:paraId="16C2C7F4" w14:textId="5F95C7DB" w:rsidR="00693BD9" w:rsidRPr="008D4595" w:rsidRDefault="00693BD9" w:rsidP="008D4595">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8D4595">
        <w:rPr>
          <w:rFonts w:ascii="Helvetica" w:eastAsia="Times New Roman" w:hAnsi="Helvetica" w:cs="Helvetica"/>
          <w:b/>
          <w:color w:val="002060"/>
          <w:sz w:val="28"/>
          <w:szCs w:val="28"/>
          <w:lang w:val="es-ES"/>
        </w:rPr>
        <w:t>Sacatepéquez</w:t>
      </w:r>
    </w:p>
    <w:p w14:paraId="497D908A"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11EE11C" w14:textId="7F66C403"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48.77%. Los municipios que presentaron mayor ejecución son: Santa Catarina Barahona 96.93%, Santa María de Jesús 79.14% y Jocotenango 76.96%. Cabe mencionar que Alotenango, San Bartolomé Milpas Altas, Santa Lucía Milpas Altas y Santo Domingo Xenacoj; no presentaron el tercer informe cuatrimestral.</w:t>
      </w:r>
      <w:r w:rsidR="00F407CB">
        <w:rPr>
          <w:rFonts w:ascii="Helvetica" w:eastAsia="Times New Roman" w:hAnsi="Helvetica" w:cs="Helvetica"/>
          <w:sz w:val="24"/>
          <w:szCs w:val="24"/>
          <w:lang w:val="es-ES"/>
        </w:rPr>
        <w:t xml:space="preserve"> Ver tabla 28.</w:t>
      </w:r>
    </w:p>
    <w:p w14:paraId="247AAD10" w14:textId="7679E3E5" w:rsidR="005D4383" w:rsidRDefault="005D4383"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D28CF4A" w14:textId="61A5108A"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47862FD" w14:textId="697A4A1E"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37A424F" w14:textId="544E8945"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3F4FB39" w14:textId="4856ADC5"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0554644" w14:textId="77777777"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607EA88" w14:textId="77777777" w:rsidR="00F407CB" w:rsidRPr="003051CD"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9D46B09" w14:textId="38E46B40" w:rsidR="00693BD9" w:rsidRPr="005D4383" w:rsidRDefault="00F407CB" w:rsidP="00016865">
      <w:pPr>
        <w:pStyle w:val="ttulosgrficas"/>
        <w:rPr>
          <w:rFonts w:eastAsia="Times New Roman"/>
          <w:b w:val="0"/>
          <w:lang w:val="es-ES"/>
        </w:rPr>
      </w:pPr>
      <w:bookmarkStart w:id="61" w:name="_Toc67589141"/>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28</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w:t>
      </w:r>
      <w:r w:rsid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Sacatepéquez</w:t>
      </w:r>
      <w:bookmarkEnd w:id="61"/>
    </w:p>
    <w:p w14:paraId="06F5E89D" w14:textId="77777777" w:rsidR="00216644" w:rsidRPr="003051CD" w:rsidRDefault="00216644" w:rsidP="00216644">
      <w:pPr>
        <w:pStyle w:val="ttulosgrficas"/>
        <w:spacing w:line="120" w:lineRule="auto"/>
        <w:rPr>
          <w:lang w:val="es-ES"/>
        </w:rPr>
      </w:pPr>
    </w:p>
    <w:tbl>
      <w:tblPr>
        <w:tblW w:w="9193" w:type="dxa"/>
        <w:jc w:val="center"/>
        <w:tblCellMar>
          <w:left w:w="70" w:type="dxa"/>
          <w:right w:w="70" w:type="dxa"/>
        </w:tblCellMar>
        <w:tblLook w:val="04A0" w:firstRow="1" w:lastRow="0" w:firstColumn="1" w:lastColumn="0" w:noHBand="0" w:noVBand="1"/>
      </w:tblPr>
      <w:tblGrid>
        <w:gridCol w:w="635"/>
        <w:gridCol w:w="3294"/>
        <w:gridCol w:w="1995"/>
        <w:gridCol w:w="1995"/>
        <w:gridCol w:w="1274"/>
      </w:tblGrid>
      <w:tr w:rsidR="00216644" w:rsidRPr="003051CD" w14:paraId="4FAEC4DB" w14:textId="77777777" w:rsidTr="00FB3DF5">
        <w:trPr>
          <w:trHeight w:val="315"/>
          <w:jc w:val="center"/>
        </w:trPr>
        <w:tc>
          <w:tcPr>
            <w:tcW w:w="709" w:type="dxa"/>
            <w:tcBorders>
              <w:top w:val="nil"/>
              <w:left w:val="nil"/>
              <w:bottom w:val="single" w:sz="12" w:space="0" w:color="FFFFFF"/>
              <w:right w:val="single" w:sz="4" w:space="0" w:color="FFFFFF"/>
            </w:tcBorders>
            <w:shd w:val="clear" w:color="4472C4" w:fill="4472C4"/>
            <w:vAlign w:val="center"/>
          </w:tcPr>
          <w:p w14:paraId="41F9A81F" w14:textId="29A34504"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3294" w:type="dxa"/>
            <w:tcBorders>
              <w:top w:val="nil"/>
              <w:left w:val="nil"/>
              <w:bottom w:val="single" w:sz="12" w:space="0" w:color="FFFFFF"/>
              <w:right w:val="single" w:sz="4" w:space="0" w:color="FFFFFF"/>
            </w:tcBorders>
            <w:shd w:val="clear" w:color="4472C4" w:fill="4472C4"/>
            <w:noWrap/>
            <w:vAlign w:val="center"/>
            <w:hideMark/>
          </w:tcPr>
          <w:p w14:paraId="651B3433" w14:textId="2443394B"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5FAE7326"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428464DA"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6C1DD62F"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0039D80A" w14:textId="77777777" w:rsidTr="00FB3DF5">
        <w:trPr>
          <w:trHeight w:val="315"/>
          <w:jc w:val="center"/>
        </w:trPr>
        <w:tc>
          <w:tcPr>
            <w:tcW w:w="709" w:type="dxa"/>
            <w:tcBorders>
              <w:top w:val="single" w:sz="4" w:space="0" w:color="FFFFFF"/>
              <w:left w:val="nil"/>
              <w:bottom w:val="single" w:sz="4" w:space="0" w:color="FFFFFF"/>
              <w:right w:val="single" w:sz="4" w:space="0" w:color="FFFFFF"/>
            </w:tcBorders>
            <w:shd w:val="clear" w:color="auto" w:fill="4F81BD"/>
          </w:tcPr>
          <w:p w14:paraId="7D057CA0"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3294" w:type="dxa"/>
            <w:tcBorders>
              <w:top w:val="single" w:sz="4" w:space="0" w:color="FFFFFF"/>
              <w:left w:val="nil"/>
              <w:bottom w:val="single" w:sz="4" w:space="0" w:color="FFFFFF"/>
              <w:right w:val="single" w:sz="4" w:space="0" w:color="FFFFFF"/>
            </w:tcBorders>
            <w:shd w:val="clear" w:color="auto" w:fill="4F81BD"/>
            <w:noWrap/>
            <w:vAlign w:val="bottom"/>
            <w:hideMark/>
          </w:tcPr>
          <w:p w14:paraId="7EC2E217" w14:textId="21B377B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1568991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Q442,661,284.51</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68C5262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Q215,897,567.36</w:t>
            </w:r>
          </w:p>
        </w:tc>
        <w:tc>
          <w:tcPr>
            <w:tcW w:w="1200" w:type="dxa"/>
            <w:tcBorders>
              <w:top w:val="single" w:sz="4" w:space="0" w:color="FFFFFF"/>
              <w:left w:val="single" w:sz="4" w:space="0" w:color="FFFFFF"/>
              <w:bottom w:val="single" w:sz="4" w:space="0" w:color="FFFFFF"/>
              <w:right w:val="nil"/>
            </w:tcBorders>
            <w:shd w:val="clear" w:color="B4C6E7" w:fill="FDD67F"/>
            <w:noWrap/>
            <w:vAlign w:val="bottom"/>
            <w:hideMark/>
          </w:tcPr>
          <w:p w14:paraId="6E564FA1"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48.77%</w:t>
            </w:r>
          </w:p>
        </w:tc>
      </w:tr>
      <w:tr w:rsidR="00216644" w:rsidRPr="003051CD" w14:paraId="004456F9"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2E8CF58B" w14:textId="779B639F"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4621B78C" w14:textId="568B06B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Catarina Barahona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68B4D6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Q14,127,399.04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9244A1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Q13,693,045.72</w:t>
            </w:r>
          </w:p>
        </w:tc>
        <w:tc>
          <w:tcPr>
            <w:tcW w:w="1200" w:type="dxa"/>
            <w:tcBorders>
              <w:top w:val="single" w:sz="4" w:space="0" w:color="FFFFFF"/>
              <w:left w:val="single" w:sz="4" w:space="0" w:color="FFFFFF"/>
              <w:bottom w:val="single" w:sz="4" w:space="0" w:color="FFFFFF"/>
              <w:right w:val="nil"/>
            </w:tcBorders>
            <w:shd w:val="clear" w:color="D9E1F2" w:fill="00B050"/>
            <w:noWrap/>
            <w:vAlign w:val="bottom"/>
            <w:hideMark/>
          </w:tcPr>
          <w:p w14:paraId="003B5BFB"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96.93%</w:t>
            </w:r>
          </w:p>
        </w:tc>
      </w:tr>
      <w:tr w:rsidR="00216644" w:rsidRPr="003051CD" w14:paraId="76901862"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B4C6E7" w:fill="B4C6E7"/>
          </w:tcPr>
          <w:p w14:paraId="5B8F8C41" w14:textId="1F49BB4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3294" w:type="dxa"/>
            <w:tcBorders>
              <w:top w:val="single" w:sz="4" w:space="0" w:color="FFFFFF"/>
              <w:left w:val="nil"/>
              <w:bottom w:val="single" w:sz="4" w:space="0" w:color="FFFFFF"/>
              <w:right w:val="single" w:sz="4" w:space="0" w:color="FFFFFF"/>
            </w:tcBorders>
            <w:shd w:val="clear" w:color="B4C6E7" w:fill="B4C6E7"/>
            <w:noWrap/>
            <w:vAlign w:val="bottom"/>
            <w:hideMark/>
          </w:tcPr>
          <w:p w14:paraId="58C93712" w14:textId="70B49A4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Maria de Jesús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A52809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Q22,330,123.08</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A1D38D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Q17,671,522.91</w:t>
            </w:r>
          </w:p>
        </w:tc>
        <w:tc>
          <w:tcPr>
            <w:tcW w:w="1200" w:type="dxa"/>
            <w:tcBorders>
              <w:top w:val="single" w:sz="4" w:space="0" w:color="FFFFFF"/>
              <w:left w:val="single" w:sz="4" w:space="0" w:color="FFFFFF"/>
              <w:bottom w:val="single" w:sz="4" w:space="0" w:color="FFFFFF"/>
              <w:right w:val="nil"/>
            </w:tcBorders>
            <w:shd w:val="clear" w:color="B4C6E7" w:fill="75CC68"/>
            <w:noWrap/>
            <w:vAlign w:val="bottom"/>
            <w:hideMark/>
          </w:tcPr>
          <w:p w14:paraId="1E1A6B3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79.14%</w:t>
            </w:r>
          </w:p>
        </w:tc>
      </w:tr>
      <w:tr w:rsidR="00216644" w:rsidRPr="003051CD" w14:paraId="283523A7"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1FD0AF2D" w14:textId="6AA3729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11046E07" w14:textId="2D047A3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Jocotenango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1FDB0E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Q24,542,774.88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C79384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Q18,887,590.47</w:t>
            </w:r>
          </w:p>
        </w:tc>
        <w:tc>
          <w:tcPr>
            <w:tcW w:w="1200" w:type="dxa"/>
            <w:tcBorders>
              <w:top w:val="single" w:sz="4" w:space="0" w:color="FFFFFF"/>
              <w:left w:val="single" w:sz="4" w:space="0" w:color="FFFFFF"/>
              <w:bottom w:val="single" w:sz="4" w:space="0" w:color="FFFFFF"/>
              <w:right w:val="nil"/>
            </w:tcBorders>
            <w:shd w:val="clear" w:color="D9E1F2" w:fill="84CF6B"/>
            <w:noWrap/>
            <w:vAlign w:val="bottom"/>
            <w:hideMark/>
          </w:tcPr>
          <w:p w14:paraId="4171076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76.96%</w:t>
            </w:r>
          </w:p>
        </w:tc>
      </w:tr>
      <w:tr w:rsidR="00216644" w:rsidRPr="003051CD" w14:paraId="106ACB80"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B4C6E7" w:fill="B4C6E7"/>
          </w:tcPr>
          <w:p w14:paraId="72E64F1D" w14:textId="1B6F906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3294" w:type="dxa"/>
            <w:tcBorders>
              <w:top w:val="single" w:sz="4" w:space="0" w:color="FFFFFF"/>
              <w:left w:val="nil"/>
              <w:bottom w:val="single" w:sz="4" w:space="0" w:color="FFFFFF"/>
              <w:right w:val="single" w:sz="4" w:space="0" w:color="FFFFFF"/>
            </w:tcBorders>
            <w:shd w:val="clear" w:color="B4C6E7" w:fill="B4C6E7"/>
            <w:noWrap/>
            <w:vAlign w:val="bottom"/>
            <w:hideMark/>
          </w:tcPr>
          <w:p w14:paraId="19A58A79" w14:textId="23DD111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Sumpango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EBDFE6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Q19,894,680.00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9D582F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Q14,378,410.62</w:t>
            </w:r>
          </w:p>
        </w:tc>
        <w:tc>
          <w:tcPr>
            <w:tcW w:w="1200" w:type="dxa"/>
            <w:tcBorders>
              <w:top w:val="single" w:sz="4" w:space="0" w:color="FFFFFF"/>
              <w:left w:val="single" w:sz="4" w:space="0" w:color="FFFFFF"/>
              <w:bottom w:val="single" w:sz="4" w:space="0" w:color="FFFFFF"/>
              <w:right w:val="nil"/>
            </w:tcBorders>
            <w:shd w:val="clear" w:color="B4C6E7" w:fill="A3D672"/>
            <w:noWrap/>
            <w:vAlign w:val="bottom"/>
            <w:hideMark/>
          </w:tcPr>
          <w:p w14:paraId="6F0E3DE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72.27%</w:t>
            </w:r>
          </w:p>
        </w:tc>
      </w:tr>
      <w:tr w:rsidR="00216644" w:rsidRPr="003051CD" w14:paraId="2182C742"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300F8D0D" w14:textId="220383D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6C0DA0AC" w14:textId="0875F39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Antonio Aguas Calientes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1D9E90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Q16,844,258.15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FCCDBB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Q10,902,130.59</w:t>
            </w:r>
          </w:p>
        </w:tc>
        <w:tc>
          <w:tcPr>
            <w:tcW w:w="1200" w:type="dxa"/>
            <w:tcBorders>
              <w:top w:val="single" w:sz="4" w:space="0" w:color="FFFFFF"/>
              <w:left w:val="single" w:sz="4" w:space="0" w:color="FFFFFF"/>
              <w:bottom w:val="single" w:sz="4" w:space="0" w:color="FFFFFF"/>
              <w:right w:val="nil"/>
            </w:tcBorders>
            <w:shd w:val="clear" w:color="D9E1F2" w:fill="D4E27C"/>
            <w:noWrap/>
            <w:vAlign w:val="bottom"/>
            <w:hideMark/>
          </w:tcPr>
          <w:p w14:paraId="71172F69"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64.72%</w:t>
            </w:r>
          </w:p>
        </w:tc>
      </w:tr>
      <w:tr w:rsidR="00216644" w:rsidRPr="003051CD" w14:paraId="76B5E3DF"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B4C6E7" w:fill="B4C6E7"/>
          </w:tcPr>
          <w:p w14:paraId="0AB7A6E5" w14:textId="7BE52FA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3294" w:type="dxa"/>
            <w:tcBorders>
              <w:top w:val="single" w:sz="4" w:space="0" w:color="FFFFFF"/>
              <w:left w:val="nil"/>
              <w:bottom w:val="single" w:sz="4" w:space="0" w:color="FFFFFF"/>
              <w:right w:val="single" w:sz="4" w:space="0" w:color="FFFFFF"/>
            </w:tcBorders>
            <w:shd w:val="clear" w:color="B4C6E7" w:fill="B4C6E7"/>
            <w:noWrap/>
            <w:vAlign w:val="bottom"/>
            <w:hideMark/>
          </w:tcPr>
          <w:p w14:paraId="3122E90C" w14:textId="5FA2FC58"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Ciudad Vieja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353426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Q19,763,271.00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C28645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Q12,669,134.51</w:t>
            </w:r>
          </w:p>
        </w:tc>
        <w:tc>
          <w:tcPr>
            <w:tcW w:w="1200" w:type="dxa"/>
            <w:tcBorders>
              <w:top w:val="single" w:sz="4" w:space="0" w:color="FFFFFF"/>
              <w:left w:val="single" w:sz="4" w:space="0" w:color="FFFFFF"/>
              <w:bottom w:val="single" w:sz="4" w:space="0" w:color="FFFFFF"/>
              <w:right w:val="nil"/>
            </w:tcBorders>
            <w:shd w:val="clear" w:color="B4C6E7" w:fill="D8E27D"/>
            <w:noWrap/>
            <w:vAlign w:val="bottom"/>
            <w:hideMark/>
          </w:tcPr>
          <w:p w14:paraId="449DD9B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64.10%</w:t>
            </w:r>
          </w:p>
        </w:tc>
      </w:tr>
      <w:tr w:rsidR="00216644" w:rsidRPr="003051CD" w14:paraId="22BEB18F"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50BA4E79" w14:textId="22614EF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3AF3CA2A" w14:textId="428A5A6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Santiago Sacatepéquez</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59F735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Q27,250,451.43</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117BDE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Q12,725,247.12</w:t>
            </w:r>
          </w:p>
        </w:tc>
        <w:tc>
          <w:tcPr>
            <w:tcW w:w="1200" w:type="dxa"/>
            <w:tcBorders>
              <w:top w:val="single" w:sz="4" w:space="0" w:color="FFFFFF"/>
              <w:left w:val="single" w:sz="4" w:space="0" w:color="FFFFFF"/>
              <w:bottom w:val="single" w:sz="4" w:space="0" w:color="FFFFFF"/>
              <w:right w:val="nil"/>
            </w:tcBorders>
            <w:shd w:val="clear" w:color="D9E1F2" w:fill="FDD17F"/>
            <w:noWrap/>
            <w:vAlign w:val="bottom"/>
            <w:hideMark/>
          </w:tcPr>
          <w:p w14:paraId="46DCE15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46.70%</w:t>
            </w:r>
          </w:p>
        </w:tc>
      </w:tr>
      <w:tr w:rsidR="00216644" w:rsidRPr="003051CD" w14:paraId="203FD886"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B4C6E7" w:fill="B4C6E7"/>
          </w:tcPr>
          <w:p w14:paraId="2E1BB5D4" w14:textId="0A1F2FF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3294" w:type="dxa"/>
            <w:tcBorders>
              <w:top w:val="single" w:sz="4" w:space="0" w:color="FFFFFF"/>
              <w:left w:val="nil"/>
              <w:bottom w:val="single" w:sz="4" w:space="0" w:color="FFFFFF"/>
              <w:right w:val="single" w:sz="4" w:space="0" w:color="FFFFFF"/>
            </w:tcBorders>
            <w:shd w:val="clear" w:color="B4C6E7" w:fill="B4C6E7"/>
            <w:noWrap/>
            <w:vAlign w:val="bottom"/>
            <w:hideMark/>
          </w:tcPr>
          <w:p w14:paraId="08AE8FB2" w14:textId="16614EE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Lucas Sacatepéquez</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BCB63D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Q75,781,501.59</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4C260E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Q35,018,786.69</w:t>
            </w:r>
          </w:p>
        </w:tc>
        <w:tc>
          <w:tcPr>
            <w:tcW w:w="1200" w:type="dxa"/>
            <w:tcBorders>
              <w:top w:val="single" w:sz="4" w:space="0" w:color="FFFFFF"/>
              <w:left w:val="single" w:sz="4" w:space="0" w:color="FFFFFF"/>
              <w:bottom w:val="single" w:sz="4" w:space="0" w:color="FFFFFF"/>
              <w:right w:val="nil"/>
            </w:tcBorders>
            <w:shd w:val="clear" w:color="B4C6E7" w:fill="FDD07E"/>
            <w:noWrap/>
            <w:vAlign w:val="bottom"/>
            <w:hideMark/>
          </w:tcPr>
          <w:p w14:paraId="200CA5C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46.21%</w:t>
            </w:r>
          </w:p>
        </w:tc>
      </w:tr>
      <w:tr w:rsidR="00216644" w:rsidRPr="003051CD" w14:paraId="03809AFC"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487EFCAD" w14:textId="69803FEB"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4C624660" w14:textId="781B404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Magdalena Milpas Altas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132A57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Q9,921,000.00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F02C93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Q4,548,740.86</w:t>
            </w:r>
          </w:p>
        </w:tc>
        <w:tc>
          <w:tcPr>
            <w:tcW w:w="1200" w:type="dxa"/>
            <w:tcBorders>
              <w:top w:val="single" w:sz="4" w:space="0" w:color="FFFFFF"/>
              <w:left w:val="single" w:sz="4" w:space="0" w:color="FFFFFF"/>
              <w:bottom w:val="single" w:sz="4" w:space="0" w:color="FFFFFF"/>
              <w:right w:val="nil"/>
            </w:tcBorders>
            <w:shd w:val="clear" w:color="D9E1F2" w:fill="FDCF7E"/>
            <w:noWrap/>
            <w:vAlign w:val="bottom"/>
            <w:hideMark/>
          </w:tcPr>
          <w:p w14:paraId="68EDBD3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45.85%</w:t>
            </w:r>
          </w:p>
        </w:tc>
      </w:tr>
      <w:tr w:rsidR="00216644" w:rsidRPr="003051CD" w14:paraId="382AB3AB"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B4C6E7" w:fill="B4C6E7"/>
          </w:tcPr>
          <w:p w14:paraId="6A9D2D62" w14:textId="241A43B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3294" w:type="dxa"/>
            <w:tcBorders>
              <w:top w:val="single" w:sz="4" w:space="0" w:color="FFFFFF"/>
              <w:left w:val="nil"/>
              <w:bottom w:val="single" w:sz="4" w:space="0" w:color="FFFFFF"/>
              <w:right w:val="single" w:sz="4" w:space="0" w:color="FFFFFF"/>
            </w:tcBorders>
            <w:shd w:val="clear" w:color="B4C6E7" w:fill="B4C6E7"/>
            <w:noWrap/>
            <w:vAlign w:val="bottom"/>
            <w:hideMark/>
          </w:tcPr>
          <w:p w14:paraId="77C66B44" w14:textId="4AB05AE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Pastores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20E18F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Q25,851,250.95</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1E0D94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Q11,631,245.00</w:t>
            </w:r>
          </w:p>
        </w:tc>
        <w:tc>
          <w:tcPr>
            <w:tcW w:w="1200" w:type="dxa"/>
            <w:tcBorders>
              <w:top w:val="single" w:sz="4" w:space="0" w:color="FFFFFF"/>
              <w:left w:val="single" w:sz="4" w:space="0" w:color="FFFFFF"/>
              <w:bottom w:val="single" w:sz="4" w:space="0" w:color="FFFFFF"/>
              <w:right w:val="nil"/>
            </w:tcBorders>
            <w:shd w:val="clear" w:color="B4C6E7" w:fill="FDCD7E"/>
            <w:noWrap/>
            <w:vAlign w:val="bottom"/>
            <w:hideMark/>
          </w:tcPr>
          <w:p w14:paraId="69FD5EC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44.99%</w:t>
            </w:r>
          </w:p>
        </w:tc>
      </w:tr>
      <w:tr w:rsidR="00216644" w:rsidRPr="003051CD" w14:paraId="49DF22DE"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5E12CF57" w14:textId="322D5FA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593B6EC0" w14:textId="2AE2E909"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Miguel Dueñas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814AE7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Q38,777,062.99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C75E89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Q14,613,957.71</w:t>
            </w:r>
          </w:p>
        </w:tc>
        <w:tc>
          <w:tcPr>
            <w:tcW w:w="1200" w:type="dxa"/>
            <w:tcBorders>
              <w:top w:val="single" w:sz="4" w:space="0" w:color="FFFFFF"/>
              <w:left w:val="single" w:sz="4" w:space="0" w:color="FFFFFF"/>
              <w:bottom w:val="single" w:sz="4" w:space="0" w:color="FFFFFF"/>
              <w:right w:val="nil"/>
            </w:tcBorders>
            <w:shd w:val="clear" w:color="D9E1F2" w:fill="FCBD7B"/>
            <w:noWrap/>
            <w:vAlign w:val="bottom"/>
            <w:hideMark/>
          </w:tcPr>
          <w:p w14:paraId="4268CF2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37.69%</w:t>
            </w:r>
          </w:p>
        </w:tc>
      </w:tr>
      <w:tr w:rsidR="00216644" w:rsidRPr="003051CD" w14:paraId="14302524"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B4C6E7" w:fill="B4C6E7"/>
          </w:tcPr>
          <w:p w14:paraId="7EE281A6" w14:textId="67790A1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3294" w:type="dxa"/>
            <w:tcBorders>
              <w:top w:val="single" w:sz="4" w:space="0" w:color="FFFFFF"/>
              <w:left w:val="nil"/>
              <w:bottom w:val="single" w:sz="4" w:space="0" w:color="FFFFFF"/>
              <w:right w:val="single" w:sz="4" w:space="0" w:color="FFFFFF"/>
            </w:tcBorders>
            <w:shd w:val="clear" w:color="B4C6E7" w:fill="B4C6E7"/>
            <w:noWrap/>
            <w:vAlign w:val="bottom"/>
            <w:hideMark/>
          </w:tcPr>
          <w:p w14:paraId="10497E7C" w14:textId="12A92AF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Antigua Guatemala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E861AB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Q147,577,511.40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9BC874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Q49,157,755.16</w:t>
            </w:r>
          </w:p>
        </w:tc>
        <w:tc>
          <w:tcPr>
            <w:tcW w:w="1200" w:type="dxa"/>
            <w:tcBorders>
              <w:top w:val="single" w:sz="4" w:space="0" w:color="FFFFFF"/>
              <w:left w:val="single" w:sz="4" w:space="0" w:color="FFFFFF"/>
              <w:bottom w:val="single" w:sz="4" w:space="0" w:color="FFFFFF"/>
              <w:right w:val="nil"/>
            </w:tcBorders>
            <w:shd w:val="clear" w:color="B4C6E7" w:fill="FCB379"/>
            <w:noWrap/>
            <w:vAlign w:val="bottom"/>
            <w:hideMark/>
          </w:tcPr>
          <w:p w14:paraId="409E4E5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33.31%</w:t>
            </w:r>
          </w:p>
        </w:tc>
      </w:tr>
      <w:tr w:rsidR="00216644" w:rsidRPr="003051CD" w14:paraId="516C07E6"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2CA79376" w14:textId="5388DC2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160D9F23" w14:textId="5294AC6C"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Alotenango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39EB90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B2C83E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15CC15C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546D7EF"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B4C6E7" w:fill="B4C6E7"/>
          </w:tcPr>
          <w:p w14:paraId="6F977ACC" w14:textId="7190BE3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3294" w:type="dxa"/>
            <w:tcBorders>
              <w:top w:val="single" w:sz="4" w:space="0" w:color="FFFFFF"/>
              <w:left w:val="nil"/>
              <w:bottom w:val="single" w:sz="4" w:space="0" w:color="FFFFFF"/>
              <w:right w:val="single" w:sz="4" w:space="0" w:color="FFFFFF"/>
            </w:tcBorders>
            <w:shd w:val="clear" w:color="B4C6E7" w:fill="B4C6E7"/>
            <w:noWrap/>
            <w:vAlign w:val="bottom"/>
            <w:hideMark/>
          </w:tcPr>
          <w:p w14:paraId="3877DA85" w14:textId="33D0E2B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Bartolomé Milpas Altas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907039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D21D1E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257E9C81"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2C20F21C" w14:textId="77777777" w:rsidTr="00FB3DF5">
        <w:trPr>
          <w:trHeight w:val="300"/>
          <w:jc w:val="center"/>
        </w:trPr>
        <w:tc>
          <w:tcPr>
            <w:tcW w:w="709" w:type="dxa"/>
            <w:tcBorders>
              <w:top w:val="single" w:sz="4" w:space="0" w:color="FFFFFF"/>
              <w:left w:val="nil"/>
              <w:bottom w:val="single" w:sz="4" w:space="0" w:color="FFFFFF"/>
              <w:right w:val="single" w:sz="4" w:space="0" w:color="FFFFFF"/>
            </w:tcBorders>
            <w:shd w:val="clear" w:color="D9E1F2" w:fill="D9E1F2"/>
          </w:tcPr>
          <w:p w14:paraId="68241F0E" w14:textId="68B2C2B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3294" w:type="dxa"/>
            <w:tcBorders>
              <w:top w:val="single" w:sz="4" w:space="0" w:color="FFFFFF"/>
              <w:left w:val="nil"/>
              <w:bottom w:val="single" w:sz="4" w:space="0" w:color="FFFFFF"/>
              <w:right w:val="single" w:sz="4" w:space="0" w:color="FFFFFF"/>
            </w:tcBorders>
            <w:shd w:val="clear" w:color="D9E1F2" w:fill="D9E1F2"/>
            <w:noWrap/>
            <w:vAlign w:val="bottom"/>
            <w:hideMark/>
          </w:tcPr>
          <w:p w14:paraId="09D6A1DA" w14:textId="11DD244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Luc</w:t>
            </w:r>
            <w:r w:rsidR="009F235F">
              <w:rPr>
                <w:rFonts w:ascii="Helvetica" w:eastAsia="Times New Roman" w:hAnsi="Helvetica" w:cs="Helvetica"/>
                <w:sz w:val="24"/>
                <w:szCs w:val="24"/>
                <w:lang w:val="es-ES"/>
              </w:rPr>
              <w:t>í</w:t>
            </w:r>
            <w:r w:rsidRPr="003051CD">
              <w:rPr>
                <w:rFonts w:ascii="Helvetica" w:eastAsia="Times New Roman" w:hAnsi="Helvetica" w:cs="Helvetica"/>
                <w:sz w:val="24"/>
                <w:szCs w:val="24"/>
                <w:lang w:val="es-ES"/>
              </w:rPr>
              <w:t>a Milpas Altas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A0BDA4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C0899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0C6C270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24C5BD2E" w14:textId="77777777" w:rsidTr="00FB3DF5">
        <w:trPr>
          <w:trHeight w:val="300"/>
          <w:jc w:val="center"/>
        </w:trPr>
        <w:tc>
          <w:tcPr>
            <w:tcW w:w="709" w:type="dxa"/>
            <w:tcBorders>
              <w:top w:val="single" w:sz="4" w:space="0" w:color="FFFFFF"/>
              <w:left w:val="nil"/>
              <w:bottom w:val="nil"/>
              <w:right w:val="single" w:sz="4" w:space="0" w:color="FFFFFF"/>
            </w:tcBorders>
            <w:shd w:val="clear" w:color="B4C6E7" w:fill="B4C6E7"/>
          </w:tcPr>
          <w:p w14:paraId="3ABD94C2" w14:textId="54D9ECE1"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3294" w:type="dxa"/>
            <w:tcBorders>
              <w:top w:val="single" w:sz="4" w:space="0" w:color="FFFFFF"/>
              <w:left w:val="nil"/>
              <w:bottom w:val="nil"/>
              <w:right w:val="single" w:sz="4" w:space="0" w:color="FFFFFF"/>
            </w:tcBorders>
            <w:shd w:val="clear" w:color="B4C6E7" w:fill="B4C6E7"/>
            <w:noWrap/>
            <w:vAlign w:val="bottom"/>
            <w:hideMark/>
          </w:tcPr>
          <w:p w14:paraId="06F4DE1D" w14:textId="4CC849A1"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Santo Domingo Xenacoj</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7AF9AC0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5748F91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nil"/>
              <w:right w:val="nil"/>
            </w:tcBorders>
            <w:shd w:val="clear" w:color="B4C6E7" w:fill="F8696B"/>
            <w:noWrap/>
            <w:vAlign w:val="bottom"/>
            <w:hideMark/>
          </w:tcPr>
          <w:p w14:paraId="25897121"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50F75E68" w14:textId="55F7F79B" w:rsidR="00693BD9"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18"/>
          <w:szCs w:val="18"/>
          <w:lang w:val="es-ES"/>
        </w:rPr>
        <w:t xml:space="preserve">   </w:t>
      </w:r>
      <w:r w:rsidR="00216644">
        <w:rPr>
          <w:rFonts w:ascii="Helvetica" w:eastAsia="Times New Roman" w:hAnsi="Helvetica" w:cs="Helvetica"/>
          <w:sz w:val="18"/>
          <w:szCs w:val="18"/>
          <w:lang w:val="es-ES"/>
        </w:rPr>
        <w:t xml:space="preserve">  </w:t>
      </w:r>
      <w:r w:rsidRPr="003051CD">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24E2D358" w14:textId="2CD2AF3C" w:rsidR="00FB3DF5" w:rsidRDefault="00FB3DF5" w:rsidP="00693BD9">
      <w:pPr>
        <w:autoSpaceDE w:val="0"/>
        <w:autoSpaceDN w:val="0"/>
        <w:adjustRightInd w:val="0"/>
        <w:spacing w:after="0" w:line="240" w:lineRule="auto"/>
        <w:jc w:val="both"/>
        <w:rPr>
          <w:rFonts w:ascii="Helvetica" w:eastAsia="Times New Roman" w:hAnsi="Helvetica" w:cs="Helvetica"/>
          <w:sz w:val="18"/>
          <w:szCs w:val="18"/>
          <w:lang w:val="es-ES"/>
        </w:rPr>
      </w:pPr>
    </w:p>
    <w:p w14:paraId="29996997" w14:textId="7D7482B2" w:rsidR="00FB3DF5" w:rsidRDefault="00FB3DF5" w:rsidP="00693BD9">
      <w:pPr>
        <w:autoSpaceDE w:val="0"/>
        <w:autoSpaceDN w:val="0"/>
        <w:adjustRightInd w:val="0"/>
        <w:spacing w:after="0" w:line="240" w:lineRule="auto"/>
        <w:jc w:val="both"/>
        <w:rPr>
          <w:rFonts w:ascii="Helvetica" w:eastAsia="Times New Roman" w:hAnsi="Helvetica" w:cs="Helvetica"/>
          <w:sz w:val="18"/>
          <w:szCs w:val="18"/>
          <w:lang w:val="es-ES"/>
        </w:rPr>
      </w:pPr>
    </w:p>
    <w:p w14:paraId="052C7CED" w14:textId="69CBB9A3" w:rsidR="00693BD9" w:rsidRPr="00DF6B20" w:rsidRDefault="00693BD9" w:rsidP="00DF6B20">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DF6B20">
        <w:rPr>
          <w:rFonts w:ascii="Helvetica" w:eastAsia="Times New Roman" w:hAnsi="Helvetica" w:cs="Helvetica"/>
          <w:b/>
          <w:color w:val="002060"/>
          <w:sz w:val="28"/>
          <w:szCs w:val="28"/>
          <w:lang w:val="es-ES"/>
        </w:rPr>
        <w:t>San Marcos</w:t>
      </w:r>
    </w:p>
    <w:p w14:paraId="16C1309F"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C72F0CC" w14:textId="734C6F29"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48.37%. Los municipios que mayor ejecución presentaron son: San Cristóbal Cucho 97.72%, San Rafael Pie de la Cuesta 96.04% y Esquipulas Palo Gordo 8.77%. Cabe mencionar que Ayutla, Concepción Tutuapa, El Tumbador y Malacatán; no presentaron el tercer informe cuatrimestral.</w:t>
      </w:r>
      <w:r w:rsidR="00F407CB">
        <w:rPr>
          <w:rFonts w:ascii="Helvetica" w:eastAsia="Times New Roman" w:hAnsi="Helvetica" w:cs="Helvetica"/>
          <w:sz w:val="24"/>
          <w:szCs w:val="24"/>
          <w:lang w:val="es-ES"/>
        </w:rPr>
        <w:t xml:space="preserve"> Ver tabla 29.</w:t>
      </w:r>
    </w:p>
    <w:p w14:paraId="308C7BF5" w14:textId="1DF9016F"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7772A9A" w14:textId="3C82E91B" w:rsidR="00693BD9" w:rsidRPr="00016865" w:rsidRDefault="00F407CB" w:rsidP="00016865">
      <w:pPr>
        <w:pStyle w:val="ttulosgrficas"/>
        <w:rPr>
          <w:rFonts w:eastAsia="Times New Roman"/>
          <w:color w:val="4472C4" w:themeColor="accent1"/>
          <w:lang w:val="es-ES"/>
        </w:rPr>
      </w:pPr>
      <w:bookmarkStart w:id="62" w:name="_Toc67589142"/>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29</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San Marcos</w:t>
      </w:r>
      <w:bookmarkEnd w:id="62"/>
    </w:p>
    <w:p w14:paraId="4BF06A34" w14:textId="77777777" w:rsidR="00216644" w:rsidRPr="005D4383" w:rsidRDefault="00216644" w:rsidP="005D4383">
      <w:pPr>
        <w:autoSpaceDE w:val="0"/>
        <w:autoSpaceDN w:val="0"/>
        <w:adjustRightInd w:val="0"/>
        <w:spacing w:after="0" w:line="240" w:lineRule="auto"/>
        <w:jc w:val="center"/>
        <w:rPr>
          <w:rFonts w:ascii="Helvetica" w:eastAsia="Times New Roman" w:hAnsi="Helvetica" w:cs="Helvetica"/>
          <w:b/>
          <w:sz w:val="24"/>
          <w:szCs w:val="24"/>
          <w:lang w:val="es-ES"/>
        </w:rPr>
      </w:pPr>
    </w:p>
    <w:tbl>
      <w:tblPr>
        <w:tblW w:w="8515" w:type="dxa"/>
        <w:jc w:val="center"/>
        <w:tblCellMar>
          <w:left w:w="70" w:type="dxa"/>
          <w:right w:w="70" w:type="dxa"/>
        </w:tblCellMar>
        <w:tblLook w:val="04A0" w:firstRow="1" w:lastRow="0" w:firstColumn="1" w:lastColumn="0" w:noHBand="0" w:noVBand="1"/>
      </w:tblPr>
      <w:tblGrid>
        <w:gridCol w:w="527"/>
        <w:gridCol w:w="2996"/>
        <w:gridCol w:w="1995"/>
        <w:gridCol w:w="1995"/>
        <w:gridCol w:w="1274"/>
      </w:tblGrid>
      <w:tr w:rsidR="00216644" w:rsidRPr="003051CD" w14:paraId="1E92A265" w14:textId="77777777" w:rsidTr="00FB3DF5">
        <w:trPr>
          <w:trHeight w:val="310"/>
          <w:jc w:val="center"/>
        </w:trPr>
        <w:tc>
          <w:tcPr>
            <w:tcW w:w="643" w:type="dxa"/>
            <w:tcBorders>
              <w:top w:val="nil"/>
              <w:left w:val="nil"/>
              <w:bottom w:val="single" w:sz="12" w:space="0" w:color="FFFFFF"/>
              <w:right w:val="single" w:sz="4" w:space="0" w:color="FFFFFF"/>
            </w:tcBorders>
            <w:shd w:val="clear" w:color="4472C4" w:fill="4472C4"/>
            <w:vAlign w:val="center"/>
          </w:tcPr>
          <w:p w14:paraId="49946E37" w14:textId="2510A5B6"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2996" w:type="dxa"/>
            <w:tcBorders>
              <w:top w:val="nil"/>
              <w:left w:val="nil"/>
              <w:bottom w:val="single" w:sz="12" w:space="0" w:color="FFFFFF"/>
              <w:right w:val="single" w:sz="4" w:space="0" w:color="FFFFFF"/>
            </w:tcBorders>
            <w:shd w:val="clear" w:color="4472C4" w:fill="4472C4"/>
            <w:noWrap/>
            <w:vAlign w:val="center"/>
            <w:hideMark/>
          </w:tcPr>
          <w:p w14:paraId="01AA0FCB" w14:textId="70BACE9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848" w:type="dxa"/>
            <w:tcBorders>
              <w:top w:val="nil"/>
              <w:left w:val="nil"/>
              <w:bottom w:val="single" w:sz="12" w:space="0" w:color="FFFFFF"/>
              <w:right w:val="single" w:sz="4" w:space="0" w:color="FFFFFF"/>
            </w:tcBorders>
            <w:shd w:val="clear" w:color="4472C4" w:fill="4472C4"/>
            <w:noWrap/>
            <w:vAlign w:val="center"/>
            <w:hideMark/>
          </w:tcPr>
          <w:p w14:paraId="742C9AE9"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848" w:type="dxa"/>
            <w:tcBorders>
              <w:top w:val="nil"/>
              <w:left w:val="nil"/>
              <w:bottom w:val="single" w:sz="12" w:space="0" w:color="FFFFFF"/>
              <w:right w:val="single" w:sz="4" w:space="0" w:color="FFFFFF"/>
            </w:tcBorders>
            <w:shd w:val="clear" w:color="4472C4" w:fill="4472C4"/>
            <w:noWrap/>
            <w:vAlign w:val="center"/>
            <w:hideMark/>
          </w:tcPr>
          <w:p w14:paraId="6E3FD760"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180" w:type="dxa"/>
            <w:tcBorders>
              <w:top w:val="nil"/>
              <w:left w:val="nil"/>
              <w:bottom w:val="single" w:sz="12" w:space="0" w:color="FFFFFF"/>
              <w:right w:val="nil"/>
            </w:tcBorders>
            <w:shd w:val="clear" w:color="4472C4" w:fill="4472C4"/>
            <w:noWrap/>
            <w:vAlign w:val="center"/>
            <w:hideMark/>
          </w:tcPr>
          <w:p w14:paraId="2236777C"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21843768" w14:textId="77777777" w:rsidTr="00FB3DF5">
        <w:trPr>
          <w:trHeight w:val="310"/>
          <w:jc w:val="center"/>
        </w:trPr>
        <w:tc>
          <w:tcPr>
            <w:tcW w:w="643" w:type="dxa"/>
            <w:tcBorders>
              <w:top w:val="single" w:sz="4" w:space="0" w:color="FFFFFF"/>
              <w:left w:val="nil"/>
              <w:bottom w:val="single" w:sz="4" w:space="0" w:color="FFFFFF"/>
              <w:right w:val="single" w:sz="4" w:space="0" w:color="FFFFFF"/>
            </w:tcBorders>
            <w:shd w:val="clear" w:color="auto" w:fill="4F81BD"/>
          </w:tcPr>
          <w:p w14:paraId="020B2B6D"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996" w:type="dxa"/>
            <w:tcBorders>
              <w:top w:val="single" w:sz="4" w:space="0" w:color="FFFFFF"/>
              <w:left w:val="nil"/>
              <w:bottom w:val="single" w:sz="4" w:space="0" w:color="FFFFFF"/>
              <w:right w:val="single" w:sz="4" w:space="0" w:color="FFFFFF"/>
            </w:tcBorders>
            <w:shd w:val="clear" w:color="auto" w:fill="4F81BD"/>
            <w:noWrap/>
            <w:vAlign w:val="bottom"/>
            <w:hideMark/>
          </w:tcPr>
          <w:p w14:paraId="7A6CC811" w14:textId="5E551B7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848"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3A442A0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Q686,724,173.58</w:t>
            </w:r>
          </w:p>
        </w:tc>
        <w:tc>
          <w:tcPr>
            <w:tcW w:w="1848"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640D90D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Q332,164,339.41</w:t>
            </w:r>
          </w:p>
        </w:tc>
        <w:tc>
          <w:tcPr>
            <w:tcW w:w="1180" w:type="dxa"/>
            <w:tcBorders>
              <w:top w:val="single" w:sz="4" w:space="0" w:color="FFFFFF"/>
              <w:left w:val="single" w:sz="4" w:space="0" w:color="FFFFFF"/>
              <w:bottom w:val="single" w:sz="4" w:space="0" w:color="FFFFFF"/>
              <w:right w:val="nil"/>
            </w:tcBorders>
            <w:shd w:val="clear" w:color="B4C6E7" w:fill="FDD47F"/>
            <w:noWrap/>
            <w:vAlign w:val="bottom"/>
            <w:hideMark/>
          </w:tcPr>
          <w:p w14:paraId="777A14FD"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48.37%</w:t>
            </w:r>
          </w:p>
        </w:tc>
      </w:tr>
      <w:tr w:rsidR="00216644" w:rsidRPr="003051CD" w14:paraId="4377319F"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34F9959C" w14:textId="0AB20D4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684E503E" w14:textId="018DB8DD"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Cristóbal Cucho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F6954F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Q9,465,386.79</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6ED0D3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Q9,249,139.26</w:t>
            </w:r>
          </w:p>
        </w:tc>
        <w:tc>
          <w:tcPr>
            <w:tcW w:w="1180" w:type="dxa"/>
            <w:tcBorders>
              <w:top w:val="single" w:sz="4" w:space="0" w:color="FFFFFF"/>
              <w:left w:val="single" w:sz="4" w:space="0" w:color="FFFFFF"/>
              <w:bottom w:val="single" w:sz="4" w:space="0" w:color="FFFFFF"/>
              <w:right w:val="nil"/>
            </w:tcBorders>
            <w:shd w:val="clear" w:color="D9E1F2" w:fill="00B050"/>
            <w:noWrap/>
            <w:vAlign w:val="bottom"/>
            <w:hideMark/>
          </w:tcPr>
          <w:p w14:paraId="6F204154"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97.72%</w:t>
            </w:r>
          </w:p>
        </w:tc>
      </w:tr>
      <w:tr w:rsidR="00216644" w:rsidRPr="003051CD" w14:paraId="57365C35"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5B21C82E" w14:textId="6BB47F03"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4EB76F36" w14:textId="65ED494C"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Rafael Pie de la Cuesta</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E324B4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Q21,364,722.00</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A7EA26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Q20,517,728.00</w:t>
            </w:r>
          </w:p>
        </w:tc>
        <w:tc>
          <w:tcPr>
            <w:tcW w:w="1180" w:type="dxa"/>
            <w:tcBorders>
              <w:top w:val="single" w:sz="4" w:space="0" w:color="FFFFFF"/>
              <w:left w:val="single" w:sz="4" w:space="0" w:color="FFFFFF"/>
              <w:bottom w:val="single" w:sz="4" w:space="0" w:color="FFFFFF"/>
              <w:right w:val="nil"/>
            </w:tcBorders>
            <w:shd w:val="clear" w:color="B4C6E7" w:fill="0BB353"/>
            <w:noWrap/>
            <w:vAlign w:val="bottom"/>
            <w:hideMark/>
          </w:tcPr>
          <w:p w14:paraId="072951D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96.04%</w:t>
            </w:r>
          </w:p>
        </w:tc>
      </w:tr>
      <w:tr w:rsidR="00216644" w:rsidRPr="003051CD" w14:paraId="4131F9C3"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16BB54DF" w14:textId="0679799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5B7C3DAF" w14:textId="3A096D85"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Esquipulas Palo Gordo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8575A0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Q15,924,967.03</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A24ED1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Q14,137,266.67</w:t>
            </w:r>
          </w:p>
        </w:tc>
        <w:tc>
          <w:tcPr>
            <w:tcW w:w="1180" w:type="dxa"/>
            <w:tcBorders>
              <w:top w:val="single" w:sz="4" w:space="0" w:color="FFFFFF"/>
              <w:left w:val="single" w:sz="4" w:space="0" w:color="FFFFFF"/>
              <w:bottom w:val="single" w:sz="4" w:space="0" w:color="FFFFFF"/>
              <w:right w:val="nil"/>
            </w:tcBorders>
            <w:shd w:val="clear" w:color="D9E1F2" w:fill="3BBE5C"/>
            <w:noWrap/>
            <w:vAlign w:val="bottom"/>
            <w:hideMark/>
          </w:tcPr>
          <w:p w14:paraId="55A8A0E9"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88.77%</w:t>
            </w:r>
          </w:p>
        </w:tc>
      </w:tr>
      <w:tr w:rsidR="00216644" w:rsidRPr="003051CD" w14:paraId="7611C53A"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256A8737" w14:textId="7D3A9E7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354795FE" w14:textId="2BB3A26A"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Reforma</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651F72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Q11,070,514.00</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1848B9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Q9,454,268.00</w:t>
            </w:r>
          </w:p>
        </w:tc>
        <w:tc>
          <w:tcPr>
            <w:tcW w:w="1180" w:type="dxa"/>
            <w:tcBorders>
              <w:top w:val="single" w:sz="4" w:space="0" w:color="FFFFFF"/>
              <w:left w:val="single" w:sz="4" w:space="0" w:color="FFFFFF"/>
              <w:bottom w:val="single" w:sz="4" w:space="0" w:color="FFFFFF"/>
              <w:right w:val="nil"/>
            </w:tcBorders>
            <w:shd w:val="clear" w:color="B4C6E7" w:fill="51C361"/>
            <w:noWrap/>
            <w:vAlign w:val="bottom"/>
            <w:hideMark/>
          </w:tcPr>
          <w:p w14:paraId="34ECA8B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85.40%</w:t>
            </w:r>
          </w:p>
        </w:tc>
      </w:tr>
      <w:tr w:rsidR="00216644" w:rsidRPr="003051CD" w14:paraId="43DEC3A5"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4D5BBFD7" w14:textId="4CDD80A3"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22C84439" w14:textId="02D20022"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Rio Blanco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7EE05D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Q28,902,660.51</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161E4D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Q23,565,885.61</w:t>
            </w:r>
          </w:p>
        </w:tc>
        <w:tc>
          <w:tcPr>
            <w:tcW w:w="1180" w:type="dxa"/>
            <w:tcBorders>
              <w:top w:val="single" w:sz="4" w:space="0" w:color="FFFFFF"/>
              <w:left w:val="single" w:sz="4" w:space="0" w:color="FFFFFF"/>
              <w:bottom w:val="single" w:sz="4" w:space="0" w:color="FFFFFF"/>
              <w:right w:val="nil"/>
            </w:tcBorders>
            <w:shd w:val="clear" w:color="D9E1F2" w:fill="6AC966"/>
            <w:noWrap/>
            <w:vAlign w:val="bottom"/>
            <w:hideMark/>
          </w:tcPr>
          <w:p w14:paraId="2395C62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81.54%</w:t>
            </w:r>
          </w:p>
        </w:tc>
      </w:tr>
      <w:tr w:rsidR="00216644" w:rsidRPr="003051CD" w14:paraId="2C893642"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238D02D3" w14:textId="689CC58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5404663F" w14:textId="53DB6A62"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Sibinal</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7D3643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Q25,082,792.16</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3B7757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Q18,731,100.57</w:t>
            </w:r>
          </w:p>
        </w:tc>
        <w:tc>
          <w:tcPr>
            <w:tcW w:w="1180" w:type="dxa"/>
            <w:tcBorders>
              <w:top w:val="single" w:sz="4" w:space="0" w:color="FFFFFF"/>
              <w:left w:val="single" w:sz="4" w:space="0" w:color="FFFFFF"/>
              <w:bottom w:val="single" w:sz="4" w:space="0" w:color="FFFFFF"/>
              <w:right w:val="nil"/>
            </w:tcBorders>
            <w:shd w:val="clear" w:color="B4C6E7" w:fill="97D36F"/>
            <w:noWrap/>
            <w:vAlign w:val="bottom"/>
            <w:hideMark/>
          </w:tcPr>
          <w:p w14:paraId="0021D23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74.68%</w:t>
            </w:r>
          </w:p>
        </w:tc>
      </w:tr>
      <w:tr w:rsidR="00216644" w:rsidRPr="003051CD" w14:paraId="543DFF66"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15B2642C" w14:textId="6153B85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26F34C02" w14:textId="73B22E98"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Rodeo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EB7BC4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Q16,025,176.49</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9BE913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Q11,216,568.88</w:t>
            </w:r>
          </w:p>
        </w:tc>
        <w:tc>
          <w:tcPr>
            <w:tcW w:w="1180" w:type="dxa"/>
            <w:tcBorders>
              <w:top w:val="single" w:sz="4" w:space="0" w:color="FFFFFF"/>
              <w:left w:val="single" w:sz="4" w:space="0" w:color="FFFFFF"/>
              <w:bottom w:val="single" w:sz="4" w:space="0" w:color="FFFFFF"/>
              <w:right w:val="nil"/>
            </w:tcBorders>
            <w:shd w:val="clear" w:color="D9E1F2" w:fill="B5DA75"/>
            <w:noWrap/>
            <w:vAlign w:val="bottom"/>
            <w:hideMark/>
          </w:tcPr>
          <w:p w14:paraId="2ED59EE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69.99%</w:t>
            </w:r>
          </w:p>
        </w:tc>
      </w:tr>
      <w:tr w:rsidR="00216644" w:rsidRPr="003051CD" w14:paraId="40B41299"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2A7A1D43" w14:textId="63D3E70D"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697BD314" w14:textId="77B9B5A3"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Ocós</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E5D9D1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Q18,780,676.55</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860CB6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Q11,723,923.01</w:t>
            </w:r>
          </w:p>
        </w:tc>
        <w:tc>
          <w:tcPr>
            <w:tcW w:w="1180" w:type="dxa"/>
            <w:tcBorders>
              <w:top w:val="single" w:sz="4" w:space="0" w:color="FFFFFF"/>
              <w:left w:val="single" w:sz="4" w:space="0" w:color="FFFFFF"/>
              <w:bottom w:val="single" w:sz="4" w:space="0" w:color="FFFFFF"/>
              <w:right w:val="nil"/>
            </w:tcBorders>
            <w:shd w:val="clear" w:color="B4C6E7" w:fill="E7E67F"/>
            <w:noWrap/>
            <w:vAlign w:val="bottom"/>
            <w:hideMark/>
          </w:tcPr>
          <w:p w14:paraId="346924C3"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62.43%</w:t>
            </w:r>
          </w:p>
        </w:tc>
      </w:tr>
      <w:tr w:rsidR="00216644" w:rsidRPr="003051CD" w14:paraId="3DC1813D"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77E604A9" w14:textId="5353CAD1"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573A558B" w14:textId="29C14E4F"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Quetzal</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3F086C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Q10,568,935.00</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D6FF6A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Q6,118,629.16</w:t>
            </w:r>
          </w:p>
        </w:tc>
        <w:tc>
          <w:tcPr>
            <w:tcW w:w="1180" w:type="dxa"/>
            <w:tcBorders>
              <w:top w:val="single" w:sz="4" w:space="0" w:color="FFFFFF"/>
              <w:left w:val="single" w:sz="4" w:space="0" w:color="FFFFFF"/>
              <w:bottom w:val="single" w:sz="4" w:space="0" w:color="FFFFFF"/>
              <w:right w:val="nil"/>
            </w:tcBorders>
            <w:shd w:val="clear" w:color="D9E1F2" w:fill="FEE983"/>
            <w:noWrap/>
            <w:vAlign w:val="bottom"/>
            <w:hideMark/>
          </w:tcPr>
          <w:p w14:paraId="7B566DD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57.89%</w:t>
            </w:r>
          </w:p>
        </w:tc>
      </w:tr>
      <w:tr w:rsidR="00216644" w:rsidRPr="003051CD" w14:paraId="05D43ED6"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1A593A09" w14:textId="0A354AD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4387E5CA" w14:textId="4E4DD10A"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Sipacapa</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F874E0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Q26,035,088.05</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4CA102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Q14,820,466.13</w:t>
            </w:r>
          </w:p>
        </w:tc>
        <w:tc>
          <w:tcPr>
            <w:tcW w:w="1180" w:type="dxa"/>
            <w:tcBorders>
              <w:top w:val="single" w:sz="4" w:space="0" w:color="FFFFFF"/>
              <w:left w:val="single" w:sz="4" w:space="0" w:color="FFFFFF"/>
              <w:bottom w:val="single" w:sz="4" w:space="0" w:color="FFFFFF"/>
              <w:right w:val="nil"/>
            </w:tcBorders>
            <w:shd w:val="clear" w:color="B4C6E7" w:fill="FEE783"/>
            <w:noWrap/>
            <w:vAlign w:val="bottom"/>
            <w:hideMark/>
          </w:tcPr>
          <w:p w14:paraId="26D99FCD"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56.92%</w:t>
            </w:r>
          </w:p>
        </w:tc>
      </w:tr>
      <w:tr w:rsidR="00216644" w:rsidRPr="003051CD" w14:paraId="261F4823"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5E928D07" w14:textId="3800511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3A7B5688" w14:textId="6C143718"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Lorenzo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8B3817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Q22,965,838.59</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97B695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Q12,915,105.42</w:t>
            </w:r>
          </w:p>
        </w:tc>
        <w:tc>
          <w:tcPr>
            <w:tcW w:w="1180" w:type="dxa"/>
            <w:tcBorders>
              <w:top w:val="single" w:sz="4" w:space="0" w:color="FFFFFF"/>
              <w:left w:val="single" w:sz="4" w:space="0" w:color="FFFFFF"/>
              <w:bottom w:val="single" w:sz="4" w:space="0" w:color="FFFFFF"/>
              <w:right w:val="nil"/>
            </w:tcBorders>
            <w:shd w:val="clear" w:color="D9E1F2" w:fill="FEE582"/>
            <w:noWrap/>
            <w:vAlign w:val="bottom"/>
            <w:hideMark/>
          </w:tcPr>
          <w:p w14:paraId="5E84C24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56.24%</w:t>
            </w:r>
          </w:p>
        </w:tc>
      </w:tr>
      <w:tr w:rsidR="00216644" w:rsidRPr="003051CD" w14:paraId="3508EACF"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25E8BF1A" w14:textId="01C9DD0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191F2EB9" w14:textId="37392261"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Miguel Ixtahuacán</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C50380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Q18,055,359.45</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C82A06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Q9,730,560.27</w:t>
            </w:r>
          </w:p>
        </w:tc>
        <w:tc>
          <w:tcPr>
            <w:tcW w:w="1180" w:type="dxa"/>
            <w:tcBorders>
              <w:top w:val="single" w:sz="4" w:space="0" w:color="FFFFFF"/>
              <w:left w:val="single" w:sz="4" w:space="0" w:color="FFFFFF"/>
              <w:bottom w:val="single" w:sz="4" w:space="0" w:color="FFFFFF"/>
              <w:right w:val="nil"/>
            </w:tcBorders>
            <w:shd w:val="clear" w:color="B4C6E7" w:fill="FEE081"/>
            <w:noWrap/>
            <w:vAlign w:val="bottom"/>
            <w:hideMark/>
          </w:tcPr>
          <w:p w14:paraId="0A4FDE1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53.89%</w:t>
            </w:r>
          </w:p>
        </w:tc>
      </w:tr>
      <w:tr w:rsidR="00216644" w:rsidRPr="003051CD" w14:paraId="78F710DC"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0481F0A1" w14:textId="534EB82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3224CCBC" w14:textId="6CF81671"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Comitancillo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8CF115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Q41,837,868.41</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AD9875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Q21,852,125.58</w:t>
            </w:r>
          </w:p>
        </w:tc>
        <w:tc>
          <w:tcPr>
            <w:tcW w:w="1180" w:type="dxa"/>
            <w:tcBorders>
              <w:top w:val="single" w:sz="4" w:space="0" w:color="FFFFFF"/>
              <w:left w:val="single" w:sz="4" w:space="0" w:color="FFFFFF"/>
              <w:bottom w:val="single" w:sz="4" w:space="0" w:color="FFFFFF"/>
              <w:right w:val="nil"/>
            </w:tcBorders>
            <w:shd w:val="clear" w:color="D9E1F2" w:fill="FEDC81"/>
            <w:noWrap/>
            <w:vAlign w:val="bottom"/>
            <w:hideMark/>
          </w:tcPr>
          <w:p w14:paraId="162A89D9"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52.23%</w:t>
            </w:r>
          </w:p>
        </w:tc>
      </w:tr>
      <w:tr w:rsidR="00216644" w:rsidRPr="003051CD" w14:paraId="4A4B01ED"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76E06EFC" w14:textId="2E818CE3"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394ECF9E" w14:textId="07F90278"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Pablo</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F7FB87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Q26,486,365.92</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1D38AF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Q13,376,140.79</w:t>
            </w:r>
          </w:p>
        </w:tc>
        <w:tc>
          <w:tcPr>
            <w:tcW w:w="1180" w:type="dxa"/>
            <w:tcBorders>
              <w:top w:val="single" w:sz="4" w:space="0" w:color="FFFFFF"/>
              <w:left w:val="single" w:sz="4" w:space="0" w:color="FFFFFF"/>
              <w:bottom w:val="single" w:sz="4" w:space="0" w:color="FFFFFF"/>
              <w:right w:val="nil"/>
            </w:tcBorders>
            <w:shd w:val="clear" w:color="B4C6E7" w:fill="FED880"/>
            <w:noWrap/>
            <w:vAlign w:val="bottom"/>
            <w:hideMark/>
          </w:tcPr>
          <w:p w14:paraId="2B85E26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50.50%</w:t>
            </w:r>
          </w:p>
        </w:tc>
      </w:tr>
      <w:tr w:rsidR="00216644" w:rsidRPr="003051CD" w14:paraId="4EE417EC"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1FC20372" w14:textId="0A2F0AA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3A95CBA5" w14:textId="1B0EBEFF"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Tajumulco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FB25E0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Q35,812,595.25</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8CDC0E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Q17,652,324.50</w:t>
            </w:r>
          </w:p>
        </w:tc>
        <w:tc>
          <w:tcPr>
            <w:tcW w:w="1180" w:type="dxa"/>
            <w:tcBorders>
              <w:top w:val="single" w:sz="4" w:space="0" w:color="FFFFFF"/>
              <w:left w:val="single" w:sz="4" w:space="0" w:color="FFFFFF"/>
              <w:bottom w:val="single" w:sz="4" w:space="0" w:color="FFFFFF"/>
              <w:right w:val="nil"/>
            </w:tcBorders>
            <w:shd w:val="clear" w:color="D9E1F2" w:fill="FDD680"/>
            <w:noWrap/>
            <w:vAlign w:val="bottom"/>
            <w:hideMark/>
          </w:tcPr>
          <w:p w14:paraId="286F3F8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49.29%</w:t>
            </w:r>
          </w:p>
        </w:tc>
      </w:tr>
      <w:tr w:rsidR="00216644" w:rsidRPr="003051CD" w14:paraId="190039E2"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4CF9346F" w14:textId="33FAFBA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1F768D55" w14:textId="710AF8D7"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Ixchiguán</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218AC2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Q26,403,637.53</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79034F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Q12,026,787.63</w:t>
            </w:r>
          </w:p>
        </w:tc>
        <w:tc>
          <w:tcPr>
            <w:tcW w:w="1180" w:type="dxa"/>
            <w:tcBorders>
              <w:top w:val="single" w:sz="4" w:space="0" w:color="FFFFFF"/>
              <w:left w:val="single" w:sz="4" w:space="0" w:color="FFFFFF"/>
              <w:bottom w:val="single" w:sz="4" w:space="0" w:color="FFFFFF"/>
              <w:right w:val="nil"/>
            </w:tcBorders>
            <w:shd w:val="clear" w:color="B4C6E7" w:fill="FDCD7E"/>
            <w:noWrap/>
            <w:vAlign w:val="bottom"/>
            <w:hideMark/>
          </w:tcPr>
          <w:p w14:paraId="624C024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45.55%</w:t>
            </w:r>
          </w:p>
        </w:tc>
      </w:tr>
      <w:tr w:rsidR="00216644" w:rsidRPr="003051CD" w14:paraId="1982452D"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0D80EE73" w14:textId="6483FA9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38B94FA5" w14:textId="0F5D688F"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Pajapita</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8313DC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Q17,970,985.88</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41C47D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Q7,935,184.21</w:t>
            </w:r>
          </w:p>
        </w:tc>
        <w:tc>
          <w:tcPr>
            <w:tcW w:w="1180" w:type="dxa"/>
            <w:tcBorders>
              <w:top w:val="single" w:sz="4" w:space="0" w:color="FFFFFF"/>
              <w:left w:val="single" w:sz="4" w:space="0" w:color="FFFFFF"/>
              <w:bottom w:val="single" w:sz="4" w:space="0" w:color="FFFFFF"/>
              <w:right w:val="nil"/>
            </w:tcBorders>
            <w:shd w:val="clear" w:color="D9E1F2" w:fill="FDCA7D"/>
            <w:noWrap/>
            <w:vAlign w:val="bottom"/>
            <w:hideMark/>
          </w:tcPr>
          <w:p w14:paraId="5BFD250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44.16%</w:t>
            </w:r>
          </w:p>
        </w:tc>
      </w:tr>
      <w:tr w:rsidR="00216644" w:rsidRPr="003051CD" w14:paraId="40BD5077"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42220321" w14:textId="1A44524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18</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35A49BB3" w14:textId="2648639B"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Ojetenam</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6F5FF6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Q15,850,875.00</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6535F3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Q6,554,713.12</w:t>
            </w:r>
          </w:p>
        </w:tc>
        <w:tc>
          <w:tcPr>
            <w:tcW w:w="1180" w:type="dxa"/>
            <w:tcBorders>
              <w:top w:val="single" w:sz="4" w:space="0" w:color="FFFFFF"/>
              <w:left w:val="single" w:sz="4" w:space="0" w:color="FFFFFF"/>
              <w:bottom w:val="single" w:sz="4" w:space="0" w:color="FFFFFF"/>
              <w:right w:val="nil"/>
            </w:tcBorders>
            <w:shd w:val="clear" w:color="B4C6E7" w:fill="FCC47C"/>
            <w:noWrap/>
            <w:vAlign w:val="bottom"/>
            <w:hideMark/>
          </w:tcPr>
          <w:p w14:paraId="6779A50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41.35%</w:t>
            </w:r>
          </w:p>
        </w:tc>
      </w:tr>
      <w:tr w:rsidR="00216644" w:rsidRPr="003051CD" w14:paraId="467DAB8A"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5CB61968" w14:textId="159ED591"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19</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39C4CB49" w14:textId="2DDEF051"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Tejutla</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DB7722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Q34,959,309.34</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1A2483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Q14,408,121.22</w:t>
            </w:r>
          </w:p>
        </w:tc>
        <w:tc>
          <w:tcPr>
            <w:tcW w:w="1180" w:type="dxa"/>
            <w:tcBorders>
              <w:top w:val="single" w:sz="4" w:space="0" w:color="FFFFFF"/>
              <w:left w:val="single" w:sz="4" w:space="0" w:color="FFFFFF"/>
              <w:bottom w:val="single" w:sz="4" w:space="0" w:color="FFFFFF"/>
              <w:right w:val="nil"/>
            </w:tcBorders>
            <w:shd w:val="clear" w:color="D9E1F2" w:fill="FCC47C"/>
            <w:noWrap/>
            <w:vAlign w:val="bottom"/>
            <w:hideMark/>
          </w:tcPr>
          <w:p w14:paraId="19B81801"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41.21%</w:t>
            </w:r>
          </w:p>
        </w:tc>
      </w:tr>
      <w:tr w:rsidR="00216644" w:rsidRPr="003051CD" w14:paraId="0EDB81F6"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1321AE3E" w14:textId="3E68541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20</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5E2AAA6B" w14:textId="50F99DA5"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Pedro Sacatepéquez</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5D8AA2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Q70,170,059.35</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405825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Q24,871,005.89</w:t>
            </w:r>
          </w:p>
        </w:tc>
        <w:tc>
          <w:tcPr>
            <w:tcW w:w="1180" w:type="dxa"/>
            <w:tcBorders>
              <w:top w:val="single" w:sz="4" w:space="0" w:color="FFFFFF"/>
              <w:left w:val="single" w:sz="4" w:space="0" w:color="FFFFFF"/>
              <w:bottom w:val="single" w:sz="4" w:space="0" w:color="FFFFFF"/>
              <w:right w:val="nil"/>
            </w:tcBorders>
            <w:shd w:val="clear" w:color="B4C6E7" w:fill="FCB77A"/>
            <w:noWrap/>
            <w:vAlign w:val="bottom"/>
            <w:hideMark/>
          </w:tcPr>
          <w:p w14:paraId="62666FC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35.44%</w:t>
            </w:r>
          </w:p>
        </w:tc>
      </w:tr>
      <w:tr w:rsidR="00216644" w:rsidRPr="003051CD" w14:paraId="46077220"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6B46AE6D" w14:textId="1F526F3C"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21</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16156B39" w14:textId="0E263833"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Antonio Sacatepéquez</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EBF2DA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Q16,916,030.54</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747C94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Q5,529,486.85</w:t>
            </w:r>
          </w:p>
        </w:tc>
        <w:tc>
          <w:tcPr>
            <w:tcW w:w="1180" w:type="dxa"/>
            <w:tcBorders>
              <w:top w:val="single" w:sz="4" w:space="0" w:color="FFFFFF"/>
              <w:left w:val="single" w:sz="4" w:space="0" w:color="FFFFFF"/>
              <w:bottom w:val="single" w:sz="4" w:space="0" w:color="FFFFFF"/>
              <w:right w:val="nil"/>
            </w:tcBorders>
            <w:shd w:val="clear" w:color="D9E1F2" w:fill="FBB178"/>
            <w:noWrap/>
            <w:vAlign w:val="bottom"/>
            <w:hideMark/>
          </w:tcPr>
          <w:p w14:paraId="380229B9"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32.69%</w:t>
            </w:r>
          </w:p>
        </w:tc>
      </w:tr>
      <w:tr w:rsidR="00216644" w:rsidRPr="003051CD" w14:paraId="7B084280"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0A3DCB09" w14:textId="7309B3A3"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22</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26B22040" w14:textId="119E8AC1"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Catarina</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A8BFCF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Q17,372,321.77</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77333D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Q5,273,658.02</w:t>
            </w:r>
          </w:p>
        </w:tc>
        <w:tc>
          <w:tcPr>
            <w:tcW w:w="1180" w:type="dxa"/>
            <w:tcBorders>
              <w:top w:val="single" w:sz="4" w:space="0" w:color="FFFFFF"/>
              <w:left w:val="single" w:sz="4" w:space="0" w:color="FFFFFF"/>
              <w:bottom w:val="single" w:sz="4" w:space="0" w:color="FFFFFF"/>
              <w:right w:val="nil"/>
            </w:tcBorders>
            <w:shd w:val="clear" w:color="B4C6E7" w:fill="FBAC77"/>
            <w:noWrap/>
            <w:vAlign w:val="bottom"/>
            <w:hideMark/>
          </w:tcPr>
          <w:p w14:paraId="6997AE5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30.36%</w:t>
            </w:r>
          </w:p>
        </w:tc>
      </w:tr>
      <w:tr w:rsidR="00216644" w:rsidRPr="003051CD" w14:paraId="758714C0"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218F25A8" w14:textId="0C26FB63"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23</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06EC3538" w14:textId="7FA2BF3B"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Marcos</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EC25D9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Q33,742,581.42</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18E39A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Q8,744,316.23</w:t>
            </w:r>
          </w:p>
        </w:tc>
        <w:tc>
          <w:tcPr>
            <w:tcW w:w="1180" w:type="dxa"/>
            <w:tcBorders>
              <w:top w:val="single" w:sz="4" w:space="0" w:color="FFFFFF"/>
              <w:left w:val="single" w:sz="4" w:space="0" w:color="FFFFFF"/>
              <w:bottom w:val="single" w:sz="4" w:space="0" w:color="FFFFFF"/>
              <w:right w:val="nil"/>
            </w:tcBorders>
            <w:shd w:val="clear" w:color="D9E1F2" w:fill="FBA276"/>
            <w:noWrap/>
            <w:vAlign w:val="bottom"/>
            <w:hideMark/>
          </w:tcPr>
          <w:p w14:paraId="7847CCC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25.91%</w:t>
            </w:r>
          </w:p>
        </w:tc>
      </w:tr>
      <w:tr w:rsidR="00216644" w:rsidRPr="003051CD" w14:paraId="09C4AE0A"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3F2FFC57" w14:textId="210B3C7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24</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5A3407B4" w14:textId="3AD4D6DE"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Tacan</w:t>
            </w:r>
            <w:r w:rsidR="009F235F">
              <w:rPr>
                <w:rFonts w:ascii="Helvetica" w:eastAsia="Times New Roman" w:hAnsi="Helvetica" w:cs="Helvetica"/>
                <w:sz w:val="24"/>
                <w:szCs w:val="24"/>
                <w:lang w:val="es-ES"/>
              </w:rPr>
              <w:t>á</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9186B4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Q83,451,300.45</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8D7F89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Q21,470,015.91</w:t>
            </w:r>
          </w:p>
        </w:tc>
        <w:tc>
          <w:tcPr>
            <w:tcW w:w="1180" w:type="dxa"/>
            <w:tcBorders>
              <w:top w:val="single" w:sz="4" w:space="0" w:color="FFFFFF"/>
              <w:left w:val="single" w:sz="4" w:space="0" w:color="FFFFFF"/>
              <w:bottom w:val="single" w:sz="4" w:space="0" w:color="FFFFFF"/>
              <w:right w:val="nil"/>
            </w:tcBorders>
            <w:shd w:val="clear" w:color="B4C6E7" w:fill="FBA275"/>
            <w:noWrap/>
            <w:vAlign w:val="bottom"/>
            <w:hideMark/>
          </w:tcPr>
          <w:p w14:paraId="7069112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25.73%</w:t>
            </w:r>
          </w:p>
        </w:tc>
      </w:tr>
      <w:tr w:rsidR="00216644" w:rsidRPr="003051CD" w14:paraId="49C8AF17"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581B83A8" w14:textId="106507E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25</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59555C38" w14:textId="2EF069E7"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Nuevo Progreso</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ABFBF1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Q15,341,444.32</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9129AA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Q3,927,711.51</w:t>
            </w:r>
          </w:p>
        </w:tc>
        <w:tc>
          <w:tcPr>
            <w:tcW w:w="1180" w:type="dxa"/>
            <w:tcBorders>
              <w:top w:val="single" w:sz="4" w:space="0" w:color="FFFFFF"/>
              <w:left w:val="single" w:sz="4" w:space="0" w:color="FFFFFF"/>
              <w:bottom w:val="single" w:sz="4" w:space="0" w:color="FFFFFF"/>
              <w:right w:val="nil"/>
            </w:tcBorders>
            <w:shd w:val="clear" w:color="D9E1F2" w:fill="FBA175"/>
            <w:noWrap/>
            <w:vAlign w:val="bottom"/>
            <w:hideMark/>
          </w:tcPr>
          <w:p w14:paraId="09C4464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25.60%</w:t>
            </w:r>
          </w:p>
        </w:tc>
      </w:tr>
      <w:tr w:rsidR="00216644" w:rsidRPr="003051CD" w14:paraId="00C1E595"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56D749D2" w14:textId="59C01D5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26</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32F1E005" w14:textId="32969B79"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Blanca</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42BF16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Q26,166,681.78</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4D941E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Q6,362,106.97</w:t>
            </w:r>
          </w:p>
        </w:tc>
        <w:tc>
          <w:tcPr>
            <w:tcW w:w="1180" w:type="dxa"/>
            <w:tcBorders>
              <w:top w:val="single" w:sz="4" w:space="0" w:color="FFFFFF"/>
              <w:left w:val="single" w:sz="4" w:space="0" w:color="FFFFFF"/>
              <w:bottom w:val="single" w:sz="4" w:space="0" w:color="FFFFFF"/>
              <w:right w:val="nil"/>
            </w:tcBorders>
            <w:shd w:val="clear" w:color="B4C6E7" w:fill="FA9E75"/>
            <w:noWrap/>
            <w:vAlign w:val="bottom"/>
            <w:hideMark/>
          </w:tcPr>
          <w:p w14:paraId="3DC319C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24.31%</w:t>
            </w:r>
          </w:p>
        </w:tc>
      </w:tr>
      <w:tr w:rsidR="00216644" w:rsidRPr="003051CD" w14:paraId="730FB778"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27B78278" w14:textId="2EA196E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27</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29912E44" w14:textId="1C37E777"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Ayutla</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1A8B5D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054642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80" w:type="dxa"/>
            <w:tcBorders>
              <w:top w:val="single" w:sz="4" w:space="0" w:color="FFFFFF"/>
              <w:left w:val="single" w:sz="4" w:space="0" w:color="FFFFFF"/>
              <w:bottom w:val="single" w:sz="4" w:space="0" w:color="FFFFFF"/>
              <w:right w:val="nil"/>
            </w:tcBorders>
            <w:shd w:val="clear" w:color="D9E1F2" w:fill="F8696B"/>
            <w:noWrap/>
            <w:vAlign w:val="bottom"/>
            <w:hideMark/>
          </w:tcPr>
          <w:p w14:paraId="40936ED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3D21DD60"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B4C6E7" w:fill="B4C6E7"/>
          </w:tcPr>
          <w:p w14:paraId="2E858373" w14:textId="5E1E521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28</w:t>
            </w:r>
          </w:p>
        </w:tc>
        <w:tc>
          <w:tcPr>
            <w:tcW w:w="2996" w:type="dxa"/>
            <w:tcBorders>
              <w:top w:val="single" w:sz="4" w:space="0" w:color="FFFFFF"/>
              <w:left w:val="nil"/>
              <w:bottom w:val="single" w:sz="4" w:space="0" w:color="FFFFFF"/>
              <w:right w:val="single" w:sz="4" w:space="0" w:color="FFFFFF"/>
            </w:tcBorders>
            <w:shd w:val="clear" w:color="B4C6E7" w:fill="B4C6E7"/>
            <w:noWrap/>
            <w:vAlign w:val="bottom"/>
            <w:hideMark/>
          </w:tcPr>
          <w:p w14:paraId="3CFE79DE" w14:textId="4614FEF3" w:rsidR="00216644" w:rsidRPr="003051CD" w:rsidRDefault="00216644" w:rsidP="00FB3DF5">
            <w:pPr>
              <w:autoSpaceDE w:val="0"/>
              <w:autoSpaceDN w:val="0"/>
              <w:adjustRightInd w:val="0"/>
              <w:spacing w:after="0" w:line="240" w:lineRule="auto"/>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Concepción Tutuapa</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9961C7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48"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ECF649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80" w:type="dxa"/>
            <w:tcBorders>
              <w:top w:val="single" w:sz="4" w:space="0" w:color="FFFFFF"/>
              <w:left w:val="single" w:sz="4" w:space="0" w:color="FFFFFF"/>
              <w:bottom w:val="single" w:sz="4" w:space="0" w:color="FFFFFF"/>
              <w:right w:val="nil"/>
            </w:tcBorders>
            <w:shd w:val="clear" w:color="B4C6E7" w:fill="F8696B"/>
            <w:noWrap/>
            <w:vAlign w:val="bottom"/>
            <w:hideMark/>
          </w:tcPr>
          <w:p w14:paraId="5551C5E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ADF35C6" w14:textId="77777777" w:rsidTr="00FB3DF5">
        <w:trPr>
          <w:trHeight w:val="296"/>
          <w:jc w:val="center"/>
        </w:trPr>
        <w:tc>
          <w:tcPr>
            <w:tcW w:w="643" w:type="dxa"/>
            <w:tcBorders>
              <w:top w:val="single" w:sz="4" w:space="0" w:color="FFFFFF"/>
              <w:left w:val="nil"/>
              <w:bottom w:val="single" w:sz="4" w:space="0" w:color="FFFFFF"/>
              <w:right w:val="single" w:sz="4" w:space="0" w:color="FFFFFF"/>
            </w:tcBorders>
            <w:shd w:val="clear" w:color="D9E1F2" w:fill="D9E1F2"/>
          </w:tcPr>
          <w:p w14:paraId="3F8D5429" w14:textId="2C95587C"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29</w:t>
            </w:r>
          </w:p>
        </w:tc>
        <w:tc>
          <w:tcPr>
            <w:tcW w:w="2996" w:type="dxa"/>
            <w:tcBorders>
              <w:top w:val="single" w:sz="4" w:space="0" w:color="FFFFFF"/>
              <w:left w:val="nil"/>
              <w:bottom w:val="single" w:sz="4" w:space="0" w:color="FFFFFF"/>
              <w:right w:val="single" w:sz="4" w:space="0" w:color="FFFFFF"/>
            </w:tcBorders>
            <w:shd w:val="clear" w:color="D9E1F2" w:fill="D9E1F2"/>
            <w:noWrap/>
            <w:vAlign w:val="bottom"/>
            <w:hideMark/>
          </w:tcPr>
          <w:p w14:paraId="57367707" w14:textId="53109E1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Tumbador</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F81288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48"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8FB91F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80" w:type="dxa"/>
            <w:tcBorders>
              <w:top w:val="single" w:sz="4" w:space="0" w:color="FFFFFF"/>
              <w:left w:val="single" w:sz="4" w:space="0" w:color="FFFFFF"/>
              <w:bottom w:val="single" w:sz="4" w:space="0" w:color="FFFFFF"/>
              <w:right w:val="nil"/>
            </w:tcBorders>
            <w:shd w:val="clear" w:color="D9E1F2" w:fill="F8696B"/>
            <w:noWrap/>
            <w:vAlign w:val="bottom"/>
            <w:hideMark/>
          </w:tcPr>
          <w:p w14:paraId="661C686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7C8F5A41" w14:textId="77777777" w:rsidTr="00FB3DF5">
        <w:trPr>
          <w:trHeight w:val="296"/>
          <w:jc w:val="center"/>
        </w:trPr>
        <w:tc>
          <w:tcPr>
            <w:tcW w:w="643" w:type="dxa"/>
            <w:tcBorders>
              <w:top w:val="single" w:sz="4" w:space="0" w:color="FFFFFF"/>
              <w:left w:val="nil"/>
              <w:bottom w:val="nil"/>
              <w:right w:val="single" w:sz="4" w:space="0" w:color="FFFFFF"/>
            </w:tcBorders>
            <w:shd w:val="clear" w:color="B4C6E7" w:fill="B4C6E7"/>
          </w:tcPr>
          <w:p w14:paraId="2AC1435A" w14:textId="078D2DA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30</w:t>
            </w:r>
          </w:p>
        </w:tc>
        <w:tc>
          <w:tcPr>
            <w:tcW w:w="2996" w:type="dxa"/>
            <w:tcBorders>
              <w:top w:val="single" w:sz="4" w:space="0" w:color="FFFFFF"/>
              <w:left w:val="nil"/>
              <w:bottom w:val="nil"/>
              <w:right w:val="single" w:sz="4" w:space="0" w:color="FFFFFF"/>
            </w:tcBorders>
            <w:shd w:val="clear" w:color="B4C6E7" w:fill="B4C6E7"/>
            <w:noWrap/>
            <w:vAlign w:val="bottom"/>
            <w:hideMark/>
          </w:tcPr>
          <w:p w14:paraId="101EE9C3" w14:textId="2BE27C2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Malacatán</w:t>
            </w:r>
          </w:p>
        </w:tc>
        <w:tc>
          <w:tcPr>
            <w:tcW w:w="1848" w:type="dxa"/>
            <w:tcBorders>
              <w:top w:val="single" w:sz="4" w:space="0" w:color="FFFFFF"/>
              <w:left w:val="single" w:sz="4" w:space="0" w:color="FFFFFF"/>
              <w:bottom w:val="nil"/>
              <w:right w:val="single" w:sz="4" w:space="0" w:color="FFFFFF"/>
            </w:tcBorders>
            <w:shd w:val="clear" w:color="B4C6E7" w:fill="B4C6E7"/>
            <w:noWrap/>
            <w:vAlign w:val="bottom"/>
            <w:hideMark/>
          </w:tcPr>
          <w:p w14:paraId="0CFAA8F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848" w:type="dxa"/>
            <w:tcBorders>
              <w:top w:val="single" w:sz="4" w:space="0" w:color="FFFFFF"/>
              <w:left w:val="single" w:sz="4" w:space="0" w:color="FFFFFF"/>
              <w:bottom w:val="nil"/>
              <w:right w:val="single" w:sz="4" w:space="0" w:color="FFFFFF"/>
            </w:tcBorders>
            <w:shd w:val="clear" w:color="B4C6E7" w:fill="B4C6E7"/>
            <w:noWrap/>
            <w:vAlign w:val="bottom"/>
            <w:hideMark/>
          </w:tcPr>
          <w:p w14:paraId="0731F93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80" w:type="dxa"/>
            <w:tcBorders>
              <w:top w:val="single" w:sz="4" w:space="0" w:color="FFFFFF"/>
              <w:left w:val="single" w:sz="4" w:space="0" w:color="FFFFFF"/>
              <w:bottom w:val="nil"/>
              <w:right w:val="nil"/>
            </w:tcBorders>
            <w:shd w:val="clear" w:color="B4C6E7" w:fill="F8696B"/>
            <w:noWrap/>
            <w:vAlign w:val="bottom"/>
            <w:hideMark/>
          </w:tcPr>
          <w:p w14:paraId="233327E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2286616E" w14:textId="7DB074B1"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216644">
        <w:rPr>
          <w:rFonts w:ascii="Helvetica" w:eastAsia="Times New Roman" w:hAnsi="Helvetica" w:cs="Helvetica"/>
          <w:sz w:val="24"/>
          <w:szCs w:val="24"/>
          <w:lang w:val="es-ES"/>
        </w:rPr>
        <w:t xml:space="preserve">  </w:t>
      </w:r>
      <w:r w:rsidR="00660E8C">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18548F82"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F1219D5" w14:textId="7D2C0B41" w:rsidR="00693BD9" w:rsidRPr="00DF6B20" w:rsidRDefault="00693BD9" w:rsidP="00DF6B20">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DF6B20">
        <w:rPr>
          <w:rFonts w:ascii="Helvetica" w:eastAsia="Times New Roman" w:hAnsi="Helvetica" w:cs="Helvetica"/>
          <w:b/>
          <w:color w:val="002060"/>
          <w:sz w:val="28"/>
          <w:szCs w:val="28"/>
          <w:lang w:val="es-ES"/>
        </w:rPr>
        <w:t>Sololá</w:t>
      </w:r>
    </w:p>
    <w:p w14:paraId="7475F5A4"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C5D78C1" w14:textId="4DC344B2"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62.93%. Los municipios que mayor ejecución presentaron son: San Marcos La Laguna 95.2.8%, Santa Catarina Ixtahuacán 84.25% y Santiago Atitlán 74.90%. Cabe mencionar que Nahualá, San Andrés Semetabaj, San Juan La Laguna, San Lucas Tolimán, Santa Cruz La Laguna y Santa María Visitación; no entregaron el tercer informe cuatrimestral.</w:t>
      </w:r>
      <w:r w:rsidR="00F407CB">
        <w:rPr>
          <w:rFonts w:ascii="Helvetica" w:eastAsia="Times New Roman" w:hAnsi="Helvetica" w:cs="Helvetica"/>
          <w:sz w:val="24"/>
          <w:szCs w:val="24"/>
          <w:lang w:val="es-ES"/>
        </w:rPr>
        <w:t xml:space="preserve"> Ver tabla 30.</w:t>
      </w:r>
    </w:p>
    <w:p w14:paraId="1A5BE99E" w14:textId="77777777" w:rsidR="00F407CB" w:rsidRPr="003051CD"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08232BE" w14:textId="7FF4BA14" w:rsidR="00693BD9" w:rsidRPr="00016865" w:rsidRDefault="00F407CB" w:rsidP="00016865">
      <w:pPr>
        <w:pStyle w:val="ttulosgrficas"/>
        <w:rPr>
          <w:rFonts w:eastAsia="Times New Roman"/>
          <w:color w:val="4472C4" w:themeColor="accent1"/>
          <w:lang w:val="es-ES"/>
        </w:rPr>
      </w:pPr>
      <w:bookmarkStart w:id="63" w:name="_Toc67589143"/>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30</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Sololá</w:t>
      </w:r>
      <w:bookmarkEnd w:id="63"/>
    </w:p>
    <w:tbl>
      <w:tblPr>
        <w:tblW w:w="8631" w:type="dxa"/>
        <w:jc w:val="center"/>
        <w:tblCellMar>
          <w:left w:w="70" w:type="dxa"/>
          <w:right w:w="70" w:type="dxa"/>
        </w:tblCellMar>
        <w:tblLook w:val="04A0" w:firstRow="1" w:lastRow="0" w:firstColumn="1" w:lastColumn="0" w:noHBand="0" w:noVBand="1"/>
      </w:tblPr>
      <w:tblGrid>
        <w:gridCol w:w="527"/>
        <w:gridCol w:w="2840"/>
        <w:gridCol w:w="1995"/>
        <w:gridCol w:w="1995"/>
        <w:gridCol w:w="1274"/>
      </w:tblGrid>
      <w:tr w:rsidR="00216644" w:rsidRPr="003051CD" w14:paraId="251B7BA2" w14:textId="77777777" w:rsidTr="00AD5ABC">
        <w:trPr>
          <w:trHeight w:val="309"/>
          <w:jc w:val="center"/>
        </w:trPr>
        <w:tc>
          <w:tcPr>
            <w:tcW w:w="527" w:type="dxa"/>
            <w:tcBorders>
              <w:top w:val="nil"/>
              <w:left w:val="nil"/>
              <w:bottom w:val="single" w:sz="12" w:space="0" w:color="FFFFFF"/>
              <w:right w:val="single" w:sz="4" w:space="0" w:color="FFFFFF"/>
            </w:tcBorders>
            <w:shd w:val="clear" w:color="4472C4" w:fill="4472C4"/>
            <w:vAlign w:val="center"/>
          </w:tcPr>
          <w:p w14:paraId="33465EA9" w14:textId="129C35A3"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2840" w:type="dxa"/>
            <w:tcBorders>
              <w:top w:val="nil"/>
              <w:left w:val="nil"/>
              <w:bottom w:val="single" w:sz="12" w:space="0" w:color="FFFFFF"/>
              <w:right w:val="single" w:sz="4" w:space="0" w:color="FFFFFF"/>
            </w:tcBorders>
            <w:shd w:val="clear" w:color="4472C4" w:fill="4472C4"/>
            <w:noWrap/>
            <w:vAlign w:val="center"/>
            <w:hideMark/>
          </w:tcPr>
          <w:p w14:paraId="2DE1816F" w14:textId="04D9D17D"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3F2F5412"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15B8FABA"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274" w:type="dxa"/>
            <w:tcBorders>
              <w:top w:val="nil"/>
              <w:left w:val="nil"/>
              <w:bottom w:val="single" w:sz="12" w:space="0" w:color="FFFFFF"/>
              <w:right w:val="nil"/>
            </w:tcBorders>
            <w:shd w:val="clear" w:color="4472C4" w:fill="4472C4"/>
            <w:noWrap/>
            <w:vAlign w:val="center"/>
            <w:hideMark/>
          </w:tcPr>
          <w:p w14:paraId="74777048"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3AFA3D96" w14:textId="77777777" w:rsidTr="00AD5ABC">
        <w:trPr>
          <w:trHeight w:val="309"/>
          <w:jc w:val="center"/>
        </w:trPr>
        <w:tc>
          <w:tcPr>
            <w:tcW w:w="527" w:type="dxa"/>
            <w:tcBorders>
              <w:top w:val="single" w:sz="4" w:space="0" w:color="FFFFFF"/>
              <w:left w:val="nil"/>
              <w:bottom w:val="single" w:sz="4" w:space="0" w:color="FFFFFF"/>
              <w:right w:val="single" w:sz="4" w:space="0" w:color="FFFFFF"/>
            </w:tcBorders>
            <w:shd w:val="clear" w:color="auto" w:fill="4F81BD"/>
          </w:tcPr>
          <w:p w14:paraId="7773970E"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840" w:type="dxa"/>
            <w:tcBorders>
              <w:top w:val="single" w:sz="4" w:space="0" w:color="FFFFFF"/>
              <w:left w:val="nil"/>
              <w:bottom w:val="single" w:sz="4" w:space="0" w:color="FFFFFF"/>
              <w:right w:val="single" w:sz="4" w:space="0" w:color="FFFFFF"/>
            </w:tcBorders>
            <w:shd w:val="clear" w:color="auto" w:fill="4F81BD"/>
            <w:noWrap/>
            <w:vAlign w:val="bottom"/>
            <w:hideMark/>
          </w:tcPr>
          <w:p w14:paraId="2A62CAE6" w14:textId="2DAA405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2B0E934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Q220,022,158.40</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6933D2D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Q138,459,366.69</w:t>
            </w:r>
          </w:p>
        </w:tc>
        <w:tc>
          <w:tcPr>
            <w:tcW w:w="1274" w:type="dxa"/>
            <w:tcBorders>
              <w:top w:val="single" w:sz="4" w:space="0" w:color="FFFFFF"/>
              <w:left w:val="single" w:sz="4" w:space="0" w:color="FFFFFF"/>
              <w:bottom w:val="single" w:sz="4" w:space="0" w:color="FFFFFF"/>
              <w:right w:val="nil"/>
            </w:tcBorders>
            <w:shd w:val="clear" w:color="B4C6E7" w:fill="D9E37D"/>
            <w:noWrap/>
            <w:vAlign w:val="bottom"/>
            <w:hideMark/>
          </w:tcPr>
          <w:p w14:paraId="042C851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62.93%</w:t>
            </w:r>
          </w:p>
        </w:tc>
      </w:tr>
      <w:tr w:rsidR="00216644" w:rsidRPr="003051CD" w14:paraId="2F16B7AD"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76DCC8BF" w14:textId="0DC2603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2D197DDB" w14:textId="2876F68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Marcos La Laguna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5FE16A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Q9,390,590.51</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FB79AD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Q8,947,298.84</w:t>
            </w:r>
          </w:p>
        </w:tc>
        <w:tc>
          <w:tcPr>
            <w:tcW w:w="1274" w:type="dxa"/>
            <w:tcBorders>
              <w:top w:val="single" w:sz="4" w:space="0" w:color="FFFFFF"/>
              <w:left w:val="single" w:sz="4" w:space="0" w:color="FFFFFF"/>
              <w:bottom w:val="single" w:sz="4" w:space="0" w:color="FFFFFF"/>
              <w:right w:val="nil"/>
            </w:tcBorders>
            <w:shd w:val="clear" w:color="D9E1F2" w:fill="00B050"/>
            <w:noWrap/>
            <w:vAlign w:val="bottom"/>
            <w:hideMark/>
          </w:tcPr>
          <w:p w14:paraId="01BC47A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95.28%</w:t>
            </w:r>
          </w:p>
        </w:tc>
      </w:tr>
      <w:tr w:rsidR="00216644" w:rsidRPr="003051CD" w14:paraId="14EE8480"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318FA105" w14:textId="74F1178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15913D0C" w14:textId="0F0E459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Catarina Ixtahuacán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FDFADA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Q34,857,222.39</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314E32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Q29,367,539.46</w:t>
            </w:r>
          </w:p>
        </w:tc>
        <w:tc>
          <w:tcPr>
            <w:tcW w:w="1274" w:type="dxa"/>
            <w:tcBorders>
              <w:top w:val="single" w:sz="4" w:space="0" w:color="FFFFFF"/>
              <w:left w:val="single" w:sz="4" w:space="0" w:color="FFFFFF"/>
              <w:bottom w:val="single" w:sz="4" w:space="0" w:color="FFFFFF"/>
              <w:right w:val="nil"/>
            </w:tcBorders>
            <w:shd w:val="clear" w:color="B4C6E7" w:fill="4AC260"/>
            <w:noWrap/>
            <w:vAlign w:val="bottom"/>
            <w:hideMark/>
          </w:tcPr>
          <w:p w14:paraId="135A940D"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84.25%</w:t>
            </w:r>
          </w:p>
        </w:tc>
      </w:tr>
      <w:tr w:rsidR="00216644" w:rsidRPr="003051CD" w14:paraId="39F17688"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05CB2414" w14:textId="6021A80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1D5DEACF" w14:textId="6E21126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Santiago Atitlán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705C58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Q12,850,482.31</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3781DC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Q9,625,395.56</w:t>
            </w:r>
          </w:p>
        </w:tc>
        <w:tc>
          <w:tcPr>
            <w:tcW w:w="1274" w:type="dxa"/>
            <w:tcBorders>
              <w:top w:val="single" w:sz="4" w:space="0" w:color="FFFFFF"/>
              <w:left w:val="single" w:sz="4" w:space="0" w:color="FFFFFF"/>
              <w:bottom w:val="single" w:sz="4" w:space="0" w:color="FFFFFF"/>
              <w:right w:val="nil"/>
            </w:tcBorders>
            <w:shd w:val="clear" w:color="D9E1F2" w:fill="89D06C"/>
            <w:noWrap/>
            <w:vAlign w:val="bottom"/>
            <w:hideMark/>
          </w:tcPr>
          <w:p w14:paraId="621AD1D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74.90%</w:t>
            </w:r>
          </w:p>
        </w:tc>
      </w:tr>
      <w:tr w:rsidR="00216644" w:rsidRPr="003051CD" w14:paraId="02FD3B9E"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2702F132" w14:textId="0638281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7F5D0D2E" w14:textId="5D33CB1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Sololá</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FCF8C6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Q26,443,670.62</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8494A0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Q19,103,736.87</w:t>
            </w:r>
          </w:p>
        </w:tc>
        <w:tc>
          <w:tcPr>
            <w:tcW w:w="1274" w:type="dxa"/>
            <w:tcBorders>
              <w:top w:val="single" w:sz="4" w:space="0" w:color="FFFFFF"/>
              <w:left w:val="single" w:sz="4" w:space="0" w:color="FFFFFF"/>
              <w:bottom w:val="single" w:sz="4" w:space="0" w:color="FFFFFF"/>
              <w:right w:val="nil"/>
            </w:tcBorders>
            <w:shd w:val="clear" w:color="B4C6E7" w:fill="9BD470"/>
            <w:noWrap/>
            <w:vAlign w:val="bottom"/>
            <w:hideMark/>
          </w:tcPr>
          <w:p w14:paraId="3EA9610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72.24%</w:t>
            </w:r>
          </w:p>
        </w:tc>
      </w:tr>
      <w:tr w:rsidR="00216644" w:rsidRPr="003051CD" w14:paraId="2DCB2141"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1158B913" w14:textId="336653B2"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47E4D498" w14:textId="36EBDBB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Pablo La Laguna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0BCADE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Q11,109,637.12</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16849D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Q7,869,037.60</w:t>
            </w:r>
          </w:p>
        </w:tc>
        <w:tc>
          <w:tcPr>
            <w:tcW w:w="1274" w:type="dxa"/>
            <w:tcBorders>
              <w:top w:val="single" w:sz="4" w:space="0" w:color="FFFFFF"/>
              <w:left w:val="single" w:sz="4" w:space="0" w:color="FFFFFF"/>
              <w:bottom w:val="single" w:sz="4" w:space="0" w:color="FFFFFF"/>
              <w:right w:val="nil"/>
            </w:tcBorders>
            <w:shd w:val="clear" w:color="D9E1F2" w:fill="A4D672"/>
            <w:noWrap/>
            <w:vAlign w:val="bottom"/>
            <w:hideMark/>
          </w:tcPr>
          <w:p w14:paraId="28E6800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70.83%</w:t>
            </w:r>
          </w:p>
        </w:tc>
      </w:tr>
      <w:tr w:rsidR="00216644" w:rsidRPr="003051CD" w14:paraId="31C88678"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668DA379" w14:textId="77A591A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64C78CBC" w14:textId="13C0CD38"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Chacayá</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66EE52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Q12,175,544.27</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759253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Q7,633,515.13</w:t>
            </w:r>
          </w:p>
        </w:tc>
        <w:tc>
          <w:tcPr>
            <w:tcW w:w="1274" w:type="dxa"/>
            <w:tcBorders>
              <w:top w:val="single" w:sz="4" w:space="0" w:color="FFFFFF"/>
              <w:left w:val="single" w:sz="4" w:space="0" w:color="FFFFFF"/>
              <w:bottom w:val="single" w:sz="4" w:space="0" w:color="FFFFFF"/>
              <w:right w:val="nil"/>
            </w:tcBorders>
            <w:shd w:val="clear" w:color="B4C6E7" w:fill="DBE37D"/>
            <w:noWrap/>
            <w:vAlign w:val="bottom"/>
            <w:hideMark/>
          </w:tcPr>
          <w:p w14:paraId="31F57CFB"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62.70%</w:t>
            </w:r>
          </w:p>
        </w:tc>
      </w:tr>
      <w:tr w:rsidR="00216644" w:rsidRPr="003051CD" w14:paraId="38F01926"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48114A88" w14:textId="25D0AFA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74DB88E6" w14:textId="62C559C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Clara La Laguna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51FE18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Q18,410,884.16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31CE41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Q11,376,102.06</w:t>
            </w:r>
          </w:p>
        </w:tc>
        <w:tc>
          <w:tcPr>
            <w:tcW w:w="1274" w:type="dxa"/>
            <w:tcBorders>
              <w:top w:val="single" w:sz="4" w:space="0" w:color="FFFFFF"/>
              <w:left w:val="single" w:sz="4" w:space="0" w:color="FFFFFF"/>
              <w:bottom w:val="single" w:sz="4" w:space="0" w:color="FFFFFF"/>
              <w:right w:val="nil"/>
            </w:tcBorders>
            <w:shd w:val="clear" w:color="D9E1F2" w:fill="E1E47E"/>
            <w:noWrap/>
            <w:vAlign w:val="bottom"/>
            <w:hideMark/>
          </w:tcPr>
          <w:p w14:paraId="1668437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61.79%</w:t>
            </w:r>
          </w:p>
        </w:tc>
      </w:tr>
      <w:tr w:rsidR="00216644" w:rsidRPr="003051CD" w14:paraId="765FCF64"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74DD8305" w14:textId="51EF24FB"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6E018B23" w14:textId="5A65223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Panajachel</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C43B0B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Q24,937,350.86</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BDFC8E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Q14,849,521.28</w:t>
            </w:r>
          </w:p>
        </w:tc>
        <w:tc>
          <w:tcPr>
            <w:tcW w:w="1274" w:type="dxa"/>
            <w:tcBorders>
              <w:top w:val="single" w:sz="4" w:space="0" w:color="FFFFFF"/>
              <w:left w:val="single" w:sz="4" w:space="0" w:color="FFFFFF"/>
              <w:bottom w:val="single" w:sz="4" w:space="0" w:color="FFFFFF"/>
              <w:right w:val="nil"/>
            </w:tcBorders>
            <w:shd w:val="clear" w:color="B4C6E7" w:fill="F0E881"/>
            <w:noWrap/>
            <w:vAlign w:val="bottom"/>
            <w:hideMark/>
          </w:tcPr>
          <w:p w14:paraId="332A3C8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59.55%</w:t>
            </w:r>
          </w:p>
        </w:tc>
      </w:tr>
      <w:tr w:rsidR="00216644" w:rsidRPr="003051CD" w14:paraId="13C82DBA"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0199B34B" w14:textId="5E6A9B6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54A427D0" w14:textId="70F8531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Catarina Palopó</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898336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Q12,851,113.56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1F8ABE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Q7,379,741.25</w:t>
            </w:r>
          </w:p>
        </w:tc>
        <w:tc>
          <w:tcPr>
            <w:tcW w:w="1274" w:type="dxa"/>
            <w:tcBorders>
              <w:top w:val="single" w:sz="4" w:space="0" w:color="FFFFFF"/>
              <w:left w:val="single" w:sz="4" w:space="0" w:color="FFFFFF"/>
              <w:bottom w:val="single" w:sz="4" w:space="0" w:color="FFFFFF"/>
              <w:right w:val="nil"/>
            </w:tcBorders>
            <w:shd w:val="clear" w:color="D9E1F2" w:fill="FEEB84"/>
            <w:noWrap/>
            <w:vAlign w:val="bottom"/>
            <w:hideMark/>
          </w:tcPr>
          <w:p w14:paraId="7BE8245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57.42%</w:t>
            </w:r>
          </w:p>
        </w:tc>
      </w:tr>
      <w:tr w:rsidR="00216644" w:rsidRPr="003051CD" w14:paraId="0BA2D155"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46EAD5EB" w14:textId="4DD5B8A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018EEA8D" w14:textId="007FEE6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Pedro La Laguna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2C8DC9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Q18,599,078.65</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EC4787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Q10,254,983.52</w:t>
            </w:r>
          </w:p>
        </w:tc>
        <w:tc>
          <w:tcPr>
            <w:tcW w:w="1274" w:type="dxa"/>
            <w:tcBorders>
              <w:top w:val="single" w:sz="4" w:space="0" w:color="FFFFFF"/>
              <w:left w:val="single" w:sz="4" w:space="0" w:color="FFFFFF"/>
              <w:bottom w:val="single" w:sz="4" w:space="0" w:color="FFFFFF"/>
              <w:right w:val="nil"/>
            </w:tcBorders>
            <w:shd w:val="clear" w:color="B4C6E7" w:fill="FEE683"/>
            <w:noWrap/>
            <w:vAlign w:val="bottom"/>
            <w:hideMark/>
          </w:tcPr>
          <w:p w14:paraId="624EFF3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55.14%</w:t>
            </w:r>
          </w:p>
        </w:tc>
      </w:tr>
      <w:tr w:rsidR="00216644" w:rsidRPr="003051CD" w14:paraId="6AF85BB2"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1472E642" w14:textId="3297766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00455B43" w14:textId="3A1D632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Antonio Palopó</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FCAC15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Q17,877,018.84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068736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Q6,868,286.80</w:t>
            </w:r>
          </w:p>
        </w:tc>
        <w:tc>
          <w:tcPr>
            <w:tcW w:w="1274" w:type="dxa"/>
            <w:tcBorders>
              <w:top w:val="single" w:sz="4" w:space="0" w:color="FFFFFF"/>
              <w:left w:val="single" w:sz="4" w:space="0" w:color="FFFFFF"/>
              <w:bottom w:val="single" w:sz="4" w:space="0" w:color="FFFFFF"/>
              <w:right w:val="nil"/>
            </w:tcBorders>
            <w:shd w:val="clear" w:color="D9E1F2" w:fill="FCC07B"/>
            <w:noWrap/>
            <w:vAlign w:val="bottom"/>
            <w:hideMark/>
          </w:tcPr>
          <w:p w14:paraId="621F6F29"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38.42%</w:t>
            </w:r>
          </w:p>
        </w:tc>
      </w:tr>
      <w:tr w:rsidR="00216644" w:rsidRPr="003051CD" w14:paraId="2B7AC2D0"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47EA0E83" w14:textId="420DDDA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54E2B9C4" w14:textId="16F81FD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Concepción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8FD890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Q8,524,545.53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17E3F1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Q2,740,102.09</w:t>
            </w:r>
          </w:p>
        </w:tc>
        <w:tc>
          <w:tcPr>
            <w:tcW w:w="1274" w:type="dxa"/>
            <w:tcBorders>
              <w:top w:val="single" w:sz="4" w:space="0" w:color="FFFFFF"/>
              <w:left w:val="single" w:sz="4" w:space="0" w:color="FFFFFF"/>
              <w:bottom w:val="single" w:sz="4" w:space="0" w:color="FFFFFF"/>
              <w:right w:val="nil"/>
            </w:tcBorders>
            <w:shd w:val="clear" w:color="B4C6E7" w:fill="FBB279"/>
            <w:noWrap/>
            <w:vAlign w:val="bottom"/>
            <w:hideMark/>
          </w:tcPr>
          <w:p w14:paraId="7347FB2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32.14%</w:t>
            </w:r>
          </w:p>
        </w:tc>
      </w:tr>
      <w:tr w:rsidR="00216644" w:rsidRPr="003051CD" w14:paraId="53BC7F8E"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7D8917A8" w14:textId="1AE7D8ED"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1F906F85" w14:textId="793B932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Lucia Utatlán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12FF8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Q11,995,019.58</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AE0EEE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Q2,444,106.23</w:t>
            </w:r>
          </w:p>
        </w:tc>
        <w:tc>
          <w:tcPr>
            <w:tcW w:w="1274" w:type="dxa"/>
            <w:tcBorders>
              <w:top w:val="single" w:sz="4" w:space="0" w:color="FFFFFF"/>
              <w:left w:val="single" w:sz="4" w:space="0" w:color="FFFFFF"/>
              <w:bottom w:val="single" w:sz="4" w:space="0" w:color="FFFFFF"/>
              <w:right w:val="nil"/>
            </w:tcBorders>
            <w:shd w:val="clear" w:color="D9E1F2" w:fill="FA9773"/>
            <w:noWrap/>
            <w:vAlign w:val="bottom"/>
            <w:hideMark/>
          </w:tcPr>
          <w:p w14:paraId="723AC5A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20.38%</w:t>
            </w:r>
          </w:p>
        </w:tc>
      </w:tr>
      <w:tr w:rsidR="00216644" w:rsidRPr="003051CD" w14:paraId="3D0D6B2F"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0F7D175C" w14:textId="16CA26A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01763FA2" w14:textId="0F5D75C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Nahualá</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073E38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8ED467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single" w:sz="4" w:space="0" w:color="FFFFFF"/>
              <w:right w:val="nil"/>
            </w:tcBorders>
            <w:shd w:val="clear" w:color="B4C6E7" w:fill="F8696B"/>
            <w:noWrap/>
            <w:vAlign w:val="bottom"/>
            <w:hideMark/>
          </w:tcPr>
          <w:p w14:paraId="71B4B84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3FA1C77"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11D51CC9" w14:textId="0566A9F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46D5AE55" w14:textId="4CF5EEC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Andrés Semetabaj</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E8DDEE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3AE011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single" w:sz="4" w:space="0" w:color="FFFFFF"/>
              <w:right w:val="nil"/>
            </w:tcBorders>
            <w:shd w:val="clear" w:color="D9E1F2" w:fill="F8696B"/>
            <w:noWrap/>
            <w:vAlign w:val="bottom"/>
            <w:hideMark/>
          </w:tcPr>
          <w:p w14:paraId="756CA4C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54BABC62"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1023B0F0" w14:textId="23A46E2B"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0D22E7A9" w14:textId="37BE071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La Laguna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F1DFD7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C9255A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single" w:sz="4" w:space="0" w:color="FFFFFF"/>
              <w:right w:val="nil"/>
            </w:tcBorders>
            <w:shd w:val="clear" w:color="B4C6E7" w:fill="F8696B"/>
            <w:noWrap/>
            <w:vAlign w:val="bottom"/>
            <w:hideMark/>
          </w:tcPr>
          <w:p w14:paraId="64EC3504"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BBA2C56"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D9E1F2" w:fill="D9E1F2"/>
          </w:tcPr>
          <w:p w14:paraId="0DAB7367" w14:textId="3D2C503C"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2840" w:type="dxa"/>
            <w:tcBorders>
              <w:top w:val="single" w:sz="4" w:space="0" w:color="FFFFFF"/>
              <w:left w:val="nil"/>
              <w:bottom w:val="single" w:sz="4" w:space="0" w:color="FFFFFF"/>
              <w:right w:val="single" w:sz="4" w:space="0" w:color="FFFFFF"/>
            </w:tcBorders>
            <w:shd w:val="clear" w:color="D9E1F2" w:fill="D9E1F2"/>
            <w:noWrap/>
            <w:vAlign w:val="bottom"/>
            <w:hideMark/>
          </w:tcPr>
          <w:p w14:paraId="1AD9E4F4" w14:textId="4447B30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Lucas Tolimán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43126F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CB02EF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single" w:sz="4" w:space="0" w:color="FFFFFF"/>
              <w:right w:val="nil"/>
            </w:tcBorders>
            <w:shd w:val="clear" w:color="D9E1F2" w:fill="F8696B"/>
            <w:noWrap/>
            <w:vAlign w:val="bottom"/>
            <w:hideMark/>
          </w:tcPr>
          <w:p w14:paraId="6E0688C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18F5912C" w14:textId="77777777" w:rsidTr="00AD5ABC">
        <w:trPr>
          <w:trHeight w:val="294"/>
          <w:jc w:val="center"/>
        </w:trPr>
        <w:tc>
          <w:tcPr>
            <w:tcW w:w="527" w:type="dxa"/>
            <w:tcBorders>
              <w:top w:val="single" w:sz="4" w:space="0" w:color="FFFFFF"/>
              <w:left w:val="nil"/>
              <w:bottom w:val="single" w:sz="4" w:space="0" w:color="FFFFFF"/>
              <w:right w:val="single" w:sz="4" w:space="0" w:color="FFFFFF"/>
            </w:tcBorders>
            <w:shd w:val="clear" w:color="B4C6E7" w:fill="B4C6E7"/>
          </w:tcPr>
          <w:p w14:paraId="3E67E2D2" w14:textId="1F6EA32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18</w:t>
            </w:r>
          </w:p>
        </w:tc>
        <w:tc>
          <w:tcPr>
            <w:tcW w:w="2840" w:type="dxa"/>
            <w:tcBorders>
              <w:top w:val="single" w:sz="4" w:space="0" w:color="FFFFFF"/>
              <w:left w:val="nil"/>
              <w:bottom w:val="single" w:sz="4" w:space="0" w:color="FFFFFF"/>
              <w:right w:val="single" w:sz="4" w:space="0" w:color="FFFFFF"/>
            </w:tcBorders>
            <w:shd w:val="clear" w:color="B4C6E7" w:fill="B4C6E7"/>
            <w:noWrap/>
            <w:vAlign w:val="bottom"/>
            <w:hideMark/>
          </w:tcPr>
          <w:p w14:paraId="0043A468" w14:textId="0576ECD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Cruz La Laguna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E06CFF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666358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single" w:sz="4" w:space="0" w:color="FFFFFF"/>
              <w:right w:val="nil"/>
            </w:tcBorders>
            <w:shd w:val="clear" w:color="B4C6E7" w:fill="F8696B"/>
            <w:noWrap/>
            <w:vAlign w:val="bottom"/>
            <w:hideMark/>
          </w:tcPr>
          <w:p w14:paraId="3A20D76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1C52D660" w14:textId="77777777" w:rsidTr="00AD5ABC">
        <w:trPr>
          <w:trHeight w:val="294"/>
          <w:jc w:val="center"/>
        </w:trPr>
        <w:tc>
          <w:tcPr>
            <w:tcW w:w="527" w:type="dxa"/>
            <w:tcBorders>
              <w:top w:val="single" w:sz="4" w:space="0" w:color="FFFFFF"/>
              <w:left w:val="nil"/>
              <w:bottom w:val="nil"/>
              <w:right w:val="single" w:sz="4" w:space="0" w:color="FFFFFF"/>
            </w:tcBorders>
            <w:shd w:val="clear" w:color="D9E1F2" w:fill="D9E1F2"/>
          </w:tcPr>
          <w:p w14:paraId="5C99ECFB" w14:textId="3E48645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19</w:t>
            </w:r>
          </w:p>
        </w:tc>
        <w:tc>
          <w:tcPr>
            <w:tcW w:w="2840" w:type="dxa"/>
            <w:tcBorders>
              <w:top w:val="single" w:sz="4" w:space="0" w:color="FFFFFF"/>
              <w:left w:val="nil"/>
              <w:bottom w:val="nil"/>
              <w:right w:val="single" w:sz="4" w:space="0" w:color="FFFFFF"/>
            </w:tcBorders>
            <w:shd w:val="clear" w:color="D9E1F2" w:fill="D9E1F2"/>
            <w:noWrap/>
            <w:vAlign w:val="bottom"/>
            <w:hideMark/>
          </w:tcPr>
          <w:p w14:paraId="1FCF0247" w14:textId="32756469"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María Visitación</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6397279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D9E1F2" w:fill="D9E1F2"/>
            <w:noWrap/>
            <w:vAlign w:val="bottom"/>
            <w:hideMark/>
          </w:tcPr>
          <w:p w14:paraId="38D6EF3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74" w:type="dxa"/>
            <w:tcBorders>
              <w:top w:val="single" w:sz="4" w:space="0" w:color="FFFFFF"/>
              <w:left w:val="single" w:sz="4" w:space="0" w:color="FFFFFF"/>
              <w:bottom w:val="nil"/>
              <w:right w:val="nil"/>
            </w:tcBorders>
            <w:shd w:val="clear" w:color="D9E1F2" w:fill="F8696B"/>
            <w:noWrap/>
            <w:vAlign w:val="bottom"/>
            <w:hideMark/>
          </w:tcPr>
          <w:p w14:paraId="28A3507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30F6DEFE" w14:textId="28595A85"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216644">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09D58002"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E9C7603" w14:textId="60D10060" w:rsidR="00693BD9" w:rsidRPr="00DF6B20" w:rsidRDefault="00693BD9" w:rsidP="00DF6B20">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DF6B20">
        <w:rPr>
          <w:rFonts w:ascii="Helvetica" w:eastAsia="Times New Roman" w:hAnsi="Helvetica" w:cs="Helvetica"/>
          <w:b/>
          <w:color w:val="002060"/>
          <w:sz w:val="28"/>
          <w:szCs w:val="28"/>
          <w:lang w:val="es-ES"/>
        </w:rPr>
        <w:t>Suchitepéquez</w:t>
      </w:r>
    </w:p>
    <w:p w14:paraId="33682E27"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EBF5892" w14:textId="5200E6FA"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En el departamento presentó un promedio de ejecución financiera del</w:t>
      </w:r>
      <w:r w:rsidR="00740721">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61.64%. Los municipios que mayor ejecución presentaron son: San Antonio Suchitepéquez 85.95%, Patulul 83.91 y San Lorenzo 81.35%. Cabe mencionar que Cuyotenango, Mazatenango, Pueblo Nuevo, R</w:t>
      </w:r>
      <w:r w:rsidR="009F235F">
        <w:rPr>
          <w:rFonts w:ascii="Helvetica" w:eastAsia="Times New Roman" w:hAnsi="Helvetica" w:cs="Helvetica"/>
          <w:sz w:val="24"/>
          <w:szCs w:val="24"/>
          <w:lang w:val="es-ES"/>
        </w:rPr>
        <w:t>í</w:t>
      </w:r>
      <w:r w:rsidRPr="003051CD">
        <w:rPr>
          <w:rFonts w:ascii="Helvetica" w:eastAsia="Times New Roman" w:hAnsi="Helvetica" w:cs="Helvetica"/>
          <w:sz w:val="24"/>
          <w:szCs w:val="24"/>
          <w:lang w:val="es-ES"/>
        </w:rPr>
        <w:t xml:space="preserve">o Bravo, </w:t>
      </w:r>
      <w:proofErr w:type="spellStart"/>
      <w:r w:rsidRPr="003051CD">
        <w:rPr>
          <w:rFonts w:ascii="Helvetica" w:eastAsia="Times New Roman" w:hAnsi="Helvetica" w:cs="Helvetica"/>
          <w:sz w:val="24"/>
          <w:szCs w:val="24"/>
          <w:lang w:val="es-ES"/>
        </w:rPr>
        <w:t>Samayac</w:t>
      </w:r>
      <w:proofErr w:type="spellEnd"/>
      <w:r w:rsidRPr="003051CD">
        <w:rPr>
          <w:rFonts w:ascii="Helvetica" w:eastAsia="Times New Roman" w:hAnsi="Helvetica" w:cs="Helvetica"/>
          <w:sz w:val="24"/>
          <w:szCs w:val="24"/>
          <w:lang w:val="es-ES"/>
        </w:rPr>
        <w:t>, San Francisco Zapotitlán, San José La M</w:t>
      </w:r>
      <w:r w:rsidR="00F407CB">
        <w:rPr>
          <w:rFonts w:ascii="Helvetica" w:eastAsia="Times New Roman" w:hAnsi="Helvetica" w:cs="Helvetica"/>
          <w:sz w:val="24"/>
          <w:szCs w:val="24"/>
          <w:lang w:val="es-ES"/>
        </w:rPr>
        <w:t>á</w:t>
      </w:r>
      <w:r w:rsidRPr="003051CD">
        <w:rPr>
          <w:rFonts w:ascii="Helvetica" w:eastAsia="Times New Roman" w:hAnsi="Helvetica" w:cs="Helvetica"/>
          <w:sz w:val="24"/>
          <w:szCs w:val="24"/>
          <w:lang w:val="es-ES"/>
        </w:rPr>
        <w:t>quina, San José El Ídolo, San Juan Bautista, San Pablo Jocopilas, Santa Bárbara, Santo Domingo Suchitepéquez y Zunilito; no presentaron el tercer informe cuatrimestral.</w:t>
      </w:r>
      <w:r w:rsidR="00F407CB">
        <w:rPr>
          <w:rFonts w:ascii="Helvetica" w:eastAsia="Times New Roman" w:hAnsi="Helvetica" w:cs="Helvetica"/>
          <w:sz w:val="24"/>
          <w:szCs w:val="24"/>
          <w:lang w:val="es-ES"/>
        </w:rPr>
        <w:t xml:space="preserve"> Ver tabla 31</w:t>
      </w:r>
      <w:r w:rsidR="005D4383">
        <w:rPr>
          <w:rFonts w:ascii="Helvetica" w:eastAsia="Times New Roman" w:hAnsi="Helvetica" w:cs="Helvetica"/>
          <w:sz w:val="24"/>
          <w:szCs w:val="24"/>
          <w:lang w:val="es-ES"/>
        </w:rPr>
        <w:t>.</w:t>
      </w:r>
    </w:p>
    <w:p w14:paraId="41CF4D99" w14:textId="07A9DCB7" w:rsidR="005D4383" w:rsidRDefault="005D4383"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A850E6E" w14:textId="7D876368"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DFD77A1" w14:textId="2691668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316A8AD" w14:textId="3DF47F4D"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7C4945F" w14:textId="18BB128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BC2140A" w14:textId="5A005E49"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B2E0C75" w14:textId="4278496F"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BA6092F" w14:textId="47ECE063"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5691B7E" w14:textId="16DE5A42"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B395570" w14:textId="3A022B0D"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03A613A" w14:textId="1BE6A7D2"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AC0DD81" w14:textId="401ABFAD"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D383812" w14:textId="1E23B2F9"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A95AE3B" w14:textId="282A9A15"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565D54C" w14:textId="63A2E6B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B7966EC" w14:textId="75D0C8FA"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5BB108F" w14:textId="77777777" w:rsidR="009F235F" w:rsidRPr="003051CD"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6532DC1" w14:textId="20D14CB7" w:rsidR="00693BD9" w:rsidRPr="005D4383" w:rsidRDefault="00F407CB" w:rsidP="00016865">
      <w:pPr>
        <w:pStyle w:val="ttulosgrficas"/>
        <w:rPr>
          <w:rFonts w:eastAsia="Times New Roman"/>
          <w:b w:val="0"/>
          <w:color w:val="4472C4" w:themeColor="accent1"/>
          <w:lang w:val="es-ES"/>
        </w:rPr>
      </w:pPr>
      <w:bookmarkStart w:id="64" w:name="_Toc67589144"/>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31</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Suchitepéquez</w:t>
      </w:r>
      <w:bookmarkEnd w:id="64"/>
    </w:p>
    <w:p w14:paraId="25F1C1A8" w14:textId="77777777" w:rsidR="00216644" w:rsidRPr="005D4383" w:rsidRDefault="00216644" w:rsidP="00216644">
      <w:pPr>
        <w:pStyle w:val="ttulosgrficas"/>
        <w:spacing w:line="120" w:lineRule="auto"/>
        <w:rPr>
          <w:color w:val="4472C4" w:themeColor="accent1"/>
          <w:lang w:val="es-ES"/>
        </w:rPr>
      </w:pPr>
    </w:p>
    <w:tbl>
      <w:tblPr>
        <w:tblW w:w="8648" w:type="dxa"/>
        <w:jc w:val="center"/>
        <w:tblCellMar>
          <w:left w:w="70" w:type="dxa"/>
          <w:right w:w="70" w:type="dxa"/>
        </w:tblCellMar>
        <w:tblLook w:val="04A0" w:firstRow="1" w:lastRow="0" w:firstColumn="1" w:lastColumn="0" w:noHBand="0" w:noVBand="1"/>
      </w:tblPr>
      <w:tblGrid>
        <w:gridCol w:w="527"/>
        <w:gridCol w:w="3314"/>
        <w:gridCol w:w="1995"/>
        <w:gridCol w:w="1995"/>
        <w:gridCol w:w="1274"/>
      </w:tblGrid>
      <w:tr w:rsidR="00216644" w:rsidRPr="003051CD" w14:paraId="5D46E4D8" w14:textId="77777777" w:rsidTr="00FB3DF5">
        <w:trPr>
          <w:trHeight w:val="309"/>
          <w:tblHeader/>
          <w:jc w:val="center"/>
        </w:trPr>
        <w:tc>
          <w:tcPr>
            <w:tcW w:w="472" w:type="dxa"/>
            <w:tcBorders>
              <w:top w:val="nil"/>
              <w:left w:val="nil"/>
              <w:bottom w:val="single" w:sz="12" w:space="0" w:color="FFFFFF"/>
              <w:right w:val="single" w:sz="4" w:space="0" w:color="FFFFFF"/>
            </w:tcBorders>
            <w:shd w:val="clear" w:color="4472C4" w:fill="4472C4"/>
            <w:vAlign w:val="center"/>
          </w:tcPr>
          <w:p w14:paraId="43B36407" w14:textId="70B4504E"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3314" w:type="dxa"/>
            <w:tcBorders>
              <w:top w:val="nil"/>
              <w:left w:val="nil"/>
              <w:bottom w:val="single" w:sz="12" w:space="0" w:color="FFFFFF"/>
              <w:right w:val="single" w:sz="4" w:space="0" w:color="FFFFFF"/>
            </w:tcBorders>
            <w:shd w:val="clear" w:color="4472C4" w:fill="4472C4"/>
            <w:noWrap/>
            <w:vAlign w:val="center"/>
            <w:hideMark/>
          </w:tcPr>
          <w:p w14:paraId="700F4A55" w14:textId="5151A1A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930" w:type="dxa"/>
            <w:tcBorders>
              <w:top w:val="nil"/>
              <w:left w:val="nil"/>
              <w:bottom w:val="single" w:sz="12" w:space="0" w:color="FFFFFF"/>
              <w:right w:val="single" w:sz="4" w:space="0" w:color="FFFFFF"/>
            </w:tcBorders>
            <w:shd w:val="clear" w:color="4472C4" w:fill="4472C4"/>
            <w:noWrap/>
            <w:vAlign w:val="center"/>
            <w:hideMark/>
          </w:tcPr>
          <w:p w14:paraId="15A39D96"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789" w:type="dxa"/>
            <w:tcBorders>
              <w:top w:val="nil"/>
              <w:left w:val="nil"/>
              <w:bottom w:val="single" w:sz="12" w:space="0" w:color="FFFFFF"/>
              <w:right w:val="single" w:sz="4" w:space="0" w:color="FFFFFF"/>
            </w:tcBorders>
            <w:shd w:val="clear" w:color="4472C4" w:fill="4472C4"/>
            <w:noWrap/>
            <w:vAlign w:val="center"/>
            <w:hideMark/>
          </w:tcPr>
          <w:p w14:paraId="40E13CF6"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143" w:type="dxa"/>
            <w:tcBorders>
              <w:top w:val="nil"/>
              <w:left w:val="nil"/>
              <w:bottom w:val="single" w:sz="12" w:space="0" w:color="FFFFFF"/>
              <w:right w:val="nil"/>
            </w:tcBorders>
            <w:shd w:val="clear" w:color="4472C4" w:fill="4472C4"/>
            <w:noWrap/>
            <w:vAlign w:val="center"/>
            <w:hideMark/>
          </w:tcPr>
          <w:p w14:paraId="1BEC8F6C"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55464199" w14:textId="77777777" w:rsidTr="00FB3DF5">
        <w:trPr>
          <w:trHeight w:val="309"/>
          <w:tblHeader/>
          <w:jc w:val="center"/>
        </w:trPr>
        <w:tc>
          <w:tcPr>
            <w:tcW w:w="472" w:type="dxa"/>
            <w:tcBorders>
              <w:top w:val="single" w:sz="4" w:space="0" w:color="FFFFFF"/>
              <w:left w:val="nil"/>
              <w:bottom w:val="single" w:sz="4" w:space="0" w:color="FFFFFF"/>
              <w:right w:val="single" w:sz="4" w:space="0" w:color="FFFFFF"/>
            </w:tcBorders>
            <w:shd w:val="clear" w:color="auto" w:fill="4F81BD"/>
          </w:tcPr>
          <w:p w14:paraId="319DEE6F"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3314" w:type="dxa"/>
            <w:tcBorders>
              <w:top w:val="single" w:sz="4" w:space="0" w:color="FFFFFF"/>
              <w:left w:val="nil"/>
              <w:bottom w:val="single" w:sz="4" w:space="0" w:color="FFFFFF"/>
              <w:right w:val="single" w:sz="4" w:space="0" w:color="FFFFFF"/>
            </w:tcBorders>
            <w:shd w:val="clear" w:color="auto" w:fill="4F81BD"/>
            <w:noWrap/>
            <w:vAlign w:val="bottom"/>
            <w:hideMark/>
          </w:tcPr>
          <w:p w14:paraId="03C61EAB" w14:textId="54112AA5"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30"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629344A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Q189,948,220.61</w:t>
            </w:r>
          </w:p>
        </w:tc>
        <w:tc>
          <w:tcPr>
            <w:tcW w:w="1789"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46BEE11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Q117,076,201.32</w:t>
            </w:r>
          </w:p>
        </w:tc>
        <w:tc>
          <w:tcPr>
            <w:tcW w:w="1143" w:type="dxa"/>
            <w:tcBorders>
              <w:top w:val="single" w:sz="4" w:space="0" w:color="FFFFFF"/>
              <w:left w:val="single" w:sz="4" w:space="0" w:color="FFFFFF"/>
              <w:bottom w:val="single" w:sz="4" w:space="0" w:color="FFFFFF"/>
              <w:right w:val="nil"/>
            </w:tcBorders>
            <w:shd w:val="clear" w:color="B4C6E7" w:fill="D2DE82"/>
            <w:noWrap/>
            <w:vAlign w:val="bottom"/>
            <w:hideMark/>
          </w:tcPr>
          <w:p w14:paraId="23CEF2D3"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61.64%</w:t>
            </w:r>
          </w:p>
        </w:tc>
      </w:tr>
      <w:tr w:rsidR="00216644" w:rsidRPr="003051CD" w14:paraId="4B936819"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724C24EE" w14:textId="5079B06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034F6639" w14:textId="12D0E0C8"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Antonio Suchitepéquez</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81151C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Q29,130,853.76</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B7C0F0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Q25,038,483.19</w:t>
            </w:r>
          </w:p>
        </w:tc>
        <w:tc>
          <w:tcPr>
            <w:tcW w:w="1143" w:type="dxa"/>
            <w:tcBorders>
              <w:top w:val="single" w:sz="4" w:space="0" w:color="FFFFFF"/>
              <w:left w:val="single" w:sz="4" w:space="0" w:color="FFFFFF"/>
              <w:bottom w:val="single" w:sz="4" w:space="0" w:color="FFFFFF"/>
              <w:right w:val="nil"/>
            </w:tcBorders>
            <w:shd w:val="clear" w:color="D9E1F2" w:fill="64BF7C"/>
            <w:noWrap/>
            <w:vAlign w:val="bottom"/>
            <w:hideMark/>
          </w:tcPr>
          <w:p w14:paraId="115A2D9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85.95%</w:t>
            </w:r>
          </w:p>
        </w:tc>
      </w:tr>
      <w:tr w:rsidR="00216644" w:rsidRPr="003051CD" w14:paraId="4A50C509"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04E81775" w14:textId="677252AF"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710D5F0C" w14:textId="6E31BB3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Patulul</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90432A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Q25,954,200.00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1178AF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Q21,778,001.77</w:t>
            </w:r>
          </w:p>
        </w:tc>
        <w:tc>
          <w:tcPr>
            <w:tcW w:w="1143" w:type="dxa"/>
            <w:tcBorders>
              <w:top w:val="single" w:sz="4" w:space="0" w:color="FFFFFF"/>
              <w:left w:val="single" w:sz="4" w:space="0" w:color="FFFFFF"/>
              <w:bottom w:val="single" w:sz="4" w:space="0" w:color="FFFFFF"/>
              <w:right w:val="nil"/>
            </w:tcBorders>
            <w:shd w:val="clear" w:color="B4C6E7" w:fill="6DC17C"/>
            <w:noWrap/>
            <w:vAlign w:val="bottom"/>
            <w:hideMark/>
          </w:tcPr>
          <w:p w14:paraId="1F3B8B03"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83.91%</w:t>
            </w:r>
          </w:p>
        </w:tc>
      </w:tr>
      <w:tr w:rsidR="00216644" w:rsidRPr="003051CD" w14:paraId="04EF8891"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4ECBA55B" w14:textId="27DB04E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17A3C709" w14:textId="56D89B5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 xml:space="preserve">San Lorenzo </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11752C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Q15,420,679.00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6D0549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Q12,544,784.36</w:t>
            </w:r>
          </w:p>
        </w:tc>
        <w:tc>
          <w:tcPr>
            <w:tcW w:w="1143" w:type="dxa"/>
            <w:tcBorders>
              <w:top w:val="single" w:sz="4" w:space="0" w:color="FFFFFF"/>
              <w:left w:val="single" w:sz="4" w:space="0" w:color="FFFFFF"/>
              <w:bottom w:val="single" w:sz="4" w:space="0" w:color="FFFFFF"/>
              <w:right w:val="nil"/>
            </w:tcBorders>
            <w:shd w:val="clear" w:color="D9E1F2" w:fill="78C57D"/>
            <w:noWrap/>
            <w:vAlign w:val="bottom"/>
            <w:hideMark/>
          </w:tcPr>
          <w:p w14:paraId="314A280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81.35%</w:t>
            </w:r>
          </w:p>
        </w:tc>
      </w:tr>
      <w:tr w:rsidR="00216644" w:rsidRPr="003051CD" w14:paraId="6E66C946"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32877244" w14:textId="1857D90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7456D03B" w14:textId="7593649B"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Miguel Panán</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17F520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Q14,214,360.00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C7BCF3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Q10,561,819.93</w:t>
            </w:r>
          </w:p>
        </w:tc>
        <w:tc>
          <w:tcPr>
            <w:tcW w:w="1143" w:type="dxa"/>
            <w:tcBorders>
              <w:top w:val="single" w:sz="4" w:space="0" w:color="FFFFFF"/>
              <w:left w:val="single" w:sz="4" w:space="0" w:color="FFFFFF"/>
              <w:bottom w:val="single" w:sz="4" w:space="0" w:color="FFFFFF"/>
              <w:right w:val="nil"/>
            </w:tcBorders>
            <w:shd w:val="clear" w:color="B4C6E7" w:fill="98CE7F"/>
            <w:noWrap/>
            <w:vAlign w:val="bottom"/>
            <w:hideMark/>
          </w:tcPr>
          <w:p w14:paraId="44C9023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74.30%</w:t>
            </w:r>
          </w:p>
        </w:tc>
      </w:tr>
      <w:tr w:rsidR="00216644" w:rsidRPr="003051CD" w14:paraId="341DEAD9"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138AF7B2" w14:textId="7D2DA37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784485B3" w14:textId="11375A2C"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Gabriel</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7CA2D3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Q10,754,074.00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235ADA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Q7,675,995.38</w:t>
            </w:r>
          </w:p>
        </w:tc>
        <w:tc>
          <w:tcPr>
            <w:tcW w:w="1143" w:type="dxa"/>
            <w:tcBorders>
              <w:top w:val="single" w:sz="4" w:space="0" w:color="FFFFFF"/>
              <w:left w:val="single" w:sz="4" w:space="0" w:color="FFFFFF"/>
              <w:bottom w:val="single" w:sz="4" w:space="0" w:color="FFFFFF"/>
              <w:right w:val="nil"/>
            </w:tcBorders>
            <w:shd w:val="clear" w:color="D9E1F2" w:fill="A6D27F"/>
            <w:noWrap/>
            <w:vAlign w:val="bottom"/>
            <w:hideMark/>
          </w:tcPr>
          <w:p w14:paraId="0054110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71.38%</w:t>
            </w:r>
          </w:p>
        </w:tc>
      </w:tr>
      <w:tr w:rsidR="00216644" w:rsidRPr="003051CD" w14:paraId="3B2CA16E"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08F1D2F2" w14:textId="5AE5798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7AC74E3D" w14:textId="554D137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Chicacao</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B11665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Q40,045,118.73</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59095F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Q22,792,834.85</w:t>
            </w:r>
          </w:p>
        </w:tc>
        <w:tc>
          <w:tcPr>
            <w:tcW w:w="1143" w:type="dxa"/>
            <w:tcBorders>
              <w:top w:val="single" w:sz="4" w:space="0" w:color="FFFFFF"/>
              <w:left w:val="single" w:sz="4" w:space="0" w:color="FFFFFF"/>
              <w:bottom w:val="single" w:sz="4" w:space="0" w:color="FFFFFF"/>
              <w:right w:val="nil"/>
            </w:tcBorders>
            <w:shd w:val="clear" w:color="B4C6E7" w:fill="E7E583"/>
            <w:noWrap/>
            <w:vAlign w:val="bottom"/>
            <w:hideMark/>
          </w:tcPr>
          <w:p w14:paraId="46D6D81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56.92%</w:t>
            </w:r>
          </w:p>
        </w:tc>
      </w:tr>
      <w:tr w:rsidR="00216644" w:rsidRPr="003051CD" w14:paraId="58850AB4"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7C26EE9E" w14:textId="307413C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3A39BFD8" w14:textId="40363F4B"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Santo Tomas La Unión</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48194D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Q29,073,676.61</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A38C27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Q9,231,004.83</w:t>
            </w:r>
          </w:p>
        </w:tc>
        <w:tc>
          <w:tcPr>
            <w:tcW w:w="1143" w:type="dxa"/>
            <w:tcBorders>
              <w:top w:val="single" w:sz="4" w:space="0" w:color="FFFFFF"/>
              <w:left w:val="single" w:sz="4" w:space="0" w:color="FFFFFF"/>
              <w:bottom w:val="single" w:sz="4" w:space="0" w:color="FFFFFF"/>
              <w:right w:val="nil"/>
            </w:tcBorders>
            <w:shd w:val="clear" w:color="D9E1F2" w:fill="FCB97A"/>
            <w:noWrap/>
            <w:vAlign w:val="bottom"/>
            <w:hideMark/>
          </w:tcPr>
          <w:p w14:paraId="3E8A3E4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31.75%</w:t>
            </w:r>
          </w:p>
        </w:tc>
      </w:tr>
      <w:tr w:rsidR="00216644" w:rsidRPr="003051CD" w14:paraId="524C5ECA"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3365DCF4" w14:textId="702763B3"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02F88977" w14:textId="7C9D237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Bernardino</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3BE473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Q25,355,258.51</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5BDD5A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Q7,453,277.01</w:t>
            </w:r>
          </w:p>
        </w:tc>
        <w:tc>
          <w:tcPr>
            <w:tcW w:w="1143" w:type="dxa"/>
            <w:tcBorders>
              <w:top w:val="single" w:sz="4" w:space="0" w:color="FFFFFF"/>
              <w:left w:val="single" w:sz="4" w:space="0" w:color="FFFFFF"/>
              <w:bottom w:val="single" w:sz="4" w:space="0" w:color="FFFFFF"/>
              <w:right w:val="nil"/>
            </w:tcBorders>
            <w:shd w:val="clear" w:color="B4C6E7" w:fill="FBB379"/>
            <w:noWrap/>
            <w:vAlign w:val="bottom"/>
            <w:hideMark/>
          </w:tcPr>
          <w:p w14:paraId="5EBB4B8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29.40%</w:t>
            </w:r>
          </w:p>
        </w:tc>
      </w:tr>
      <w:tr w:rsidR="00216644" w:rsidRPr="003051CD" w14:paraId="2B87B244"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00ADE6F8" w14:textId="3228C2E3"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56DD5DCC" w14:textId="65DA3EF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Cuyotenango</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56442F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269A7C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D9E1F2" w:fill="F8696B"/>
            <w:noWrap/>
            <w:vAlign w:val="bottom"/>
            <w:hideMark/>
          </w:tcPr>
          <w:p w14:paraId="5A55E03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013F572"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66C7A455" w14:textId="273C3AC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0FCEA017" w14:textId="2A8260C8"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Mazatenango</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4E04D7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C0900D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B4C6E7" w:fill="F8696B"/>
            <w:noWrap/>
            <w:vAlign w:val="bottom"/>
            <w:hideMark/>
          </w:tcPr>
          <w:p w14:paraId="7072D2F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FFA8FD9"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36E58471" w14:textId="639903E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18BBD462" w14:textId="13F847C1"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Pueblo Nuevo</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8CF6F6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8F15B3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D9E1F2" w:fill="F8696B"/>
            <w:noWrap/>
            <w:vAlign w:val="bottom"/>
            <w:hideMark/>
          </w:tcPr>
          <w:p w14:paraId="6E460A0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E40D5AC"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66346CB6" w14:textId="753A6BC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1A6D3666" w14:textId="1E16A7E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Rio Bravo</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ACCB43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A2B18B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B4C6E7" w:fill="F8696B"/>
            <w:noWrap/>
            <w:vAlign w:val="bottom"/>
            <w:hideMark/>
          </w:tcPr>
          <w:p w14:paraId="72602A3A"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F3BA90C"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74A55347" w14:textId="4F567EB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4852292F" w14:textId="043B5E8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Samayac</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302DA1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F75CBB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D9E1F2" w:fill="F8696B"/>
            <w:noWrap/>
            <w:vAlign w:val="bottom"/>
            <w:hideMark/>
          </w:tcPr>
          <w:p w14:paraId="15162FFD"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A91C1B8"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023F165C" w14:textId="2CA5CCCF"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7ED0E44F" w14:textId="0578B18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Francisco Zapotitlán</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ED3985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68751B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B4C6E7" w:fill="F8696B"/>
            <w:noWrap/>
            <w:vAlign w:val="bottom"/>
            <w:hideMark/>
          </w:tcPr>
          <w:p w14:paraId="1057923C"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DBC36C4"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21394F89" w14:textId="24EA76F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14C172FC" w14:textId="49496F2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La Maquina</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C64D76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3A9856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D9E1F2" w:fill="F8696B"/>
            <w:noWrap/>
            <w:vAlign w:val="bottom"/>
            <w:hideMark/>
          </w:tcPr>
          <w:p w14:paraId="396FB69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DFC7313"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3DD79A8E" w14:textId="58CDFF2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088DBF5E" w14:textId="2EACFFA1"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José El Ídolo</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0F33B8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E3FCE0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B4C6E7" w:fill="F8696B"/>
            <w:noWrap/>
            <w:vAlign w:val="bottom"/>
            <w:hideMark/>
          </w:tcPr>
          <w:p w14:paraId="00D106B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445FB61E"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28C4C9E0" w14:textId="72E648D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08D787C2" w14:textId="135115F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Bautista</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7FD30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5D06EB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D9E1F2" w:fill="F8696B"/>
            <w:noWrap/>
            <w:vAlign w:val="bottom"/>
            <w:hideMark/>
          </w:tcPr>
          <w:p w14:paraId="58335564"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91E731F"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1CE96BA0" w14:textId="1A71E8AB"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18</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26DA801B" w14:textId="208156B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Pablo Jocopilas</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771522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16A049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B4C6E7" w:fill="F8696B"/>
            <w:noWrap/>
            <w:vAlign w:val="bottom"/>
            <w:hideMark/>
          </w:tcPr>
          <w:p w14:paraId="1B3F5EA4"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1C7C5E64"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D9E1F2" w:fill="D9E1F2"/>
          </w:tcPr>
          <w:p w14:paraId="4859DFBC" w14:textId="1CA0282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19</w:t>
            </w:r>
          </w:p>
        </w:tc>
        <w:tc>
          <w:tcPr>
            <w:tcW w:w="3314" w:type="dxa"/>
            <w:tcBorders>
              <w:top w:val="single" w:sz="4" w:space="0" w:color="FFFFFF"/>
              <w:left w:val="nil"/>
              <w:bottom w:val="single" w:sz="4" w:space="0" w:color="FFFFFF"/>
              <w:right w:val="single" w:sz="4" w:space="0" w:color="FFFFFF"/>
            </w:tcBorders>
            <w:shd w:val="clear" w:color="D9E1F2" w:fill="D9E1F2"/>
            <w:noWrap/>
            <w:vAlign w:val="bottom"/>
            <w:hideMark/>
          </w:tcPr>
          <w:p w14:paraId="50335948" w14:textId="41D2A03B"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Bárbara</w:t>
            </w:r>
          </w:p>
        </w:tc>
        <w:tc>
          <w:tcPr>
            <w:tcW w:w="193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CF5040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EA7AD4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D9E1F2" w:fill="F8696B"/>
            <w:noWrap/>
            <w:vAlign w:val="bottom"/>
            <w:hideMark/>
          </w:tcPr>
          <w:p w14:paraId="41B01E04"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5317915"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B4C6E7" w:fill="B4C6E7"/>
          </w:tcPr>
          <w:p w14:paraId="182A5FBC" w14:textId="68B0871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20</w:t>
            </w:r>
          </w:p>
        </w:tc>
        <w:tc>
          <w:tcPr>
            <w:tcW w:w="3314" w:type="dxa"/>
            <w:tcBorders>
              <w:top w:val="single" w:sz="4" w:space="0" w:color="FFFFFF"/>
              <w:left w:val="nil"/>
              <w:bottom w:val="single" w:sz="4" w:space="0" w:color="FFFFFF"/>
              <w:right w:val="single" w:sz="4" w:space="0" w:color="FFFFFF"/>
            </w:tcBorders>
            <w:shd w:val="clear" w:color="B4C6E7" w:fill="B4C6E7"/>
            <w:noWrap/>
            <w:vAlign w:val="bottom"/>
            <w:hideMark/>
          </w:tcPr>
          <w:p w14:paraId="6A3DDB1F" w14:textId="3AE9032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Santo Domingo Suchitepéquez</w:t>
            </w:r>
          </w:p>
        </w:tc>
        <w:tc>
          <w:tcPr>
            <w:tcW w:w="193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20C285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773DFD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single" w:sz="4" w:space="0" w:color="FFFFFF"/>
              <w:right w:val="nil"/>
            </w:tcBorders>
            <w:shd w:val="clear" w:color="B4C6E7" w:fill="F8696B"/>
            <w:noWrap/>
            <w:vAlign w:val="bottom"/>
            <w:hideMark/>
          </w:tcPr>
          <w:p w14:paraId="035F9706"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1F91C005" w14:textId="77777777" w:rsidTr="00FB3DF5">
        <w:trPr>
          <w:trHeight w:val="294"/>
          <w:tblHeader/>
          <w:jc w:val="center"/>
        </w:trPr>
        <w:tc>
          <w:tcPr>
            <w:tcW w:w="472" w:type="dxa"/>
            <w:tcBorders>
              <w:top w:val="single" w:sz="4" w:space="0" w:color="FFFFFF"/>
              <w:left w:val="nil"/>
              <w:bottom w:val="single" w:sz="4" w:space="0" w:color="FFFFFF"/>
              <w:right w:val="single" w:sz="4" w:space="0" w:color="FFFFFF"/>
            </w:tcBorders>
            <w:shd w:val="clear" w:color="auto" w:fill="C6D9F1"/>
          </w:tcPr>
          <w:p w14:paraId="2FDDB110" w14:textId="449FA64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21</w:t>
            </w:r>
          </w:p>
        </w:tc>
        <w:tc>
          <w:tcPr>
            <w:tcW w:w="3314" w:type="dxa"/>
            <w:tcBorders>
              <w:top w:val="single" w:sz="4" w:space="0" w:color="FFFFFF"/>
              <w:left w:val="nil"/>
              <w:bottom w:val="single" w:sz="4" w:space="0" w:color="FFFFFF"/>
              <w:right w:val="single" w:sz="4" w:space="0" w:color="FFFFFF"/>
            </w:tcBorders>
            <w:shd w:val="clear" w:color="auto" w:fill="C6D9F1"/>
            <w:noWrap/>
            <w:vAlign w:val="bottom"/>
          </w:tcPr>
          <w:p w14:paraId="55FEBB12" w14:textId="2CA7791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Zunilito</w:t>
            </w:r>
          </w:p>
        </w:tc>
        <w:tc>
          <w:tcPr>
            <w:tcW w:w="1930" w:type="dxa"/>
            <w:tcBorders>
              <w:top w:val="single" w:sz="4" w:space="0" w:color="FFFFFF"/>
              <w:left w:val="single" w:sz="4" w:space="0" w:color="FFFFFF"/>
              <w:bottom w:val="single" w:sz="4" w:space="0" w:color="FFFFFF"/>
              <w:right w:val="single" w:sz="4" w:space="0" w:color="FFFFFF"/>
            </w:tcBorders>
            <w:shd w:val="clear" w:color="auto" w:fill="C6D9F1"/>
            <w:noWrap/>
            <w:vAlign w:val="bottom"/>
          </w:tcPr>
          <w:p w14:paraId="285B945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789" w:type="dxa"/>
            <w:tcBorders>
              <w:top w:val="single" w:sz="4" w:space="0" w:color="FFFFFF"/>
              <w:left w:val="single" w:sz="4" w:space="0" w:color="FFFFFF"/>
              <w:bottom w:val="single" w:sz="4" w:space="0" w:color="FFFFFF"/>
              <w:right w:val="single" w:sz="4" w:space="0" w:color="FFFFFF"/>
            </w:tcBorders>
            <w:shd w:val="clear" w:color="auto" w:fill="C6D9F1"/>
            <w:noWrap/>
            <w:vAlign w:val="bottom"/>
          </w:tcPr>
          <w:p w14:paraId="5C563ED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143" w:type="dxa"/>
            <w:tcBorders>
              <w:top w:val="single" w:sz="4" w:space="0" w:color="FFFFFF"/>
              <w:left w:val="single" w:sz="4" w:space="0" w:color="FFFFFF"/>
              <w:bottom w:val="nil"/>
              <w:right w:val="nil"/>
            </w:tcBorders>
            <w:shd w:val="clear" w:color="D9E1F2" w:fill="F8696B"/>
            <w:noWrap/>
            <w:vAlign w:val="bottom"/>
          </w:tcPr>
          <w:p w14:paraId="73B5C69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358035D7" w14:textId="17D22603" w:rsidR="00693BD9" w:rsidRPr="00401936" w:rsidRDefault="00660E8C" w:rsidP="00693BD9">
      <w:pPr>
        <w:autoSpaceDE w:val="0"/>
        <w:autoSpaceDN w:val="0"/>
        <w:adjustRightInd w:val="0"/>
        <w:spacing w:after="0" w:line="240" w:lineRule="auto"/>
        <w:jc w:val="both"/>
        <w:rPr>
          <w:rFonts w:ascii="Helvetica" w:eastAsia="Times New Roman" w:hAnsi="Helvetica" w:cs="Helvetica"/>
          <w:sz w:val="18"/>
          <w:szCs w:val="18"/>
          <w:lang w:val="es-ES"/>
        </w:rPr>
      </w:pPr>
      <w:r>
        <w:rPr>
          <w:rFonts w:ascii="Helvetica" w:eastAsia="Times New Roman" w:hAnsi="Helvetica" w:cs="Helvetica"/>
          <w:sz w:val="18"/>
          <w:szCs w:val="18"/>
          <w:lang w:val="es-ES"/>
        </w:rPr>
        <w:t xml:space="preserve">    </w:t>
      </w:r>
      <w:r w:rsidR="00693BD9" w:rsidRPr="00401936">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129E5186"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95969B8" w14:textId="77777777" w:rsidR="00AD5ABC" w:rsidRDefault="00AD5ABC" w:rsidP="0041346A">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p>
    <w:p w14:paraId="5EAA420B" w14:textId="562254EF" w:rsidR="00693BD9" w:rsidRPr="006840F8" w:rsidRDefault="00693BD9" w:rsidP="0041346A">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6840F8">
        <w:rPr>
          <w:rFonts w:ascii="Helvetica" w:eastAsia="Times New Roman" w:hAnsi="Helvetica" w:cs="Helvetica"/>
          <w:b/>
          <w:color w:val="002060"/>
          <w:sz w:val="28"/>
          <w:szCs w:val="28"/>
          <w:lang w:val="es-ES"/>
        </w:rPr>
        <w:t>Santa Rosa</w:t>
      </w:r>
    </w:p>
    <w:p w14:paraId="44B47AF6"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ADDF679" w14:textId="23F1BF79"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 55.33%. Los municipios que mayor ejecución presentaron son: San Rafael Las Flores 85.43%, Nueva Santa rosa 70,19% y Pueblo Nuevo Viñas 65.78%. Cabe mencionar que Casillas, Cuilapa, Guazacapán, San Juan Tecuaco, Santa Cruz Naranjo, Santa María Ixhuatán y Santa Rosa de Lima; no presentaron el tercer informe cuatrimestral.</w:t>
      </w:r>
      <w:r w:rsidR="00F407CB">
        <w:rPr>
          <w:rFonts w:ascii="Helvetica" w:eastAsia="Times New Roman" w:hAnsi="Helvetica" w:cs="Helvetica"/>
          <w:sz w:val="24"/>
          <w:szCs w:val="24"/>
          <w:lang w:val="es-ES"/>
        </w:rPr>
        <w:t xml:space="preserve"> Ver tabla 32.</w:t>
      </w:r>
    </w:p>
    <w:p w14:paraId="10456843" w14:textId="3D07E35E"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2AA4EDC" w14:textId="0AA0333A"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EDA01BA" w14:textId="5514F15A"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1F7BF538" w14:textId="3DA0A534"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56EE9B80" w14:textId="18E55FDE"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329B90C8" w14:textId="7FEE2DD2"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6F60D576" w14:textId="68653DC0" w:rsidR="009F235F" w:rsidRDefault="009F235F"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E027411" w14:textId="12F8EC2F" w:rsidR="00693BD9" w:rsidRPr="00016865" w:rsidRDefault="00F407CB" w:rsidP="00016865">
      <w:pPr>
        <w:pStyle w:val="ttulosgrficas"/>
        <w:rPr>
          <w:rFonts w:eastAsia="Times New Roman"/>
          <w:color w:val="4472C4" w:themeColor="accent1"/>
          <w:lang w:val="es-ES"/>
        </w:rPr>
      </w:pPr>
      <w:bookmarkStart w:id="65" w:name="_Toc67589145"/>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32</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Santa Rosa</w:t>
      </w:r>
      <w:bookmarkEnd w:id="65"/>
    </w:p>
    <w:p w14:paraId="4B8C06E2" w14:textId="77777777" w:rsidR="00216644" w:rsidRPr="003051CD" w:rsidRDefault="00216644" w:rsidP="00216644">
      <w:pPr>
        <w:pStyle w:val="ttulosgrficas"/>
        <w:spacing w:line="120" w:lineRule="auto"/>
        <w:rPr>
          <w:lang w:val="es-ES"/>
        </w:rPr>
      </w:pPr>
    </w:p>
    <w:tbl>
      <w:tblPr>
        <w:tblW w:w="8626" w:type="dxa"/>
        <w:jc w:val="center"/>
        <w:tblCellMar>
          <w:left w:w="70" w:type="dxa"/>
          <w:right w:w="70" w:type="dxa"/>
        </w:tblCellMar>
        <w:tblLook w:val="04A0" w:firstRow="1" w:lastRow="0" w:firstColumn="1" w:lastColumn="0" w:noHBand="0" w:noVBand="1"/>
      </w:tblPr>
      <w:tblGrid>
        <w:gridCol w:w="669"/>
        <w:gridCol w:w="2693"/>
        <w:gridCol w:w="1995"/>
        <w:gridCol w:w="1995"/>
        <w:gridCol w:w="1274"/>
      </w:tblGrid>
      <w:tr w:rsidR="00216644" w:rsidRPr="003051CD" w14:paraId="390B4D29" w14:textId="77777777" w:rsidTr="00FB3DF5">
        <w:trPr>
          <w:trHeight w:val="315"/>
          <w:tblHeader/>
          <w:jc w:val="center"/>
        </w:trPr>
        <w:tc>
          <w:tcPr>
            <w:tcW w:w="743" w:type="dxa"/>
            <w:tcBorders>
              <w:top w:val="nil"/>
              <w:left w:val="nil"/>
              <w:bottom w:val="single" w:sz="12" w:space="0" w:color="FFFFFF"/>
              <w:right w:val="single" w:sz="4" w:space="0" w:color="FFFFFF"/>
            </w:tcBorders>
            <w:shd w:val="clear" w:color="4472C4" w:fill="4472C4"/>
            <w:vAlign w:val="center"/>
          </w:tcPr>
          <w:p w14:paraId="1AD9D1E1" w14:textId="4C38AFE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2693" w:type="dxa"/>
            <w:tcBorders>
              <w:top w:val="nil"/>
              <w:left w:val="nil"/>
              <w:bottom w:val="single" w:sz="12" w:space="0" w:color="FFFFFF"/>
              <w:right w:val="single" w:sz="4" w:space="0" w:color="FFFFFF"/>
            </w:tcBorders>
            <w:shd w:val="clear" w:color="4472C4" w:fill="4472C4"/>
            <w:noWrap/>
            <w:vAlign w:val="center"/>
            <w:hideMark/>
          </w:tcPr>
          <w:p w14:paraId="3F2BB7F2" w14:textId="7AD6BB3B"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0B3C9DDA"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2F806CFE"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6CE219F9"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14878446" w14:textId="77777777" w:rsidTr="00FB3DF5">
        <w:trPr>
          <w:trHeight w:val="315"/>
          <w:tblHeader/>
          <w:jc w:val="center"/>
        </w:trPr>
        <w:tc>
          <w:tcPr>
            <w:tcW w:w="743" w:type="dxa"/>
            <w:tcBorders>
              <w:top w:val="single" w:sz="4" w:space="0" w:color="FFFFFF"/>
              <w:left w:val="nil"/>
              <w:bottom w:val="single" w:sz="4" w:space="0" w:color="FFFFFF"/>
              <w:right w:val="single" w:sz="4" w:space="0" w:color="FFFFFF"/>
            </w:tcBorders>
            <w:shd w:val="clear" w:color="auto" w:fill="4F81BD"/>
          </w:tcPr>
          <w:p w14:paraId="3259C553"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2693" w:type="dxa"/>
            <w:tcBorders>
              <w:top w:val="single" w:sz="4" w:space="0" w:color="FFFFFF"/>
              <w:left w:val="nil"/>
              <w:bottom w:val="single" w:sz="4" w:space="0" w:color="FFFFFF"/>
              <w:right w:val="single" w:sz="4" w:space="0" w:color="FFFFFF"/>
            </w:tcBorders>
            <w:shd w:val="clear" w:color="auto" w:fill="4F81BD"/>
            <w:noWrap/>
            <w:vAlign w:val="bottom"/>
            <w:hideMark/>
          </w:tcPr>
          <w:p w14:paraId="019BE05C" w14:textId="3155599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53FAE15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Q181,145,750.17</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5AA2CD9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Q100,228,569.58</w:t>
            </w:r>
          </w:p>
        </w:tc>
        <w:tc>
          <w:tcPr>
            <w:tcW w:w="1200" w:type="dxa"/>
            <w:tcBorders>
              <w:top w:val="single" w:sz="4" w:space="0" w:color="FFFFFF"/>
              <w:left w:val="single" w:sz="4" w:space="0" w:color="FFFFFF"/>
              <w:bottom w:val="single" w:sz="4" w:space="0" w:color="FFFFFF"/>
              <w:right w:val="nil"/>
            </w:tcBorders>
            <w:shd w:val="clear" w:color="B4C6E7" w:fill="E1E47E"/>
            <w:noWrap/>
            <w:vAlign w:val="bottom"/>
            <w:hideMark/>
          </w:tcPr>
          <w:p w14:paraId="32B63E79"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55.33%</w:t>
            </w:r>
          </w:p>
        </w:tc>
      </w:tr>
      <w:tr w:rsidR="00216644" w:rsidRPr="003051CD" w14:paraId="3BF78EC7"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D9E1F2" w:fill="D9E1F2"/>
          </w:tcPr>
          <w:p w14:paraId="7E759052" w14:textId="35C10331"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2DEA1C84" w14:textId="38F3DD1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Rafael Las Flores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954B87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Q26,005,623.99</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2347B4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Q22,216,759.28</w:t>
            </w:r>
          </w:p>
        </w:tc>
        <w:tc>
          <w:tcPr>
            <w:tcW w:w="1200" w:type="dxa"/>
            <w:tcBorders>
              <w:top w:val="single" w:sz="4" w:space="0" w:color="FFFFFF"/>
              <w:left w:val="single" w:sz="4" w:space="0" w:color="FFFFFF"/>
              <w:bottom w:val="single" w:sz="4" w:space="0" w:color="FFFFFF"/>
              <w:right w:val="nil"/>
            </w:tcBorders>
            <w:shd w:val="clear" w:color="D9E1F2" w:fill="00B050"/>
            <w:noWrap/>
            <w:vAlign w:val="bottom"/>
            <w:hideMark/>
          </w:tcPr>
          <w:p w14:paraId="026A1D6D"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85.43%</w:t>
            </w:r>
          </w:p>
        </w:tc>
      </w:tr>
      <w:tr w:rsidR="00216644" w:rsidRPr="003051CD" w14:paraId="4FAED2F6"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B4C6E7" w:fill="B4C6E7"/>
          </w:tcPr>
          <w:p w14:paraId="39B9B850" w14:textId="48A4333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232D3A45" w14:textId="7F2E993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Nueva Santa Rosa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921289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Q39,660,449.60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81F9D5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Q27,838,529.70</w:t>
            </w:r>
          </w:p>
        </w:tc>
        <w:tc>
          <w:tcPr>
            <w:tcW w:w="1200" w:type="dxa"/>
            <w:tcBorders>
              <w:top w:val="single" w:sz="4" w:space="0" w:color="FFFFFF"/>
              <w:left w:val="single" w:sz="4" w:space="0" w:color="FFFFFF"/>
              <w:bottom w:val="single" w:sz="4" w:space="0" w:color="FFFFFF"/>
              <w:right w:val="nil"/>
            </w:tcBorders>
            <w:shd w:val="clear" w:color="B4C6E7" w:fill="72CB68"/>
            <w:noWrap/>
            <w:vAlign w:val="bottom"/>
            <w:hideMark/>
          </w:tcPr>
          <w:p w14:paraId="5FE42D6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70.19%</w:t>
            </w:r>
          </w:p>
        </w:tc>
      </w:tr>
      <w:tr w:rsidR="00216644" w:rsidRPr="003051CD" w14:paraId="416BC171"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D9E1F2" w:fill="D9E1F2"/>
          </w:tcPr>
          <w:p w14:paraId="5C0CD54B" w14:textId="5E4D723C"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00DFFB97" w14:textId="10356B1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Pueblo Nuevo Vi</w:t>
            </w:r>
            <w:r w:rsidR="009F235F">
              <w:rPr>
                <w:rFonts w:ascii="Helvetica" w:eastAsia="Times New Roman" w:hAnsi="Helvetica" w:cs="Helvetica"/>
                <w:sz w:val="24"/>
                <w:szCs w:val="24"/>
                <w:lang w:val="es-ES"/>
              </w:rPr>
              <w:t>ñ</w:t>
            </w:r>
            <w:r w:rsidRPr="003051CD">
              <w:rPr>
                <w:rFonts w:ascii="Helvetica" w:eastAsia="Times New Roman" w:hAnsi="Helvetica" w:cs="Helvetica"/>
                <w:sz w:val="24"/>
                <w:szCs w:val="24"/>
                <w:lang w:val="es-ES"/>
              </w:rPr>
              <w:t>as</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BC389A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Q10,219,907.03</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7839AB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Q6,722,599.77</w:t>
            </w:r>
          </w:p>
        </w:tc>
        <w:tc>
          <w:tcPr>
            <w:tcW w:w="1200" w:type="dxa"/>
            <w:tcBorders>
              <w:top w:val="single" w:sz="4" w:space="0" w:color="FFFFFF"/>
              <w:left w:val="single" w:sz="4" w:space="0" w:color="FFFFFF"/>
              <w:bottom w:val="single" w:sz="4" w:space="0" w:color="FFFFFF"/>
              <w:right w:val="nil"/>
            </w:tcBorders>
            <w:shd w:val="clear" w:color="D9E1F2" w:fill="93D26E"/>
            <w:noWrap/>
            <w:vAlign w:val="bottom"/>
            <w:hideMark/>
          </w:tcPr>
          <w:p w14:paraId="5ED235EE"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65.78%</w:t>
            </w:r>
          </w:p>
        </w:tc>
      </w:tr>
      <w:tr w:rsidR="00216644" w:rsidRPr="003051CD" w14:paraId="267947ED"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B4C6E7" w:fill="B4C6E7"/>
          </w:tcPr>
          <w:p w14:paraId="332997A9" w14:textId="5C245CE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5DE8E344" w14:textId="735F89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Oratorio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A63920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Q14,521,517.30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8E5E6B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Q9,024,691.27</w:t>
            </w:r>
          </w:p>
        </w:tc>
        <w:tc>
          <w:tcPr>
            <w:tcW w:w="1200" w:type="dxa"/>
            <w:tcBorders>
              <w:top w:val="single" w:sz="4" w:space="0" w:color="FFFFFF"/>
              <w:left w:val="single" w:sz="4" w:space="0" w:color="FFFFFF"/>
              <w:bottom w:val="single" w:sz="4" w:space="0" w:color="FFFFFF"/>
              <w:right w:val="nil"/>
            </w:tcBorders>
            <w:shd w:val="clear" w:color="B4C6E7" w:fill="AED974"/>
            <w:noWrap/>
            <w:vAlign w:val="bottom"/>
            <w:hideMark/>
          </w:tcPr>
          <w:p w14:paraId="56D0E1F5"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62.15%</w:t>
            </w:r>
          </w:p>
        </w:tc>
      </w:tr>
      <w:tr w:rsidR="00216644" w:rsidRPr="003051CD" w14:paraId="7A15005D"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D9E1F2" w:fill="D9E1F2"/>
          </w:tcPr>
          <w:p w14:paraId="2C2C32D1" w14:textId="7A0D2CCF"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15C9135C" w14:textId="5DAC0AE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Chiquimulilla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DF8761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Q40,816,768.25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FD7C0C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Q20,517,342.08</w:t>
            </w:r>
          </w:p>
        </w:tc>
        <w:tc>
          <w:tcPr>
            <w:tcW w:w="1200" w:type="dxa"/>
            <w:tcBorders>
              <w:top w:val="single" w:sz="4" w:space="0" w:color="FFFFFF"/>
              <w:left w:val="single" w:sz="4" w:space="0" w:color="FFFFFF"/>
              <w:bottom w:val="single" w:sz="4" w:space="0" w:color="FFFFFF"/>
              <w:right w:val="nil"/>
            </w:tcBorders>
            <w:shd w:val="clear" w:color="D9E1F2" w:fill="FEE883"/>
            <w:noWrap/>
            <w:vAlign w:val="bottom"/>
            <w:hideMark/>
          </w:tcPr>
          <w:p w14:paraId="330C4DE4"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50.27%</w:t>
            </w:r>
          </w:p>
        </w:tc>
      </w:tr>
      <w:tr w:rsidR="00216644" w:rsidRPr="003051CD" w14:paraId="57486959"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B4C6E7" w:fill="B4C6E7"/>
          </w:tcPr>
          <w:p w14:paraId="21278C13" w14:textId="667CFD0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12BBD624" w14:textId="36A6340C"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Barberena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B12DB5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Q29,367,984.00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D75CEF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Q10,817,193.60</w:t>
            </w:r>
          </w:p>
        </w:tc>
        <w:tc>
          <w:tcPr>
            <w:tcW w:w="1200" w:type="dxa"/>
            <w:tcBorders>
              <w:top w:val="single" w:sz="4" w:space="0" w:color="FFFFFF"/>
              <w:left w:val="single" w:sz="4" w:space="0" w:color="FFFFFF"/>
              <w:bottom w:val="single" w:sz="4" w:space="0" w:color="FFFFFF"/>
              <w:right w:val="nil"/>
            </w:tcBorders>
            <w:shd w:val="clear" w:color="B4C6E7" w:fill="FDC67C"/>
            <w:noWrap/>
            <w:vAlign w:val="bottom"/>
            <w:hideMark/>
          </w:tcPr>
          <w:p w14:paraId="1B92515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36.83%</w:t>
            </w:r>
          </w:p>
        </w:tc>
      </w:tr>
      <w:tr w:rsidR="00216644" w:rsidRPr="003051CD" w14:paraId="6A82F6CA"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D9E1F2" w:fill="D9E1F2"/>
          </w:tcPr>
          <w:p w14:paraId="6ED50D2E" w14:textId="6404E5A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0FFE723F" w14:textId="053574F8"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Taxisco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F71987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Q20,553,500.00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3F3660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Q3,091,453.88</w:t>
            </w:r>
          </w:p>
        </w:tc>
        <w:tc>
          <w:tcPr>
            <w:tcW w:w="1200" w:type="dxa"/>
            <w:tcBorders>
              <w:top w:val="single" w:sz="4" w:space="0" w:color="FFFFFF"/>
              <w:left w:val="single" w:sz="4" w:space="0" w:color="FFFFFF"/>
              <w:bottom w:val="single" w:sz="4" w:space="0" w:color="FFFFFF"/>
              <w:right w:val="nil"/>
            </w:tcBorders>
            <w:shd w:val="clear" w:color="D9E1F2" w:fill="FA8F72"/>
            <w:noWrap/>
            <w:vAlign w:val="bottom"/>
            <w:hideMark/>
          </w:tcPr>
          <w:p w14:paraId="1B9CD423"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15.04%</w:t>
            </w:r>
          </w:p>
        </w:tc>
      </w:tr>
      <w:tr w:rsidR="00216644" w:rsidRPr="003051CD" w14:paraId="2EE5F39F"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B4C6E7" w:fill="B4C6E7"/>
          </w:tcPr>
          <w:p w14:paraId="67CBAFA2" w14:textId="2AEB93F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3D428670" w14:textId="7E679BA9"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Casillas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C2C557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BD7D42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71F3BEA7"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56FF3EB8"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D9E1F2" w:fill="D9E1F2"/>
          </w:tcPr>
          <w:p w14:paraId="6CC804D9" w14:textId="2A97F8B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46BFE46B" w14:textId="0C1DC2D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Cuilapa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AAAA58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F9DF36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398FA6D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31BDAD2F"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B4C6E7" w:fill="B4C6E7"/>
          </w:tcPr>
          <w:p w14:paraId="483E4F17" w14:textId="4695942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19160BC9" w14:textId="506EDDC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Guazacapán</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DCEE9E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5F0DCA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044DA4F3"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4A534F63"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D9E1F2" w:fill="D9E1F2"/>
          </w:tcPr>
          <w:p w14:paraId="071680DD" w14:textId="01A7A67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54A9B2AC" w14:textId="196D099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Tecuaco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D385F1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6A4600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2B03C2C2"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BCD9A83"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B4C6E7" w:fill="B4C6E7"/>
          </w:tcPr>
          <w:p w14:paraId="7552D3C2" w14:textId="763D9E1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2693" w:type="dxa"/>
            <w:tcBorders>
              <w:top w:val="single" w:sz="4" w:space="0" w:color="FFFFFF"/>
              <w:left w:val="nil"/>
              <w:bottom w:val="single" w:sz="4" w:space="0" w:color="FFFFFF"/>
              <w:right w:val="single" w:sz="4" w:space="0" w:color="FFFFFF"/>
            </w:tcBorders>
            <w:shd w:val="clear" w:color="B4C6E7" w:fill="B4C6E7"/>
            <w:noWrap/>
            <w:vAlign w:val="bottom"/>
            <w:hideMark/>
          </w:tcPr>
          <w:p w14:paraId="79196AAB" w14:textId="055A53F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Cruz Naranjo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F1E1CE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148A53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7AF6DEC8"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23AB95AD" w14:textId="77777777" w:rsidTr="00FB3DF5">
        <w:trPr>
          <w:trHeight w:val="300"/>
          <w:tblHeader/>
          <w:jc w:val="center"/>
        </w:trPr>
        <w:tc>
          <w:tcPr>
            <w:tcW w:w="743" w:type="dxa"/>
            <w:tcBorders>
              <w:top w:val="single" w:sz="4" w:space="0" w:color="FFFFFF"/>
              <w:left w:val="nil"/>
              <w:bottom w:val="single" w:sz="4" w:space="0" w:color="FFFFFF"/>
              <w:right w:val="single" w:sz="4" w:space="0" w:color="FFFFFF"/>
            </w:tcBorders>
            <w:shd w:val="clear" w:color="D9E1F2" w:fill="D9E1F2"/>
          </w:tcPr>
          <w:p w14:paraId="682F4270" w14:textId="6C34354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2693" w:type="dxa"/>
            <w:tcBorders>
              <w:top w:val="single" w:sz="4" w:space="0" w:color="FFFFFF"/>
              <w:left w:val="nil"/>
              <w:bottom w:val="single" w:sz="4" w:space="0" w:color="FFFFFF"/>
              <w:right w:val="single" w:sz="4" w:space="0" w:color="FFFFFF"/>
            </w:tcBorders>
            <w:shd w:val="clear" w:color="D9E1F2" w:fill="D9E1F2"/>
            <w:noWrap/>
            <w:vAlign w:val="bottom"/>
            <w:hideMark/>
          </w:tcPr>
          <w:p w14:paraId="49AD772B" w14:textId="0592B4D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María Ixhuatán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EC195E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3A053E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38BF7300"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32FACEFD" w14:textId="77777777" w:rsidTr="00FB3DF5">
        <w:trPr>
          <w:trHeight w:val="300"/>
          <w:tblHeader/>
          <w:jc w:val="center"/>
        </w:trPr>
        <w:tc>
          <w:tcPr>
            <w:tcW w:w="743" w:type="dxa"/>
            <w:tcBorders>
              <w:top w:val="single" w:sz="4" w:space="0" w:color="FFFFFF"/>
              <w:left w:val="nil"/>
              <w:bottom w:val="nil"/>
              <w:right w:val="single" w:sz="4" w:space="0" w:color="FFFFFF"/>
            </w:tcBorders>
            <w:shd w:val="clear" w:color="B4C6E7" w:fill="B4C6E7"/>
          </w:tcPr>
          <w:p w14:paraId="4BB1429A" w14:textId="23F41F6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2693" w:type="dxa"/>
            <w:tcBorders>
              <w:top w:val="single" w:sz="4" w:space="0" w:color="FFFFFF"/>
              <w:left w:val="nil"/>
              <w:bottom w:val="nil"/>
              <w:right w:val="single" w:sz="4" w:space="0" w:color="FFFFFF"/>
            </w:tcBorders>
            <w:shd w:val="clear" w:color="B4C6E7" w:fill="B4C6E7"/>
            <w:noWrap/>
            <w:vAlign w:val="bottom"/>
            <w:hideMark/>
          </w:tcPr>
          <w:p w14:paraId="0899DD0D" w14:textId="7814A95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Santa Rosa de Lima</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11C1EEF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57F9A99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nil"/>
              <w:right w:val="nil"/>
            </w:tcBorders>
            <w:shd w:val="clear" w:color="B4C6E7" w:fill="F8696B"/>
            <w:noWrap/>
            <w:vAlign w:val="bottom"/>
            <w:hideMark/>
          </w:tcPr>
          <w:p w14:paraId="1FEBC53F" w14:textId="77777777" w:rsidR="00216644" w:rsidRPr="003051CD" w:rsidRDefault="00216644" w:rsidP="00D219CB">
            <w:pPr>
              <w:autoSpaceDE w:val="0"/>
              <w:autoSpaceDN w:val="0"/>
              <w:adjustRightInd w:val="0"/>
              <w:spacing w:after="0" w:line="240" w:lineRule="auto"/>
              <w:jc w:val="center"/>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5AE3963A" w14:textId="1C04690A" w:rsidR="00693BD9" w:rsidRPr="003051CD" w:rsidRDefault="00216644" w:rsidP="00693BD9">
      <w:pPr>
        <w:autoSpaceDE w:val="0"/>
        <w:autoSpaceDN w:val="0"/>
        <w:adjustRightInd w:val="0"/>
        <w:spacing w:after="0" w:line="240" w:lineRule="auto"/>
        <w:jc w:val="both"/>
        <w:rPr>
          <w:rFonts w:ascii="Helvetica" w:eastAsia="Times New Roman" w:hAnsi="Helvetica" w:cs="Helvetica"/>
          <w:sz w:val="18"/>
          <w:szCs w:val="18"/>
          <w:lang w:val="es-ES"/>
        </w:rPr>
      </w:pPr>
      <w:r>
        <w:rPr>
          <w:rFonts w:ascii="Helvetica" w:eastAsia="Times New Roman" w:hAnsi="Helvetica" w:cs="Helvetica"/>
          <w:sz w:val="24"/>
          <w:szCs w:val="24"/>
          <w:lang w:val="es-ES"/>
        </w:rPr>
        <w:t xml:space="preserve">  </w:t>
      </w:r>
      <w:r w:rsidR="00693BD9" w:rsidRPr="003051CD">
        <w:rPr>
          <w:rFonts w:ascii="Helvetica" w:eastAsia="Times New Roman" w:hAnsi="Helvetica" w:cs="Helvetica"/>
          <w:sz w:val="24"/>
          <w:szCs w:val="24"/>
          <w:lang w:val="es-ES"/>
        </w:rPr>
        <w:t xml:space="preserve">          </w:t>
      </w:r>
      <w:r w:rsidR="00693BD9" w:rsidRPr="003051CD">
        <w:rPr>
          <w:rFonts w:ascii="Helvetica" w:eastAsia="Times New Roman" w:hAnsi="Helvetica" w:cs="Helvetica"/>
          <w:sz w:val="18"/>
          <w:szCs w:val="18"/>
          <w:lang w:val="es-ES"/>
        </w:rPr>
        <w:t>Fuente: Siplangl, III informe cuatrimestral y acumulado. Año 2020</w:t>
      </w:r>
      <w:r>
        <w:rPr>
          <w:rFonts w:ascii="Helvetica" w:eastAsia="Times New Roman" w:hAnsi="Helvetica" w:cs="Helvetica"/>
          <w:sz w:val="18"/>
          <w:szCs w:val="18"/>
          <w:lang w:val="es-ES"/>
        </w:rPr>
        <w:t>.</w:t>
      </w:r>
    </w:p>
    <w:p w14:paraId="6807127F"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725D93C3" w14:textId="77777777" w:rsidR="00693BD9" w:rsidRPr="0041346A" w:rsidRDefault="00693BD9" w:rsidP="0041346A">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41346A">
        <w:rPr>
          <w:rFonts w:ascii="Helvetica" w:eastAsia="Times New Roman" w:hAnsi="Helvetica" w:cs="Helvetica"/>
          <w:b/>
          <w:color w:val="002060"/>
          <w:sz w:val="28"/>
          <w:szCs w:val="28"/>
          <w:lang w:val="es-ES"/>
        </w:rPr>
        <w:t>Quetzaltenango</w:t>
      </w:r>
    </w:p>
    <w:p w14:paraId="0AFA82D3"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7798A2E" w14:textId="518AB2AB"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departamento presentó un promedio de ejecución financiera del</w:t>
      </w:r>
      <w:r w:rsidR="0041346A">
        <w:rPr>
          <w:rFonts w:ascii="Helvetica" w:eastAsia="Times New Roman" w:hAnsi="Helvetica" w:cs="Helvetica"/>
          <w:sz w:val="24"/>
          <w:szCs w:val="24"/>
          <w:lang w:val="es-ES"/>
        </w:rPr>
        <w:t xml:space="preserve"> </w:t>
      </w:r>
      <w:r w:rsidRPr="003051CD">
        <w:rPr>
          <w:rFonts w:ascii="Helvetica" w:eastAsia="Times New Roman" w:hAnsi="Helvetica" w:cs="Helvetica"/>
          <w:sz w:val="24"/>
          <w:szCs w:val="24"/>
          <w:lang w:val="es-ES"/>
        </w:rPr>
        <w:t>60.96%. Los municipios que mayor ejecución presentaron son: La Esperanza 87.45%, Olintepeque 81.50% y Cantel 80.64%. Cabe mencionar que Almolonga, Cabricán, Coatepeque, Colomba, Flores Costa Cuca, Génova, Palestina de Los Altos, Quetzaltenango, San Carlos Sija, San Francisco La Unión, San Juan Ostuncalco, San Miguel Sigüilá, Sibilia; no entregaron el tercer informe cuatrimestral.</w:t>
      </w:r>
      <w:r w:rsidR="00F52482">
        <w:rPr>
          <w:rFonts w:ascii="Helvetica" w:eastAsia="Times New Roman" w:hAnsi="Helvetica" w:cs="Helvetica"/>
          <w:sz w:val="24"/>
          <w:szCs w:val="24"/>
          <w:lang w:val="es-ES"/>
        </w:rPr>
        <w:t xml:space="preserve"> Ver tabla 33.</w:t>
      </w:r>
    </w:p>
    <w:p w14:paraId="3D4AC5CA" w14:textId="46396912" w:rsidR="00F407CB" w:rsidRDefault="00F407CB"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2F302EA1" w14:textId="72B257DE" w:rsidR="00693BD9" w:rsidRPr="00016865" w:rsidRDefault="00F407CB" w:rsidP="00016865">
      <w:pPr>
        <w:pStyle w:val="ttulosgrficas"/>
        <w:rPr>
          <w:rFonts w:eastAsia="Times New Roman"/>
          <w:color w:val="4472C4" w:themeColor="accent1"/>
          <w:lang w:val="es-ES"/>
        </w:rPr>
      </w:pPr>
      <w:bookmarkStart w:id="66" w:name="_Toc67589146"/>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33</w:t>
      </w:r>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Ejecución Financiera, Departamento de Quetzaltenango</w:t>
      </w:r>
      <w:bookmarkEnd w:id="66"/>
    </w:p>
    <w:p w14:paraId="721A0BF0" w14:textId="77777777" w:rsidR="00216644" w:rsidRPr="003051CD" w:rsidRDefault="00216644" w:rsidP="00216644">
      <w:pPr>
        <w:pStyle w:val="ttulosgrficas"/>
        <w:spacing w:line="120" w:lineRule="auto"/>
        <w:rPr>
          <w:lang w:val="es-ES"/>
        </w:rPr>
      </w:pPr>
    </w:p>
    <w:tbl>
      <w:tblPr>
        <w:tblW w:w="9051" w:type="dxa"/>
        <w:jc w:val="center"/>
        <w:tblCellMar>
          <w:left w:w="70" w:type="dxa"/>
          <w:right w:w="70" w:type="dxa"/>
        </w:tblCellMar>
        <w:tblLook w:val="04A0" w:firstRow="1" w:lastRow="0" w:firstColumn="1" w:lastColumn="0" w:noHBand="0" w:noVBand="1"/>
      </w:tblPr>
      <w:tblGrid>
        <w:gridCol w:w="737"/>
        <w:gridCol w:w="3050"/>
        <w:gridCol w:w="1995"/>
        <w:gridCol w:w="1995"/>
        <w:gridCol w:w="1274"/>
      </w:tblGrid>
      <w:tr w:rsidR="00216644" w:rsidRPr="003051CD" w14:paraId="730F4B1C" w14:textId="77777777" w:rsidTr="00FB3DF5">
        <w:trPr>
          <w:trHeight w:val="315"/>
          <w:jc w:val="center"/>
        </w:trPr>
        <w:tc>
          <w:tcPr>
            <w:tcW w:w="811" w:type="dxa"/>
            <w:tcBorders>
              <w:top w:val="nil"/>
              <w:left w:val="nil"/>
              <w:bottom w:val="single" w:sz="12" w:space="0" w:color="FFFFFF"/>
              <w:right w:val="single" w:sz="4" w:space="0" w:color="FFFFFF"/>
            </w:tcBorders>
            <w:shd w:val="clear" w:color="4472C4" w:fill="4472C4"/>
            <w:vAlign w:val="center"/>
          </w:tcPr>
          <w:p w14:paraId="5627D845" w14:textId="4F01E98F"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No.</w:t>
            </w:r>
          </w:p>
        </w:tc>
        <w:tc>
          <w:tcPr>
            <w:tcW w:w="3050" w:type="dxa"/>
            <w:tcBorders>
              <w:top w:val="nil"/>
              <w:left w:val="nil"/>
              <w:bottom w:val="single" w:sz="12" w:space="0" w:color="FFFFFF"/>
              <w:right w:val="single" w:sz="4" w:space="0" w:color="FFFFFF"/>
            </w:tcBorders>
            <w:shd w:val="clear" w:color="4472C4" w:fill="4472C4"/>
            <w:noWrap/>
            <w:vAlign w:val="center"/>
            <w:hideMark/>
          </w:tcPr>
          <w:p w14:paraId="66799AF9" w14:textId="0C4F3819"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Municipio</w:t>
            </w:r>
          </w:p>
        </w:tc>
        <w:tc>
          <w:tcPr>
            <w:tcW w:w="1995" w:type="dxa"/>
            <w:tcBorders>
              <w:top w:val="nil"/>
              <w:left w:val="nil"/>
              <w:bottom w:val="single" w:sz="12" w:space="0" w:color="FFFFFF"/>
              <w:right w:val="single" w:sz="4" w:space="0" w:color="FFFFFF"/>
            </w:tcBorders>
            <w:shd w:val="clear" w:color="4472C4" w:fill="4472C4"/>
            <w:noWrap/>
            <w:vAlign w:val="center"/>
            <w:hideMark/>
          </w:tcPr>
          <w:p w14:paraId="623B1D0B"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Meta Financiera Vigente</w:t>
            </w:r>
          </w:p>
        </w:tc>
        <w:tc>
          <w:tcPr>
            <w:tcW w:w="1995" w:type="dxa"/>
            <w:tcBorders>
              <w:top w:val="nil"/>
              <w:left w:val="nil"/>
              <w:bottom w:val="single" w:sz="12" w:space="0" w:color="FFFFFF"/>
              <w:right w:val="single" w:sz="4" w:space="0" w:color="FFFFFF"/>
            </w:tcBorders>
            <w:shd w:val="clear" w:color="4472C4" w:fill="4472C4"/>
            <w:noWrap/>
            <w:vAlign w:val="center"/>
            <w:hideMark/>
          </w:tcPr>
          <w:p w14:paraId="10D61FFE"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Ejecución Financiera</w:t>
            </w:r>
          </w:p>
        </w:tc>
        <w:tc>
          <w:tcPr>
            <w:tcW w:w="1200" w:type="dxa"/>
            <w:tcBorders>
              <w:top w:val="nil"/>
              <w:left w:val="nil"/>
              <w:bottom w:val="single" w:sz="12" w:space="0" w:color="FFFFFF"/>
              <w:right w:val="nil"/>
            </w:tcBorders>
            <w:shd w:val="clear" w:color="4472C4" w:fill="4472C4"/>
            <w:noWrap/>
            <w:vAlign w:val="center"/>
            <w:hideMark/>
          </w:tcPr>
          <w:p w14:paraId="01960375" w14:textId="77777777" w:rsidR="00216644" w:rsidRPr="00216644" w:rsidRDefault="00216644" w:rsidP="00216644">
            <w:pPr>
              <w:autoSpaceDE w:val="0"/>
              <w:autoSpaceDN w:val="0"/>
              <w:adjustRightInd w:val="0"/>
              <w:spacing w:after="0" w:line="240" w:lineRule="auto"/>
              <w:jc w:val="center"/>
              <w:rPr>
                <w:rFonts w:ascii="Helvetica" w:eastAsia="Times New Roman" w:hAnsi="Helvetica" w:cs="Helvetica"/>
                <w:b/>
                <w:bCs/>
                <w:sz w:val="24"/>
                <w:szCs w:val="24"/>
                <w:lang w:val="es-ES"/>
              </w:rPr>
            </w:pPr>
            <w:r w:rsidRPr="00216644">
              <w:rPr>
                <w:rFonts w:ascii="Helvetica" w:eastAsia="Times New Roman" w:hAnsi="Helvetica" w:cs="Helvetica"/>
                <w:b/>
                <w:bCs/>
                <w:sz w:val="24"/>
                <w:szCs w:val="24"/>
                <w:lang w:val="es-ES"/>
              </w:rPr>
              <w:t>% de Ejecución</w:t>
            </w:r>
          </w:p>
        </w:tc>
      </w:tr>
      <w:tr w:rsidR="00216644" w:rsidRPr="003051CD" w14:paraId="125939A2" w14:textId="77777777" w:rsidTr="00FB3DF5">
        <w:trPr>
          <w:trHeight w:val="315"/>
          <w:jc w:val="center"/>
        </w:trPr>
        <w:tc>
          <w:tcPr>
            <w:tcW w:w="811" w:type="dxa"/>
            <w:tcBorders>
              <w:top w:val="single" w:sz="4" w:space="0" w:color="FFFFFF"/>
              <w:left w:val="nil"/>
              <w:bottom w:val="single" w:sz="4" w:space="0" w:color="FFFFFF"/>
              <w:right w:val="single" w:sz="4" w:space="0" w:color="FFFFFF"/>
            </w:tcBorders>
            <w:shd w:val="clear" w:color="auto" w:fill="4F81BD"/>
          </w:tcPr>
          <w:p w14:paraId="1BA4DC25" w14:textId="7777777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
        </w:tc>
        <w:tc>
          <w:tcPr>
            <w:tcW w:w="3050" w:type="dxa"/>
            <w:tcBorders>
              <w:top w:val="single" w:sz="4" w:space="0" w:color="FFFFFF"/>
              <w:left w:val="nil"/>
              <w:bottom w:val="single" w:sz="4" w:space="0" w:color="FFFFFF"/>
              <w:right w:val="single" w:sz="4" w:space="0" w:color="FFFFFF"/>
            </w:tcBorders>
            <w:shd w:val="clear" w:color="auto" w:fill="4F81BD"/>
            <w:noWrap/>
            <w:vAlign w:val="bottom"/>
            <w:hideMark/>
          </w:tcPr>
          <w:p w14:paraId="2CC16670" w14:textId="51A0A9F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Todo el Departamento</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1283A00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Q228,792,992.73</w:t>
            </w:r>
          </w:p>
        </w:tc>
        <w:tc>
          <w:tcPr>
            <w:tcW w:w="1995" w:type="dxa"/>
            <w:tcBorders>
              <w:top w:val="single" w:sz="4" w:space="0" w:color="FFFFFF"/>
              <w:left w:val="single" w:sz="4" w:space="0" w:color="FFFFFF"/>
              <w:bottom w:val="single" w:sz="4" w:space="0" w:color="FFFFFF"/>
              <w:right w:val="single" w:sz="4" w:space="0" w:color="FFFFFF"/>
            </w:tcBorders>
            <w:shd w:val="clear" w:color="auto" w:fill="4F81BD"/>
            <w:noWrap/>
            <w:vAlign w:val="bottom"/>
            <w:hideMark/>
          </w:tcPr>
          <w:p w14:paraId="5E9F992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Q139,478,779.27</w:t>
            </w:r>
          </w:p>
        </w:tc>
        <w:tc>
          <w:tcPr>
            <w:tcW w:w="1200" w:type="dxa"/>
            <w:tcBorders>
              <w:top w:val="single" w:sz="4" w:space="0" w:color="FFFFFF"/>
              <w:left w:val="single" w:sz="4" w:space="0" w:color="FFFFFF"/>
              <w:bottom w:val="single" w:sz="4" w:space="0" w:color="FFFFFF"/>
              <w:right w:val="nil"/>
            </w:tcBorders>
            <w:shd w:val="clear" w:color="B4C6E7" w:fill="F9EA83"/>
            <w:noWrap/>
            <w:vAlign w:val="bottom"/>
            <w:hideMark/>
          </w:tcPr>
          <w:p w14:paraId="2BC3D1E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60.96%</w:t>
            </w:r>
          </w:p>
        </w:tc>
      </w:tr>
      <w:tr w:rsidR="00216644" w:rsidRPr="003051CD" w14:paraId="77E835CD"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37AA2AF9" w14:textId="1769E2E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0404A8BD" w14:textId="1E9E3D80"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La Esperanza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1CA069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Q21,790,799.26</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E6AD37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Q19,056,874.51</w:t>
            </w:r>
          </w:p>
        </w:tc>
        <w:tc>
          <w:tcPr>
            <w:tcW w:w="1200" w:type="dxa"/>
            <w:tcBorders>
              <w:top w:val="single" w:sz="4" w:space="0" w:color="FFFFFF"/>
              <w:left w:val="single" w:sz="4" w:space="0" w:color="FFFFFF"/>
              <w:bottom w:val="single" w:sz="4" w:space="0" w:color="FFFFFF"/>
              <w:right w:val="nil"/>
            </w:tcBorders>
            <w:shd w:val="clear" w:color="D9E1F2" w:fill="50C361"/>
            <w:noWrap/>
            <w:vAlign w:val="bottom"/>
            <w:hideMark/>
          </w:tcPr>
          <w:p w14:paraId="633EB66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87.45%</w:t>
            </w:r>
          </w:p>
        </w:tc>
      </w:tr>
      <w:tr w:rsidR="00216644" w:rsidRPr="003051CD" w14:paraId="5B282756"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166A5C7B" w14:textId="5432642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2264F601" w14:textId="163F5346"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Olintepeque</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63E5A0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Q19,811,839.20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10FC9C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Q16,147,235.67</w:t>
            </w:r>
          </w:p>
        </w:tc>
        <w:tc>
          <w:tcPr>
            <w:tcW w:w="1200" w:type="dxa"/>
            <w:tcBorders>
              <w:top w:val="single" w:sz="4" w:space="0" w:color="FFFFFF"/>
              <w:left w:val="single" w:sz="4" w:space="0" w:color="FFFFFF"/>
              <w:bottom w:val="single" w:sz="4" w:space="0" w:color="FFFFFF"/>
              <w:right w:val="nil"/>
            </w:tcBorders>
            <w:shd w:val="clear" w:color="B4C6E7" w:fill="76CC69"/>
            <w:noWrap/>
            <w:vAlign w:val="bottom"/>
            <w:hideMark/>
          </w:tcPr>
          <w:p w14:paraId="05BDBDD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81.50%</w:t>
            </w:r>
          </w:p>
        </w:tc>
      </w:tr>
      <w:tr w:rsidR="00216644" w:rsidRPr="003051CD" w14:paraId="0AE7E16F"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5719155C" w14:textId="2C37FFE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3</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2E79E65C" w14:textId="096A8911"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Cantel</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587224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Q25,916,503.65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C3AC2E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Q20,900,275.67</w:t>
            </w:r>
          </w:p>
        </w:tc>
        <w:tc>
          <w:tcPr>
            <w:tcW w:w="1200" w:type="dxa"/>
            <w:tcBorders>
              <w:top w:val="single" w:sz="4" w:space="0" w:color="FFFFFF"/>
              <w:left w:val="single" w:sz="4" w:space="0" w:color="FFFFFF"/>
              <w:bottom w:val="single" w:sz="4" w:space="0" w:color="FFFFFF"/>
              <w:right w:val="nil"/>
            </w:tcBorders>
            <w:shd w:val="clear" w:color="D9E1F2" w:fill="7CCD6A"/>
            <w:noWrap/>
            <w:vAlign w:val="bottom"/>
            <w:hideMark/>
          </w:tcPr>
          <w:p w14:paraId="7552F75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80.64%</w:t>
            </w:r>
          </w:p>
        </w:tc>
      </w:tr>
      <w:tr w:rsidR="00216644" w:rsidRPr="003051CD" w14:paraId="0D62BA25"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7BD7BC9C" w14:textId="7B6150C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4</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7CC0198A" w14:textId="78554F7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Zunil</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0A0C88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Q28,039,403.18</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338E2F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Q20,443,332.96</w:t>
            </w:r>
          </w:p>
        </w:tc>
        <w:tc>
          <w:tcPr>
            <w:tcW w:w="1200" w:type="dxa"/>
            <w:tcBorders>
              <w:top w:val="single" w:sz="4" w:space="0" w:color="FFFFFF"/>
              <w:left w:val="single" w:sz="4" w:space="0" w:color="FFFFFF"/>
              <w:bottom w:val="single" w:sz="4" w:space="0" w:color="FFFFFF"/>
              <w:right w:val="nil"/>
            </w:tcBorders>
            <w:shd w:val="clear" w:color="B4C6E7" w:fill="ADD874"/>
            <w:noWrap/>
            <w:vAlign w:val="bottom"/>
            <w:hideMark/>
          </w:tcPr>
          <w:p w14:paraId="1868F3E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72.91%</w:t>
            </w:r>
          </w:p>
        </w:tc>
      </w:tr>
      <w:tr w:rsidR="00216644" w:rsidRPr="003051CD" w14:paraId="46FADDB7"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231BE767" w14:textId="5F64D8E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5</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1F8BD843" w14:textId="1E6BA815"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El Palmar</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2F44C5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Q14,387,520.54</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1229DA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Q10,236,589.89</w:t>
            </w:r>
          </w:p>
        </w:tc>
        <w:tc>
          <w:tcPr>
            <w:tcW w:w="1200" w:type="dxa"/>
            <w:tcBorders>
              <w:top w:val="single" w:sz="4" w:space="0" w:color="FFFFFF"/>
              <w:left w:val="single" w:sz="4" w:space="0" w:color="FFFFFF"/>
              <w:bottom w:val="single" w:sz="4" w:space="0" w:color="FFFFFF"/>
              <w:right w:val="nil"/>
            </w:tcBorders>
            <w:shd w:val="clear" w:color="D9E1F2" w:fill="B8DB76"/>
            <w:noWrap/>
            <w:vAlign w:val="bottom"/>
            <w:hideMark/>
          </w:tcPr>
          <w:p w14:paraId="28079C1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71.15%</w:t>
            </w:r>
          </w:p>
        </w:tc>
      </w:tr>
      <w:tr w:rsidR="00216644" w:rsidRPr="003051CD" w14:paraId="08B7210E"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2528F8E4" w14:textId="3AE2047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6</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21189AE6" w14:textId="00890F9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Cajolá</w:t>
            </w:r>
            <w:proofErr w:type="spellEnd"/>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7FB2A7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Q19,364,795.03</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998166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Q13,055,797.36</w:t>
            </w:r>
          </w:p>
        </w:tc>
        <w:tc>
          <w:tcPr>
            <w:tcW w:w="1200" w:type="dxa"/>
            <w:tcBorders>
              <w:top w:val="single" w:sz="4" w:space="0" w:color="FFFFFF"/>
              <w:left w:val="single" w:sz="4" w:space="0" w:color="FFFFFF"/>
              <w:bottom w:val="single" w:sz="4" w:space="0" w:color="FFFFFF"/>
              <w:right w:val="nil"/>
            </w:tcBorders>
            <w:shd w:val="clear" w:color="B4C6E7" w:fill="D0E17B"/>
            <w:noWrap/>
            <w:vAlign w:val="bottom"/>
            <w:hideMark/>
          </w:tcPr>
          <w:p w14:paraId="2AA14A9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67.42%</w:t>
            </w:r>
          </w:p>
        </w:tc>
      </w:tr>
      <w:tr w:rsidR="00216644" w:rsidRPr="003051CD" w14:paraId="1A79DE29"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674FA93C" w14:textId="0BD1137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7</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747BD147" w14:textId="2FE10A2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Martin Sacatepéquez</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D187DA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Q21,539,676.52</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F99B9C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Q12,165,498.91</w:t>
            </w:r>
          </w:p>
        </w:tc>
        <w:tc>
          <w:tcPr>
            <w:tcW w:w="1200" w:type="dxa"/>
            <w:tcBorders>
              <w:top w:val="single" w:sz="4" w:space="0" w:color="FFFFFF"/>
              <w:left w:val="single" w:sz="4" w:space="0" w:color="FFFFFF"/>
              <w:bottom w:val="single" w:sz="4" w:space="0" w:color="FFFFFF"/>
              <w:right w:val="nil"/>
            </w:tcBorders>
            <w:shd w:val="clear" w:color="D9E1F2" w:fill="FEE382"/>
            <w:noWrap/>
            <w:vAlign w:val="bottom"/>
            <w:hideMark/>
          </w:tcPr>
          <w:p w14:paraId="0777D02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56.48%</w:t>
            </w:r>
          </w:p>
        </w:tc>
      </w:tr>
      <w:tr w:rsidR="00216644" w:rsidRPr="003051CD" w14:paraId="2BEC31F5"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39807F09" w14:textId="6EE43004"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8</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504C8AE2" w14:textId="761C5F4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proofErr w:type="spellStart"/>
            <w:r w:rsidRPr="003051CD">
              <w:rPr>
                <w:rFonts w:ascii="Helvetica" w:eastAsia="Times New Roman" w:hAnsi="Helvetica" w:cs="Helvetica"/>
                <w:sz w:val="24"/>
                <w:szCs w:val="24"/>
                <w:lang w:val="es-ES"/>
              </w:rPr>
              <w:t>Huitán</w:t>
            </w:r>
            <w:proofErr w:type="spellEnd"/>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378DE9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Q8,725,000.00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EFFFC3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Q4,689,600.00</w:t>
            </w:r>
          </w:p>
        </w:tc>
        <w:tc>
          <w:tcPr>
            <w:tcW w:w="1200" w:type="dxa"/>
            <w:tcBorders>
              <w:top w:val="single" w:sz="4" w:space="0" w:color="FFFFFF"/>
              <w:left w:val="single" w:sz="4" w:space="0" w:color="FFFFFF"/>
              <w:bottom w:val="single" w:sz="4" w:space="0" w:color="FFFFFF"/>
              <w:right w:val="nil"/>
            </w:tcBorders>
            <w:shd w:val="clear" w:color="B4C6E7" w:fill="FEDD81"/>
            <w:noWrap/>
            <w:vAlign w:val="bottom"/>
            <w:hideMark/>
          </w:tcPr>
          <w:p w14:paraId="6D7B3D5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53.75%</w:t>
            </w:r>
          </w:p>
        </w:tc>
      </w:tr>
      <w:tr w:rsidR="00216644" w:rsidRPr="003051CD" w14:paraId="5E3EEEBB"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50B4335C" w14:textId="4312F25A"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9</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1F453C47" w14:textId="11965E81"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Salcajá</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E26331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Q37,790,233.00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A82647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Q15,560,485.97</w:t>
            </w:r>
          </w:p>
        </w:tc>
        <w:tc>
          <w:tcPr>
            <w:tcW w:w="1200" w:type="dxa"/>
            <w:tcBorders>
              <w:top w:val="single" w:sz="4" w:space="0" w:color="FFFFFF"/>
              <w:left w:val="single" w:sz="4" w:space="0" w:color="FFFFFF"/>
              <w:bottom w:val="single" w:sz="4" w:space="0" w:color="FFFFFF"/>
              <w:right w:val="nil"/>
            </w:tcBorders>
            <w:shd w:val="clear" w:color="D9E1F2" w:fill="FCC27C"/>
            <w:noWrap/>
            <w:vAlign w:val="bottom"/>
            <w:hideMark/>
          </w:tcPr>
          <w:p w14:paraId="575475F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41.18%</w:t>
            </w:r>
          </w:p>
        </w:tc>
      </w:tr>
      <w:tr w:rsidR="00216644" w:rsidRPr="003051CD" w14:paraId="6457923C"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5BD9E0DB" w14:textId="12B585C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10</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2F595FE4" w14:textId="2C23289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Mateo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2C06D2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Q19,824,227.60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B27EA9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Q6,468,069.07</w:t>
            </w:r>
          </w:p>
        </w:tc>
        <w:tc>
          <w:tcPr>
            <w:tcW w:w="1200" w:type="dxa"/>
            <w:tcBorders>
              <w:top w:val="single" w:sz="4" w:space="0" w:color="FFFFFF"/>
              <w:left w:val="single" w:sz="4" w:space="0" w:color="FFFFFF"/>
              <w:bottom w:val="single" w:sz="4" w:space="0" w:color="FFFFFF"/>
              <w:right w:val="nil"/>
            </w:tcBorders>
            <w:shd w:val="clear" w:color="B4C6E7" w:fill="FBAF78"/>
            <w:noWrap/>
            <w:vAlign w:val="bottom"/>
            <w:hideMark/>
          </w:tcPr>
          <w:p w14:paraId="455EE3D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32.63%</w:t>
            </w:r>
          </w:p>
        </w:tc>
      </w:tr>
      <w:tr w:rsidR="00216644" w:rsidRPr="003051CD" w14:paraId="22FBDD85"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5C8B8272" w14:textId="475C2519"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11</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0E91ED8E" w14:textId="509418E2"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Concepción Chiquirichapa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F53075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Q11,602,994.75</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F4CD17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Q755,019.26</w:t>
            </w:r>
          </w:p>
        </w:tc>
        <w:tc>
          <w:tcPr>
            <w:tcW w:w="1200" w:type="dxa"/>
            <w:tcBorders>
              <w:top w:val="single" w:sz="4" w:space="0" w:color="FFFFFF"/>
              <w:left w:val="single" w:sz="4" w:space="0" w:color="FFFFFF"/>
              <w:bottom w:val="single" w:sz="4" w:space="0" w:color="FFFFFF"/>
              <w:right w:val="nil"/>
            </w:tcBorders>
            <w:shd w:val="clear" w:color="D9E1F2" w:fill="F8776D"/>
            <w:noWrap/>
            <w:vAlign w:val="bottom"/>
            <w:hideMark/>
          </w:tcPr>
          <w:p w14:paraId="410CCC0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6.51%</w:t>
            </w:r>
          </w:p>
        </w:tc>
      </w:tr>
      <w:tr w:rsidR="00216644" w:rsidRPr="003051CD" w14:paraId="2E7D8BC4"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10B38918" w14:textId="0E9A099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12</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336DFAE7" w14:textId="6F18424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Almolonga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D3F439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F11B3C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0529C52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DC43C2A"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3C047598" w14:textId="47B66BF5"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13</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216797D3" w14:textId="529F156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Cabricán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E38474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0134F86"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2FDEB4A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4C5DCB6F"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759F2CEE" w14:textId="25FB97D6"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14</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3C44C929" w14:textId="12202103"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Coatepeque</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5E602A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401D6C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65997D0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22240C5D"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639A3B21" w14:textId="5A9E0A60"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15</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45523804" w14:textId="768B932E"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Colomba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E3BD15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7DBA37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201A0AF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37B95C86"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2C0221F7" w14:textId="4A444EF1"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16</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5BFB02B5" w14:textId="2EDB3EBA"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Flores Costa Cuca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7A3B910"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EFF767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596FF93C"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76A90412"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1EA74C49" w14:textId="31EEAE2C"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17</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5D1F3F78" w14:textId="68DDC3A4"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Génova</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2D2C0AE"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A367DC5"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5783CEF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1AFC7833"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4262B268" w14:textId="0D36057D"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18</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4D0E14E8" w14:textId="132660F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Palestina de Los Altos</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044F78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0D9ABF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19A646F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7DB6DC19"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76428CCB" w14:textId="1C14389F"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19</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629BFE8A" w14:textId="5F630EFB"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Quetzaltenango</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580CEF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98FF97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73617AF4"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1952A2DC"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5CD976FC" w14:textId="27D8D397"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20</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6B2695DA" w14:textId="7220513D"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Carlos Sija</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24FC64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9758169"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7BF24BCB"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64154971"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018D9E41" w14:textId="7FB67A2F"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21</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123E8BFF" w14:textId="1DB69C0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Francisco La Unión</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48D605A"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EB5FE5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66EB186F"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074A5165"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B4C6E7" w:fill="B4C6E7"/>
          </w:tcPr>
          <w:p w14:paraId="6FB494F0" w14:textId="7078B19B"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22</w:t>
            </w:r>
          </w:p>
        </w:tc>
        <w:tc>
          <w:tcPr>
            <w:tcW w:w="3050" w:type="dxa"/>
            <w:tcBorders>
              <w:top w:val="single" w:sz="4" w:space="0" w:color="FFFFFF"/>
              <w:left w:val="nil"/>
              <w:bottom w:val="single" w:sz="4" w:space="0" w:color="FFFFFF"/>
              <w:right w:val="single" w:sz="4" w:space="0" w:color="FFFFFF"/>
            </w:tcBorders>
            <w:shd w:val="clear" w:color="B4C6E7" w:fill="B4C6E7"/>
            <w:noWrap/>
            <w:vAlign w:val="bottom"/>
            <w:hideMark/>
          </w:tcPr>
          <w:p w14:paraId="1FAF5C34" w14:textId="30FCDCEF"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Juan Ostuncalco</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570FCCD"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A9F0A0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424FB7C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4E268EB7" w14:textId="77777777" w:rsidTr="00FB3DF5">
        <w:trPr>
          <w:trHeight w:val="300"/>
          <w:jc w:val="center"/>
        </w:trPr>
        <w:tc>
          <w:tcPr>
            <w:tcW w:w="811" w:type="dxa"/>
            <w:tcBorders>
              <w:top w:val="single" w:sz="4" w:space="0" w:color="FFFFFF"/>
              <w:left w:val="nil"/>
              <w:bottom w:val="single" w:sz="4" w:space="0" w:color="FFFFFF"/>
              <w:right w:val="single" w:sz="4" w:space="0" w:color="FFFFFF"/>
            </w:tcBorders>
            <w:shd w:val="clear" w:color="D9E1F2" w:fill="D9E1F2"/>
          </w:tcPr>
          <w:p w14:paraId="32161321" w14:textId="4D0B444E"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23</w:t>
            </w:r>
          </w:p>
        </w:tc>
        <w:tc>
          <w:tcPr>
            <w:tcW w:w="3050" w:type="dxa"/>
            <w:tcBorders>
              <w:top w:val="single" w:sz="4" w:space="0" w:color="FFFFFF"/>
              <w:left w:val="nil"/>
              <w:bottom w:val="single" w:sz="4" w:space="0" w:color="FFFFFF"/>
              <w:right w:val="single" w:sz="4" w:space="0" w:color="FFFFFF"/>
            </w:tcBorders>
            <w:shd w:val="clear" w:color="D9E1F2" w:fill="D9E1F2"/>
            <w:noWrap/>
            <w:vAlign w:val="bottom"/>
            <w:hideMark/>
          </w:tcPr>
          <w:p w14:paraId="49214C15" w14:textId="7DC2B7E7"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San Miguel Sigüilá</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D70AAE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65941A1"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D9E1F2" w:fill="F8696B"/>
            <w:noWrap/>
            <w:vAlign w:val="bottom"/>
            <w:hideMark/>
          </w:tcPr>
          <w:p w14:paraId="29376B92"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r w:rsidR="00216644" w:rsidRPr="003051CD" w14:paraId="2482B566" w14:textId="77777777" w:rsidTr="00FB3DF5">
        <w:trPr>
          <w:trHeight w:val="300"/>
          <w:jc w:val="center"/>
        </w:trPr>
        <w:tc>
          <w:tcPr>
            <w:tcW w:w="811" w:type="dxa"/>
            <w:tcBorders>
              <w:top w:val="single" w:sz="4" w:space="0" w:color="FFFFFF"/>
              <w:left w:val="nil"/>
              <w:bottom w:val="nil"/>
              <w:right w:val="single" w:sz="4" w:space="0" w:color="FFFFFF"/>
            </w:tcBorders>
            <w:shd w:val="clear" w:color="B4C6E7" w:fill="B4C6E7"/>
          </w:tcPr>
          <w:p w14:paraId="5CDCF1D4" w14:textId="21864188" w:rsidR="00216644" w:rsidRPr="003051CD" w:rsidRDefault="00216644" w:rsidP="00216644">
            <w:pPr>
              <w:autoSpaceDE w:val="0"/>
              <w:autoSpaceDN w:val="0"/>
              <w:adjustRightInd w:val="0"/>
              <w:spacing w:after="0" w:line="240" w:lineRule="auto"/>
              <w:jc w:val="center"/>
              <w:rPr>
                <w:rFonts w:ascii="Helvetica" w:eastAsia="Times New Roman" w:hAnsi="Helvetica" w:cs="Helvetica"/>
                <w:sz w:val="24"/>
                <w:szCs w:val="24"/>
                <w:lang w:val="es-ES"/>
              </w:rPr>
            </w:pPr>
            <w:r>
              <w:rPr>
                <w:rFonts w:ascii="Helvetica" w:eastAsia="Times New Roman" w:hAnsi="Helvetica" w:cs="Helvetica"/>
                <w:sz w:val="24"/>
                <w:szCs w:val="24"/>
                <w:lang w:val="es-ES"/>
              </w:rPr>
              <w:t>24</w:t>
            </w:r>
          </w:p>
        </w:tc>
        <w:tc>
          <w:tcPr>
            <w:tcW w:w="3050" w:type="dxa"/>
            <w:tcBorders>
              <w:top w:val="single" w:sz="4" w:space="0" w:color="FFFFFF"/>
              <w:left w:val="nil"/>
              <w:bottom w:val="nil"/>
              <w:right w:val="single" w:sz="4" w:space="0" w:color="FFFFFF"/>
            </w:tcBorders>
            <w:shd w:val="clear" w:color="B4C6E7" w:fill="B4C6E7"/>
            <w:noWrap/>
            <w:vAlign w:val="bottom"/>
            <w:hideMark/>
          </w:tcPr>
          <w:p w14:paraId="383DD1AE" w14:textId="13E8965C" w:rsidR="00216644" w:rsidRPr="003051CD" w:rsidRDefault="00216644" w:rsidP="00D219CB">
            <w:pPr>
              <w:autoSpaceDE w:val="0"/>
              <w:autoSpaceDN w:val="0"/>
              <w:adjustRightInd w:val="0"/>
              <w:spacing w:after="0" w:line="240" w:lineRule="auto"/>
              <w:jc w:val="both"/>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Sibilia</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36A1D9D3"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995" w:type="dxa"/>
            <w:tcBorders>
              <w:top w:val="single" w:sz="4" w:space="0" w:color="FFFFFF"/>
              <w:left w:val="single" w:sz="4" w:space="0" w:color="FFFFFF"/>
              <w:bottom w:val="nil"/>
              <w:right w:val="single" w:sz="4" w:space="0" w:color="FFFFFF"/>
            </w:tcBorders>
            <w:shd w:val="clear" w:color="B4C6E7" w:fill="B4C6E7"/>
            <w:noWrap/>
            <w:vAlign w:val="bottom"/>
            <w:hideMark/>
          </w:tcPr>
          <w:p w14:paraId="7A2E56C7"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Q0.00</w:t>
            </w:r>
          </w:p>
        </w:tc>
        <w:tc>
          <w:tcPr>
            <w:tcW w:w="1200" w:type="dxa"/>
            <w:tcBorders>
              <w:top w:val="single" w:sz="4" w:space="0" w:color="FFFFFF"/>
              <w:left w:val="single" w:sz="4" w:space="0" w:color="FFFFFF"/>
              <w:bottom w:val="single" w:sz="4" w:space="0" w:color="FFFFFF"/>
              <w:right w:val="nil"/>
            </w:tcBorders>
            <w:shd w:val="clear" w:color="B4C6E7" w:fill="F8696B"/>
            <w:noWrap/>
            <w:vAlign w:val="bottom"/>
            <w:hideMark/>
          </w:tcPr>
          <w:p w14:paraId="5EC41C68" w14:textId="77777777" w:rsidR="00216644" w:rsidRPr="003051CD" w:rsidRDefault="00216644" w:rsidP="00D219CB">
            <w:pPr>
              <w:autoSpaceDE w:val="0"/>
              <w:autoSpaceDN w:val="0"/>
              <w:adjustRightInd w:val="0"/>
              <w:spacing w:after="0" w:line="240" w:lineRule="auto"/>
              <w:jc w:val="right"/>
              <w:rPr>
                <w:rFonts w:ascii="Helvetica" w:eastAsia="Times New Roman" w:hAnsi="Helvetica" w:cs="Helvetica"/>
                <w:sz w:val="24"/>
                <w:szCs w:val="24"/>
                <w:lang w:val="es-ES"/>
              </w:rPr>
            </w:pPr>
            <w:r w:rsidRPr="003051CD">
              <w:rPr>
                <w:rFonts w:ascii="Helvetica" w:eastAsia="Times New Roman" w:hAnsi="Helvetica" w:cs="Helvetica"/>
                <w:sz w:val="24"/>
                <w:szCs w:val="24"/>
                <w:lang w:val="es-ES"/>
              </w:rPr>
              <w:t>0.00%</w:t>
            </w:r>
          </w:p>
        </w:tc>
      </w:tr>
    </w:tbl>
    <w:p w14:paraId="4575C7F2" w14:textId="25EF4DFE" w:rsidR="00693BD9" w:rsidRPr="003051CD" w:rsidRDefault="00693BD9" w:rsidP="00693BD9">
      <w:pPr>
        <w:autoSpaceDE w:val="0"/>
        <w:autoSpaceDN w:val="0"/>
        <w:adjustRightInd w:val="0"/>
        <w:spacing w:after="0" w:line="240" w:lineRule="auto"/>
        <w:jc w:val="both"/>
        <w:rPr>
          <w:rFonts w:ascii="Helvetica" w:eastAsia="Times New Roman" w:hAnsi="Helvetica" w:cs="Helvetica"/>
          <w:sz w:val="18"/>
          <w:szCs w:val="18"/>
          <w:lang w:val="es-ES"/>
        </w:rPr>
      </w:pPr>
      <w:r w:rsidRPr="003051CD">
        <w:rPr>
          <w:rFonts w:ascii="Helvetica" w:eastAsia="Times New Roman" w:hAnsi="Helvetica" w:cs="Helvetica"/>
          <w:sz w:val="24"/>
          <w:szCs w:val="24"/>
          <w:lang w:val="es-ES"/>
        </w:rPr>
        <w:t xml:space="preserve">    </w:t>
      </w:r>
      <w:r w:rsidR="00216644">
        <w:rPr>
          <w:rFonts w:ascii="Helvetica" w:eastAsia="Times New Roman" w:hAnsi="Helvetica" w:cs="Helvetica"/>
          <w:sz w:val="24"/>
          <w:szCs w:val="24"/>
          <w:lang w:val="es-ES"/>
        </w:rPr>
        <w:t xml:space="preserve">   </w:t>
      </w:r>
      <w:r w:rsidRPr="003051CD">
        <w:rPr>
          <w:rFonts w:ascii="Helvetica" w:eastAsia="Times New Roman" w:hAnsi="Helvetica" w:cs="Helvetica"/>
          <w:sz w:val="18"/>
          <w:szCs w:val="18"/>
          <w:lang w:val="es-ES"/>
        </w:rPr>
        <w:t>Fuente: Siplangl, III informe cuatrimestral y acumulado. Año 2020</w:t>
      </w:r>
      <w:r w:rsidR="00216644">
        <w:rPr>
          <w:rFonts w:ascii="Helvetica" w:eastAsia="Times New Roman" w:hAnsi="Helvetica" w:cs="Helvetica"/>
          <w:sz w:val="18"/>
          <w:szCs w:val="18"/>
          <w:lang w:val="es-ES"/>
        </w:rPr>
        <w:t>.</w:t>
      </w:r>
    </w:p>
    <w:p w14:paraId="52846A1A"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F13BB72" w14:textId="77777777" w:rsidR="00693BD9" w:rsidRPr="00AD6F07" w:rsidRDefault="00693BD9" w:rsidP="00693BD9">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AD6F07">
        <w:rPr>
          <w:rFonts w:ascii="Helvetica" w:eastAsia="Times New Roman" w:hAnsi="Helvetica" w:cs="Helvetica"/>
          <w:b/>
          <w:color w:val="002060"/>
          <w:sz w:val="28"/>
          <w:szCs w:val="28"/>
          <w:lang w:val="es-ES"/>
        </w:rPr>
        <w:t>Modificaciones al POA 2020</w:t>
      </w:r>
    </w:p>
    <w:p w14:paraId="030AB306" w14:textId="77777777" w:rsidR="00693BD9" w:rsidRPr="003051CD"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4C829FE8" w14:textId="1E646BFF" w:rsidR="00693BD9" w:rsidRDefault="00693BD9" w:rsidP="00693BD9">
      <w:pPr>
        <w:autoSpaceDE w:val="0"/>
        <w:autoSpaceDN w:val="0"/>
        <w:adjustRightInd w:val="0"/>
        <w:spacing w:after="0" w:line="240" w:lineRule="auto"/>
        <w:jc w:val="both"/>
        <w:rPr>
          <w:rFonts w:ascii="Helvetica" w:eastAsia="Times New Roman" w:hAnsi="Helvetica" w:cs="Helvetica"/>
          <w:sz w:val="24"/>
          <w:szCs w:val="24"/>
          <w:lang w:val="es-ES"/>
        </w:rPr>
      </w:pPr>
      <w:r>
        <w:rPr>
          <w:rFonts w:ascii="Helvetica" w:eastAsia="Times New Roman" w:hAnsi="Helvetica" w:cs="Helvetica"/>
          <w:sz w:val="24"/>
          <w:szCs w:val="24"/>
          <w:lang w:val="es-ES"/>
        </w:rPr>
        <w:t>E</w:t>
      </w:r>
      <w:r w:rsidRPr="005233D0">
        <w:rPr>
          <w:rFonts w:ascii="Helvetica" w:eastAsia="Times New Roman" w:hAnsi="Helvetica" w:cs="Helvetica"/>
          <w:sz w:val="24"/>
          <w:szCs w:val="24"/>
          <w:lang w:val="es-ES"/>
        </w:rPr>
        <w:t xml:space="preserve">n el sistema de Siplangl, las municipalidades realizaron varias modificaciones a las intervenciones del POA 2020, siendo un total de 1,690 </w:t>
      </w:r>
      <w:r>
        <w:rPr>
          <w:rFonts w:ascii="Helvetica" w:eastAsia="Times New Roman" w:hAnsi="Helvetica" w:cs="Helvetica"/>
          <w:sz w:val="24"/>
          <w:szCs w:val="24"/>
          <w:lang w:val="es-ES"/>
        </w:rPr>
        <w:t>reprogramaciones financieras y 487 reprogramaciones físicas. Después de ese ejercicio</w:t>
      </w:r>
      <w:r w:rsidRPr="005233D0">
        <w:rPr>
          <w:rFonts w:ascii="Helvetica" w:eastAsia="Times New Roman" w:hAnsi="Helvetica" w:cs="Helvetica"/>
          <w:sz w:val="24"/>
          <w:szCs w:val="24"/>
          <w:lang w:val="es-ES"/>
        </w:rPr>
        <w:t>, el presupuesto general mostrado en Siplangl, aumentó en un aproximado de 300 millones de quetzales.</w:t>
      </w:r>
      <w:r w:rsidR="00F52482">
        <w:rPr>
          <w:rFonts w:ascii="Helvetica" w:eastAsia="Times New Roman" w:hAnsi="Helvetica" w:cs="Helvetica"/>
          <w:sz w:val="24"/>
          <w:szCs w:val="24"/>
          <w:lang w:val="es-ES"/>
        </w:rPr>
        <w:t xml:space="preserve"> Ver gráfica 2.</w:t>
      </w:r>
    </w:p>
    <w:p w14:paraId="0D8FDD6C" w14:textId="675C9AA5" w:rsidR="005D4383" w:rsidRDefault="005D4383"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01E190D" w14:textId="77777777" w:rsidR="00AD5ABC" w:rsidRDefault="00AD5ABC" w:rsidP="00693BD9">
      <w:pPr>
        <w:autoSpaceDE w:val="0"/>
        <w:autoSpaceDN w:val="0"/>
        <w:adjustRightInd w:val="0"/>
        <w:spacing w:after="0" w:line="240" w:lineRule="auto"/>
        <w:jc w:val="both"/>
        <w:rPr>
          <w:rFonts w:ascii="Helvetica" w:eastAsia="Times New Roman" w:hAnsi="Helvetica" w:cs="Helvetica"/>
          <w:sz w:val="24"/>
          <w:szCs w:val="24"/>
          <w:lang w:val="es-ES"/>
        </w:rPr>
      </w:pPr>
    </w:p>
    <w:p w14:paraId="0F2CF527" w14:textId="4EEB1618" w:rsidR="00693BD9" w:rsidRPr="005D4383" w:rsidRDefault="00307F8F" w:rsidP="00016865">
      <w:pPr>
        <w:pStyle w:val="ttulosgrficas"/>
        <w:rPr>
          <w:rFonts w:eastAsia="Times New Roman"/>
          <w:b w:val="0"/>
          <w:color w:val="4472C4" w:themeColor="accent1"/>
          <w:lang w:val="es-ES"/>
        </w:rPr>
      </w:pPr>
      <w:bookmarkStart w:id="67" w:name="_Toc67377809"/>
      <w:bookmarkStart w:id="68" w:name="_Toc67381552"/>
      <w:bookmarkStart w:id="69" w:name="_Toc67589102"/>
      <w:r w:rsidRPr="00016865">
        <w:rPr>
          <w:rFonts w:eastAsia="Times New Roman"/>
          <w:color w:val="4472C4" w:themeColor="accent1"/>
          <w:lang w:val="es-ES"/>
        </w:rPr>
        <w:t xml:space="preserve">Gráfica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Gráfica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2</w:t>
      </w:r>
      <w:bookmarkEnd w:id="67"/>
      <w:bookmarkEnd w:id="68"/>
      <w:r w:rsidR="007F134F" w:rsidRPr="00016865">
        <w:rPr>
          <w:rFonts w:eastAsia="Times New Roman"/>
          <w:color w:val="4472C4" w:themeColor="accent1"/>
          <w:lang w:val="es-ES"/>
        </w:rPr>
        <w:fldChar w:fldCharType="end"/>
      </w:r>
      <w:r w:rsidR="005D4383" w:rsidRPr="00016865">
        <w:rPr>
          <w:rFonts w:eastAsia="Times New Roman"/>
          <w:color w:val="4472C4" w:themeColor="accent1"/>
          <w:lang w:val="es-ES"/>
        </w:rPr>
        <w:t xml:space="preserve">, </w:t>
      </w:r>
      <w:r w:rsidR="00693BD9" w:rsidRPr="00016865">
        <w:rPr>
          <w:rFonts w:eastAsia="Times New Roman"/>
          <w:color w:val="4472C4" w:themeColor="accent1"/>
          <w:lang w:val="es-ES"/>
        </w:rPr>
        <w:t>Número de Modificaciones al POA 2020</w:t>
      </w:r>
      <w:r w:rsidR="00145E91" w:rsidRPr="00016865">
        <w:rPr>
          <w:rFonts w:eastAsia="Times New Roman"/>
          <w:color w:val="4472C4" w:themeColor="accent1"/>
          <w:lang w:val="es-ES"/>
        </w:rPr>
        <w:t>,</w:t>
      </w:r>
      <w:r w:rsidR="00693BD9" w:rsidRPr="00016865">
        <w:rPr>
          <w:rFonts w:eastAsia="Times New Roman"/>
          <w:color w:val="4472C4" w:themeColor="accent1"/>
          <w:lang w:val="es-ES"/>
        </w:rPr>
        <w:t xml:space="preserve"> por departamento</w:t>
      </w:r>
      <w:bookmarkEnd w:id="69"/>
    </w:p>
    <w:p w14:paraId="68F331CC" w14:textId="63150EDA" w:rsidR="00FB3DF5" w:rsidRPr="003051CD" w:rsidRDefault="00FB3DF5" w:rsidP="00693BD9">
      <w:pPr>
        <w:pStyle w:val="ttulosgrficas"/>
        <w:rPr>
          <w:lang w:val="es-ES"/>
        </w:rPr>
      </w:pPr>
      <w:r w:rsidRPr="003051CD">
        <w:rPr>
          <w:noProof/>
          <w:lang w:eastAsia="es-GT"/>
        </w:rPr>
        <w:drawing>
          <wp:anchor distT="0" distB="0" distL="114300" distR="114300" simplePos="0" relativeHeight="251659264" behindDoc="0" locked="0" layoutInCell="1" allowOverlap="1" wp14:anchorId="1AFBA1B9" wp14:editId="0DA90DAF">
            <wp:simplePos x="0" y="0"/>
            <wp:positionH relativeFrom="margin">
              <wp:align>left</wp:align>
            </wp:positionH>
            <wp:positionV relativeFrom="paragraph">
              <wp:posOffset>97790</wp:posOffset>
            </wp:positionV>
            <wp:extent cx="5612130" cy="2299335"/>
            <wp:effectExtent l="0" t="0" r="7620" b="5715"/>
            <wp:wrapSquare wrapText="bothSides"/>
            <wp:docPr id="23" name="Gráfico 2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4A847C-0CD3-4248-9D0E-7F8A1395BC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V relativeFrom="margin">
              <wp14:pctHeight>0</wp14:pctHeight>
            </wp14:sizeRelV>
          </wp:anchor>
        </w:drawing>
      </w:r>
    </w:p>
    <w:p w14:paraId="1B313AEE" w14:textId="265E78C1" w:rsidR="00BA17A3" w:rsidRDefault="00693BD9" w:rsidP="00693BD9">
      <w:pPr>
        <w:rPr>
          <w:rFonts w:ascii="Helvetica" w:eastAsia="Times New Roman" w:hAnsi="Helvetica" w:cs="Helvetica"/>
          <w:sz w:val="18"/>
          <w:szCs w:val="18"/>
          <w:lang w:val="es-ES"/>
        </w:rPr>
      </w:pPr>
      <w:r w:rsidRPr="003051CD">
        <w:rPr>
          <w:rFonts w:ascii="Helvetica" w:eastAsia="Times New Roman" w:hAnsi="Helvetica" w:cs="Helvetica"/>
          <w:sz w:val="18"/>
          <w:szCs w:val="18"/>
          <w:lang w:val="es-ES"/>
        </w:rPr>
        <w:t>Fuente: Siplangl, tercer informe cuatrimestral y acumulado. Año 2020</w:t>
      </w:r>
      <w:r w:rsidR="00FB3DF5">
        <w:rPr>
          <w:rFonts w:ascii="Helvetica" w:eastAsia="Times New Roman" w:hAnsi="Helvetica" w:cs="Helvetica"/>
          <w:sz w:val="18"/>
          <w:szCs w:val="18"/>
          <w:lang w:val="es-ES"/>
        </w:rPr>
        <w:t>.</w:t>
      </w:r>
    </w:p>
    <w:p w14:paraId="114B40CF" w14:textId="4FB8918F" w:rsidR="0067473B" w:rsidRDefault="00825577" w:rsidP="00825577">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r w:rsidRPr="00825577">
        <w:rPr>
          <w:rFonts w:ascii="Helvetica" w:eastAsia="Times New Roman" w:hAnsi="Helvetica" w:cs="Helvetica"/>
          <w:b/>
          <w:color w:val="002060"/>
          <w:sz w:val="28"/>
          <w:szCs w:val="28"/>
          <w:lang w:val="es-ES"/>
        </w:rPr>
        <w:t>Presupuesto ejecutado por COVID</w:t>
      </w:r>
      <w:r w:rsidR="0064339C">
        <w:rPr>
          <w:rFonts w:ascii="Helvetica" w:eastAsia="Times New Roman" w:hAnsi="Helvetica" w:cs="Helvetica"/>
          <w:b/>
          <w:color w:val="002060"/>
          <w:sz w:val="28"/>
          <w:szCs w:val="28"/>
          <w:lang w:val="es-ES"/>
        </w:rPr>
        <w:t>-</w:t>
      </w:r>
      <w:r w:rsidRPr="00825577">
        <w:rPr>
          <w:rFonts w:ascii="Helvetica" w:eastAsia="Times New Roman" w:hAnsi="Helvetica" w:cs="Helvetica"/>
          <w:b/>
          <w:color w:val="002060"/>
          <w:sz w:val="28"/>
          <w:szCs w:val="28"/>
          <w:lang w:val="es-ES"/>
        </w:rPr>
        <w:t>19</w:t>
      </w:r>
    </w:p>
    <w:p w14:paraId="1720A5CE" w14:textId="77777777" w:rsidR="00825577" w:rsidRPr="00825577" w:rsidRDefault="00825577" w:rsidP="00825577">
      <w:pPr>
        <w:autoSpaceDE w:val="0"/>
        <w:autoSpaceDN w:val="0"/>
        <w:adjustRightInd w:val="0"/>
        <w:spacing w:after="0" w:line="240" w:lineRule="auto"/>
        <w:contextualSpacing/>
        <w:jc w:val="both"/>
        <w:rPr>
          <w:rFonts w:ascii="Helvetica" w:eastAsia="Times New Roman" w:hAnsi="Helvetica" w:cs="Helvetica"/>
          <w:b/>
          <w:color w:val="002060"/>
          <w:sz w:val="28"/>
          <w:szCs w:val="28"/>
          <w:lang w:val="es-ES"/>
        </w:rPr>
      </w:pPr>
    </w:p>
    <w:p w14:paraId="7F64D303" w14:textId="291B2452" w:rsidR="00825577" w:rsidRDefault="00825577" w:rsidP="00825577">
      <w:pPr>
        <w:autoSpaceDE w:val="0"/>
        <w:autoSpaceDN w:val="0"/>
        <w:adjustRightInd w:val="0"/>
        <w:spacing w:after="0" w:line="240" w:lineRule="auto"/>
        <w:jc w:val="both"/>
        <w:rPr>
          <w:rFonts w:ascii="Helvetica" w:eastAsia="Times New Roman" w:hAnsi="Helvetica" w:cs="Helvetica"/>
          <w:sz w:val="24"/>
          <w:szCs w:val="24"/>
          <w:lang w:val="es-ES"/>
        </w:rPr>
      </w:pPr>
      <w:r>
        <w:rPr>
          <w:rFonts w:ascii="Helvetica" w:eastAsia="Times New Roman" w:hAnsi="Helvetica" w:cs="Helvetica"/>
          <w:sz w:val="24"/>
          <w:szCs w:val="24"/>
          <w:lang w:val="es-ES"/>
        </w:rPr>
        <w:t xml:space="preserve">Por su parte, las </w:t>
      </w:r>
      <w:r w:rsidRPr="005233D0">
        <w:rPr>
          <w:rFonts w:ascii="Helvetica" w:eastAsia="Times New Roman" w:hAnsi="Helvetica" w:cs="Helvetica"/>
          <w:sz w:val="24"/>
          <w:szCs w:val="24"/>
          <w:lang w:val="es-ES"/>
        </w:rPr>
        <w:t xml:space="preserve">municipalidades </w:t>
      </w:r>
      <w:r>
        <w:rPr>
          <w:rFonts w:ascii="Helvetica" w:eastAsia="Times New Roman" w:hAnsi="Helvetica" w:cs="Helvetica"/>
          <w:sz w:val="24"/>
          <w:szCs w:val="24"/>
          <w:lang w:val="es-ES"/>
        </w:rPr>
        <w:t>también asignaron</w:t>
      </w:r>
      <w:r w:rsidRPr="005233D0">
        <w:rPr>
          <w:rFonts w:ascii="Helvetica" w:eastAsia="Times New Roman" w:hAnsi="Helvetica" w:cs="Helvetica"/>
          <w:sz w:val="24"/>
          <w:szCs w:val="24"/>
          <w:lang w:val="es-ES"/>
        </w:rPr>
        <w:t xml:space="preserve"> recursos financieros, para disminuir los contagios en sus municipios derivado de la Pandemia COVID-19</w:t>
      </w:r>
      <w:r>
        <w:rPr>
          <w:rFonts w:ascii="Helvetica" w:eastAsia="Times New Roman" w:hAnsi="Helvetica" w:cs="Helvetica"/>
          <w:sz w:val="24"/>
          <w:szCs w:val="24"/>
          <w:lang w:val="es-ES"/>
        </w:rPr>
        <w:t>. Para el efecto, implementaron las siguientes actividades: a</w:t>
      </w:r>
      <w:r w:rsidRPr="005233D0">
        <w:rPr>
          <w:rFonts w:ascii="Helvetica" w:eastAsia="Times New Roman" w:hAnsi="Helvetica" w:cs="Helvetica"/>
          <w:sz w:val="24"/>
          <w:szCs w:val="24"/>
          <w:lang w:val="es-ES"/>
        </w:rPr>
        <w:t>sistencia alimentaria de granos básicos, dotación de insumos para médicos</w:t>
      </w:r>
      <w:r>
        <w:rPr>
          <w:rFonts w:ascii="Helvetica" w:eastAsia="Times New Roman" w:hAnsi="Helvetica" w:cs="Helvetica"/>
          <w:sz w:val="24"/>
          <w:szCs w:val="24"/>
          <w:lang w:val="es-ES"/>
        </w:rPr>
        <w:t>,</w:t>
      </w:r>
      <w:r w:rsidRPr="005233D0">
        <w:rPr>
          <w:rFonts w:ascii="Helvetica" w:eastAsia="Times New Roman" w:hAnsi="Helvetica" w:cs="Helvetica"/>
          <w:sz w:val="24"/>
          <w:szCs w:val="24"/>
          <w:lang w:val="es-ES"/>
        </w:rPr>
        <w:t xml:space="preserve"> compra de medicamentos, ampliación de cementerios</w:t>
      </w:r>
      <w:r>
        <w:rPr>
          <w:rFonts w:ascii="Helvetica" w:eastAsia="Times New Roman" w:hAnsi="Helvetica" w:cs="Helvetica"/>
          <w:sz w:val="24"/>
          <w:szCs w:val="24"/>
          <w:lang w:val="es-ES"/>
        </w:rPr>
        <w:t>,</w:t>
      </w:r>
      <w:r w:rsidRPr="005233D0">
        <w:rPr>
          <w:rFonts w:ascii="Helvetica" w:eastAsia="Times New Roman" w:hAnsi="Helvetica" w:cs="Helvetica"/>
          <w:sz w:val="24"/>
          <w:szCs w:val="24"/>
          <w:lang w:val="es-ES"/>
        </w:rPr>
        <w:t xml:space="preserve"> mejoramiento de sistemas de agua para consumo humano</w:t>
      </w:r>
      <w:r>
        <w:rPr>
          <w:rFonts w:ascii="Helvetica" w:eastAsia="Times New Roman" w:hAnsi="Helvetica" w:cs="Helvetica"/>
          <w:sz w:val="24"/>
          <w:szCs w:val="24"/>
          <w:lang w:val="es-ES"/>
        </w:rPr>
        <w:t>, entre otras.</w:t>
      </w:r>
    </w:p>
    <w:p w14:paraId="5A000AA2" w14:textId="77777777" w:rsidR="00825577" w:rsidRPr="005233D0" w:rsidRDefault="00825577" w:rsidP="00825577">
      <w:pPr>
        <w:autoSpaceDE w:val="0"/>
        <w:autoSpaceDN w:val="0"/>
        <w:adjustRightInd w:val="0"/>
        <w:spacing w:after="0" w:line="240" w:lineRule="auto"/>
        <w:jc w:val="both"/>
        <w:rPr>
          <w:rFonts w:ascii="Helvetica" w:eastAsia="Times New Roman" w:hAnsi="Helvetica" w:cs="Helvetica"/>
          <w:sz w:val="24"/>
          <w:szCs w:val="24"/>
          <w:lang w:val="es-ES"/>
        </w:rPr>
      </w:pPr>
    </w:p>
    <w:p w14:paraId="20D0DD5B" w14:textId="235A1022" w:rsidR="00825577" w:rsidRDefault="00825577" w:rsidP="00825577">
      <w:pPr>
        <w:autoSpaceDE w:val="0"/>
        <w:autoSpaceDN w:val="0"/>
        <w:adjustRightInd w:val="0"/>
        <w:spacing w:after="0" w:line="240" w:lineRule="auto"/>
        <w:jc w:val="both"/>
        <w:rPr>
          <w:rFonts w:ascii="Helvetica" w:eastAsia="Times New Roman" w:hAnsi="Helvetica" w:cs="Helvetica"/>
          <w:sz w:val="24"/>
          <w:szCs w:val="24"/>
          <w:lang w:val="es-ES"/>
        </w:rPr>
      </w:pPr>
      <w:r w:rsidRPr="005233D0">
        <w:rPr>
          <w:rFonts w:ascii="Helvetica" w:eastAsia="Times New Roman" w:hAnsi="Helvetica" w:cs="Helvetica"/>
          <w:sz w:val="24"/>
          <w:szCs w:val="24"/>
          <w:lang w:val="es-ES"/>
        </w:rPr>
        <w:t xml:space="preserve">En total, se planificó un poco más de 75 millones de quetzales, siendo ejecutado </w:t>
      </w:r>
      <w:r>
        <w:rPr>
          <w:rFonts w:ascii="Helvetica" w:eastAsia="Times New Roman" w:hAnsi="Helvetica" w:cs="Helvetica"/>
          <w:sz w:val="24"/>
          <w:szCs w:val="24"/>
          <w:lang w:val="es-ES"/>
        </w:rPr>
        <w:t>m</w:t>
      </w:r>
      <w:r w:rsidRPr="005233D0">
        <w:rPr>
          <w:rFonts w:ascii="Helvetica" w:eastAsia="Times New Roman" w:hAnsi="Helvetica" w:cs="Helvetica"/>
          <w:sz w:val="24"/>
          <w:szCs w:val="24"/>
          <w:lang w:val="es-ES"/>
        </w:rPr>
        <w:t>ás de 57 millones de quetzales (76%).</w:t>
      </w:r>
      <w:r>
        <w:rPr>
          <w:rFonts w:ascii="Helvetica" w:eastAsia="Times New Roman" w:hAnsi="Helvetica" w:cs="Helvetica"/>
          <w:sz w:val="24"/>
          <w:szCs w:val="24"/>
          <w:lang w:val="es-ES"/>
        </w:rPr>
        <w:t xml:space="preserve"> </w:t>
      </w:r>
      <w:r w:rsidRPr="005233D0">
        <w:rPr>
          <w:rFonts w:ascii="Helvetica" w:eastAsia="Times New Roman" w:hAnsi="Helvetica" w:cs="Helvetica"/>
          <w:sz w:val="24"/>
          <w:szCs w:val="24"/>
          <w:lang w:val="es-ES"/>
        </w:rPr>
        <w:t xml:space="preserve">Los departamentos </w:t>
      </w:r>
      <w:r>
        <w:rPr>
          <w:rFonts w:ascii="Helvetica" w:eastAsia="Times New Roman" w:hAnsi="Helvetica" w:cs="Helvetica"/>
          <w:sz w:val="24"/>
          <w:szCs w:val="24"/>
          <w:lang w:val="es-ES"/>
        </w:rPr>
        <w:t>con mayor ejecución son</w:t>
      </w:r>
      <w:r w:rsidRPr="005233D0">
        <w:rPr>
          <w:rFonts w:ascii="Helvetica" w:eastAsia="Times New Roman" w:hAnsi="Helvetica" w:cs="Helvetica"/>
          <w:sz w:val="24"/>
          <w:szCs w:val="24"/>
          <w:lang w:val="es-ES"/>
        </w:rPr>
        <w:t>: Alta Verapaz, seguido de El Quiché y Chimaltenango. Ver gráfica</w:t>
      </w:r>
      <w:r w:rsidR="00F52482">
        <w:rPr>
          <w:rFonts w:ascii="Helvetica" w:eastAsia="Times New Roman" w:hAnsi="Helvetica" w:cs="Helvetica"/>
          <w:sz w:val="24"/>
          <w:szCs w:val="24"/>
          <w:lang w:val="es-ES"/>
        </w:rPr>
        <w:t xml:space="preserve"> 3</w:t>
      </w:r>
      <w:r w:rsidR="003B0029">
        <w:rPr>
          <w:rFonts w:ascii="Helvetica" w:eastAsia="Times New Roman" w:hAnsi="Helvetica" w:cs="Helvetica"/>
          <w:sz w:val="24"/>
          <w:szCs w:val="24"/>
          <w:lang w:val="es-ES"/>
        </w:rPr>
        <w:t>.</w:t>
      </w:r>
    </w:p>
    <w:p w14:paraId="39C51247" w14:textId="77777777" w:rsidR="003B0029" w:rsidRDefault="003B0029" w:rsidP="00825577">
      <w:pPr>
        <w:autoSpaceDE w:val="0"/>
        <w:autoSpaceDN w:val="0"/>
        <w:adjustRightInd w:val="0"/>
        <w:spacing w:after="0" w:line="240" w:lineRule="auto"/>
        <w:jc w:val="both"/>
        <w:rPr>
          <w:rFonts w:ascii="Helvetica" w:eastAsia="Times New Roman" w:hAnsi="Helvetica" w:cs="Helvetica"/>
          <w:sz w:val="18"/>
          <w:szCs w:val="24"/>
          <w:lang w:val="es-ES"/>
        </w:rPr>
      </w:pPr>
    </w:p>
    <w:p w14:paraId="07C8B079" w14:textId="021C9014" w:rsidR="00825577" w:rsidRPr="00016865" w:rsidRDefault="00307F8F" w:rsidP="00016865">
      <w:pPr>
        <w:pStyle w:val="ttulosgrficas"/>
        <w:rPr>
          <w:rFonts w:eastAsia="Times New Roman"/>
          <w:color w:val="4472C4" w:themeColor="accent1"/>
          <w:lang w:val="es-ES"/>
        </w:rPr>
      </w:pPr>
      <w:bookmarkStart w:id="70" w:name="_Toc67377810"/>
      <w:bookmarkStart w:id="71" w:name="_Toc67381553"/>
      <w:bookmarkStart w:id="72" w:name="_Toc67589103"/>
      <w:r w:rsidRPr="00016865">
        <w:rPr>
          <w:rFonts w:eastAsia="Times New Roman"/>
          <w:color w:val="4472C4" w:themeColor="accent1"/>
          <w:lang w:val="es-ES"/>
        </w:rPr>
        <w:t xml:space="preserve">Gráfica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Gráfica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w:t>
      </w:r>
      <w:bookmarkEnd w:id="70"/>
      <w:bookmarkEnd w:id="71"/>
      <w:r w:rsidR="007F134F" w:rsidRPr="00016865">
        <w:rPr>
          <w:rFonts w:eastAsia="Times New Roman"/>
          <w:color w:val="4472C4" w:themeColor="accent1"/>
          <w:lang w:val="es-ES"/>
        </w:rPr>
        <w:fldChar w:fldCharType="end"/>
      </w:r>
      <w:r w:rsidR="003562C1" w:rsidRPr="00016865">
        <w:rPr>
          <w:rFonts w:eastAsia="Times New Roman"/>
          <w:color w:val="4472C4" w:themeColor="accent1"/>
          <w:lang w:val="es-ES"/>
        </w:rPr>
        <w:t>,</w:t>
      </w:r>
      <w:r w:rsidR="005D4383" w:rsidRPr="00016865">
        <w:rPr>
          <w:rFonts w:eastAsia="Times New Roman"/>
          <w:color w:val="4472C4" w:themeColor="accent1"/>
          <w:lang w:val="es-ES"/>
        </w:rPr>
        <w:t xml:space="preserve"> </w:t>
      </w:r>
      <w:r w:rsidR="00825577" w:rsidRPr="00016865">
        <w:rPr>
          <w:rFonts w:eastAsia="Times New Roman"/>
          <w:color w:val="4472C4" w:themeColor="accent1"/>
          <w:lang w:val="es-ES"/>
        </w:rPr>
        <w:t>Porcentaje recursos ejecutados por COVID 19, municipalidades</w:t>
      </w:r>
      <w:bookmarkEnd w:id="72"/>
    </w:p>
    <w:p w14:paraId="3926BF37" w14:textId="77777777" w:rsidR="00825577" w:rsidRDefault="00825577" w:rsidP="00825577">
      <w:pPr>
        <w:autoSpaceDE w:val="0"/>
        <w:autoSpaceDN w:val="0"/>
        <w:adjustRightInd w:val="0"/>
        <w:spacing w:after="0" w:line="240" w:lineRule="auto"/>
        <w:jc w:val="both"/>
        <w:rPr>
          <w:rFonts w:ascii="Helvetica" w:eastAsia="Times New Roman" w:hAnsi="Helvetica" w:cs="Helvetica"/>
          <w:sz w:val="18"/>
          <w:szCs w:val="24"/>
          <w:lang w:val="es-ES"/>
        </w:rPr>
      </w:pPr>
      <w:r w:rsidRPr="005233D0">
        <w:rPr>
          <w:rFonts w:ascii="Helvetica" w:eastAsia="Times New Roman" w:hAnsi="Helvetica" w:cs="Helvetica"/>
          <w:noProof/>
          <w:sz w:val="18"/>
          <w:szCs w:val="24"/>
          <w:lang w:eastAsia="es-GT"/>
        </w:rPr>
        <w:drawing>
          <wp:anchor distT="0" distB="0" distL="114300" distR="114300" simplePos="0" relativeHeight="251662336" behindDoc="0" locked="0" layoutInCell="1" allowOverlap="1" wp14:anchorId="0D052F1B" wp14:editId="6D788FCD">
            <wp:simplePos x="0" y="0"/>
            <wp:positionH relativeFrom="margin">
              <wp:align>left</wp:align>
            </wp:positionH>
            <wp:positionV relativeFrom="paragraph">
              <wp:posOffset>163195</wp:posOffset>
            </wp:positionV>
            <wp:extent cx="5800725" cy="2393315"/>
            <wp:effectExtent l="0" t="0" r="9525" b="6985"/>
            <wp:wrapTopAndBottom/>
            <wp:docPr id="25" name="Gráfico 2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32C502-C03F-4670-91D9-5AA00ABB5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1E826FBC" w14:textId="5BC7BB14" w:rsidR="00825577" w:rsidRPr="005233D0" w:rsidRDefault="00825577" w:rsidP="00825577">
      <w:pPr>
        <w:autoSpaceDE w:val="0"/>
        <w:autoSpaceDN w:val="0"/>
        <w:adjustRightInd w:val="0"/>
        <w:spacing w:after="0" w:line="240" w:lineRule="auto"/>
        <w:jc w:val="both"/>
        <w:rPr>
          <w:rFonts w:ascii="Helvetica" w:eastAsia="Times New Roman" w:hAnsi="Helvetica" w:cs="Helvetica"/>
          <w:sz w:val="24"/>
          <w:szCs w:val="24"/>
          <w:lang w:val="es-ES"/>
        </w:rPr>
      </w:pPr>
      <w:r w:rsidRPr="005233D0">
        <w:rPr>
          <w:rFonts w:ascii="Helvetica" w:eastAsia="Times New Roman" w:hAnsi="Helvetica" w:cs="Helvetica"/>
          <w:sz w:val="18"/>
          <w:szCs w:val="24"/>
          <w:lang w:val="es-ES"/>
        </w:rPr>
        <w:t>Fuente: Siplangl, Informe cuatrimestral y acumulado. Año 2020</w:t>
      </w:r>
      <w:r w:rsidR="00336B69">
        <w:rPr>
          <w:rFonts w:ascii="Helvetica" w:eastAsia="Times New Roman" w:hAnsi="Helvetica" w:cs="Helvetica"/>
          <w:sz w:val="18"/>
          <w:szCs w:val="24"/>
          <w:lang w:val="es-ES"/>
        </w:rPr>
        <w:t>.</w:t>
      </w:r>
    </w:p>
    <w:p w14:paraId="66454EBB" w14:textId="3AE1C9DB" w:rsidR="0067473B" w:rsidRDefault="0067473B" w:rsidP="00693BD9"/>
    <w:p w14:paraId="0B243FD8" w14:textId="26926A23" w:rsidR="00F85BD4" w:rsidRDefault="00F85BD4" w:rsidP="005E02B9">
      <w:pPr>
        <w:pStyle w:val="Ttulo1"/>
        <w:numPr>
          <w:ilvl w:val="0"/>
          <w:numId w:val="11"/>
        </w:numPr>
      </w:pPr>
      <w:bookmarkStart w:id="73" w:name="_Toc67589095"/>
      <w:r w:rsidRPr="002902C5">
        <w:t>Avance de metas y cumplimiento de la calidad del gasto en la inversión pública</w:t>
      </w:r>
      <w:bookmarkEnd w:id="20"/>
      <w:bookmarkEnd w:id="73"/>
    </w:p>
    <w:p w14:paraId="6667B01D" w14:textId="77777777" w:rsidR="00316FAD" w:rsidRPr="00316FAD" w:rsidRDefault="00316FAD" w:rsidP="00316FAD"/>
    <w:p w14:paraId="4F0065BA" w14:textId="52E6A02B" w:rsidR="001912B8" w:rsidRPr="003B1BD8" w:rsidRDefault="001912B8" w:rsidP="003B1BD8">
      <w:pPr>
        <w:pStyle w:val="normalinforme"/>
        <w:rPr>
          <w:rFonts w:ascii="Helvetica" w:eastAsiaTheme="majorEastAsia" w:hAnsi="Helvetica" w:cs="Helvetica"/>
          <w:b/>
          <w:bCs/>
          <w:color w:val="1F3864" w:themeColor="accent1" w:themeShade="80"/>
          <w:sz w:val="28"/>
          <w:szCs w:val="28"/>
        </w:rPr>
      </w:pPr>
      <w:r w:rsidRPr="003B1BD8">
        <w:rPr>
          <w:rFonts w:ascii="Helvetica" w:eastAsiaTheme="majorEastAsia" w:hAnsi="Helvetica" w:cs="Helvetica"/>
          <w:b/>
          <w:bCs/>
          <w:color w:val="1F3864" w:themeColor="accent1" w:themeShade="80"/>
          <w:sz w:val="28"/>
          <w:szCs w:val="28"/>
        </w:rPr>
        <w:t>Presupuesto de inversión 2020</w:t>
      </w:r>
    </w:p>
    <w:p w14:paraId="4FD08806" w14:textId="2268F274" w:rsidR="001F2C60" w:rsidRDefault="001F2C60" w:rsidP="001F2C60">
      <w:pPr>
        <w:jc w:val="both"/>
        <w:rPr>
          <w:rFonts w:ascii="Helvetica" w:hAnsi="Helvetica" w:cs="Helvetica"/>
          <w:sz w:val="24"/>
          <w:szCs w:val="24"/>
        </w:rPr>
      </w:pPr>
      <w:r w:rsidRPr="00C9328C">
        <w:rPr>
          <w:rFonts w:ascii="Helvetica" w:hAnsi="Helvetica" w:cs="Helvetica"/>
          <w:sz w:val="24"/>
          <w:szCs w:val="24"/>
        </w:rPr>
        <w:t>A continuación, se muestra el desglose del presupuesto de inversión</w:t>
      </w:r>
      <w:r w:rsidR="00C9328C">
        <w:rPr>
          <w:rFonts w:ascii="Helvetica" w:hAnsi="Helvetica" w:cs="Helvetica"/>
          <w:sz w:val="24"/>
          <w:szCs w:val="24"/>
        </w:rPr>
        <w:t xml:space="preserve"> 2020</w:t>
      </w:r>
      <w:r w:rsidRPr="00C9328C">
        <w:rPr>
          <w:rFonts w:ascii="Helvetica" w:hAnsi="Helvetica" w:cs="Helvetica"/>
          <w:sz w:val="24"/>
          <w:szCs w:val="24"/>
        </w:rPr>
        <w:t>:</w:t>
      </w:r>
    </w:p>
    <w:p w14:paraId="47E0DC6F" w14:textId="77777777" w:rsidR="0064339C" w:rsidRDefault="0064339C" w:rsidP="003562C1">
      <w:pPr>
        <w:pStyle w:val="ttulosgrficas"/>
        <w:rPr>
          <w:rFonts w:eastAsia="Times New Roman"/>
          <w:color w:val="4472C4" w:themeColor="accent1"/>
          <w:lang w:val="es-ES"/>
        </w:rPr>
      </w:pPr>
    </w:p>
    <w:p w14:paraId="698ED76C" w14:textId="77777777" w:rsidR="0064339C" w:rsidRDefault="0064339C" w:rsidP="003562C1">
      <w:pPr>
        <w:pStyle w:val="ttulosgrficas"/>
        <w:rPr>
          <w:rFonts w:eastAsia="Times New Roman"/>
          <w:color w:val="4472C4" w:themeColor="accent1"/>
          <w:lang w:val="es-ES"/>
        </w:rPr>
      </w:pPr>
    </w:p>
    <w:p w14:paraId="04D6476E" w14:textId="77777777" w:rsidR="0064339C" w:rsidRDefault="0064339C" w:rsidP="003562C1">
      <w:pPr>
        <w:pStyle w:val="ttulosgrficas"/>
        <w:rPr>
          <w:rFonts w:eastAsia="Times New Roman"/>
          <w:color w:val="4472C4" w:themeColor="accent1"/>
          <w:lang w:val="es-ES"/>
        </w:rPr>
      </w:pPr>
    </w:p>
    <w:p w14:paraId="3FF8DC44" w14:textId="77777777" w:rsidR="0064339C" w:rsidRDefault="0064339C" w:rsidP="003562C1">
      <w:pPr>
        <w:pStyle w:val="ttulosgrficas"/>
        <w:rPr>
          <w:rFonts w:eastAsia="Times New Roman"/>
          <w:color w:val="4472C4" w:themeColor="accent1"/>
          <w:lang w:val="es-ES"/>
        </w:rPr>
      </w:pPr>
    </w:p>
    <w:p w14:paraId="77F516D8" w14:textId="77777777" w:rsidR="0064339C" w:rsidRDefault="0064339C" w:rsidP="003562C1">
      <w:pPr>
        <w:pStyle w:val="ttulosgrficas"/>
        <w:rPr>
          <w:rFonts w:eastAsia="Times New Roman"/>
          <w:color w:val="4472C4" w:themeColor="accent1"/>
          <w:lang w:val="es-ES"/>
        </w:rPr>
      </w:pPr>
    </w:p>
    <w:p w14:paraId="40D1E933" w14:textId="77777777" w:rsidR="0064339C" w:rsidRDefault="0064339C" w:rsidP="003562C1">
      <w:pPr>
        <w:pStyle w:val="ttulosgrficas"/>
        <w:rPr>
          <w:rFonts w:eastAsia="Times New Roman"/>
          <w:color w:val="4472C4" w:themeColor="accent1"/>
          <w:lang w:val="es-ES"/>
        </w:rPr>
      </w:pPr>
    </w:p>
    <w:p w14:paraId="321B330E" w14:textId="77777777" w:rsidR="0064339C" w:rsidRDefault="0064339C" w:rsidP="003562C1">
      <w:pPr>
        <w:pStyle w:val="ttulosgrficas"/>
        <w:rPr>
          <w:rFonts w:eastAsia="Times New Roman"/>
          <w:color w:val="4472C4" w:themeColor="accent1"/>
          <w:lang w:val="es-ES"/>
        </w:rPr>
      </w:pPr>
    </w:p>
    <w:p w14:paraId="1C05DEE4" w14:textId="77777777" w:rsidR="0064339C" w:rsidRDefault="0064339C" w:rsidP="003562C1">
      <w:pPr>
        <w:pStyle w:val="ttulosgrficas"/>
        <w:rPr>
          <w:rFonts w:eastAsia="Times New Roman"/>
          <w:color w:val="4472C4" w:themeColor="accent1"/>
          <w:lang w:val="es-ES"/>
        </w:rPr>
      </w:pPr>
    </w:p>
    <w:p w14:paraId="12D9E088" w14:textId="58825BBA" w:rsidR="001F2C60" w:rsidRPr="00016865" w:rsidRDefault="00F52482" w:rsidP="003562C1">
      <w:pPr>
        <w:pStyle w:val="ttulosgrficas"/>
        <w:rPr>
          <w:rFonts w:eastAsia="Times New Roman"/>
          <w:color w:val="4472C4" w:themeColor="accent1"/>
          <w:lang w:val="es-ES"/>
        </w:rPr>
      </w:pPr>
      <w:bookmarkStart w:id="74" w:name="_Toc67589147"/>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34</w:t>
      </w:r>
      <w:r w:rsidR="007F134F" w:rsidRPr="00016865">
        <w:rPr>
          <w:rFonts w:eastAsia="Times New Roman"/>
          <w:color w:val="4472C4" w:themeColor="accent1"/>
          <w:lang w:val="es-ES"/>
        </w:rPr>
        <w:fldChar w:fldCharType="end"/>
      </w:r>
      <w:r w:rsidR="003562C1" w:rsidRPr="00016865">
        <w:rPr>
          <w:rFonts w:eastAsia="Times New Roman"/>
          <w:color w:val="4472C4" w:themeColor="accent1"/>
          <w:lang w:val="es-ES"/>
        </w:rPr>
        <w:t xml:space="preserve">, </w:t>
      </w:r>
      <w:r w:rsidR="001F2C60" w:rsidRPr="00016865">
        <w:rPr>
          <w:rFonts w:eastAsia="Times New Roman"/>
          <w:color w:val="4472C4" w:themeColor="accent1"/>
          <w:lang w:val="es-ES"/>
        </w:rPr>
        <w:t>Presupuesto de Inversión Pública</w:t>
      </w:r>
      <w:bookmarkEnd w:id="74"/>
    </w:p>
    <w:p w14:paraId="4B877EB2" w14:textId="09CE04EC" w:rsidR="001F2C60" w:rsidRPr="00016865" w:rsidRDefault="001F2C60" w:rsidP="00316FAD">
      <w:pPr>
        <w:pStyle w:val="ttulosgrficas"/>
        <w:rPr>
          <w:color w:val="4472C4" w:themeColor="accent1"/>
        </w:rPr>
      </w:pPr>
      <w:r w:rsidRPr="00016865">
        <w:rPr>
          <w:color w:val="4472C4" w:themeColor="accent1"/>
        </w:rPr>
        <w:t xml:space="preserve">Asignado, Modificado, </w:t>
      </w:r>
      <w:r w:rsidR="0083517B" w:rsidRPr="00016865">
        <w:rPr>
          <w:color w:val="4472C4" w:themeColor="accent1"/>
        </w:rPr>
        <w:t>Vigente y</w:t>
      </w:r>
      <w:r w:rsidRPr="00016865">
        <w:rPr>
          <w:color w:val="4472C4" w:themeColor="accent1"/>
        </w:rPr>
        <w:t xml:space="preserve"> Ejecutado</w:t>
      </w:r>
      <w:r w:rsidR="00316FAD" w:rsidRPr="00016865">
        <w:rPr>
          <w:color w:val="4472C4" w:themeColor="accent1"/>
        </w:rPr>
        <w:t xml:space="preserve"> 2020</w:t>
      </w:r>
    </w:p>
    <w:p w14:paraId="3F9F831D" w14:textId="77777777" w:rsidR="00FB3DF5" w:rsidRPr="00016865" w:rsidRDefault="00FB3DF5" w:rsidP="00823E67">
      <w:pPr>
        <w:pStyle w:val="ttulosgrficas"/>
        <w:spacing w:line="120" w:lineRule="auto"/>
        <w:rPr>
          <w:color w:val="4472C4" w:themeColor="accent1"/>
        </w:rPr>
      </w:pPr>
    </w:p>
    <w:p w14:paraId="41761E94" w14:textId="2BB32D5A" w:rsidR="001F2C60" w:rsidRDefault="0083517B" w:rsidP="001F2C60">
      <w:pPr>
        <w:spacing w:after="0" w:line="240" w:lineRule="auto"/>
        <w:ind w:left="62"/>
        <w:jc w:val="center"/>
        <w:rPr>
          <w:rFonts w:ascii="Times New Roman" w:hAnsi="Times New Roman" w:cs="Times New Roman"/>
          <w:b/>
          <w:color w:val="000000"/>
          <w:spacing w:val="-3"/>
          <w:sz w:val="20"/>
          <w:szCs w:val="20"/>
        </w:rPr>
      </w:pPr>
      <w:r w:rsidRPr="008F7682">
        <w:rPr>
          <w:rFonts w:ascii="Helvetica" w:hAnsi="Helvetica" w:cs="Helvetica"/>
          <w:noProof/>
          <w:lang w:eastAsia="es-GT"/>
        </w:rPr>
        <w:drawing>
          <wp:inline distT="0" distB="0" distL="0" distR="0" wp14:anchorId="5D5D8543" wp14:editId="660A1421">
            <wp:extent cx="5105400" cy="54959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5400" cy="5495925"/>
                    </a:xfrm>
                    <a:prstGeom prst="rect">
                      <a:avLst/>
                    </a:prstGeom>
                    <a:noFill/>
                    <a:ln>
                      <a:noFill/>
                    </a:ln>
                  </pic:spPr>
                </pic:pic>
              </a:graphicData>
            </a:graphic>
          </wp:inline>
        </w:drawing>
      </w:r>
    </w:p>
    <w:p w14:paraId="6B7FDE8B" w14:textId="77777777" w:rsidR="001F2C60" w:rsidRPr="001D2E65" w:rsidRDefault="001F2C60" w:rsidP="00823E67">
      <w:pPr>
        <w:spacing w:after="0" w:line="240" w:lineRule="auto"/>
        <w:ind w:firstLine="708"/>
        <w:rPr>
          <w:rFonts w:ascii="Times New Roman" w:hAnsi="Times New Roman" w:cs="Times New Roman"/>
          <w:b/>
          <w:color w:val="000000"/>
          <w:spacing w:val="-3"/>
          <w:sz w:val="16"/>
          <w:szCs w:val="16"/>
        </w:rPr>
      </w:pPr>
      <w:r w:rsidRPr="00A54892">
        <w:rPr>
          <w:rFonts w:ascii="Times New Roman" w:hAnsi="Times New Roman" w:cs="Times New Roman"/>
          <w:b/>
          <w:color w:val="000000"/>
          <w:spacing w:val="-3"/>
          <w:sz w:val="16"/>
          <w:szCs w:val="16"/>
        </w:rPr>
        <w:t>Fuente: Elaboración SEGEPLAN con información del SICOIN 0</w:t>
      </w:r>
      <w:r>
        <w:rPr>
          <w:rFonts w:ascii="Times New Roman" w:hAnsi="Times New Roman" w:cs="Times New Roman"/>
          <w:b/>
          <w:color w:val="000000"/>
          <w:spacing w:val="-3"/>
          <w:sz w:val="16"/>
          <w:szCs w:val="16"/>
        </w:rPr>
        <w:t>5</w:t>
      </w:r>
      <w:r w:rsidRPr="00A54892">
        <w:rPr>
          <w:rFonts w:ascii="Times New Roman" w:hAnsi="Times New Roman" w:cs="Times New Roman"/>
          <w:b/>
          <w:color w:val="000000"/>
          <w:spacing w:val="-3"/>
          <w:sz w:val="16"/>
          <w:szCs w:val="16"/>
        </w:rPr>
        <w:t>.0</w:t>
      </w:r>
      <w:r>
        <w:rPr>
          <w:rFonts w:ascii="Times New Roman" w:hAnsi="Times New Roman" w:cs="Times New Roman"/>
          <w:b/>
          <w:color w:val="000000"/>
          <w:spacing w:val="-3"/>
          <w:sz w:val="16"/>
          <w:szCs w:val="16"/>
        </w:rPr>
        <w:t>1</w:t>
      </w:r>
      <w:r w:rsidRPr="00A54892">
        <w:rPr>
          <w:rFonts w:ascii="Times New Roman" w:hAnsi="Times New Roman" w:cs="Times New Roman"/>
          <w:b/>
          <w:color w:val="000000"/>
          <w:spacing w:val="-3"/>
          <w:sz w:val="16"/>
          <w:szCs w:val="16"/>
        </w:rPr>
        <w:t>.202</w:t>
      </w:r>
      <w:r>
        <w:rPr>
          <w:rFonts w:ascii="Times New Roman" w:hAnsi="Times New Roman" w:cs="Times New Roman"/>
          <w:b/>
          <w:color w:val="000000"/>
          <w:spacing w:val="-3"/>
          <w:sz w:val="16"/>
          <w:szCs w:val="16"/>
        </w:rPr>
        <w:t>1</w:t>
      </w:r>
      <w:r w:rsidRPr="00A54892">
        <w:rPr>
          <w:rFonts w:ascii="Times New Roman" w:hAnsi="Times New Roman" w:cs="Times New Roman"/>
          <w:b/>
          <w:color w:val="000000"/>
          <w:spacing w:val="-3"/>
          <w:sz w:val="16"/>
          <w:szCs w:val="16"/>
        </w:rPr>
        <w:t>.</w:t>
      </w:r>
    </w:p>
    <w:p w14:paraId="23895EFA" w14:textId="77777777" w:rsidR="001F2C60" w:rsidRDefault="001F2C60" w:rsidP="001F2C60">
      <w:pPr>
        <w:spacing w:after="0" w:line="240" w:lineRule="auto"/>
        <w:rPr>
          <w:rFonts w:ascii="Times New Roman" w:hAnsi="Times New Roman" w:cs="Times New Roman"/>
          <w:b/>
          <w:color w:val="000000"/>
          <w:spacing w:val="-3"/>
          <w:sz w:val="16"/>
          <w:szCs w:val="16"/>
        </w:rPr>
      </w:pPr>
    </w:p>
    <w:p w14:paraId="680D669F" w14:textId="77777777" w:rsidR="001F2C60" w:rsidRPr="00C9328C" w:rsidRDefault="001F2C60" w:rsidP="001F2C60">
      <w:pPr>
        <w:jc w:val="both"/>
        <w:rPr>
          <w:rFonts w:ascii="Helvetica" w:hAnsi="Helvetica" w:cs="Helvetica"/>
          <w:sz w:val="24"/>
          <w:szCs w:val="24"/>
        </w:rPr>
      </w:pPr>
      <w:r w:rsidRPr="00C9328C">
        <w:rPr>
          <w:rFonts w:ascii="Helvetica" w:hAnsi="Helvetica" w:cs="Helvetica"/>
          <w:sz w:val="24"/>
          <w:szCs w:val="24"/>
        </w:rPr>
        <w:t>Los datos anteriores, reflejan que del total del presupuesto de inversión el monto total de recursos destinados a la creación, mejoramiento y ampliación de infraestructura, y la adquisición de equipamiento, suma un total de Q16,193.84 millones (74.5% del presupuesto de inversión vigente al final del ejercicio) que incluye la inversión real directa principalmente de las entidades del organismo ejecutivo, y las transferencias de capital para inversión en infraestructura a las municipalidades, Consejos de Desarrollo Departamental, entidades Descentralizadas, Autónomas y Empresas Públicas.</w:t>
      </w:r>
    </w:p>
    <w:p w14:paraId="5AA48982" w14:textId="7C0D5482" w:rsidR="001F2C60" w:rsidRPr="00C9328C" w:rsidRDefault="001F2C60" w:rsidP="001F2C60">
      <w:pPr>
        <w:jc w:val="both"/>
        <w:rPr>
          <w:rFonts w:ascii="Helvetica" w:hAnsi="Helvetica" w:cs="Helvetica"/>
          <w:sz w:val="24"/>
          <w:szCs w:val="24"/>
        </w:rPr>
      </w:pPr>
      <w:r w:rsidRPr="00C9328C">
        <w:rPr>
          <w:rFonts w:ascii="Helvetica" w:hAnsi="Helvetica" w:cs="Helvetica"/>
          <w:sz w:val="24"/>
          <w:szCs w:val="24"/>
        </w:rPr>
        <w:t xml:space="preserve">Estableciendo las </w:t>
      </w:r>
      <w:r w:rsidR="00C9328C" w:rsidRPr="00C9328C">
        <w:rPr>
          <w:rFonts w:ascii="Helvetica" w:hAnsi="Helvetica" w:cs="Helvetica"/>
          <w:sz w:val="24"/>
          <w:szCs w:val="24"/>
        </w:rPr>
        <w:t>disponibilidades</w:t>
      </w:r>
      <w:r w:rsidRPr="00C9328C">
        <w:rPr>
          <w:rFonts w:ascii="Helvetica" w:hAnsi="Helvetica" w:cs="Helvetica"/>
          <w:sz w:val="24"/>
          <w:szCs w:val="24"/>
        </w:rPr>
        <w:t xml:space="preserve"> presupuestarias puras para inversiones en infraestructura, los datos presupuestarios quedan conforme se presentan en </w:t>
      </w:r>
      <w:r w:rsidR="00F52482">
        <w:rPr>
          <w:rFonts w:ascii="Helvetica" w:hAnsi="Helvetica" w:cs="Helvetica"/>
          <w:sz w:val="24"/>
          <w:szCs w:val="24"/>
        </w:rPr>
        <w:t>la tabla 35</w:t>
      </w:r>
      <w:r w:rsidRPr="00C9328C">
        <w:rPr>
          <w:rFonts w:ascii="Helvetica" w:hAnsi="Helvetica" w:cs="Helvetica"/>
          <w:sz w:val="24"/>
          <w:szCs w:val="24"/>
        </w:rPr>
        <w:t>:</w:t>
      </w:r>
    </w:p>
    <w:p w14:paraId="48F4B156" w14:textId="78261445" w:rsidR="00603B92" w:rsidRPr="0042497B" w:rsidRDefault="00F52482" w:rsidP="00603B92">
      <w:pPr>
        <w:pStyle w:val="ttulosgrficas"/>
      </w:pPr>
      <w:bookmarkStart w:id="75" w:name="_Toc67589148"/>
      <w:r w:rsidRPr="00016865">
        <w:rPr>
          <w:rFonts w:eastAsia="Times New Roman"/>
          <w:color w:val="4472C4" w:themeColor="accent1"/>
          <w:lang w:val="es-ES"/>
        </w:rPr>
        <w:t xml:space="preserve">Tabla </w:t>
      </w:r>
      <w:r w:rsidR="007F134F" w:rsidRPr="00016865">
        <w:rPr>
          <w:rFonts w:eastAsia="Times New Roman"/>
          <w:color w:val="4472C4" w:themeColor="accent1"/>
          <w:lang w:val="es-ES"/>
        </w:rPr>
        <w:fldChar w:fldCharType="begin"/>
      </w:r>
      <w:r w:rsidR="007F134F" w:rsidRPr="00016865">
        <w:rPr>
          <w:rFonts w:eastAsia="Times New Roman"/>
          <w:color w:val="4472C4" w:themeColor="accent1"/>
          <w:lang w:val="es-ES"/>
        </w:rPr>
        <w:instrText xml:space="preserve"> SEQ Tabla \* ARABIC </w:instrText>
      </w:r>
      <w:r w:rsidR="007F134F" w:rsidRPr="00016865">
        <w:rPr>
          <w:rFonts w:eastAsia="Times New Roman"/>
          <w:color w:val="4472C4" w:themeColor="accent1"/>
          <w:lang w:val="es-ES"/>
        </w:rPr>
        <w:fldChar w:fldCharType="separate"/>
      </w:r>
      <w:r w:rsidR="00AA2593" w:rsidRPr="00016865">
        <w:rPr>
          <w:rFonts w:eastAsia="Times New Roman"/>
          <w:color w:val="4472C4" w:themeColor="accent1"/>
          <w:lang w:val="es-ES"/>
        </w:rPr>
        <w:t>35</w:t>
      </w:r>
      <w:r w:rsidR="007F134F" w:rsidRPr="00016865">
        <w:rPr>
          <w:rFonts w:eastAsia="Times New Roman"/>
          <w:color w:val="4472C4" w:themeColor="accent1"/>
          <w:lang w:val="es-ES"/>
        </w:rPr>
        <w:fldChar w:fldCharType="end"/>
      </w:r>
      <w:r w:rsidR="003562C1" w:rsidRPr="00016865">
        <w:rPr>
          <w:rFonts w:eastAsia="Times New Roman"/>
          <w:color w:val="4472C4" w:themeColor="accent1"/>
          <w:lang w:val="es-ES"/>
        </w:rPr>
        <w:t>,</w:t>
      </w:r>
      <w:r w:rsidR="00603B92" w:rsidRPr="00016865">
        <w:rPr>
          <w:rFonts w:eastAsia="Times New Roman"/>
          <w:noProof/>
          <w:color w:val="4472C4" w:themeColor="accent1"/>
          <w:lang w:eastAsia="es-GT"/>
        </w:rPr>
        <w:drawing>
          <wp:anchor distT="0" distB="0" distL="114300" distR="114300" simplePos="0" relativeHeight="251664384" behindDoc="0" locked="0" layoutInCell="1" allowOverlap="1" wp14:anchorId="4E0B418D" wp14:editId="4381F0A9">
            <wp:simplePos x="0" y="0"/>
            <wp:positionH relativeFrom="margin">
              <wp:align>center</wp:align>
            </wp:positionH>
            <wp:positionV relativeFrom="paragraph">
              <wp:posOffset>247485</wp:posOffset>
            </wp:positionV>
            <wp:extent cx="5046980" cy="3574415"/>
            <wp:effectExtent l="0" t="0" r="1270" b="6985"/>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a:extLst>
                        <a:ext uri="{28A0092B-C50C-407E-A947-70E740481C1C}">
                          <a14:useLocalDpi xmlns:a14="http://schemas.microsoft.com/office/drawing/2010/main" val="0"/>
                        </a:ext>
                      </a:extLst>
                    </a:blip>
                    <a:srcRect r="15338"/>
                    <a:stretch/>
                  </pic:blipFill>
                  <pic:spPr bwMode="auto">
                    <a:xfrm>
                      <a:off x="0" y="0"/>
                      <a:ext cx="5046980" cy="3574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2C1" w:rsidRPr="00016865">
        <w:rPr>
          <w:rFonts w:eastAsia="Times New Roman"/>
          <w:color w:val="4472C4" w:themeColor="accent1"/>
          <w:lang w:val="es-ES"/>
        </w:rPr>
        <w:t xml:space="preserve"> </w:t>
      </w:r>
      <w:r w:rsidR="00603B92" w:rsidRPr="0059105E">
        <w:rPr>
          <w:rFonts w:eastAsia="Times New Roman"/>
          <w:color w:val="4472C4" w:themeColor="accent1"/>
          <w:lang w:val="es-ES"/>
        </w:rPr>
        <w:t>A</w:t>
      </w:r>
      <w:r w:rsidR="00603B92" w:rsidRPr="00016865">
        <w:rPr>
          <w:rFonts w:eastAsia="Times New Roman"/>
          <w:color w:val="4472C4" w:themeColor="accent1"/>
          <w:lang w:val="es-ES"/>
        </w:rPr>
        <w:t>signaci</w:t>
      </w:r>
      <w:r w:rsidR="00603B92" w:rsidRPr="0059105E">
        <w:rPr>
          <w:rFonts w:eastAsia="Times New Roman"/>
          <w:color w:val="4472C4" w:themeColor="accent1"/>
          <w:lang w:val="es-ES"/>
        </w:rPr>
        <w:t>ones Presupuestarias para infraestructura</w:t>
      </w:r>
      <w:bookmarkEnd w:id="75"/>
    </w:p>
    <w:p w14:paraId="354AD5E9" w14:textId="1CFDF23F" w:rsidR="00603B92" w:rsidRPr="00603B92" w:rsidRDefault="00603B92" w:rsidP="001F2C60">
      <w:pPr>
        <w:jc w:val="both"/>
        <w:rPr>
          <w:rFonts w:ascii="Helvetica" w:hAnsi="Helvetica" w:cs="Helvetica"/>
          <w:sz w:val="18"/>
        </w:rPr>
      </w:pPr>
      <w:r>
        <w:rPr>
          <w:rFonts w:ascii="Times New Roman" w:hAnsi="Times New Roman" w:cs="Times New Roman"/>
          <w:b/>
          <w:sz w:val="18"/>
          <w:szCs w:val="18"/>
        </w:rPr>
        <w:t xml:space="preserve">                </w:t>
      </w:r>
      <w:r w:rsidRPr="00603B92">
        <w:rPr>
          <w:rFonts w:ascii="Helvetica" w:hAnsi="Helvetica" w:cs="Helvetica"/>
          <w:sz w:val="18"/>
        </w:rPr>
        <w:t>Fuente: Elaboración SEGEPLAN con base en datos de SICOIN y SINIP.</w:t>
      </w:r>
    </w:p>
    <w:p w14:paraId="7D279326" w14:textId="77777777" w:rsidR="00603B92" w:rsidRDefault="00603B92" w:rsidP="001F2C60">
      <w:pPr>
        <w:jc w:val="both"/>
        <w:rPr>
          <w:rFonts w:ascii="Helvetica" w:hAnsi="Helvetica" w:cs="Helvetica"/>
        </w:rPr>
      </w:pPr>
    </w:p>
    <w:p w14:paraId="0E31717A" w14:textId="5E5BA721" w:rsidR="001F2C60" w:rsidRPr="00336B69" w:rsidRDefault="001F2C60" w:rsidP="001F2C60">
      <w:pPr>
        <w:jc w:val="both"/>
        <w:rPr>
          <w:rFonts w:ascii="Helvetica" w:hAnsi="Helvetica" w:cs="Helvetica"/>
          <w:sz w:val="24"/>
          <w:szCs w:val="24"/>
        </w:rPr>
      </w:pPr>
      <w:r w:rsidRPr="00336B69">
        <w:rPr>
          <w:rFonts w:ascii="Helvetica" w:hAnsi="Helvetica" w:cs="Helvetica"/>
          <w:sz w:val="24"/>
          <w:szCs w:val="24"/>
        </w:rPr>
        <w:t xml:space="preserve">Los datos anteriores, permiten establecer </w:t>
      </w:r>
      <w:r w:rsidR="001912B8" w:rsidRPr="00336B69">
        <w:rPr>
          <w:rFonts w:ascii="Helvetica" w:hAnsi="Helvetica" w:cs="Helvetica"/>
          <w:sz w:val="24"/>
          <w:szCs w:val="24"/>
        </w:rPr>
        <w:t>que,</w:t>
      </w:r>
      <w:r w:rsidRPr="00336B69">
        <w:rPr>
          <w:rFonts w:ascii="Helvetica" w:hAnsi="Helvetica" w:cs="Helvetica"/>
          <w:sz w:val="24"/>
          <w:szCs w:val="24"/>
        </w:rPr>
        <w:t xml:space="preserve"> del presupuesto vigente para inversión en </w:t>
      </w:r>
      <w:r w:rsidR="00C9328C" w:rsidRPr="00336B69">
        <w:rPr>
          <w:rFonts w:ascii="Helvetica" w:hAnsi="Helvetica" w:cs="Helvetica"/>
          <w:sz w:val="24"/>
          <w:szCs w:val="24"/>
        </w:rPr>
        <w:t>infraestructura, Q</w:t>
      </w:r>
      <w:r w:rsidRPr="00336B69">
        <w:rPr>
          <w:rFonts w:ascii="Helvetica" w:hAnsi="Helvetica" w:cs="Helvetica"/>
          <w:sz w:val="24"/>
          <w:szCs w:val="24"/>
        </w:rPr>
        <w:t xml:space="preserve">4,411.28 millones asignados a proyectos no se ejecutaron; también, que Q4,114.28 millones de asignaciones presupuestarias para inversión, que no se programaron a proyectos específicos. </w:t>
      </w:r>
    </w:p>
    <w:p w14:paraId="58926072" w14:textId="144FD60F" w:rsidR="001912B8" w:rsidRPr="003B1BD8" w:rsidRDefault="001912B8" w:rsidP="003B1BD8">
      <w:pPr>
        <w:jc w:val="both"/>
        <w:rPr>
          <w:rFonts w:ascii="Helvetica" w:eastAsiaTheme="majorEastAsia" w:hAnsi="Helvetica" w:cstheme="majorBidi"/>
          <w:b/>
          <w:color w:val="002060"/>
          <w:sz w:val="28"/>
          <w:szCs w:val="28"/>
        </w:rPr>
      </w:pPr>
      <w:bookmarkStart w:id="76" w:name="_Toc62718048"/>
      <w:r w:rsidRPr="003B1BD8">
        <w:rPr>
          <w:rFonts w:ascii="Helvetica" w:eastAsiaTheme="majorEastAsia" w:hAnsi="Helvetica" w:cstheme="majorBidi"/>
          <w:b/>
          <w:color w:val="002060"/>
          <w:sz w:val="28"/>
          <w:szCs w:val="28"/>
        </w:rPr>
        <w:t>Proyectos registrados en el SINIP y recibidos oficialmente a nivel nacional al tercer cuatrimestre, ejercicio fiscal 2020</w:t>
      </w:r>
      <w:bookmarkEnd w:id="76"/>
    </w:p>
    <w:p w14:paraId="028ADA0C" w14:textId="77777777" w:rsidR="001912B8" w:rsidRPr="00906050" w:rsidRDefault="001912B8" w:rsidP="001912B8">
      <w:pPr>
        <w:spacing w:after="0" w:line="240" w:lineRule="auto"/>
        <w:rPr>
          <w:rFonts w:ascii="Times New Roman" w:hAnsi="Times New Roman" w:cs="Times New Roman"/>
        </w:rPr>
      </w:pPr>
    </w:p>
    <w:p w14:paraId="0E4E4413" w14:textId="77777777" w:rsidR="001912B8" w:rsidRPr="001912B8" w:rsidRDefault="001912B8" w:rsidP="001912B8">
      <w:pPr>
        <w:spacing w:after="0" w:line="240" w:lineRule="auto"/>
        <w:jc w:val="both"/>
        <w:rPr>
          <w:rFonts w:ascii="Helvetica" w:hAnsi="Helvetica" w:cs="Helvetica"/>
          <w:sz w:val="24"/>
          <w:szCs w:val="24"/>
        </w:rPr>
      </w:pPr>
      <w:r w:rsidRPr="001912B8">
        <w:rPr>
          <w:rFonts w:ascii="Helvetica" w:hAnsi="Helvetica" w:cs="Helvetica"/>
          <w:sz w:val="24"/>
          <w:szCs w:val="24"/>
        </w:rPr>
        <w:t xml:space="preserve">De acuerdo con la legislación vigente y las Normas del SNIP, los proyectos de inversión Pública deben ser registrados en el SINIP e ingresados oficialmente en SEGEPLAN para la emisión de opinión técnica correspondiente y en la parte de los Gobiernos Locales, los proyectos son evaluados por las respectivas Direcciones Municipales de Planificación (DMP).  </w:t>
      </w:r>
    </w:p>
    <w:p w14:paraId="6B964732" w14:textId="77777777" w:rsidR="001912B8" w:rsidRPr="001912B8" w:rsidRDefault="001912B8" w:rsidP="001912B8">
      <w:pPr>
        <w:spacing w:after="0" w:line="240" w:lineRule="auto"/>
        <w:jc w:val="both"/>
        <w:rPr>
          <w:rFonts w:ascii="Helvetica" w:hAnsi="Helvetica" w:cs="Helvetica"/>
          <w:sz w:val="24"/>
          <w:szCs w:val="24"/>
        </w:rPr>
      </w:pPr>
    </w:p>
    <w:p w14:paraId="7F362F23" w14:textId="55DE1014" w:rsidR="001912B8" w:rsidRDefault="001912B8" w:rsidP="001912B8">
      <w:pPr>
        <w:spacing w:after="0" w:line="240" w:lineRule="auto"/>
        <w:jc w:val="both"/>
        <w:rPr>
          <w:rFonts w:ascii="Helvetica" w:hAnsi="Helvetica" w:cs="Helvetica"/>
          <w:sz w:val="24"/>
          <w:szCs w:val="24"/>
        </w:rPr>
      </w:pPr>
      <w:r w:rsidRPr="001912B8">
        <w:rPr>
          <w:rFonts w:ascii="Helvetica" w:hAnsi="Helvetica" w:cs="Helvetica"/>
          <w:sz w:val="24"/>
          <w:szCs w:val="24"/>
        </w:rPr>
        <w:t xml:space="preserve">En este sentido, al tercer cuatrimestre del Ejercicio Fiscal 2020 a nivel nacional ingresaron al SINIP un total de 13,562 proyectos, tanto en la sede central como en las oficinas departamentales de SEGEPLAN y en las respectivas direcciones de planificación de cada Gobierno local, como se muestra en la gráfica </w:t>
      </w:r>
      <w:r w:rsidR="00F52482">
        <w:rPr>
          <w:rFonts w:ascii="Helvetica" w:hAnsi="Helvetica" w:cs="Helvetica"/>
          <w:sz w:val="24"/>
          <w:szCs w:val="24"/>
        </w:rPr>
        <w:t>4</w:t>
      </w:r>
      <w:r w:rsidRPr="001912B8">
        <w:rPr>
          <w:rFonts w:ascii="Helvetica" w:hAnsi="Helvetica" w:cs="Helvetica"/>
          <w:sz w:val="24"/>
          <w:szCs w:val="24"/>
        </w:rPr>
        <w:t>:</w:t>
      </w:r>
    </w:p>
    <w:p w14:paraId="6F46E8F4" w14:textId="77777777" w:rsidR="00307F8F" w:rsidRPr="001912B8" w:rsidRDefault="00307F8F" w:rsidP="001912B8">
      <w:pPr>
        <w:spacing w:after="0" w:line="240" w:lineRule="auto"/>
        <w:jc w:val="both"/>
        <w:rPr>
          <w:rFonts w:ascii="Helvetica" w:hAnsi="Helvetica" w:cs="Helvetica"/>
          <w:sz w:val="24"/>
          <w:szCs w:val="24"/>
        </w:rPr>
      </w:pPr>
    </w:p>
    <w:p w14:paraId="4392CF23" w14:textId="58B37D2A" w:rsidR="00154839" w:rsidRDefault="00307F8F" w:rsidP="00E60C4F">
      <w:pPr>
        <w:pStyle w:val="ttulosgrficas"/>
      </w:pPr>
      <w:bookmarkStart w:id="77" w:name="_Toc67377811"/>
      <w:bookmarkStart w:id="78" w:name="_Toc67381554"/>
      <w:bookmarkStart w:id="79" w:name="_Toc67589104"/>
      <w:r w:rsidRPr="0059105E">
        <w:rPr>
          <w:rFonts w:eastAsia="Times New Roman"/>
          <w:color w:val="4472C4" w:themeColor="accent1"/>
          <w:lang w:val="es-ES"/>
        </w:rPr>
        <w:t xml:space="preserve">Gráfica </w:t>
      </w:r>
      <w:r w:rsidR="007F134F" w:rsidRPr="0059105E">
        <w:rPr>
          <w:rFonts w:eastAsia="Times New Roman"/>
          <w:color w:val="4472C4" w:themeColor="accent1"/>
          <w:lang w:val="es-ES"/>
        </w:rPr>
        <w:fldChar w:fldCharType="begin"/>
      </w:r>
      <w:r w:rsidR="007F134F" w:rsidRPr="0059105E">
        <w:rPr>
          <w:rFonts w:eastAsia="Times New Roman"/>
          <w:color w:val="4472C4" w:themeColor="accent1"/>
          <w:lang w:val="es-ES"/>
        </w:rPr>
        <w:instrText xml:space="preserve"> SEQ Gráfica \* ARABIC </w:instrText>
      </w:r>
      <w:r w:rsidR="007F134F" w:rsidRPr="0059105E">
        <w:rPr>
          <w:rFonts w:eastAsia="Times New Roman"/>
          <w:color w:val="4472C4" w:themeColor="accent1"/>
          <w:lang w:val="es-ES"/>
        </w:rPr>
        <w:fldChar w:fldCharType="separate"/>
      </w:r>
      <w:r w:rsidR="00AA2593" w:rsidRPr="0059105E">
        <w:rPr>
          <w:rFonts w:eastAsia="Times New Roman"/>
          <w:color w:val="4472C4" w:themeColor="accent1"/>
          <w:lang w:val="es-ES"/>
        </w:rPr>
        <w:t>4</w:t>
      </w:r>
      <w:bookmarkEnd w:id="77"/>
      <w:bookmarkEnd w:id="78"/>
      <w:r w:rsidR="007F134F" w:rsidRPr="0059105E">
        <w:rPr>
          <w:rFonts w:eastAsia="Times New Roman"/>
          <w:color w:val="4472C4" w:themeColor="accent1"/>
          <w:lang w:val="es-ES"/>
        </w:rPr>
        <w:fldChar w:fldCharType="end"/>
      </w:r>
      <w:r w:rsidR="003562C1" w:rsidRPr="0059105E">
        <w:rPr>
          <w:rFonts w:eastAsia="Times New Roman"/>
          <w:color w:val="4472C4" w:themeColor="accent1"/>
          <w:lang w:val="es-ES"/>
        </w:rPr>
        <w:t xml:space="preserve">, </w:t>
      </w:r>
      <w:r w:rsidR="001912B8" w:rsidRPr="0059105E">
        <w:rPr>
          <w:rFonts w:eastAsia="Times New Roman"/>
          <w:color w:val="4472C4" w:themeColor="accent1"/>
          <w:lang w:val="es-ES"/>
        </w:rPr>
        <w:t xml:space="preserve">Proyectos registrados y con asignación a nivel nacional </w:t>
      </w:r>
      <w:r w:rsidR="001912B8" w:rsidRPr="0059105E">
        <w:rPr>
          <w:rFonts w:eastAsia="Times New Roman"/>
          <w:color w:val="4472C4" w:themeColor="accent1"/>
          <w:lang w:val="es-ES"/>
        </w:rPr>
        <w:br/>
      </w:r>
      <w:r w:rsidR="001912B8" w:rsidRPr="0059105E">
        <w:rPr>
          <w:color w:val="4472C4" w:themeColor="accent1"/>
        </w:rPr>
        <w:t>Ejercicio Fiscal 2020</w:t>
      </w:r>
      <w:bookmarkEnd w:id="79"/>
    </w:p>
    <w:p w14:paraId="4A809758" w14:textId="397B204C" w:rsidR="001912B8" w:rsidRPr="00E60C4F" w:rsidRDefault="001912B8" w:rsidP="00E60C4F">
      <w:pPr>
        <w:pStyle w:val="ttulosgrficas"/>
        <w:rPr>
          <w:rFonts w:eastAsia="Times New Roman"/>
          <w:sz w:val="20"/>
          <w:szCs w:val="20"/>
          <w:lang w:eastAsia="es-GT"/>
        </w:rPr>
      </w:pPr>
      <w:r w:rsidRPr="00E83D7C">
        <w:rPr>
          <w:rFonts w:eastAsia="Times New Roman"/>
          <w:sz w:val="20"/>
          <w:szCs w:val="20"/>
          <w:lang w:eastAsia="es-GT"/>
        </w:rPr>
        <w:br/>
      </w:r>
      <w:r w:rsidRPr="000135B7">
        <w:rPr>
          <w:noProof/>
          <w:shd w:val="clear" w:color="auto" w:fill="FFFFFF" w:themeFill="background1"/>
          <w:lang w:eastAsia="es-GT"/>
        </w:rPr>
        <w:drawing>
          <wp:inline distT="0" distB="0" distL="0" distR="0" wp14:anchorId="178867D8" wp14:editId="42D4CBB6">
            <wp:extent cx="5612130" cy="2419350"/>
            <wp:effectExtent l="0" t="0" r="7620" b="0"/>
            <wp:docPr id="4" name="Gráfico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F70931-999A-49F9-98FC-3CEDEC5F6A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23AF6A4" w14:textId="232B747E" w:rsidR="001912B8" w:rsidRPr="000135B7" w:rsidRDefault="00E60C4F" w:rsidP="001912B8">
      <w:pPr>
        <w:rPr>
          <w:rFonts w:ascii="Times New Roman" w:hAnsi="Times New Roman" w:cs="Times New Roman"/>
          <w:sz w:val="16"/>
          <w:szCs w:val="16"/>
        </w:rPr>
      </w:pPr>
      <w:r>
        <w:rPr>
          <w:rFonts w:ascii="Times New Roman" w:hAnsi="Times New Roman" w:cs="Times New Roman"/>
          <w:sz w:val="16"/>
          <w:szCs w:val="16"/>
        </w:rPr>
        <w:t xml:space="preserve">           </w:t>
      </w:r>
      <w:r w:rsidR="001912B8" w:rsidRPr="00906050">
        <w:rPr>
          <w:rFonts w:ascii="Times New Roman" w:hAnsi="Times New Roman" w:cs="Times New Roman"/>
          <w:sz w:val="16"/>
          <w:szCs w:val="16"/>
        </w:rPr>
        <w:t>Fuente: elaboración SEGEPLAN con información del SINIP 01.</w:t>
      </w:r>
      <w:r w:rsidR="001912B8">
        <w:rPr>
          <w:rFonts w:ascii="Times New Roman" w:hAnsi="Times New Roman" w:cs="Times New Roman"/>
          <w:sz w:val="16"/>
          <w:szCs w:val="16"/>
        </w:rPr>
        <w:t>01</w:t>
      </w:r>
      <w:r w:rsidR="001912B8" w:rsidRPr="00906050">
        <w:rPr>
          <w:rFonts w:ascii="Times New Roman" w:hAnsi="Times New Roman" w:cs="Times New Roman"/>
          <w:sz w:val="16"/>
          <w:szCs w:val="16"/>
        </w:rPr>
        <w:t>.202</w:t>
      </w:r>
      <w:r w:rsidR="001912B8">
        <w:rPr>
          <w:rFonts w:ascii="Times New Roman" w:hAnsi="Times New Roman" w:cs="Times New Roman"/>
          <w:sz w:val="16"/>
          <w:szCs w:val="16"/>
        </w:rPr>
        <w:t>1</w:t>
      </w:r>
      <w:r>
        <w:rPr>
          <w:rFonts w:ascii="Times New Roman" w:hAnsi="Times New Roman" w:cs="Times New Roman"/>
          <w:sz w:val="16"/>
          <w:szCs w:val="16"/>
        </w:rPr>
        <w:t>.</w:t>
      </w:r>
    </w:p>
    <w:p w14:paraId="6B14CC17" w14:textId="56977741" w:rsidR="001912B8" w:rsidRDefault="001912B8" w:rsidP="00E60C4F">
      <w:pPr>
        <w:spacing w:before="120" w:after="120" w:line="240" w:lineRule="auto"/>
        <w:jc w:val="both"/>
        <w:rPr>
          <w:rFonts w:ascii="Helvetica" w:hAnsi="Helvetica" w:cs="Helvetica"/>
          <w:sz w:val="24"/>
          <w:szCs w:val="24"/>
        </w:rPr>
      </w:pPr>
      <w:r w:rsidRPr="001912B8">
        <w:rPr>
          <w:rFonts w:ascii="Helvetica" w:hAnsi="Helvetica" w:cs="Helvetica"/>
          <w:sz w:val="24"/>
          <w:szCs w:val="24"/>
        </w:rPr>
        <w:t>Los datos anteriores reflejan los aspectos siguientes:</w:t>
      </w:r>
    </w:p>
    <w:p w14:paraId="17E67862" w14:textId="77777777" w:rsidR="001912B8" w:rsidRPr="001912B8" w:rsidRDefault="001912B8" w:rsidP="00E60C4F">
      <w:pPr>
        <w:pStyle w:val="Prrafodelista"/>
        <w:numPr>
          <w:ilvl w:val="0"/>
          <w:numId w:val="14"/>
        </w:numPr>
        <w:spacing w:before="120" w:after="120" w:line="240" w:lineRule="auto"/>
        <w:contextualSpacing w:val="0"/>
        <w:jc w:val="both"/>
        <w:rPr>
          <w:rFonts w:ascii="Helvetica" w:hAnsi="Helvetica" w:cs="Helvetica"/>
          <w:sz w:val="24"/>
          <w:szCs w:val="24"/>
        </w:rPr>
      </w:pPr>
      <w:r w:rsidRPr="001912B8">
        <w:rPr>
          <w:rFonts w:ascii="Helvetica" w:hAnsi="Helvetica" w:cs="Helvetica"/>
          <w:sz w:val="24"/>
          <w:szCs w:val="24"/>
        </w:rPr>
        <w:t>El 40.4% de los proyectos registrados, obtienen asignación presupuestaria inicial;</w:t>
      </w:r>
    </w:p>
    <w:p w14:paraId="7FA4FBF9" w14:textId="77777777" w:rsidR="001912B8" w:rsidRPr="001912B8" w:rsidRDefault="001912B8" w:rsidP="00E60C4F">
      <w:pPr>
        <w:pStyle w:val="Prrafodelista"/>
        <w:numPr>
          <w:ilvl w:val="0"/>
          <w:numId w:val="14"/>
        </w:numPr>
        <w:spacing w:before="120" w:after="120" w:line="240" w:lineRule="auto"/>
        <w:contextualSpacing w:val="0"/>
        <w:jc w:val="both"/>
        <w:rPr>
          <w:rFonts w:ascii="Helvetica" w:hAnsi="Helvetica" w:cs="Helvetica"/>
          <w:sz w:val="24"/>
          <w:szCs w:val="24"/>
        </w:rPr>
      </w:pPr>
      <w:r w:rsidRPr="001912B8">
        <w:rPr>
          <w:rFonts w:ascii="Helvetica" w:hAnsi="Helvetica" w:cs="Helvetica"/>
          <w:sz w:val="24"/>
          <w:szCs w:val="24"/>
        </w:rPr>
        <w:t>Durante el transcurso del ejercicio, se incrementó en 18.9% la cantidad de proyectos que obtienen asignación presupuestaria actualizada;</w:t>
      </w:r>
    </w:p>
    <w:p w14:paraId="77637E62" w14:textId="345816EB" w:rsidR="001912B8" w:rsidRPr="001912B8" w:rsidRDefault="001912B8" w:rsidP="00E60C4F">
      <w:pPr>
        <w:pStyle w:val="Prrafodelista"/>
        <w:numPr>
          <w:ilvl w:val="0"/>
          <w:numId w:val="14"/>
        </w:numPr>
        <w:spacing w:before="120" w:after="120" w:line="240" w:lineRule="auto"/>
        <w:contextualSpacing w:val="0"/>
        <w:jc w:val="both"/>
        <w:rPr>
          <w:rFonts w:ascii="Helvetica" w:hAnsi="Helvetica" w:cs="Helvetica"/>
          <w:sz w:val="24"/>
          <w:szCs w:val="24"/>
        </w:rPr>
      </w:pPr>
      <w:r w:rsidRPr="001912B8">
        <w:rPr>
          <w:rFonts w:ascii="Helvetica" w:hAnsi="Helvetica" w:cs="Helvetica"/>
          <w:sz w:val="24"/>
          <w:szCs w:val="24"/>
        </w:rPr>
        <w:t xml:space="preserve">Del total de proyectos con asignación presupuestaria actualizada, un 86.9% alcanzan ejecución </w:t>
      </w:r>
      <w:r w:rsidR="00372445" w:rsidRPr="001912B8">
        <w:rPr>
          <w:rFonts w:ascii="Helvetica" w:hAnsi="Helvetica" w:cs="Helvetica"/>
          <w:sz w:val="24"/>
          <w:szCs w:val="24"/>
        </w:rPr>
        <w:t>financiera</w:t>
      </w:r>
      <w:r w:rsidRPr="001912B8">
        <w:rPr>
          <w:rFonts w:ascii="Helvetica" w:hAnsi="Helvetica" w:cs="Helvetica"/>
          <w:sz w:val="24"/>
          <w:szCs w:val="24"/>
        </w:rPr>
        <w:t xml:space="preserve"> y un 90.2% alcanza ejecución física.</w:t>
      </w:r>
    </w:p>
    <w:p w14:paraId="41A3453E" w14:textId="44420EDD" w:rsidR="001912B8" w:rsidRDefault="001912B8" w:rsidP="001912B8">
      <w:pPr>
        <w:spacing w:after="0"/>
        <w:jc w:val="both"/>
        <w:rPr>
          <w:rFonts w:ascii="Helvetica" w:hAnsi="Helvetica" w:cs="Helvetica"/>
          <w:sz w:val="24"/>
          <w:szCs w:val="24"/>
        </w:rPr>
      </w:pPr>
      <w:r w:rsidRPr="001912B8">
        <w:rPr>
          <w:rFonts w:ascii="Helvetica" w:hAnsi="Helvetica" w:cs="Helvetica"/>
          <w:sz w:val="24"/>
          <w:szCs w:val="24"/>
        </w:rPr>
        <w:t xml:space="preserve">Otros datos relevantes de los proyectos se presentan en </w:t>
      </w:r>
      <w:r w:rsidR="00F52482">
        <w:rPr>
          <w:rFonts w:ascii="Helvetica" w:hAnsi="Helvetica" w:cs="Helvetica"/>
          <w:sz w:val="24"/>
          <w:szCs w:val="24"/>
        </w:rPr>
        <w:t>la tabla 36</w:t>
      </w:r>
      <w:r w:rsidRPr="001912B8">
        <w:rPr>
          <w:rFonts w:ascii="Helvetica" w:hAnsi="Helvetica" w:cs="Helvetica"/>
          <w:sz w:val="24"/>
          <w:szCs w:val="24"/>
        </w:rPr>
        <w:t>:</w:t>
      </w:r>
    </w:p>
    <w:p w14:paraId="172D82BE" w14:textId="063A1892" w:rsidR="00F52482" w:rsidRDefault="00F52482" w:rsidP="001912B8">
      <w:pPr>
        <w:spacing w:after="0"/>
        <w:jc w:val="both"/>
        <w:rPr>
          <w:rFonts w:ascii="Helvetica" w:hAnsi="Helvetica" w:cs="Helvetica"/>
          <w:sz w:val="24"/>
          <w:szCs w:val="24"/>
        </w:rPr>
      </w:pPr>
    </w:p>
    <w:p w14:paraId="2305ABDA" w14:textId="77777777" w:rsidR="003562C1" w:rsidRPr="0059105E" w:rsidRDefault="00F52482" w:rsidP="0059105E">
      <w:pPr>
        <w:pStyle w:val="ttulosgrficas"/>
        <w:rPr>
          <w:rFonts w:eastAsia="Times New Roman"/>
          <w:b w:val="0"/>
          <w:bCs w:val="0"/>
          <w:color w:val="4472C4" w:themeColor="accent1"/>
          <w:lang w:val="es-ES"/>
        </w:rPr>
      </w:pPr>
      <w:bookmarkStart w:id="80" w:name="_Toc67589149"/>
      <w:r w:rsidRPr="0059105E">
        <w:rPr>
          <w:rFonts w:eastAsia="Times New Roman"/>
          <w:color w:val="4472C4" w:themeColor="accent1"/>
          <w:lang w:val="es-ES"/>
        </w:rPr>
        <w:t xml:space="preserve">Tabla </w:t>
      </w:r>
      <w:r w:rsidR="007F134F" w:rsidRPr="0059105E">
        <w:rPr>
          <w:rFonts w:eastAsia="Times New Roman"/>
          <w:color w:val="4472C4" w:themeColor="accent1"/>
          <w:lang w:val="es-ES"/>
        </w:rPr>
        <w:fldChar w:fldCharType="begin"/>
      </w:r>
      <w:r w:rsidR="007F134F" w:rsidRPr="0059105E">
        <w:rPr>
          <w:rFonts w:eastAsia="Times New Roman"/>
          <w:color w:val="4472C4" w:themeColor="accent1"/>
          <w:lang w:val="es-ES"/>
        </w:rPr>
        <w:instrText xml:space="preserve"> SEQ Tabla \* ARABIC </w:instrText>
      </w:r>
      <w:r w:rsidR="007F134F" w:rsidRPr="0059105E">
        <w:rPr>
          <w:rFonts w:eastAsia="Times New Roman"/>
          <w:color w:val="4472C4" w:themeColor="accent1"/>
          <w:lang w:val="es-ES"/>
        </w:rPr>
        <w:fldChar w:fldCharType="separate"/>
      </w:r>
      <w:r w:rsidR="00AA2593" w:rsidRPr="0059105E">
        <w:rPr>
          <w:rFonts w:eastAsia="Times New Roman"/>
          <w:color w:val="4472C4" w:themeColor="accent1"/>
          <w:lang w:val="es-ES"/>
        </w:rPr>
        <w:t>36</w:t>
      </w:r>
      <w:r w:rsidR="007F134F" w:rsidRPr="0059105E">
        <w:rPr>
          <w:rFonts w:eastAsia="Times New Roman"/>
          <w:color w:val="4472C4" w:themeColor="accent1"/>
          <w:lang w:val="es-ES"/>
        </w:rPr>
        <w:fldChar w:fldCharType="end"/>
      </w:r>
      <w:r w:rsidR="003562C1" w:rsidRPr="0059105E">
        <w:rPr>
          <w:rFonts w:eastAsia="Times New Roman"/>
          <w:color w:val="4472C4" w:themeColor="accent1"/>
          <w:lang w:val="es-ES"/>
        </w:rPr>
        <w:t xml:space="preserve">, </w:t>
      </w:r>
      <w:r w:rsidR="00CD281D" w:rsidRPr="0059105E">
        <w:rPr>
          <w:rFonts w:eastAsia="Times New Roman"/>
          <w:noProof/>
          <w:color w:val="4472C4" w:themeColor="accent1"/>
          <w:lang w:eastAsia="es-GT"/>
        </w:rPr>
        <w:drawing>
          <wp:anchor distT="0" distB="0" distL="114300" distR="114300" simplePos="0" relativeHeight="251665408" behindDoc="0" locked="0" layoutInCell="1" allowOverlap="1" wp14:anchorId="3C6F5DC4" wp14:editId="0306F9F1">
            <wp:simplePos x="0" y="0"/>
            <wp:positionH relativeFrom="margin">
              <wp:align>left</wp:align>
            </wp:positionH>
            <wp:positionV relativeFrom="paragraph">
              <wp:posOffset>403225</wp:posOffset>
            </wp:positionV>
            <wp:extent cx="5972175" cy="1457325"/>
            <wp:effectExtent l="0" t="0" r="9525" b="952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175" cy="1457325"/>
                    </a:xfrm>
                    <a:prstGeom prst="rect">
                      <a:avLst/>
                    </a:prstGeom>
                    <a:noFill/>
                    <a:ln>
                      <a:noFill/>
                    </a:ln>
                  </pic:spPr>
                </pic:pic>
              </a:graphicData>
            </a:graphic>
            <wp14:sizeRelV relativeFrom="margin">
              <wp14:pctHeight>0</wp14:pctHeight>
            </wp14:sizeRelV>
          </wp:anchor>
        </w:drawing>
      </w:r>
      <w:r w:rsidR="00C25B7E" w:rsidRPr="0059105E">
        <w:rPr>
          <w:rFonts w:eastAsia="Times New Roman"/>
          <w:color w:val="4472C4" w:themeColor="accent1"/>
          <w:lang w:val="es-ES"/>
        </w:rPr>
        <w:t>Proyectos registrados,</w:t>
      </w:r>
      <w:bookmarkEnd w:id="80"/>
      <w:r w:rsidR="00C25B7E" w:rsidRPr="0059105E">
        <w:rPr>
          <w:rFonts w:eastAsia="Times New Roman"/>
          <w:b w:val="0"/>
          <w:bCs w:val="0"/>
          <w:color w:val="4472C4" w:themeColor="accent1"/>
          <w:lang w:val="es-ES"/>
        </w:rPr>
        <w:t xml:space="preserve"> </w:t>
      </w:r>
    </w:p>
    <w:p w14:paraId="672161FE" w14:textId="2AE4B522" w:rsidR="00CD281D" w:rsidRPr="0059105E" w:rsidRDefault="00C25B7E" w:rsidP="00C25B7E">
      <w:pPr>
        <w:spacing w:after="0" w:line="240" w:lineRule="auto"/>
        <w:jc w:val="center"/>
        <w:rPr>
          <w:rStyle w:val="ttulosgrficasCar"/>
          <w:color w:val="4472C4" w:themeColor="accent1"/>
        </w:rPr>
      </w:pPr>
      <w:r w:rsidRPr="0059105E">
        <w:rPr>
          <w:rStyle w:val="ttulosgrficasCar"/>
          <w:color w:val="4472C4" w:themeColor="accent1"/>
        </w:rPr>
        <w:t>con asignación y ejecución a nivel nacional, Ejercicio Fiscal 2020</w:t>
      </w:r>
    </w:p>
    <w:p w14:paraId="56BF3948" w14:textId="3DAF511E" w:rsidR="00C25B7E" w:rsidRDefault="00C25B7E" w:rsidP="00CD281D">
      <w:pPr>
        <w:spacing w:after="0" w:line="120" w:lineRule="auto"/>
        <w:jc w:val="center"/>
        <w:rPr>
          <w:rFonts w:ascii="Times New Roman" w:hAnsi="Times New Roman" w:cs="Times New Roman"/>
          <w:b/>
          <w:bCs/>
          <w:sz w:val="20"/>
          <w:szCs w:val="20"/>
        </w:rPr>
      </w:pPr>
    </w:p>
    <w:p w14:paraId="57DFF815" w14:textId="22C9663D" w:rsidR="00372445" w:rsidRPr="000135B7" w:rsidRDefault="00372445" w:rsidP="00372445">
      <w:pPr>
        <w:rPr>
          <w:rFonts w:ascii="Times New Roman" w:hAnsi="Times New Roman" w:cs="Times New Roman"/>
          <w:sz w:val="16"/>
          <w:szCs w:val="16"/>
        </w:rPr>
      </w:pPr>
      <w:bookmarkStart w:id="81" w:name="_Hlk67045484"/>
      <w:r w:rsidRPr="00906050">
        <w:rPr>
          <w:rFonts w:ascii="Times New Roman" w:hAnsi="Times New Roman" w:cs="Times New Roman"/>
          <w:sz w:val="16"/>
          <w:szCs w:val="16"/>
        </w:rPr>
        <w:t>Fuente: elaboración SEGEPLAN con información del SINIP</w:t>
      </w:r>
      <w:r w:rsidR="00B910DD">
        <w:rPr>
          <w:rFonts w:ascii="Times New Roman" w:hAnsi="Times New Roman" w:cs="Times New Roman"/>
          <w:sz w:val="16"/>
          <w:szCs w:val="16"/>
        </w:rPr>
        <w:t>.</w:t>
      </w:r>
    </w:p>
    <w:bookmarkEnd w:id="81"/>
    <w:p w14:paraId="333275B6" w14:textId="4AA2CC4E" w:rsidR="001912B8" w:rsidRDefault="00372445" w:rsidP="001912B8">
      <w:pPr>
        <w:spacing w:after="0" w:line="240" w:lineRule="auto"/>
        <w:jc w:val="both"/>
        <w:rPr>
          <w:rFonts w:ascii="Helvetica" w:hAnsi="Helvetica" w:cs="Helvetica"/>
          <w:sz w:val="24"/>
          <w:szCs w:val="24"/>
        </w:rPr>
      </w:pPr>
      <w:r w:rsidRPr="00372445">
        <w:rPr>
          <w:rFonts w:ascii="Helvetica" w:hAnsi="Helvetica" w:cs="Helvetica"/>
          <w:sz w:val="24"/>
          <w:szCs w:val="24"/>
        </w:rPr>
        <w:t xml:space="preserve">De </w:t>
      </w:r>
      <w:r w:rsidR="001912B8" w:rsidRPr="00372445">
        <w:rPr>
          <w:rFonts w:ascii="Helvetica" w:hAnsi="Helvetica" w:cs="Helvetica"/>
          <w:sz w:val="24"/>
          <w:szCs w:val="24"/>
        </w:rPr>
        <w:t xml:space="preserve">los </w:t>
      </w:r>
      <w:r w:rsidRPr="00372445">
        <w:rPr>
          <w:rFonts w:ascii="Helvetica" w:hAnsi="Helvetica" w:cs="Helvetica"/>
          <w:sz w:val="24"/>
          <w:szCs w:val="24"/>
        </w:rPr>
        <w:t>datos anteriores</w:t>
      </w:r>
      <w:r w:rsidR="001912B8" w:rsidRPr="00372445">
        <w:rPr>
          <w:rFonts w:ascii="Helvetica" w:hAnsi="Helvetica" w:cs="Helvetica"/>
          <w:sz w:val="24"/>
          <w:szCs w:val="24"/>
        </w:rPr>
        <w:t>, es importante acotar lo siguiente:</w:t>
      </w:r>
    </w:p>
    <w:p w14:paraId="6284B589" w14:textId="77777777" w:rsidR="00316FAD" w:rsidRPr="00372445" w:rsidRDefault="00316FAD" w:rsidP="001912B8">
      <w:pPr>
        <w:spacing w:after="0" w:line="240" w:lineRule="auto"/>
        <w:jc w:val="both"/>
        <w:rPr>
          <w:rFonts w:ascii="Helvetica" w:hAnsi="Helvetica" w:cs="Helvetica"/>
          <w:sz w:val="24"/>
          <w:szCs w:val="24"/>
        </w:rPr>
      </w:pPr>
    </w:p>
    <w:p w14:paraId="31DA9C29" w14:textId="46180225" w:rsidR="001912B8" w:rsidRPr="00372445" w:rsidRDefault="001912B8" w:rsidP="00B910DD">
      <w:pPr>
        <w:pStyle w:val="Prrafodelista"/>
        <w:numPr>
          <w:ilvl w:val="0"/>
          <w:numId w:val="12"/>
        </w:numPr>
        <w:spacing w:before="120" w:after="120" w:line="240" w:lineRule="auto"/>
        <w:ind w:left="714" w:hanging="357"/>
        <w:contextualSpacing w:val="0"/>
        <w:jc w:val="both"/>
        <w:rPr>
          <w:rFonts w:ascii="Helvetica" w:hAnsi="Helvetica" w:cs="Helvetica"/>
          <w:sz w:val="24"/>
          <w:szCs w:val="24"/>
        </w:rPr>
      </w:pPr>
      <w:r w:rsidRPr="00372445">
        <w:rPr>
          <w:rFonts w:ascii="Helvetica" w:hAnsi="Helvetica" w:cs="Helvetica"/>
          <w:sz w:val="24"/>
          <w:szCs w:val="24"/>
        </w:rPr>
        <w:t xml:space="preserve">12,618 de los proyectos </w:t>
      </w:r>
      <w:r w:rsidR="00372445" w:rsidRPr="00372445">
        <w:rPr>
          <w:rFonts w:ascii="Helvetica" w:hAnsi="Helvetica" w:cs="Helvetica"/>
          <w:sz w:val="24"/>
          <w:szCs w:val="24"/>
        </w:rPr>
        <w:t>registrados, (</w:t>
      </w:r>
      <w:r w:rsidRPr="00372445">
        <w:rPr>
          <w:rFonts w:ascii="Helvetica" w:hAnsi="Helvetica" w:cs="Helvetica"/>
          <w:sz w:val="24"/>
          <w:szCs w:val="24"/>
        </w:rPr>
        <w:t>93% del total) corresponden a los gobiernos locales, como unidades ejecutoras de los recursos de aporte constitucional, transferencias por IVA-PAZ, FONPETRO</w:t>
      </w:r>
      <w:r w:rsidR="0064339C">
        <w:rPr>
          <w:rFonts w:ascii="Helvetica" w:hAnsi="Helvetica" w:cs="Helvetica"/>
          <w:sz w:val="24"/>
          <w:szCs w:val="24"/>
        </w:rPr>
        <w:t>L</w:t>
      </w:r>
      <w:r w:rsidRPr="00372445">
        <w:rPr>
          <w:rFonts w:ascii="Helvetica" w:hAnsi="Helvetica" w:cs="Helvetica"/>
          <w:sz w:val="24"/>
          <w:szCs w:val="24"/>
        </w:rPr>
        <w:t xml:space="preserve"> y aporte extraordinario por pandemia COVID</w:t>
      </w:r>
      <w:r w:rsidR="0064339C">
        <w:rPr>
          <w:rFonts w:ascii="Helvetica" w:hAnsi="Helvetica" w:cs="Helvetica"/>
          <w:sz w:val="24"/>
          <w:szCs w:val="24"/>
        </w:rPr>
        <w:t>-1</w:t>
      </w:r>
      <w:r w:rsidRPr="00372445">
        <w:rPr>
          <w:rFonts w:ascii="Helvetica" w:hAnsi="Helvetica" w:cs="Helvetica"/>
          <w:sz w:val="24"/>
          <w:szCs w:val="24"/>
        </w:rPr>
        <w:t>9, con un total de Q11,561.98 millones, 49.6% del total programado;</w:t>
      </w:r>
    </w:p>
    <w:p w14:paraId="2AA5B0F4" w14:textId="040806D3" w:rsidR="001912B8" w:rsidRPr="00372445" w:rsidRDefault="001912B8" w:rsidP="00B910DD">
      <w:pPr>
        <w:pStyle w:val="Prrafodelista"/>
        <w:numPr>
          <w:ilvl w:val="0"/>
          <w:numId w:val="12"/>
        </w:numPr>
        <w:spacing w:before="120" w:after="120" w:line="240" w:lineRule="auto"/>
        <w:ind w:left="714" w:hanging="357"/>
        <w:contextualSpacing w:val="0"/>
        <w:jc w:val="both"/>
        <w:rPr>
          <w:rFonts w:ascii="Helvetica" w:hAnsi="Helvetica" w:cs="Helvetica"/>
          <w:sz w:val="24"/>
          <w:szCs w:val="24"/>
        </w:rPr>
      </w:pPr>
      <w:r w:rsidRPr="00372445">
        <w:rPr>
          <w:rFonts w:ascii="Helvetica" w:hAnsi="Helvetica" w:cs="Helvetica"/>
          <w:sz w:val="24"/>
          <w:szCs w:val="24"/>
        </w:rPr>
        <w:t xml:space="preserve">De los proyectos que ejecutan las municipalidades incluyendo los de CODEDE, </w:t>
      </w:r>
      <w:r w:rsidR="00372445" w:rsidRPr="00372445">
        <w:rPr>
          <w:rFonts w:ascii="Helvetica" w:hAnsi="Helvetica" w:cs="Helvetica"/>
          <w:sz w:val="24"/>
          <w:szCs w:val="24"/>
        </w:rPr>
        <w:t>6,532 contaron</w:t>
      </w:r>
      <w:r w:rsidRPr="00372445">
        <w:rPr>
          <w:rFonts w:ascii="Helvetica" w:hAnsi="Helvetica" w:cs="Helvetica"/>
          <w:sz w:val="24"/>
          <w:szCs w:val="24"/>
        </w:rPr>
        <w:t xml:space="preserve"> con asignación para su ejecución (93% del total), por un monto de Q 6,237.39 millones (57.3% del total);</w:t>
      </w:r>
    </w:p>
    <w:p w14:paraId="3182553C" w14:textId="221718D7" w:rsidR="001912B8" w:rsidRPr="00372445" w:rsidRDefault="001912B8" w:rsidP="00B910DD">
      <w:pPr>
        <w:pStyle w:val="Prrafodelista"/>
        <w:numPr>
          <w:ilvl w:val="0"/>
          <w:numId w:val="12"/>
        </w:numPr>
        <w:spacing w:before="120" w:after="120" w:line="240" w:lineRule="auto"/>
        <w:ind w:left="714" w:hanging="357"/>
        <w:contextualSpacing w:val="0"/>
        <w:jc w:val="both"/>
        <w:rPr>
          <w:rFonts w:ascii="Helvetica" w:hAnsi="Helvetica" w:cs="Helvetica"/>
          <w:sz w:val="24"/>
          <w:szCs w:val="24"/>
        </w:rPr>
      </w:pPr>
      <w:r w:rsidRPr="00372445">
        <w:rPr>
          <w:rFonts w:ascii="Helvetica" w:hAnsi="Helvetica" w:cs="Helvetica"/>
          <w:sz w:val="24"/>
          <w:szCs w:val="24"/>
        </w:rPr>
        <w:t>6,131 proyectos (99.3% del total) presentaron avance físico y 6,023 (97.6% del total) presentaron avance financiero y ejecutaron un monto de Q3</w:t>
      </w:r>
      <w:proofErr w:type="gramStart"/>
      <w:r w:rsidRPr="00372445">
        <w:rPr>
          <w:rFonts w:ascii="Helvetica" w:hAnsi="Helvetica" w:cs="Helvetica"/>
          <w:sz w:val="24"/>
          <w:szCs w:val="24"/>
        </w:rPr>
        <w:t>,819.64</w:t>
      </w:r>
      <w:proofErr w:type="gramEnd"/>
      <w:r w:rsidRPr="00372445">
        <w:rPr>
          <w:rFonts w:ascii="Helvetica" w:hAnsi="Helvetica" w:cs="Helvetica"/>
          <w:sz w:val="24"/>
          <w:szCs w:val="24"/>
        </w:rPr>
        <w:t xml:space="preserve">  </w:t>
      </w:r>
      <w:r w:rsidR="00372445" w:rsidRPr="00372445">
        <w:rPr>
          <w:rFonts w:ascii="Helvetica" w:hAnsi="Helvetica" w:cs="Helvetica"/>
          <w:sz w:val="24"/>
          <w:szCs w:val="24"/>
        </w:rPr>
        <w:t>millones, que</w:t>
      </w:r>
      <w:r w:rsidRPr="00372445">
        <w:rPr>
          <w:rFonts w:ascii="Helvetica" w:hAnsi="Helvetica" w:cs="Helvetica"/>
          <w:sz w:val="24"/>
          <w:szCs w:val="24"/>
        </w:rPr>
        <w:t xml:space="preserve"> representa un 59% del total ejecutado.</w:t>
      </w:r>
    </w:p>
    <w:p w14:paraId="700CBB68" w14:textId="77777777" w:rsidR="001912B8" w:rsidRPr="00372445" w:rsidRDefault="001912B8" w:rsidP="001912B8">
      <w:pPr>
        <w:spacing w:after="0" w:line="240" w:lineRule="auto"/>
        <w:jc w:val="both"/>
        <w:rPr>
          <w:rFonts w:ascii="Helvetica" w:hAnsi="Helvetica" w:cs="Helvetica"/>
          <w:sz w:val="24"/>
          <w:szCs w:val="24"/>
        </w:rPr>
      </w:pPr>
    </w:p>
    <w:p w14:paraId="337E721A" w14:textId="55AC6C7C" w:rsidR="001912B8" w:rsidRDefault="00372445" w:rsidP="001912B8">
      <w:pPr>
        <w:spacing w:after="0" w:line="240" w:lineRule="auto"/>
        <w:jc w:val="both"/>
        <w:rPr>
          <w:rFonts w:ascii="Helvetica" w:hAnsi="Helvetica" w:cs="Helvetica"/>
          <w:sz w:val="24"/>
          <w:szCs w:val="24"/>
        </w:rPr>
      </w:pPr>
      <w:r w:rsidRPr="00372445">
        <w:rPr>
          <w:rFonts w:ascii="Helvetica" w:hAnsi="Helvetica" w:cs="Helvetica"/>
          <w:sz w:val="24"/>
          <w:szCs w:val="24"/>
        </w:rPr>
        <w:t>Asimismo, según</w:t>
      </w:r>
      <w:r w:rsidR="001912B8" w:rsidRPr="00372445">
        <w:rPr>
          <w:rFonts w:ascii="Helvetica" w:hAnsi="Helvetica" w:cs="Helvetica"/>
          <w:sz w:val="24"/>
          <w:szCs w:val="24"/>
        </w:rPr>
        <w:t xml:space="preserve"> los datos, las entidades de la Administración Central y entidades Descentralizadas, </w:t>
      </w:r>
      <w:r w:rsidRPr="00372445">
        <w:rPr>
          <w:rFonts w:ascii="Helvetica" w:hAnsi="Helvetica" w:cs="Helvetica"/>
          <w:sz w:val="24"/>
          <w:szCs w:val="24"/>
        </w:rPr>
        <w:t>Autónomas</w:t>
      </w:r>
      <w:r w:rsidR="001912B8" w:rsidRPr="00372445">
        <w:rPr>
          <w:rFonts w:ascii="Helvetica" w:hAnsi="Helvetica" w:cs="Helvetica"/>
          <w:sz w:val="24"/>
          <w:szCs w:val="24"/>
        </w:rPr>
        <w:t xml:space="preserve"> y Empresas Públicas, presentaron el comportamiento siguiente:</w:t>
      </w:r>
    </w:p>
    <w:p w14:paraId="52CAB24E" w14:textId="77777777" w:rsidR="00316FAD" w:rsidRPr="00372445" w:rsidRDefault="00316FAD" w:rsidP="001912B8">
      <w:pPr>
        <w:spacing w:after="0" w:line="240" w:lineRule="auto"/>
        <w:jc w:val="both"/>
        <w:rPr>
          <w:rFonts w:ascii="Helvetica" w:hAnsi="Helvetica" w:cs="Helvetica"/>
          <w:sz w:val="24"/>
          <w:szCs w:val="24"/>
        </w:rPr>
      </w:pPr>
    </w:p>
    <w:p w14:paraId="430FA628" w14:textId="3EA082E8" w:rsidR="001912B8" w:rsidRPr="00372445" w:rsidRDefault="001912B8" w:rsidP="00B910DD">
      <w:pPr>
        <w:pStyle w:val="Prrafodelista"/>
        <w:numPr>
          <w:ilvl w:val="0"/>
          <w:numId w:val="13"/>
        </w:numPr>
        <w:spacing w:before="120" w:after="120" w:line="240" w:lineRule="auto"/>
        <w:ind w:left="714" w:hanging="357"/>
        <w:contextualSpacing w:val="0"/>
        <w:jc w:val="both"/>
        <w:rPr>
          <w:rFonts w:ascii="Helvetica" w:hAnsi="Helvetica" w:cs="Helvetica"/>
          <w:sz w:val="24"/>
          <w:szCs w:val="24"/>
        </w:rPr>
      </w:pPr>
      <w:r w:rsidRPr="00372445">
        <w:rPr>
          <w:rFonts w:ascii="Helvetica" w:hAnsi="Helvetica" w:cs="Helvetica"/>
          <w:sz w:val="24"/>
          <w:szCs w:val="24"/>
        </w:rPr>
        <w:t>Un total de 956 proyectos (7% del total) registraron una programación de asignaciones por un monto de Q11,757.05 millones, que representan el 50.4% del total;</w:t>
      </w:r>
    </w:p>
    <w:p w14:paraId="4A662B51" w14:textId="77777777" w:rsidR="001912B8" w:rsidRPr="00372445" w:rsidRDefault="001912B8" w:rsidP="00B910DD">
      <w:pPr>
        <w:pStyle w:val="Prrafodelista"/>
        <w:numPr>
          <w:ilvl w:val="0"/>
          <w:numId w:val="13"/>
        </w:numPr>
        <w:spacing w:before="120" w:after="120" w:line="240" w:lineRule="auto"/>
        <w:ind w:left="714" w:hanging="357"/>
        <w:contextualSpacing w:val="0"/>
        <w:jc w:val="both"/>
        <w:rPr>
          <w:rFonts w:ascii="Helvetica" w:hAnsi="Helvetica" w:cs="Helvetica"/>
          <w:sz w:val="24"/>
          <w:szCs w:val="24"/>
        </w:rPr>
      </w:pPr>
      <w:r w:rsidRPr="00372445">
        <w:rPr>
          <w:rFonts w:ascii="Helvetica" w:hAnsi="Helvetica" w:cs="Helvetica"/>
          <w:sz w:val="24"/>
          <w:szCs w:val="24"/>
        </w:rPr>
        <w:t>448 proyectos obtuvieron una asignación actualizada al final del período, por un monto de Q4,648.75 millones, 42.7% del total;</w:t>
      </w:r>
    </w:p>
    <w:p w14:paraId="4C9893A6" w14:textId="20FDCD8C" w:rsidR="001912B8" w:rsidRPr="00372445" w:rsidRDefault="001912B8" w:rsidP="00B910DD">
      <w:pPr>
        <w:pStyle w:val="Prrafodelista"/>
        <w:numPr>
          <w:ilvl w:val="0"/>
          <w:numId w:val="13"/>
        </w:numPr>
        <w:spacing w:before="120" w:after="120" w:line="240" w:lineRule="auto"/>
        <w:ind w:left="714" w:hanging="357"/>
        <w:contextualSpacing w:val="0"/>
        <w:jc w:val="both"/>
        <w:rPr>
          <w:rFonts w:ascii="Helvetica" w:hAnsi="Helvetica" w:cs="Helvetica"/>
          <w:sz w:val="24"/>
          <w:szCs w:val="24"/>
        </w:rPr>
      </w:pPr>
      <w:r w:rsidRPr="00372445">
        <w:rPr>
          <w:rFonts w:ascii="Helvetica" w:hAnsi="Helvetica" w:cs="Helvetica"/>
          <w:sz w:val="24"/>
          <w:szCs w:val="24"/>
        </w:rPr>
        <w:t>249 proyectos tuvieron ejecución física y 196 ejecución financiera, por un monto total de Q2,655.25 millones (41</w:t>
      </w:r>
      <w:r w:rsidR="00372445" w:rsidRPr="00372445">
        <w:rPr>
          <w:rFonts w:ascii="Helvetica" w:hAnsi="Helvetica" w:cs="Helvetica"/>
          <w:sz w:val="24"/>
          <w:szCs w:val="24"/>
        </w:rPr>
        <w:t>%) del</w:t>
      </w:r>
      <w:r w:rsidRPr="00372445">
        <w:rPr>
          <w:rFonts w:ascii="Helvetica" w:hAnsi="Helvetica" w:cs="Helvetica"/>
          <w:sz w:val="24"/>
          <w:szCs w:val="24"/>
        </w:rPr>
        <w:t xml:space="preserve"> total ejecutado.</w:t>
      </w:r>
    </w:p>
    <w:p w14:paraId="061FE0D8" w14:textId="169C5D8E" w:rsidR="001912B8" w:rsidRPr="003B1BD8" w:rsidRDefault="001912B8" w:rsidP="00316FAD">
      <w:pPr>
        <w:rPr>
          <w:rFonts w:ascii="Helvetica" w:eastAsiaTheme="majorEastAsia" w:hAnsi="Helvetica" w:cstheme="majorBidi"/>
          <w:b/>
          <w:color w:val="002060"/>
          <w:sz w:val="28"/>
          <w:szCs w:val="28"/>
        </w:rPr>
      </w:pPr>
      <w:bookmarkStart w:id="82" w:name="_Toc33434493"/>
      <w:bookmarkStart w:id="83" w:name="_Toc62718050"/>
      <w:r w:rsidRPr="003B1BD8">
        <w:rPr>
          <w:rFonts w:ascii="Helvetica" w:eastAsiaTheme="majorEastAsia" w:hAnsi="Helvetica" w:cstheme="majorBidi"/>
          <w:b/>
          <w:color w:val="002060"/>
          <w:sz w:val="28"/>
          <w:szCs w:val="28"/>
        </w:rPr>
        <w:t>Proyectos recibidos oficialmente, con asignación y ejecución según resultado de opinión técnica a nivel nacional</w:t>
      </w:r>
      <w:bookmarkEnd w:id="82"/>
      <w:bookmarkEnd w:id="83"/>
    </w:p>
    <w:p w14:paraId="200A7EC8" w14:textId="77777777" w:rsidR="001912B8" w:rsidRPr="00372445" w:rsidRDefault="001912B8" w:rsidP="001912B8">
      <w:pPr>
        <w:spacing w:after="0" w:line="240" w:lineRule="auto"/>
        <w:jc w:val="both"/>
        <w:rPr>
          <w:rFonts w:ascii="Helvetica" w:hAnsi="Helvetica" w:cs="Helvetica"/>
          <w:sz w:val="24"/>
          <w:szCs w:val="24"/>
        </w:rPr>
      </w:pPr>
      <w:r w:rsidRPr="00372445">
        <w:rPr>
          <w:rFonts w:ascii="Helvetica" w:hAnsi="Helvetica" w:cs="Helvetica"/>
          <w:sz w:val="24"/>
          <w:szCs w:val="24"/>
        </w:rPr>
        <w:t>En la normativa vigente, los proyectos que son objeto de opinión técnica por SEGEPLAN pueden obtener el estatus de Aprobado, Pendiente y Rechazado.  Asimismo, se encuentran aquellos proyectos que por sus características se clasifican como “NO APLICA” y que no son objeto de opinión técnica.</w:t>
      </w:r>
    </w:p>
    <w:p w14:paraId="4DAE81B7" w14:textId="77777777" w:rsidR="001912B8" w:rsidRPr="00372445" w:rsidRDefault="001912B8" w:rsidP="001912B8">
      <w:pPr>
        <w:spacing w:after="0" w:line="240" w:lineRule="auto"/>
        <w:jc w:val="both"/>
        <w:rPr>
          <w:rFonts w:ascii="Helvetica" w:hAnsi="Helvetica" w:cs="Helvetica"/>
          <w:sz w:val="24"/>
          <w:szCs w:val="24"/>
        </w:rPr>
      </w:pPr>
    </w:p>
    <w:p w14:paraId="3AB33920" w14:textId="77777777" w:rsidR="001912B8" w:rsidRPr="00372445" w:rsidRDefault="001912B8" w:rsidP="001912B8">
      <w:pPr>
        <w:spacing w:after="0" w:line="240" w:lineRule="auto"/>
        <w:jc w:val="both"/>
        <w:rPr>
          <w:rFonts w:ascii="Helvetica" w:hAnsi="Helvetica" w:cs="Helvetica"/>
          <w:sz w:val="24"/>
          <w:szCs w:val="24"/>
        </w:rPr>
      </w:pPr>
      <w:r w:rsidRPr="00372445">
        <w:rPr>
          <w:rFonts w:ascii="Helvetica" w:hAnsi="Helvetica" w:cs="Helvetica"/>
          <w:sz w:val="24"/>
          <w:szCs w:val="24"/>
        </w:rPr>
        <w:t xml:space="preserve">Los proyectos aprobados de acuerdo a las Normas del SNIP, representan el conjunto de iniciativas de inversión pública que cumplen con los requisitos formales, técnicos establecidos según las leyes atinentes y de políticas públicas; por lo tanto, la diferencia entre los proyectos aprobados, respecto de los que cuentan con opinión técnica, puede ser uno de los indicadores que expresa qué tan eficiente está siendo la formulación de los proyectos por parte de las entidades públicas de inversión (EPI).   En el contexto de esta normativa, el estatus de Aprobado se alcanza cuando la EPI ha cumplido con los requisitos legales y técnicos.   </w:t>
      </w:r>
    </w:p>
    <w:p w14:paraId="08A34CD5" w14:textId="77777777" w:rsidR="001912B8" w:rsidRPr="00372445" w:rsidRDefault="001912B8" w:rsidP="001912B8">
      <w:pPr>
        <w:spacing w:after="0" w:line="240" w:lineRule="auto"/>
        <w:jc w:val="both"/>
        <w:rPr>
          <w:rFonts w:ascii="Helvetica" w:hAnsi="Helvetica" w:cs="Helvetica"/>
          <w:sz w:val="24"/>
          <w:szCs w:val="24"/>
        </w:rPr>
      </w:pPr>
    </w:p>
    <w:p w14:paraId="7BC73070" w14:textId="0C4D3220" w:rsidR="001912B8" w:rsidRDefault="001912B8" w:rsidP="001912B8">
      <w:pPr>
        <w:spacing w:after="0" w:line="240" w:lineRule="auto"/>
        <w:jc w:val="both"/>
        <w:rPr>
          <w:rFonts w:ascii="Helvetica" w:hAnsi="Helvetica" w:cs="Helvetica"/>
          <w:sz w:val="24"/>
          <w:szCs w:val="24"/>
        </w:rPr>
      </w:pPr>
      <w:r w:rsidRPr="00372445">
        <w:rPr>
          <w:rFonts w:ascii="Helvetica" w:hAnsi="Helvetica" w:cs="Helvetica"/>
          <w:sz w:val="24"/>
          <w:szCs w:val="24"/>
        </w:rPr>
        <w:t xml:space="preserve">Considerando lo indicado en el párrafo </w:t>
      </w:r>
      <w:r w:rsidR="00372445" w:rsidRPr="00372445">
        <w:rPr>
          <w:rFonts w:ascii="Helvetica" w:hAnsi="Helvetica" w:cs="Helvetica"/>
          <w:sz w:val="24"/>
          <w:szCs w:val="24"/>
        </w:rPr>
        <w:t>anterior, se</w:t>
      </w:r>
      <w:r w:rsidRPr="00372445">
        <w:rPr>
          <w:rFonts w:ascii="Helvetica" w:hAnsi="Helvetica" w:cs="Helvetica"/>
          <w:sz w:val="24"/>
          <w:szCs w:val="24"/>
        </w:rPr>
        <w:t xml:space="preserve"> presenta la información </w:t>
      </w:r>
      <w:r w:rsidR="00F52482">
        <w:rPr>
          <w:rFonts w:ascii="Helvetica" w:hAnsi="Helvetica" w:cs="Helvetica"/>
          <w:sz w:val="24"/>
          <w:szCs w:val="24"/>
        </w:rPr>
        <w:t>en la tabla 37.</w:t>
      </w:r>
    </w:p>
    <w:p w14:paraId="758DAB9E" w14:textId="21D669A1" w:rsidR="00316FAD" w:rsidRDefault="00316FAD" w:rsidP="001912B8">
      <w:pPr>
        <w:spacing w:after="0" w:line="240" w:lineRule="auto"/>
        <w:jc w:val="both"/>
        <w:rPr>
          <w:rFonts w:ascii="Helvetica" w:hAnsi="Helvetica" w:cs="Helvetica"/>
          <w:sz w:val="24"/>
          <w:szCs w:val="24"/>
        </w:rPr>
      </w:pPr>
    </w:p>
    <w:p w14:paraId="37CC6D71" w14:textId="77777777" w:rsidR="003562C1" w:rsidRDefault="00F52482" w:rsidP="00316FAD">
      <w:pPr>
        <w:pStyle w:val="ttulosgrficas"/>
      </w:pPr>
      <w:bookmarkStart w:id="84" w:name="_Toc67589150"/>
      <w:r w:rsidRPr="0059105E">
        <w:rPr>
          <w:rFonts w:eastAsia="Times New Roman"/>
          <w:color w:val="4472C4" w:themeColor="accent1"/>
          <w:lang w:val="es-ES"/>
        </w:rPr>
        <w:t xml:space="preserve">Tabla </w:t>
      </w:r>
      <w:r w:rsidR="007F134F" w:rsidRPr="0059105E">
        <w:rPr>
          <w:rFonts w:eastAsia="Times New Roman"/>
          <w:color w:val="4472C4" w:themeColor="accent1"/>
          <w:lang w:val="es-ES"/>
        </w:rPr>
        <w:fldChar w:fldCharType="begin"/>
      </w:r>
      <w:r w:rsidR="007F134F" w:rsidRPr="0059105E">
        <w:rPr>
          <w:rFonts w:eastAsia="Times New Roman"/>
          <w:color w:val="4472C4" w:themeColor="accent1"/>
          <w:lang w:val="es-ES"/>
        </w:rPr>
        <w:instrText xml:space="preserve"> SEQ Tabla \* ARABIC </w:instrText>
      </w:r>
      <w:r w:rsidR="007F134F" w:rsidRPr="0059105E">
        <w:rPr>
          <w:rFonts w:eastAsia="Times New Roman"/>
          <w:color w:val="4472C4" w:themeColor="accent1"/>
          <w:lang w:val="es-ES"/>
        </w:rPr>
        <w:fldChar w:fldCharType="separate"/>
      </w:r>
      <w:r w:rsidR="00AA2593" w:rsidRPr="0059105E">
        <w:rPr>
          <w:rFonts w:eastAsia="Times New Roman"/>
          <w:color w:val="4472C4" w:themeColor="accent1"/>
          <w:lang w:val="es-ES"/>
        </w:rPr>
        <w:t>37</w:t>
      </w:r>
      <w:r w:rsidR="007F134F" w:rsidRPr="0059105E">
        <w:rPr>
          <w:rFonts w:eastAsia="Times New Roman"/>
          <w:color w:val="4472C4" w:themeColor="accent1"/>
          <w:lang w:val="es-ES"/>
        </w:rPr>
        <w:fldChar w:fldCharType="end"/>
      </w:r>
      <w:r w:rsidR="003562C1" w:rsidRPr="0059105E">
        <w:rPr>
          <w:rFonts w:eastAsia="Times New Roman"/>
          <w:color w:val="4472C4" w:themeColor="accent1"/>
          <w:lang w:val="es-ES"/>
        </w:rPr>
        <w:t xml:space="preserve">, </w:t>
      </w:r>
      <w:r w:rsidR="00372445" w:rsidRPr="0059105E">
        <w:rPr>
          <w:rFonts w:eastAsia="Times New Roman"/>
          <w:color w:val="4472C4" w:themeColor="accent1"/>
          <w:lang w:val="es-ES"/>
        </w:rPr>
        <w:t>Proyectos e inversión registrada,</w:t>
      </w:r>
      <w:bookmarkEnd w:id="84"/>
      <w:r w:rsidR="00372445" w:rsidRPr="000120C0">
        <w:t xml:space="preserve"> </w:t>
      </w:r>
    </w:p>
    <w:p w14:paraId="528C3F4A" w14:textId="1C099CAE" w:rsidR="00372445" w:rsidRPr="0059105E" w:rsidRDefault="00372445" w:rsidP="00316FAD">
      <w:pPr>
        <w:pStyle w:val="ttulosgrficas"/>
        <w:rPr>
          <w:color w:val="4472C4" w:themeColor="accent1"/>
        </w:rPr>
      </w:pPr>
      <w:r w:rsidRPr="0059105E">
        <w:rPr>
          <w:color w:val="4472C4" w:themeColor="accent1"/>
        </w:rPr>
        <w:t>con asignación según opinión técnica</w:t>
      </w:r>
    </w:p>
    <w:p w14:paraId="6964E960" w14:textId="2293AA99" w:rsidR="00372445" w:rsidRPr="0059105E" w:rsidRDefault="00316FAD" w:rsidP="00316FAD">
      <w:pPr>
        <w:pStyle w:val="ttulosgrficas"/>
        <w:rPr>
          <w:rFonts w:eastAsia="Times New Roman"/>
          <w:color w:val="4472C4" w:themeColor="accent1"/>
          <w:lang w:eastAsia="es-GT"/>
        </w:rPr>
      </w:pPr>
      <w:r w:rsidRPr="0059105E">
        <w:rPr>
          <w:rFonts w:eastAsia="Times New Roman"/>
          <w:color w:val="4472C4" w:themeColor="accent1"/>
          <w:lang w:eastAsia="es-GT"/>
        </w:rPr>
        <w:t>a</w:t>
      </w:r>
      <w:r w:rsidR="00372445" w:rsidRPr="0059105E">
        <w:rPr>
          <w:rFonts w:eastAsia="Times New Roman"/>
          <w:color w:val="4472C4" w:themeColor="accent1"/>
          <w:lang w:eastAsia="es-GT"/>
        </w:rPr>
        <w:t>l tercer cuatrimestre</w:t>
      </w:r>
      <w:r w:rsidRPr="0059105E">
        <w:rPr>
          <w:rFonts w:eastAsia="Times New Roman"/>
          <w:color w:val="4472C4" w:themeColor="accent1"/>
          <w:lang w:eastAsia="es-GT"/>
        </w:rPr>
        <w:t xml:space="preserve"> 2020</w:t>
      </w:r>
    </w:p>
    <w:p w14:paraId="16047857" w14:textId="77777777" w:rsidR="00B910DD" w:rsidRPr="000120C0" w:rsidRDefault="00B910DD" w:rsidP="00B910DD">
      <w:pPr>
        <w:pStyle w:val="ttulosgrficas"/>
        <w:spacing w:line="120" w:lineRule="auto"/>
        <w:rPr>
          <w:rFonts w:eastAsia="Times New Roman"/>
          <w:lang w:eastAsia="es-GT"/>
        </w:rPr>
      </w:pPr>
    </w:p>
    <w:p w14:paraId="239A2735" w14:textId="4DF43572" w:rsidR="001912B8" w:rsidRPr="00906050" w:rsidRDefault="00372445" w:rsidP="001912B8">
      <w:pPr>
        <w:spacing w:after="0" w:line="240" w:lineRule="auto"/>
        <w:jc w:val="both"/>
        <w:rPr>
          <w:rFonts w:ascii="Times New Roman" w:hAnsi="Times New Roman" w:cs="Times New Roman"/>
          <w:color w:val="FF0000"/>
          <w:lang w:val="es-MX"/>
        </w:rPr>
      </w:pPr>
      <w:r w:rsidRPr="008F7682">
        <w:rPr>
          <w:rFonts w:ascii="Helvetica" w:hAnsi="Helvetica" w:cs="Helvetica"/>
          <w:noProof/>
          <w:lang w:eastAsia="es-GT"/>
        </w:rPr>
        <w:drawing>
          <wp:inline distT="0" distB="0" distL="0" distR="0" wp14:anchorId="20A93DB6" wp14:editId="31F27B93">
            <wp:extent cx="5972175" cy="14954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2175" cy="1495425"/>
                    </a:xfrm>
                    <a:prstGeom prst="rect">
                      <a:avLst/>
                    </a:prstGeom>
                    <a:noFill/>
                    <a:ln>
                      <a:noFill/>
                    </a:ln>
                  </pic:spPr>
                </pic:pic>
              </a:graphicData>
            </a:graphic>
          </wp:inline>
        </w:drawing>
      </w:r>
    </w:p>
    <w:p w14:paraId="664FC12F" w14:textId="36C1C4E0" w:rsidR="001912B8" w:rsidRDefault="000528AF" w:rsidP="000528AF">
      <w:pPr>
        <w:rPr>
          <w:rFonts w:ascii="Times New Roman" w:hAnsi="Times New Roman" w:cs="Times New Roman"/>
          <w:sz w:val="16"/>
          <w:szCs w:val="16"/>
        </w:rPr>
      </w:pPr>
      <w:r w:rsidRPr="00906050">
        <w:rPr>
          <w:rFonts w:ascii="Times New Roman" w:hAnsi="Times New Roman" w:cs="Times New Roman"/>
          <w:sz w:val="16"/>
          <w:szCs w:val="16"/>
        </w:rPr>
        <w:t>Fuente: elaboración SEGEPLAN con información del SINIP</w:t>
      </w:r>
      <w:r w:rsidR="00B910DD">
        <w:rPr>
          <w:rFonts w:ascii="Times New Roman" w:hAnsi="Times New Roman" w:cs="Times New Roman"/>
          <w:sz w:val="16"/>
          <w:szCs w:val="16"/>
        </w:rPr>
        <w:t>.</w:t>
      </w:r>
    </w:p>
    <w:p w14:paraId="1CB319AB" w14:textId="77777777" w:rsidR="001912B8" w:rsidRPr="000120C0" w:rsidRDefault="001912B8" w:rsidP="001912B8">
      <w:pPr>
        <w:spacing w:after="0" w:line="240" w:lineRule="auto"/>
        <w:jc w:val="both"/>
        <w:rPr>
          <w:rFonts w:ascii="Helvetica" w:hAnsi="Helvetica" w:cs="Helvetica"/>
          <w:sz w:val="24"/>
          <w:szCs w:val="24"/>
        </w:rPr>
      </w:pPr>
      <w:r w:rsidRPr="000120C0">
        <w:rPr>
          <w:rFonts w:ascii="Helvetica" w:hAnsi="Helvetica" w:cs="Helvetica"/>
          <w:sz w:val="24"/>
          <w:szCs w:val="24"/>
        </w:rPr>
        <w:t xml:space="preserve">Los datos anteriores muestran que 11,860 proyectos fueron aprobados (87% de todos los registrados); de ellos, 6,860 tuvieron asignación presupuestaria (58% de los aprobados), y de los mismos, el 90% tuvo ejecución financiera. </w:t>
      </w:r>
    </w:p>
    <w:p w14:paraId="1DEC76B0" w14:textId="77777777" w:rsidR="001912B8" w:rsidRPr="000120C0" w:rsidRDefault="001912B8" w:rsidP="001912B8">
      <w:pPr>
        <w:spacing w:after="0" w:line="240" w:lineRule="auto"/>
        <w:jc w:val="both"/>
        <w:rPr>
          <w:rFonts w:ascii="Helvetica" w:hAnsi="Helvetica" w:cs="Helvetica"/>
          <w:sz w:val="24"/>
          <w:szCs w:val="24"/>
        </w:rPr>
      </w:pPr>
    </w:p>
    <w:p w14:paraId="1391EEF2" w14:textId="6B20A9F3" w:rsidR="001912B8" w:rsidRPr="000120C0" w:rsidRDefault="001912B8" w:rsidP="001912B8">
      <w:pPr>
        <w:spacing w:after="0" w:line="240" w:lineRule="auto"/>
        <w:jc w:val="both"/>
        <w:rPr>
          <w:rFonts w:ascii="Helvetica" w:hAnsi="Helvetica" w:cs="Helvetica"/>
          <w:sz w:val="24"/>
          <w:szCs w:val="24"/>
        </w:rPr>
      </w:pPr>
      <w:r w:rsidRPr="000120C0">
        <w:rPr>
          <w:rFonts w:ascii="Helvetica" w:hAnsi="Helvetica" w:cs="Helvetica"/>
          <w:sz w:val="24"/>
          <w:szCs w:val="24"/>
        </w:rPr>
        <w:t>La asignación presupuestaria disponible para los proyectos aprobados fue de Q10,122.77 millones, cuya ejecución alcanzó el monto de Q6,452.79 millones (63.75% del total), quedando pendiente de ejecución un monto de Q3,669.98 millones; un grupo de 105 proyectos quedaron pendientes de aprobación y tuvieron una asignación presupuestaria disponible de Q701.97 millones y otro pequeño grupo de proyectos ejecutaron Q22.09 millones.</w:t>
      </w:r>
    </w:p>
    <w:p w14:paraId="60886572" w14:textId="77777777" w:rsidR="001912B8" w:rsidRPr="000120C0" w:rsidRDefault="001912B8" w:rsidP="001912B8">
      <w:pPr>
        <w:spacing w:after="0" w:line="240" w:lineRule="auto"/>
        <w:jc w:val="both"/>
        <w:rPr>
          <w:rFonts w:ascii="Helvetica" w:hAnsi="Helvetica" w:cs="Helvetica"/>
          <w:sz w:val="24"/>
          <w:szCs w:val="24"/>
        </w:rPr>
      </w:pPr>
    </w:p>
    <w:p w14:paraId="6BA8B4B5" w14:textId="77777777" w:rsidR="001912B8" w:rsidRPr="000120C0" w:rsidRDefault="001912B8" w:rsidP="001912B8">
      <w:pPr>
        <w:spacing w:after="0" w:line="240" w:lineRule="auto"/>
        <w:jc w:val="both"/>
        <w:rPr>
          <w:rFonts w:ascii="Helvetica" w:hAnsi="Helvetica" w:cs="Helvetica"/>
          <w:sz w:val="24"/>
          <w:szCs w:val="24"/>
        </w:rPr>
      </w:pPr>
      <w:r w:rsidRPr="000120C0">
        <w:rPr>
          <w:rFonts w:ascii="Helvetica" w:hAnsi="Helvetica" w:cs="Helvetica"/>
          <w:sz w:val="24"/>
          <w:szCs w:val="24"/>
        </w:rPr>
        <w:t>En suma, con los datos disponibles se establece que un monto de Q4,411.26 millones de asignaciones presupuestarias quedaron pendientes de ejecutar.</w:t>
      </w:r>
    </w:p>
    <w:p w14:paraId="4A204922" w14:textId="48B8DC63" w:rsidR="001912B8" w:rsidRDefault="001912B8" w:rsidP="001912B8">
      <w:pPr>
        <w:jc w:val="both"/>
        <w:rPr>
          <w:rFonts w:ascii="Helvetica" w:hAnsi="Helvetica" w:cs="Helvetica"/>
          <w:sz w:val="24"/>
          <w:szCs w:val="24"/>
        </w:rPr>
      </w:pPr>
      <w:r w:rsidRPr="000120C0">
        <w:rPr>
          <w:rFonts w:ascii="Helvetica" w:hAnsi="Helvetica" w:cs="Helvetica"/>
          <w:sz w:val="24"/>
          <w:szCs w:val="24"/>
        </w:rPr>
        <w:t>A continuación, se presenta el comportamiento mensual acumulado</w:t>
      </w:r>
      <w:r w:rsidR="00F52482">
        <w:rPr>
          <w:rFonts w:ascii="Helvetica" w:hAnsi="Helvetica" w:cs="Helvetica"/>
          <w:sz w:val="24"/>
          <w:szCs w:val="24"/>
        </w:rPr>
        <w:t xml:space="preserve"> </w:t>
      </w:r>
      <w:r w:rsidRPr="000120C0">
        <w:rPr>
          <w:rFonts w:ascii="Helvetica" w:hAnsi="Helvetica" w:cs="Helvetica"/>
          <w:sz w:val="24"/>
          <w:szCs w:val="24"/>
        </w:rPr>
        <w:t xml:space="preserve">de </w:t>
      </w:r>
      <w:r w:rsidR="00F52482">
        <w:rPr>
          <w:rFonts w:ascii="Helvetica" w:hAnsi="Helvetica" w:cs="Helvetica"/>
          <w:sz w:val="24"/>
          <w:szCs w:val="24"/>
        </w:rPr>
        <w:t xml:space="preserve">los </w:t>
      </w:r>
      <w:r w:rsidRPr="000120C0">
        <w:rPr>
          <w:rFonts w:ascii="Helvetica" w:hAnsi="Helvetica" w:cs="Helvetica"/>
          <w:sz w:val="24"/>
          <w:szCs w:val="24"/>
        </w:rPr>
        <w:t>proyectos aprobados, tanto registrados, con asignación, con avances financiero y físicos.</w:t>
      </w:r>
      <w:r w:rsidR="00F52482">
        <w:rPr>
          <w:rFonts w:ascii="Helvetica" w:hAnsi="Helvetica" w:cs="Helvetica"/>
          <w:sz w:val="24"/>
          <w:szCs w:val="24"/>
        </w:rPr>
        <w:t xml:space="preserve"> Ver gráfica 5.</w:t>
      </w:r>
      <w:r w:rsidRPr="000120C0">
        <w:rPr>
          <w:rFonts w:ascii="Helvetica" w:hAnsi="Helvetica" w:cs="Helvetica"/>
          <w:sz w:val="24"/>
          <w:szCs w:val="24"/>
        </w:rPr>
        <w:t xml:space="preserve"> </w:t>
      </w:r>
    </w:p>
    <w:p w14:paraId="29684F54" w14:textId="77777777" w:rsidR="00AD5ABC" w:rsidRDefault="00307F8F" w:rsidP="00AD5ABC">
      <w:pPr>
        <w:pStyle w:val="ttulosgrficas"/>
        <w:rPr>
          <w:color w:val="4472C4" w:themeColor="accent1"/>
        </w:rPr>
      </w:pPr>
      <w:bookmarkStart w:id="85" w:name="_Toc67377812"/>
      <w:bookmarkStart w:id="86" w:name="_Toc67381555"/>
      <w:bookmarkStart w:id="87" w:name="_Toc67589105"/>
      <w:r w:rsidRPr="00116F74">
        <w:rPr>
          <w:color w:val="4472C4" w:themeColor="accent1"/>
        </w:rPr>
        <w:t xml:space="preserve">Gráfica </w:t>
      </w:r>
      <w:r w:rsidR="007F134F" w:rsidRPr="00116F74">
        <w:rPr>
          <w:color w:val="4472C4" w:themeColor="accent1"/>
        </w:rPr>
        <w:fldChar w:fldCharType="begin"/>
      </w:r>
      <w:r w:rsidR="007F134F" w:rsidRPr="00116F74">
        <w:rPr>
          <w:color w:val="4472C4" w:themeColor="accent1"/>
        </w:rPr>
        <w:instrText xml:space="preserve"> SEQ Gráfica \* ARABIC </w:instrText>
      </w:r>
      <w:r w:rsidR="007F134F" w:rsidRPr="00116F74">
        <w:rPr>
          <w:color w:val="4472C4" w:themeColor="accent1"/>
        </w:rPr>
        <w:fldChar w:fldCharType="separate"/>
      </w:r>
      <w:r w:rsidR="00AA2593" w:rsidRPr="00116F74">
        <w:rPr>
          <w:color w:val="4472C4" w:themeColor="accent1"/>
        </w:rPr>
        <w:t>5</w:t>
      </w:r>
      <w:bookmarkEnd w:id="85"/>
      <w:bookmarkEnd w:id="86"/>
      <w:r w:rsidR="007F134F" w:rsidRPr="00116F74">
        <w:rPr>
          <w:color w:val="4472C4" w:themeColor="accent1"/>
        </w:rPr>
        <w:fldChar w:fldCharType="end"/>
      </w:r>
      <w:r w:rsidR="003562C1" w:rsidRPr="00116F74">
        <w:rPr>
          <w:color w:val="4472C4" w:themeColor="accent1"/>
        </w:rPr>
        <w:t xml:space="preserve">, </w:t>
      </w:r>
      <w:r w:rsidR="001912B8" w:rsidRPr="00116F74">
        <w:rPr>
          <w:color w:val="4472C4" w:themeColor="accent1"/>
        </w:rPr>
        <w:t>Seguimiento mensual acumulado de proyectos aprobados registrados,</w:t>
      </w:r>
      <w:bookmarkEnd w:id="87"/>
    </w:p>
    <w:p w14:paraId="3167EE76" w14:textId="6126D28D" w:rsidR="008D5922" w:rsidRPr="00116F74" w:rsidRDefault="001912B8" w:rsidP="00AD5ABC">
      <w:pPr>
        <w:pStyle w:val="ttulosgrficas"/>
        <w:rPr>
          <w:color w:val="4472C4" w:themeColor="accent1"/>
        </w:rPr>
      </w:pPr>
      <w:r w:rsidRPr="00116F74">
        <w:rPr>
          <w:color w:val="4472C4" w:themeColor="accent1"/>
        </w:rPr>
        <w:t>con asignación y ejecución</w:t>
      </w:r>
      <w:r w:rsidR="00316FAD" w:rsidRPr="00116F74">
        <w:rPr>
          <w:color w:val="4472C4" w:themeColor="accent1"/>
        </w:rPr>
        <w:t xml:space="preserve"> </w:t>
      </w:r>
      <w:r w:rsidRPr="00116F74">
        <w:rPr>
          <w:color w:val="4472C4" w:themeColor="accent1"/>
        </w:rPr>
        <w:t>a nivel nacional</w:t>
      </w:r>
      <w:r w:rsidR="00316FAD" w:rsidRPr="00116F74">
        <w:rPr>
          <w:color w:val="4472C4" w:themeColor="accent1"/>
        </w:rPr>
        <w:t xml:space="preserve"> 2020</w:t>
      </w:r>
    </w:p>
    <w:p w14:paraId="76F44C91" w14:textId="77777777" w:rsidR="008D5922" w:rsidRDefault="008D5922" w:rsidP="008D5922">
      <w:pPr>
        <w:spacing w:after="0" w:line="120" w:lineRule="auto"/>
        <w:jc w:val="center"/>
        <w:rPr>
          <w:rStyle w:val="ttulosgrficasCar"/>
        </w:rPr>
      </w:pPr>
    </w:p>
    <w:p w14:paraId="15D70CA8" w14:textId="318AB5A9" w:rsidR="001912B8" w:rsidRPr="00906050" w:rsidRDefault="001912B8" w:rsidP="008D5922">
      <w:pPr>
        <w:spacing w:after="0" w:line="120" w:lineRule="auto"/>
        <w:jc w:val="center"/>
        <w:rPr>
          <w:rFonts w:ascii="Times New Roman" w:hAnsi="Times New Roman" w:cs="Times New Roman"/>
          <w:b/>
          <w:color w:val="000000"/>
          <w:spacing w:val="-3"/>
          <w:sz w:val="12"/>
          <w:szCs w:val="12"/>
        </w:rPr>
      </w:pPr>
      <w:r w:rsidRPr="00906050">
        <w:rPr>
          <w:rFonts w:ascii="Times New Roman" w:hAnsi="Times New Roman" w:cs="Times New Roman"/>
          <w:b/>
          <w:bCs/>
          <w:sz w:val="20"/>
        </w:rPr>
        <w:br/>
      </w:r>
      <w:r w:rsidR="00603B92">
        <w:rPr>
          <w:noProof/>
          <w:lang w:eastAsia="es-GT"/>
        </w:rPr>
        <w:drawing>
          <wp:inline distT="0" distB="0" distL="0" distR="0" wp14:anchorId="0D112AB9" wp14:editId="0A8CD9FF">
            <wp:extent cx="5019203" cy="24955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71226" cy="2571136"/>
                    </a:xfrm>
                    <a:prstGeom prst="rect">
                      <a:avLst/>
                    </a:prstGeom>
                    <a:noFill/>
                  </pic:spPr>
                </pic:pic>
              </a:graphicData>
            </a:graphic>
          </wp:inline>
        </w:drawing>
      </w:r>
    </w:p>
    <w:p w14:paraId="760D3443" w14:textId="2315DBE9" w:rsidR="001912B8" w:rsidRPr="00906050" w:rsidRDefault="00603B92" w:rsidP="001912B8">
      <w:pPr>
        <w:rPr>
          <w:rFonts w:ascii="Times New Roman" w:hAnsi="Times New Roman" w:cs="Times New Roman"/>
          <w:sz w:val="16"/>
          <w:szCs w:val="16"/>
        </w:rPr>
      </w:pPr>
      <w:r>
        <w:rPr>
          <w:rFonts w:ascii="Times New Roman" w:hAnsi="Times New Roman" w:cs="Times New Roman"/>
          <w:sz w:val="16"/>
          <w:szCs w:val="16"/>
        </w:rPr>
        <w:t xml:space="preserve">                  </w:t>
      </w:r>
      <w:r w:rsidR="001912B8" w:rsidRPr="00906050">
        <w:rPr>
          <w:rFonts w:ascii="Times New Roman" w:hAnsi="Times New Roman" w:cs="Times New Roman"/>
          <w:sz w:val="16"/>
          <w:szCs w:val="16"/>
        </w:rPr>
        <w:t>Fuente: elaboración SEGE</w:t>
      </w:r>
      <w:r w:rsidR="001912B8">
        <w:rPr>
          <w:rFonts w:ascii="Times New Roman" w:hAnsi="Times New Roman" w:cs="Times New Roman"/>
          <w:sz w:val="16"/>
          <w:szCs w:val="16"/>
        </w:rPr>
        <w:t>PLAN con información del SINIP</w:t>
      </w:r>
      <w:r w:rsidR="00B910DD">
        <w:rPr>
          <w:rFonts w:ascii="Times New Roman" w:hAnsi="Times New Roman" w:cs="Times New Roman"/>
          <w:sz w:val="16"/>
          <w:szCs w:val="16"/>
        </w:rPr>
        <w:t>.</w:t>
      </w:r>
    </w:p>
    <w:p w14:paraId="739AE71F" w14:textId="77777777" w:rsidR="001912B8" w:rsidRDefault="001912B8" w:rsidP="001912B8">
      <w:pPr>
        <w:spacing w:after="0" w:line="240" w:lineRule="auto"/>
        <w:ind w:left="62"/>
        <w:rPr>
          <w:rFonts w:ascii="Times New Roman" w:hAnsi="Times New Roman" w:cs="Times New Roman"/>
          <w:b/>
          <w:color w:val="000000"/>
          <w:spacing w:val="-3"/>
          <w:sz w:val="12"/>
          <w:szCs w:val="12"/>
        </w:rPr>
      </w:pPr>
    </w:p>
    <w:p w14:paraId="7CDD32B4" w14:textId="77777777" w:rsidR="001912B8" w:rsidRDefault="001912B8" w:rsidP="001912B8">
      <w:pPr>
        <w:spacing w:after="0" w:line="240" w:lineRule="auto"/>
        <w:ind w:left="703" w:hanging="703"/>
        <w:jc w:val="center"/>
        <w:rPr>
          <w:rFonts w:ascii="Times New Roman" w:hAnsi="Times New Roman" w:cs="Times New Roman"/>
          <w:color w:val="000000" w:themeColor="text1"/>
          <w:lang w:val="es-MX"/>
        </w:rPr>
      </w:pPr>
    </w:p>
    <w:p w14:paraId="4CEF0B64" w14:textId="77777777" w:rsidR="001912B8" w:rsidRDefault="001912B8" w:rsidP="001912B8">
      <w:pPr>
        <w:spacing w:after="0" w:line="240" w:lineRule="auto"/>
        <w:ind w:left="703" w:hanging="703"/>
        <w:jc w:val="center"/>
        <w:rPr>
          <w:rFonts w:ascii="Times New Roman" w:hAnsi="Times New Roman" w:cs="Times New Roman"/>
          <w:b/>
          <w:sz w:val="20"/>
          <w:szCs w:val="20"/>
        </w:rPr>
        <w:sectPr w:rsidR="001912B8" w:rsidSect="00BA17A3">
          <w:headerReference w:type="default" r:id="rId31"/>
          <w:footerReference w:type="default" r:id="rId32"/>
          <w:headerReference w:type="first" r:id="rId33"/>
          <w:footerReference w:type="first" r:id="rId34"/>
          <w:pgSz w:w="12240" w:h="15840" w:code="1"/>
          <w:pgMar w:top="1701" w:right="1134" w:bottom="1418" w:left="1701" w:header="709" w:footer="709" w:gutter="0"/>
          <w:pgNumType w:start="1"/>
          <w:cols w:space="708"/>
          <w:titlePg/>
          <w:docGrid w:linePitch="360"/>
        </w:sectPr>
      </w:pPr>
    </w:p>
    <w:p w14:paraId="4D507C6A" w14:textId="77777777" w:rsidR="003562C1" w:rsidRPr="0059105E" w:rsidRDefault="00F52482" w:rsidP="0059105E">
      <w:pPr>
        <w:pStyle w:val="ttulosgrficas"/>
        <w:rPr>
          <w:color w:val="4472C4" w:themeColor="accent1"/>
        </w:rPr>
      </w:pPr>
      <w:bookmarkStart w:id="88" w:name="_Toc67589151"/>
      <w:r w:rsidRPr="0059105E">
        <w:rPr>
          <w:color w:val="4472C4" w:themeColor="accent1"/>
        </w:rPr>
        <w:t xml:space="preserve">Tabla </w:t>
      </w:r>
      <w:r w:rsidR="007F134F" w:rsidRPr="0059105E">
        <w:rPr>
          <w:color w:val="4472C4" w:themeColor="accent1"/>
        </w:rPr>
        <w:fldChar w:fldCharType="begin"/>
      </w:r>
      <w:r w:rsidR="007F134F" w:rsidRPr="0059105E">
        <w:rPr>
          <w:color w:val="4472C4" w:themeColor="accent1"/>
        </w:rPr>
        <w:instrText xml:space="preserve"> SEQ Tabla \* ARABIC </w:instrText>
      </w:r>
      <w:r w:rsidR="007F134F" w:rsidRPr="0059105E">
        <w:rPr>
          <w:color w:val="4472C4" w:themeColor="accent1"/>
        </w:rPr>
        <w:fldChar w:fldCharType="separate"/>
      </w:r>
      <w:r w:rsidR="00AA2593" w:rsidRPr="0059105E">
        <w:rPr>
          <w:color w:val="4472C4" w:themeColor="accent1"/>
        </w:rPr>
        <w:t>38</w:t>
      </w:r>
      <w:r w:rsidR="007F134F" w:rsidRPr="0059105E">
        <w:rPr>
          <w:color w:val="4472C4" w:themeColor="accent1"/>
        </w:rPr>
        <w:fldChar w:fldCharType="end"/>
      </w:r>
      <w:r w:rsidR="003562C1" w:rsidRPr="0059105E">
        <w:rPr>
          <w:color w:val="4472C4" w:themeColor="accent1"/>
        </w:rPr>
        <w:t xml:space="preserve">, </w:t>
      </w:r>
      <w:r w:rsidR="001912B8" w:rsidRPr="0059105E">
        <w:rPr>
          <w:color w:val="4472C4" w:themeColor="accent1"/>
        </w:rPr>
        <w:t>Resultado de emisión de opinión técnica por tipo de entidad,</w:t>
      </w:r>
      <w:bookmarkEnd w:id="88"/>
      <w:r w:rsidR="001912B8" w:rsidRPr="0059105E">
        <w:rPr>
          <w:color w:val="4472C4" w:themeColor="accent1"/>
        </w:rPr>
        <w:t xml:space="preserve"> </w:t>
      </w:r>
    </w:p>
    <w:p w14:paraId="64C2D2B6" w14:textId="018102AE" w:rsidR="001912B8" w:rsidRPr="0059105E" w:rsidRDefault="001912B8" w:rsidP="001912B8">
      <w:pPr>
        <w:spacing w:after="0" w:line="240" w:lineRule="auto"/>
        <w:jc w:val="center"/>
        <w:rPr>
          <w:rFonts w:ascii="Helvetica" w:hAnsi="Helvetica" w:cs="Helvetica"/>
          <w:b/>
          <w:color w:val="4472C4" w:themeColor="accent1"/>
          <w:sz w:val="24"/>
          <w:szCs w:val="24"/>
        </w:rPr>
      </w:pPr>
      <w:r w:rsidRPr="0059105E">
        <w:rPr>
          <w:rFonts w:ascii="Helvetica" w:hAnsi="Helvetica" w:cs="Helvetica"/>
          <w:b/>
          <w:color w:val="4472C4" w:themeColor="accent1"/>
          <w:sz w:val="24"/>
          <w:szCs w:val="24"/>
        </w:rPr>
        <w:t>Ejercicio fiscal 2020</w:t>
      </w:r>
    </w:p>
    <w:p w14:paraId="6190FE7D" w14:textId="127FEC90" w:rsidR="00603B92" w:rsidRPr="00316FAD" w:rsidRDefault="00603B92" w:rsidP="001912B8">
      <w:pPr>
        <w:spacing w:after="0" w:line="240" w:lineRule="auto"/>
        <w:jc w:val="center"/>
        <w:rPr>
          <w:rFonts w:ascii="Helvetica" w:eastAsia="Times New Roman" w:hAnsi="Helvetica" w:cs="Helvetica"/>
          <w:b/>
          <w:bCs/>
          <w:color w:val="002060"/>
          <w:sz w:val="24"/>
          <w:szCs w:val="24"/>
          <w:lang w:eastAsia="es-GT"/>
        </w:rPr>
      </w:pPr>
      <w:r w:rsidRPr="004D059E">
        <w:rPr>
          <w:noProof/>
          <w:lang w:eastAsia="es-GT"/>
        </w:rPr>
        <w:drawing>
          <wp:inline distT="0" distB="0" distL="0" distR="0" wp14:anchorId="50A2FA0C" wp14:editId="15AE4C97">
            <wp:extent cx="8049895" cy="4381995"/>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100281" cy="4409423"/>
                    </a:xfrm>
                    <a:prstGeom prst="rect">
                      <a:avLst/>
                    </a:prstGeom>
                    <a:noFill/>
                    <a:ln>
                      <a:noFill/>
                    </a:ln>
                  </pic:spPr>
                </pic:pic>
              </a:graphicData>
            </a:graphic>
          </wp:inline>
        </w:drawing>
      </w:r>
    </w:p>
    <w:p w14:paraId="0F9766D8" w14:textId="4E140231" w:rsidR="001912B8" w:rsidRPr="00CD281D" w:rsidRDefault="001912B8" w:rsidP="00CD281D">
      <w:pPr>
        <w:rPr>
          <w:rFonts w:ascii="Times New Roman" w:hAnsi="Times New Roman" w:cs="Times New Roman"/>
          <w:sz w:val="18"/>
          <w:szCs w:val="18"/>
        </w:rPr>
        <w:sectPr w:rsidR="001912B8" w:rsidRPr="00CD281D" w:rsidSect="001912B8">
          <w:pgSz w:w="15840" w:h="12240" w:orient="landscape" w:code="1"/>
          <w:pgMar w:top="1134" w:right="1418" w:bottom="1701" w:left="1701" w:header="709" w:footer="709" w:gutter="0"/>
          <w:cols w:space="708"/>
          <w:docGrid w:linePitch="360"/>
        </w:sectPr>
      </w:pPr>
      <w:r w:rsidRPr="004227DF">
        <w:rPr>
          <w:rFonts w:ascii="Times New Roman" w:hAnsi="Times New Roman" w:cs="Times New Roman"/>
          <w:sz w:val="18"/>
          <w:szCs w:val="18"/>
        </w:rPr>
        <w:t>Fuente: elaboración SEGEPLAN con información del SINIP</w:t>
      </w:r>
      <w:r w:rsidR="00CD281D">
        <w:rPr>
          <w:rFonts w:ascii="Times New Roman" w:hAnsi="Times New Roman" w:cs="Times New Roman"/>
          <w:sz w:val="18"/>
          <w:szCs w:val="18"/>
        </w:rPr>
        <w:t>.</w:t>
      </w:r>
    </w:p>
    <w:p w14:paraId="3E51329A" w14:textId="77777777" w:rsidR="001912B8" w:rsidRDefault="001912B8" w:rsidP="001912B8">
      <w:pPr>
        <w:spacing w:after="0" w:line="240" w:lineRule="auto"/>
        <w:rPr>
          <w:rFonts w:ascii="Times New Roman" w:hAnsi="Times New Roman" w:cs="Times New Roman"/>
          <w:b/>
          <w:color w:val="000000"/>
          <w:spacing w:val="-3"/>
          <w:sz w:val="12"/>
          <w:szCs w:val="12"/>
        </w:rPr>
      </w:pPr>
    </w:p>
    <w:p w14:paraId="4C0F1862" w14:textId="77777777" w:rsidR="001912B8" w:rsidRPr="00201277" w:rsidRDefault="001912B8" w:rsidP="001912B8">
      <w:pPr>
        <w:spacing w:after="0" w:line="240" w:lineRule="auto"/>
        <w:ind w:left="62"/>
        <w:jc w:val="both"/>
        <w:rPr>
          <w:rFonts w:ascii="Helvetica" w:hAnsi="Helvetica" w:cs="Helvetica"/>
          <w:color w:val="000000" w:themeColor="text1"/>
          <w:sz w:val="24"/>
          <w:szCs w:val="24"/>
          <w:lang w:val="es-MX"/>
        </w:rPr>
      </w:pPr>
      <w:r w:rsidRPr="00201277">
        <w:rPr>
          <w:rFonts w:ascii="Helvetica" w:hAnsi="Helvetica" w:cs="Helvetica"/>
          <w:color w:val="000000" w:themeColor="text1"/>
          <w:sz w:val="24"/>
          <w:szCs w:val="24"/>
          <w:lang w:val="es-MX"/>
        </w:rPr>
        <w:t>Aspectos importantes de los datos anteriores se indican a continuación:</w:t>
      </w:r>
    </w:p>
    <w:p w14:paraId="7A274AA7" w14:textId="77777777" w:rsidR="001912B8" w:rsidRPr="00201277" w:rsidRDefault="001912B8" w:rsidP="001912B8">
      <w:pPr>
        <w:spacing w:after="0" w:line="240" w:lineRule="auto"/>
        <w:ind w:left="62"/>
        <w:jc w:val="both"/>
        <w:rPr>
          <w:rFonts w:ascii="Helvetica" w:hAnsi="Helvetica" w:cs="Helvetica"/>
          <w:color w:val="000000" w:themeColor="text1"/>
          <w:sz w:val="24"/>
          <w:szCs w:val="24"/>
          <w:lang w:val="es-MX"/>
        </w:rPr>
      </w:pPr>
    </w:p>
    <w:p w14:paraId="5067EDD1" w14:textId="3A4C569E" w:rsidR="001912B8" w:rsidRPr="00201277" w:rsidRDefault="001912B8" w:rsidP="00984BA9">
      <w:pPr>
        <w:pStyle w:val="Prrafodelista"/>
        <w:numPr>
          <w:ilvl w:val="0"/>
          <w:numId w:val="15"/>
        </w:numPr>
        <w:spacing w:after="0" w:line="240" w:lineRule="auto"/>
        <w:jc w:val="both"/>
        <w:rPr>
          <w:rFonts w:ascii="Helvetica" w:hAnsi="Helvetica" w:cs="Helvetica"/>
          <w:color w:val="000000" w:themeColor="text1"/>
          <w:sz w:val="24"/>
          <w:szCs w:val="24"/>
          <w:lang w:val="es-MX"/>
        </w:rPr>
      </w:pPr>
      <w:r w:rsidRPr="00201277">
        <w:rPr>
          <w:rFonts w:ascii="Helvetica" w:hAnsi="Helvetica" w:cs="Helvetica"/>
          <w:color w:val="000000" w:themeColor="text1"/>
          <w:sz w:val="24"/>
          <w:szCs w:val="24"/>
          <w:lang w:val="es-MX"/>
        </w:rPr>
        <w:t>De los grupos institucionales que presentan proyectos a dictamen de aprobación de SEGEPLAN, tanto el de Entidades Descentralizadas, Autónomas y Empresas Públicas como los del sistema de Consejos de Desarrollo Departamental, alcanzaron un 76% de aprobación con respecto del total</w:t>
      </w:r>
      <w:r w:rsidR="0064339C">
        <w:rPr>
          <w:rFonts w:ascii="Helvetica" w:hAnsi="Helvetica" w:cs="Helvetica"/>
          <w:color w:val="000000" w:themeColor="text1"/>
          <w:sz w:val="24"/>
          <w:szCs w:val="24"/>
          <w:lang w:val="es-MX"/>
        </w:rPr>
        <w:t xml:space="preserve"> de</w:t>
      </w:r>
      <w:r w:rsidRPr="00201277">
        <w:rPr>
          <w:rFonts w:ascii="Helvetica" w:hAnsi="Helvetica" w:cs="Helvetica"/>
          <w:color w:val="000000" w:themeColor="text1"/>
          <w:sz w:val="24"/>
          <w:szCs w:val="24"/>
          <w:lang w:val="es-MX"/>
        </w:rPr>
        <w:t xml:space="preserve"> registrados; el grupo de Administración Central alcanzó la aprobación del 53% y los del Sistema de Consejos de Desarrollo Departamental con recursos de FONPETROL alcanzaron un nivel de aprobación del 19%.  Los proyectos de los Gobiernos </w:t>
      </w:r>
      <w:r w:rsidR="00201277" w:rsidRPr="00201277">
        <w:rPr>
          <w:rFonts w:ascii="Helvetica" w:hAnsi="Helvetica" w:cs="Helvetica"/>
          <w:color w:val="000000" w:themeColor="text1"/>
          <w:sz w:val="24"/>
          <w:szCs w:val="24"/>
          <w:lang w:val="es-MX"/>
        </w:rPr>
        <w:t>Locales,</w:t>
      </w:r>
      <w:r w:rsidRPr="00201277">
        <w:rPr>
          <w:rFonts w:ascii="Helvetica" w:hAnsi="Helvetica" w:cs="Helvetica"/>
          <w:color w:val="000000" w:themeColor="text1"/>
          <w:sz w:val="24"/>
          <w:szCs w:val="24"/>
          <w:lang w:val="es-MX"/>
        </w:rPr>
        <w:t xml:space="preserve"> son autorizados por las propias DMP.</w:t>
      </w:r>
    </w:p>
    <w:p w14:paraId="3E1B3C39" w14:textId="1263F5F9" w:rsidR="001912B8" w:rsidRPr="00201277" w:rsidRDefault="001912B8" w:rsidP="00984BA9">
      <w:pPr>
        <w:pStyle w:val="Prrafodelista"/>
        <w:numPr>
          <w:ilvl w:val="0"/>
          <w:numId w:val="15"/>
        </w:numPr>
        <w:spacing w:after="0" w:line="240" w:lineRule="auto"/>
        <w:jc w:val="both"/>
        <w:rPr>
          <w:rFonts w:ascii="Helvetica" w:hAnsi="Helvetica" w:cs="Helvetica"/>
          <w:color w:val="000000" w:themeColor="text1"/>
          <w:sz w:val="24"/>
          <w:szCs w:val="24"/>
          <w:lang w:val="es-MX"/>
        </w:rPr>
      </w:pPr>
      <w:r w:rsidRPr="00201277">
        <w:rPr>
          <w:rFonts w:ascii="Helvetica" w:hAnsi="Helvetica" w:cs="Helvetica"/>
          <w:color w:val="000000" w:themeColor="text1"/>
          <w:sz w:val="24"/>
          <w:szCs w:val="24"/>
          <w:lang w:val="es-MX"/>
        </w:rPr>
        <w:t xml:space="preserve">Un total de 105 proyectos quedaron pendientes de aprobación, 65 del grupo de administración central, 13 de las Entidades Descentralizadas, </w:t>
      </w:r>
      <w:r w:rsidR="00201277" w:rsidRPr="00201277">
        <w:rPr>
          <w:rFonts w:ascii="Helvetica" w:hAnsi="Helvetica" w:cs="Helvetica"/>
          <w:color w:val="000000" w:themeColor="text1"/>
          <w:sz w:val="24"/>
          <w:szCs w:val="24"/>
          <w:lang w:val="es-MX"/>
        </w:rPr>
        <w:t>Autónomas</w:t>
      </w:r>
      <w:r w:rsidRPr="00201277">
        <w:rPr>
          <w:rFonts w:ascii="Helvetica" w:hAnsi="Helvetica" w:cs="Helvetica"/>
          <w:color w:val="000000" w:themeColor="text1"/>
          <w:sz w:val="24"/>
          <w:szCs w:val="24"/>
          <w:lang w:val="es-MX"/>
        </w:rPr>
        <w:t xml:space="preserve"> y Empresas Públicas y 27 de Consejos de Desarrollo; conservando una asignación presupuestaria de Q701.97 millones.</w:t>
      </w:r>
    </w:p>
    <w:p w14:paraId="35E2339E" w14:textId="77777777" w:rsidR="001912B8" w:rsidRPr="00201277" w:rsidRDefault="001912B8" w:rsidP="00984BA9">
      <w:pPr>
        <w:pStyle w:val="Prrafodelista"/>
        <w:numPr>
          <w:ilvl w:val="0"/>
          <w:numId w:val="15"/>
        </w:numPr>
        <w:spacing w:after="0" w:line="240" w:lineRule="auto"/>
        <w:jc w:val="both"/>
        <w:rPr>
          <w:rFonts w:ascii="Helvetica" w:hAnsi="Helvetica" w:cs="Helvetica"/>
          <w:color w:val="000000" w:themeColor="text1"/>
          <w:sz w:val="24"/>
          <w:szCs w:val="24"/>
          <w:lang w:val="es-MX"/>
        </w:rPr>
      </w:pPr>
      <w:r w:rsidRPr="00201277">
        <w:rPr>
          <w:rFonts w:ascii="Helvetica" w:hAnsi="Helvetica" w:cs="Helvetica"/>
          <w:color w:val="000000" w:themeColor="text1"/>
          <w:sz w:val="24"/>
          <w:szCs w:val="24"/>
          <w:lang w:val="es-MX"/>
        </w:rPr>
        <w:t>En cuanto a la asignación presupuestaria para su ejecución, el grupo de los proyectos de CODEDE con recursos de FONPETROL obtuvo el 73% del monto registrado; las Entidades Descentralizadas, Autónomas y Empresas Públicas tuvieron el 65% de lo programado; los Gobiernos Locales lograron cubrir el 57% de su programación; las entidades de la Administración Central cubrieron el 53% de su programación y los proyectos de CODEDE con recursos del IVA-PAZ logró asignación para el 46% del monto registrado.</w:t>
      </w:r>
    </w:p>
    <w:p w14:paraId="41E3173B" w14:textId="77777777" w:rsidR="001912B8" w:rsidRDefault="001912B8" w:rsidP="001912B8">
      <w:pPr>
        <w:spacing w:after="0" w:line="240" w:lineRule="auto"/>
        <w:jc w:val="both"/>
        <w:rPr>
          <w:rFonts w:ascii="Times New Roman" w:hAnsi="Times New Roman" w:cs="Times New Roman"/>
          <w:color w:val="000000" w:themeColor="text1"/>
          <w:lang w:val="es-MX"/>
        </w:rPr>
      </w:pPr>
    </w:p>
    <w:p w14:paraId="3FFEFC50" w14:textId="4CFD8E84" w:rsidR="001912B8" w:rsidRPr="003B1BD8" w:rsidRDefault="001912B8" w:rsidP="003B1BD8">
      <w:pPr>
        <w:jc w:val="both"/>
        <w:rPr>
          <w:rFonts w:ascii="Helvetica" w:eastAsiaTheme="majorEastAsia" w:hAnsi="Helvetica" w:cstheme="majorBidi"/>
          <w:b/>
          <w:color w:val="1F3864" w:themeColor="accent1" w:themeShade="80"/>
          <w:sz w:val="28"/>
          <w:szCs w:val="28"/>
        </w:rPr>
      </w:pPr>
      <w:bookmarkStart w:id="89" w:name="_Toc493600836"/>
      <w:bookmarkStart w:id="90" w:name="_Toc508090028"/>
      <w:bookmarkStart w:id="91" w:name="_Toc10119020"/>
      <w:bookmarkStart w:id="92" w:name="_Toc62718051"/>
      <w:r w:rsidRPr="003B1BD8">
        <w:rPr>
          <w:rFonts w:ascii="Helvetica" w:eastAsiaTheme="majorEastAsia" w:hAnsi="Helvetica" w:cstheme="majorBidi"/>
          <w:b/>
          <w:color w:val="1F3864" w:themeColor="accent1" w:themeShade="80"/>
          <w:sz w:val="28"/>
          <w:szCs w:val="28"/>
        </w:rPr>
        <w:t>Proyectos de Inversión Pública registrados, con asignación y ejecutados por función</w:t>
      </w:r>
      <w:bookmarkEnd w:id="89"/>
      <w:bookmarkEnd w:id="90"/>
      <w:bookmarkEnd w:id="91"/>
      <w:bookmarkEnd w:id="92"/>
    </w:p>
    <w:p w14:paraId="342266A6" w14:textId="77777777" w:rsidR="001912B8" w:rsidRPr="00316FAD" w:rsidRDefault="001912B8" w:rsidP="001912B8">
      <w:pPr>
        <w:spacing w:after="0" w:line="240" w:lineRule="auto"/>
        <w:jc w:val="center"/>
        <w:rPr>
          <w:rFonts w:ascii="Times New Roman" w:hAnsi="Times New Roman" w:cs="Times New Roman"/>
          <w:b/>
          <w:bCs/>
          <w:sz w:val="24"/>
          <w:szCs w:val="24"/>
        </w:rPr>
      </w:pPr>
    </w:p>
    <w:p w14:paraId="26C8C320" w14:textId="1FB589E6" w:rsidR="001912B8" w:rsidRDefault="001912B8" w:rsidP="001912B8">
      <w:pPr>
        <w:spacing w:after="0" w:line="240" w:lineRule="auto"/>
        <w:jc w:val="both"/>
        <w:rPr>
          <w:rFonts w:ascii="Helvetica" w:hAnsi="Helvetica" w:cs="Helvetica"/>
          <w:color w:val="000000" w:themeColor="text1"/>
          <w:sz w:val="24"/>
          <w:szCs w:val="24"/>
          <w:lang w:val="es-MX"/>
        </w:rPr>
      </w:pPr>
      <w:r w:rsidRPr="00316FAD">
        <w:rPr>
          <w:rFonts w:ascii="Helvetica" w:hAnsi="Helvetica" w:cs="Helvetica"/>
          <w:color w:val="000000" w:themeColor="text1"/>
          <w:sz w:val="24"/>
          <w:szCs w:val="24"/>
          <w:lang w:val="es-MX"/>
        </w:rPr>
        <w:t xml:space="preserve">Con relación a los proyectos registrados y su orientación por función, </w:t>
      </w:r>
      <w:r w:rsidR="00316FAD" w:rsidRPr="00316FAD">
        <w:rPr>
          <w:rFonts w:ascii="Helvetica" w:hAnsi="Helvetica" w:cs="Helvetica"/>
          <w:color w:val="000000" w:themeColor="text1"/>
          <w:sz w:val="24"/>
          <w:szCs w:val="24"/>
          <w:lang w:val="es-MX"/>
        </w:rPr>
        <w:t>los datos se presentan</w:t>
      </w:r>
      <w:r w:rsidR="003B7B3E" w:rsidRPr="00316FAD">
        <w:rPr>
          <w:rFonts w:ascii="Helvetica" w:hAnsi="Helvetica" w:cs="Helvetica"/>
          <w:color w:val="000000" w:themeColor="text1"/>
          <w:sz w:val="24"/>
          <w:szCs w:val="24"/>
          <w:lang w:val="es-MX"/>
        </w:rPr>
        <w:t xml:space="preserve"> en</w:t>
      </w:r>
      <w:r w:rsidRPr="00316FAD">
        <w:rPr>
          <w:rFonts w:ascii="Helvetica" w:hAnsi="Helvetica" w:cs="Helvetica"/>
          <w:color w:val="000000" w:themeColor="text1"/>
          <w:sz w:val="24"/>
          <w:szCs w:val="24"/>
          <w:lang w:val="es-MX"/>
        </w:rPr>
        <w:t xml:space="preserve"> la gráfica </w:t>
      </w:r>
      <w:r w:rsidR="00F52482">
        <w:rPr>
          <w:rFonts w:ascii="Helvetica" w:hAnsi="Helvetica" w:cs="Helvetica"/>
          <w:color w:val="000000" w:themeColor="text1"/>
          <w:sz w:val="24"/>
          <w:szCs w:val="24"/>
          <w:lang w:val="es-MX"/>
        </w:rPr>
        <w:t>6</w:t>
      </w:r>
      <w:r w:rsidRPr="00316FAD">
        <w:rPr>
          <w:rFonts w:ascii="Helvetica" w:hAnsi="Helvetica" w:cs="Helvetica"/>
          <w:color w:val="000000" w:themeColor="text1"/>
          <w:sz w:val="24"/>
          <w:szCs w:val="24"/>
          <w:lang w:val="es-MX"/>
        </w:rPr>
        <w:t>.</w:t>
      </w:r>
    </w:p>
    <w:p w14:paraId="1277FFB2" w14:textId="77777777" w:rsidR="003562C1" w:rsidRPr="00316FAD" w:rsidRDefault="003562C1" w:rsidP="001912B8">
      <w:pPr>
        <w:spacing w:after="0" w:line="240" w:lineRule="auto"/>
        <w:jc w:val="both"/>
        <w:rPr>
          <w:rFonts w:ascii="Helvetica" w:hAnsi="Helvetica" w:cs="Helvetica"/>
          <w:color w:val="000000" w:themeColor="text1"/>
          <w:sz w:val="24"/>
          <w:szCs w:val="24"/>
          <w:lang w:val="es-MX"/>
        </w:rPr>
      </w:pPr>
    </w:p>
    <w:p w14:paraId="09D3DC42" w14:textId="77777777" w:rsidR="003562C1" w:rsidRPr="0059105E" w:rsidRDefault="00307F8F" w:rsidP="0059105E">
      <w:pPr>
        <w:pStyle w:val="ttulosgrficas"/>
        <w:rPr>
          <w:color w:val="4472C4" w:themeColor="accent1"/>
        </w:rPr>
      </w:pPr>
      <w:bookmarkStart w:id="93" w:name="_Toc67377813"/>
      <w:bookmarkStart w:id="94" w:name="_Toc67381556"/>
      <w:bookmarkStart w:id="95" w:name="_Toc67589106"/>
      <w:r w:rsidRPr="0059105E">
        <w:rPr>
          <w:color w:val="4472C4" w:themeColor="accent1"/>
        </w:rPr>
        <w:t xml:space="preserve">Gráfica </w:t>
      </w:r>
      <w:r w:rsidR="007F134F" w:rsidRPr="0059105E">
        <w:rPr>
          <w:color w:val="4472C4" w:themeColor="accent1"/>
        </w:rPr>
        <w:fldChar w:fldCharType="begin"/>
      </w:r>
      <w:r w:rsidR="007F134F" w:rsidRPr="0059105E">
        <w:rPr>
          <w:color w:val="4472C4" w:themeColor="accent1"/>
        </w:rPr>
        <w:instrText xml:space="preserve"> SEQ Gráfica \* ARABIC </w:instrText>
      </w:r>
      <w:r w:rsidR="007F134F" w:rsidRPr="0059105E">
        <w:rPr>
          <w:color w:val="4472C4" w:themeColor="accent1"/>
        </w:rPr>
        <w:fldChar w:fldCharType="separate"/>
      </w:r>
      <w:r w:rsidR="00AA2593" w:rsidRPr="0059105E">
        <w:rPr>
          <w:color w:val="4472C4" w:themeColor="accent1"/>
        </w:rPr>
        <w:t>6</w:t>
      </w:r>
      <w:bookmarkEnd w:id="93"/>
      <w:bookmarkEnd w:id="94"/>
      <w:r w:rsidR="007F134F" w:rsidRPr="0059105E">
        <w:rPr>
          <w:color w:val="4472C4" w:themeColor="accent1"/>
        </w:rPr>
        <w:fldChar w:fldCharType="end"/>
      </w:r>
      <w:r w:rsidR="003562C1" w:rsidRPr="0059105E">
        <w:rPr>
          <w:color w:val="4472C4" w:themeColor="accent1"/>
        </w:rPr>
        <w:t xml:space="preserve">, </w:t>
      </w:r>
      <w:r w:rsidR="001912B8" w:rsidRPr="0059105E">
        <w:rPr>
          <w:color w:val="4472C4" w:themeColor="accent1"/>
        </w:rPr>
        <w:t>Proyectos registrados, con asignación y ejecución,</w:t>
      </w:r>
      <w:bookmarkEnd w:id="95"/>
      <w:r w:rsidR="001912B8" w:rsidRPr="0059105E">
        <w:rPr>
          <w:color w:val="4472C4" w:themeColor="accent1"/>
        </w:rPr>
        <w:t xml:space="preserve"> </w:t>
      </w:r>
    </w:p>
    <w:p w14:paraId="43F5B6B2" w14:textId="17A7577C" w:rsidR="00ED2DA4" w:rsidRPr="0059105E" w:rsidRDefault="001912B8" w:rsidP="001912B8">
      <w:pPr>
        <w:spacing w:after="0" w:line="240" w:lineRule="auto"/>
        <w:jc w:val="center"/>
        <w:rPr>
          <w:rStyle w:val="ttulosgrficasCar"/>
          <w:color w:val="4472C4" w:themeColor="accent1"/>
        </w:rPr>
      </w:pPr>
      <w:r w:rsidRPr="0059105E">
        <w:rPr>
          <w:rStyle w:val="ttulosgrficasCar"/>
          <w:color w:val="4472C4" w:themeColor="accent1"/>
        </w:rPr>
        <w:t xml:space="preserve">por Función a nivel nacional </w:t>
      </w:r>
      <w:r w:rsidRPr="0059105E">
        <w:rPr>
          <w:rStyle w:val="ttulosgrficasCar"/>
          <w:color w:val="4472C4" w:themeColor="accent1"/>
        </w:rPr>
        <w:br/>
        <w:t>Al tercer cuatrimestre, Ejercicio fiscal 2020</w:t>
      </w:r>
    </w:p>
    <w:p w14:paraId="1027BC50" w14:textId="3E57A8DB" w:rsidR="001912B8" w:rsidRDefault="001912B8" w:rsidP="00ED2DA4">
      <w:pPr>
        <w:spacing w:after="0" w:line="120" w:lineRule="auto"/>
        <w:jc w:val="center"/>
        <w:rPr>
          <w:rFonts w:ascii="Times New Roman" w:hAnsi="Times New Roman" w:cs="Times New Roman"/>
          <w:b/>
          <w:bCs/>
          <w:sz w:val="20"/>
        </w:rPr>
      </w:pPr>
      <w:r w:rsidRPr="00906050">
        <w:rPr>
          <w:rFonts w:ascii="Times New Roman" w:hAnsi="Times New Roman" w:cs="Times New Roman"/>
          <w:b/>
          <w:bCs/>
          <w:sz w:val="20"/>
        </w:rPr>
        <w:br/>
      </w:r>
      <w:r>
        <w:rPr>
          <w:noProof/>
          <w:lang w:eastAsia="es-GT"/>
        </w:rPr>
        <w:drawing>
          <wp:inline distT="0" distB="0" distL="0" distR="0" wp14:anchorId="3284DE39" wp14:editId="2E4E120A">
            <wp:extent cx="5612130" cy="2286000"/>
            <wp:effectExtent l="0" t="0" r="7620" b="0"/>
            <wp:docPr id="11" name="Gráfico 1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790202-CAB0-4C48-9DC1-0010D0BA8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F6FF9EA" w14:textId="7E797250" w:rsidR="001912B8" w:rsidRPr="00906050" w:rsidRDefault="00ED2DA4" w:rsidP="001912B8">
      <w:pPr>
        <w:rPr>
          <w:rFonts w:ascii="Times New Roman" w:hAnsi="Times New Roman" w:cs="Times New Roman"/>
          <w:sz w:val="16"/>
          <w:szCs w:val="16"/>
        </w:rPr>
      </w:pPr>
      <w:r>
        <w:rPr>
          <w:rFonts w:ascii="Times New Roman" w:hAnsi="Times New Roman" w:cs="Times New Roman"/>
          <w:sz w:val="16"/>
          <w:szCs w:val="16"/>
        </w:rPr>
        <w:tab/>
      </w:r>
      <w:r w:rsidR="001912B8" w:rsidRPr="00906050">
        <w:rPr>
          <w:rFonts w:ascii="Times New Roman" w:hAnsi="Times New Roman" w:cs="Times New Roman"/>
          <w:sz w:val="16"/>
          <w:szCs w:val="16"/>
        </w:rPr>
        <w:t>Fuente: elaboración SEGEPLAN con información del SINIP 01.0</w:t>
      </w:r>
      <w:r w:rsidR="001912B8">
        <w:rPr>
          <w:rFonts w:ascii="Times New Roman" w:hAnsi="Times New Roman" w:cs="Times New Roman"/>
          <w:sz w:val="16"/>
          <w:szCs w:val="16"/>
        </w:rPr>
        <w:t>1</w:t>
      </w:r>
      <w:r w:rsidR="001912B8" w:rsidRPr="00906050">
        <w:rPr>
          <w:rFonts w:ascii="Times New Roman" w:hAnsi="Times New Roman" w:cs="Times New Roman"/>
          <w:sz w:val="16"/>
          <w:szCs w:val="16"/>
        </w:rPr>
        <w:t>.202</w:t>
      </w:r>
      <w:r w:rsidR="001912B8">
        <w:rPr>
          <w:rFonts w:ascii="Times New Roman" w:hAnsi="Times New Roman" w:cs="Times New Roman"/>
          <w:sz w:val="16"/>
          <w:szCs w:val="16"/>
        </w:rPr>
        <w:t>1</w:t>
      </w:r>
      <w:r>
        <w:rPr>
          <w:rFonts w:ascii="Times New Roman" w:hAnsi="Times New Roman" w:cs="Times New Roman"/>
          <w:sz w:val="16"/>
          <w:szCs w:val="16"/>
        </w:rPr>
        <w:t>.</w:t>
      </w:r>
    </w:p>
    <w:p w14:paraId="65D37054" w14:textId="77777777" w:rsidR="001912B8" w:rsidRPr="00316FAD" w:rsidRDefault="001912B8" w:rsidP="001912B8">
      <w:pPr>
        <w:spacing w:after="0" w:line="240" w:lineRule="auto"/>
        <w:jc w:val="both"/>
        <w:rPr>
          <w:rFonts w:ascii="Helvetica" w:hAnsi="Helvetica" w:cs="Helvetica"/>
          <w:color w:val="000000" w:themeColor="text1"/>
          <w:sz w:val="24"/>
          <w:szCs w:val="24"/>
          <w:lang w:val="es-MX"/>
        </w:rPr>
      </w:pPr>
      <w:r w:rsidRPr="00316FAD">
        <w:rPr>
          <w:rFonts w:ascii="Helvetica" w:hAnsi="Helvetica" w:cs="Helvetica"/>
          <w:color w:val="000000" w:themeColor="text1"/>
          <w:sz w:val="24"/>
          <w:szCs w:val="24"/>
          <w:lang w:val="es-MX"/>
        </w:rPr>
        <w:t>Como reflejan los datos anteriores, del total de proyectos registrados en el SNIP por las entidades a nivel nacional, las funciones que registran la mayor cantidad de proyectos con asignación presupuestaria fueron en su orden, transporte, educación y agua y saneamiento.</w:t>
      </w:r>
    </w:p>
    <w:p w14:paraId="5AF80333" w14:textId="77777777" w:rsidR="001912B8" w:rsidRDefault="001912B8" w:rsidP="001912B8">
      <w:pPr>
        <w:spacing w:after="0" w:line="240" w:lineRule="auto"/>
        <w:jc w:val="both"/>
        <w:rPr>
          <w:rFonts w:ascii="Times New Roman" w:hAnsi="Times New Roman" w:cs="Times New Roman"/>
          <w:color w:val="000000" w:themeColor="text1"/>
          <w:lang w:val="es-MX"/>
        </w:rPr>
      </w:pPr>
    </w:p>
    <w:p w14:paraId="3F51D2E8" w14:textId="28213D35" w:rsidR="001912B8" w:rsidRPr="00AE743B" w:rsidRDefault="001912B8" w:rsidP="00AE743B">
      <w:pPr>
        <w:rPr>
          <w:rFonts w:ascii="Helvetica" w:eastAsiaTheme="majorEastAsia" w:hAnsi="Helvetica" w:cstheme="majorBidi"/>
          <w:b/>
          <w:color w:val="002060"/>
          <w:sz w:val="28"/>
          <w:szCs w:val="28"/>
        </w:rPr>
      </w:pPr>
      <w:bookmarkStart w:id="96" w:name="_Toc476744883"/>
      <w:bookmarkStart w:id="97" w:name="_Toc10119022"/>
      <w:bookmarkStart w:id="98" w:name="_Toc62718052"/>
      <w:r w:rsidRPr="003B1BD8">
        <w:rPr>
          <w:rFonts w:ascii="Helvetica" w:eastAsiaTheme="majorEastAsia" w:hAnsi="Helvetica" w:cstheme="majorBidi"/>
          <w:b/>
          <w:color w:val="002060"/>
          <w:sz w:val="28"/>
          <w:szCs w:val="28"/>
        </w:rPr>
        <w:t xml:space="preserve">Proyectos e inversión con avances de ejecución y al 100 por ciento de ejecución física y financiera por </w:t>
      </w:r>
      <w:bookmarkEnd w:id="96"/>
      <w:bookmarkEnd w:id="97"/>
      <w:bookmarkEnd w:id="98"/>
      <w:r w:rsidR="00F709A7" w:rsidRPr="003B1BD8">
        <w:rPr>
          <w:rFonts w:ascii="Helvetica" w:eastAsiaTheme="majorEastAsia" w:hAnsi="Helvetica" w:cstheme="majorBidi"/>
          <w:b/>
          <w:color w:val="002060"/>
          <w:sz w:val="28"/>
          <w:szCs w:val="28"/>
        </w:rPr>
        <w:t>departamento</w:t>
      </w:r>
    </w:p>
    <w:p w14:paraId="2C253D31" w14:textId="7B05E43D" w:rsidR="001912B8" w:rsidRPr="00316FAD" w:rsidRDefault="001912B8" w:rsidP="001912B8">
      <w:pPr>
        <w:spacing w:after="0" w:line="240" w:lineRule="auto"/>
        <w:jc w:val="both"/>
        <w:rPr>
          <w:rFonts w:ascii="Helvetica" w:hAnsi="Helvetica" w:cs="Helvetica"/>
          <w:color w:val="000000" w:themeColor="text1"/>
          <w:sz w:val="24"/>
          <w:szCs w:val="24"/>
        </w:rPr>
      </w:pPr>
      <w:r w:rsidRPr="00316FAD">
        <w:rPr>
          <w:rFonts w:ascii="Helvetica" w:hAnsi="Helvetica" w:cs="Helvetica"/>
          <w:color w:val="000000" w:themeColor="text1"/>
          <w:sz w:val="24"/>
          <w:szCs w:val="24"/>
        </w:rPr>
        <w:t xml:space="preserve">De acuerdo con la información registrada y que cuenta con asignación actualizada en el SINIP a nivel </w:t>
      </w:r>
      <w:r w:rsidR="00F709A7" w:rsidRPr="00316FAD">
        <w:rPr>
          <w:rFonts w:ascii="Helvetica" w:hAnsi="Helvetica" w:cs="Helvetica"/>
          <w:color w:val="000000" w:themeColor="text1"/>
          <w:sz w:val="24"/>
          <w:szCs w:val="24"/>
        </w:rPr>
        <w:t>nacional, 6,980</w:t>
      </w:r>
      <w:r w:rsidRPr="00316FAD">
        <w:rPr>
          <w:rFonts w:ascii="Helvetica" w:hAnsi="Helvetica" w:cs="Helvetica"/>
          <w:color w:val="000000" w:themeColor="text1"/>
          <w:sz w:val="24"/>
          <w:szCs w:val="24"/>
        </w:rPr>
        <w:t xml:space="preserve"> proyectos registran un monto de Q10,886.15 millones de asignación presupuestaria; de dichos proyectos, 6,174 (88.45% del total) muestran ejecución financiera por un monto de Q6,474.89 millones.</w:t>
      </w:r>
    </w:p>
    <w:p w14:paraId="2BA949B5" w14:textId="77777777" w:rsidR="001912B8" w:rsidRPr="00316FAD" w:rsidRDefault="001912B8" w:rsidP="001912B8">
      <w:pPr>
        <w:spacing w:after="0" w:line="240" w:lineRule="auto"/>
        <w:jc w:val="both"/>
        <w:rPr>
          <w:rFonts w:ascii="Helvetica" w:hAnsi="Helvetica" w:cs="Helvetica"/>
          <w:color w:val="000000" w:themeColor="text1"/>
          <w:sz w:val="24"/>
          <w:szCs w:val="24"/>
        </w:rPr>
      </w:pPr>
    </w:p>
    <w:p w14:paraId="187D747B" w14:textId="77777777" w:rsidR="001912B8" w:rsidRPr="00316FAD" w:rsidRDefault="001912B8" w:rsidP="001912B8">
      <w:pPr>
        <w:spacing w:after="0" w:line="240" w:lineRule="auto"/>
        <w:jc w:val="both"/>
        <w:rPr>
          <w:rFonts w:ascii="Helvetica" w:hAnsi="Helvetica" w:cs="Helvetica"/>
          <w:color w:val="000000" w:themeColor="text1"/>
          <w:sz w:val="24"/>
          <w:szCs w:val="24"/>
        </w:rPr>
      </w:pPr>
      <w:r w:rsidRPr="00316FAD">
        <w:rPr>
          <w:rFonts w:ascii="Helvetica" w:hAnsi="Helvetica" w:cs="Helvetica"/>
          <w:color w:val="000000" w:themeColor="text1"/>
          <w:sz w:val="24"/>
          <w:szCs w:val="24"/>
        </w:rPr>
        <w:t>Asimismo, 3,894 proyectos se encuentran con ejecución física (55.79% del total); finalmente, se observa a aquellos proyectos que alcanzaron el 100% de avance físico y financiero, 1,976 y 1,973 respectivamente.</w:t>
      </w:r>
    </w:p>
    <w:p w14:paraId="1FEA505A" w14:textId="77777777" w:rsidR="001912B8" w:rsidRPr="00316FAD" w:rsidRDefault="001912B8" w:rsidP="001912B8">
      <w:pPr>
        <w:spacing w:after="0" w:line="240" w:lineRule="auto"/>
        <w:jc w:val="both"/>
        <w:rPr>
          <w:rFonts w:ascii="Helvetica" w:hAnsi="Helvetica" w:cs="Helvetica"/>
          <w:sz w:val="24"/>
          <w:szCs w:val="24"/>
        </w:rPr>
      </w:pPr>
    </w:p>
    <w:p w14:paraId="7B1952FA" w14:textId="0559295C" w:rsidR="001912B8" w:rsidRDefault="001912B8" w:rsidP="001912B8">
      <w:pPr>
        <w:jc w:val="both"/>
        <w:rPr>
          <w:rFonts w:ascii="Helvetica" w:hAnsi="Helvetica" w:cs="Helvetica"/>
          <w:sz w:val="24"/>
          <w:szCs w:val="24"/>
          <w:lang w:val="es-MX"/>
        </w:rPr>
      </w:pPr>
      <w:r w:rsidRPr="00316FAD">
        <w:rPr>
          <w:rFonts w:ascii="Helvetica" w:hAnsi="Helvetica" w:cs="Helvetica"/>
          <w:sz w:val="24"/>
          <w:szCs w:val="24"/>
          <w:lang w:val="es-MX"/>
        </w:rPr>
        <w:t xml:space="preserve">La </w:t>
      </w:r>
      <w:r w:rsidR="00F52482">
        <w:rPr>
          <w:rFonts w:ascii="Helvetica" w:hAnsi="Helvetica" w:cs="Helvetica"/>
          <w:sz w:val="24"/>
          <w:szCs w:val="24"/>
          <w:lang w:val="es-MX"/>
        </w:rPr>
        <w:t>gráfica 7,</w:t>
      </w:r>
      <w:r w:rsidRPr="00316FAD">
        <w:rPr>
          <w:rFonts w:ascii="Helvetica" w:hAnsi="Helvetica" w:cs="Helvetica"/>
          <w:sz w:val="24"/>
          <w:szCs w:val="24"/>
          <w:lang w:val="es-MX"/>
        </w:rPr>
        <w:t xml:space="preserve"> muestra mensualmente el total de los proyectos a nivel nacional que tuvieron registros en el SINIP, asignación y cuántos muestran ejecución financiera durante el primer</w:t>
      </w:r>
      <w:r w:rsidR="00AE743B">
        <w:rPr>
          <w:rFonts w:ascii="Helvetica" w:hAnsi="Helvetica" w:cs="Helvetica"/>
          <w:sz w:val="24"/>
          <w:szCs w:val="24"/>
          <w:lang w:val="es-MX"/>
        </w:rPr>
        <w:t xml:space="preserve">o, segundo y tercer </w:t>
      </w:r>
      <w:r w:rsidRPr="00316FAD">
        <w:rPr>
          <w:rFonts w:ascii="Helvetica" w:hAnsi="Helvetica" w:cs="Helvetica"/>
          <w:sz w:val="24"/>
          <w:szCs w:val="24"/>
          <w:lang w:val="es-MX"/>
        </w:rPr>
        <w:t xml:space="preserve">cuatrimestre del 2020. </w:t>
      </w:r>
    </w:p>
    <w:p w14:paraId="74A582FD" w14:textId="77777777" w:rsidR="003562C1" w:rsidRPr="0059105E" w:rsidRDefault="003E1E24" w:rsidP="003E1E24">
      <w:pPr>
        <w:pStyle w:val="ttulosgrficas"/>
        <w:rPr>
          <w:color w:val="4472C4" w:themeColor="accent1"/>
        </w:rPr>
      </w:pPr>
      <w:bookmarkStart w:id="99" w:name="_Toc67377814"/>
      <w:bookmarkStart w:id="100" w:name="_Toc67381557"/>
      <w:bookmarkStart w:id="101" w:name="_Toc67589107"/>
      <w:r w:rsidRPr="0059105E">
        <w:rPr>
          <w:color w:val="4472C4" w:themeColor="accent1"/>
        </w:rPr>
        <w:t xml:space="preserve">Gráfica </w:t>
      </w:r>
      <w:r w:rsidR="007F134F" w:rsidRPr="0059105E">
        <w:rPr>
          <w:color w:val="4472C4" w:themeColor="accent1"/>
        </w:rPr>
        <w:fldChar w:fldCharType="begin"/>
      </w:r>
      <w:r w:rsidR="007F134F" w:rsidRPr="0059105E">
        <w:rPr>
          <w:color w:val="4472C4" w:themeColor="accent1"/>
        </w:rPr>
        <w:instrText xml:space="preserve"> SEQ Gráfica \* ARABIC </w:instrText>
      </w:r>
      <w:r w:rsidR="007F134F" w:rsidRPr="0059105E">
        <w:rPr>
          <w:color w:val="4472C4" w:themeColor="accent1"/>
        </w:rPr>
        <w:fldChar w:fldCharType="separate"/>
      </w:r>
      <w:r w:rsidR="00AA2593" w:rsidRPr="0059105E">
        <w:rPr>
          <w:color w:val="4472C4" w:themeColor="accent1"/>
        </w:rPr>
        <w:t>7</w:t>
      </w:r>
      <w:bookmarkEnd w:id="99"/>
      <w:bookmarkEnd w:id="100"/>
      <w:r w:rsidR="007F134F" w:rsidRPr="0059105E">
        <w:rPr>
          <w:color w:val="4472C4" w:themeColor="accent1"/>
        </w:rPr>
        <w:fldChar w:fldCharType="end"/>
      </w:r>
      <w:r w:rsidR="003562C1" w:rsidRPr="0059105E">
        <w:rPr>
          <w:color w:val="4472C4" w:themeColor="accent1"/>
        </w:rPr>
        <w:t xml:space="preserve">, </w:t>
      </w:r>
      <w:r w:rsidR="001912B8" w:rsidRPr="0059105E">
        <w:rPr>
          <w:color w:val="4472C4" w:themeColor="accent1"/>
        </w:rPr>
        <w:t>Seguimiento mensual del total de proyectos</w:t>
      </w:r>
      <w:bookmarkEnd w:id="101"/>
      <w:r w:rsidR="001912B8" w:rsidRPr="0059105E">
        <w:rPr>
          <w:color w:val="4472C4" w:themeColor="accent1"/>
        </w:rPr>
        <w:t xml:space="preserve"> </w:t>
      </w:r>
    </w:p>
    <w:p w14:paraId="27E75F3A" w14:textId="7CA8D94E" w:rsidR="001912B8" w:rsidRPr="0059105E" w:rsidRDefault="001912B8" w:rsidP="003E1E24">
      <w:pPr>
        <w:pStyle w:val="ttulosgrficas"/>
        <w:rPr>
          <w:color w:val="4472C4" w:themeColor="accent1"/>
        </w:rPr>
      </w:pPr>
      <w:r w:rsidRPr="0059105E">
        <w:rPr>
          <w:color w:val="4472C4" w:themeColor="accent1"/>
        </w:rPr>
        <w:t>recibidos oficialmente con asignación y ejecución</w:t>
      </w:r>
      <w:r w:rsidR="00F709A7" w:rsidRPr="0059105E">
        <w:rPr>
          <w:color w:val="4472C4" w:themeColor="accent1"/>
        </w:rPr>
        <w:t xml:space="preserve"> a</w:t>
      </w:r>
      <w:r w:rsidRPr="0059105E">
        <w:rPr>
          <w:color w:val="4472C4" w:themeColor="accent1"/>
        </w:rPr>
        <w:t xml:space="preserve"> nivel nacional</w:t>
      </w:r>
    </w:p>
    <w:p w14:paraId="2F261777" w14:textId="77777777" w:rsidR="00ED2DA4" w:rsidRPr="00906050" w:rsidRDefault="00ED2DA4" w:rsidP="00ED2DA4">
      <w:pPr>
        <w:pStyle w:val="ttulosgrficas"/>
        <w:spacing w:line="120" w:lineRule="auto"/>
      </w:pPr>
    </w:p>
    <w:p w14:paraId="50434AD4" w14:textId="77777777" w:rsidR="001912B8" w:rsidRPr="00906050" w:rsidRDefault="001912B8" w:rsidP="001912B8">
      <w:pPr>
        <w:spacing w:after="0" w:line="240" w:lineRule="auto"/>
        <w:jc w:val="center"/>
        <w:rPr>
          <w:rFonts w:ascii="Times New Roman" w:hAnsi="Times New Roman" w:cs="Times New Roman"/>
          <w:b/>
          <w:sz w:val="20"/>
        </w:rPr>
      </w:pPr>
      <w:r>
        <w:rPr>
          <w:noProof/>
          <w:lang w:eastAsia="es-GT"/>
        </w:rPr>
        <w:drawing>
          <wp:inline distT="0" distB="0" distL="0" distR="0" wp14:anchorId="0416E19A" wp14:editId="788C8321">
            <wp:extent cx="5612130" cy="3722914"/>
            <wp:effectExtent l="0" t="0" r="7620" b="0"/>
            <wp:docPr id="8" name="Gráfico 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C0FB26-0658-43C5-9DED-92289AD62C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09A935D" w14:textId="0143C4E2" w:rsidR="001912B8" w:rsidRPr="000D0CA2" w:rsidRDefault="00ED2DA4" w:rsidP="001912B8">
      <w:pPr>
        <w:rPr>
          <w:rFonts w:ascii="Times New Roman" w:hAnsi="Times New Roman" w:cs="Times New Roman"/>
          <w:sz w:val="16"/>
          <w:szCs w:val="16"/>
        </w:rPr>
      </w:pPr>
      <w:r>
        <w:rPr>
          <w:rFonts w:ascii="Times New Roman" w:hAnsi="Times New Roman" w:cs="Times New Roman"/>
          <w:sz w:val="16"/>
          <w:szCs w:val="16"/>
        </w:rPr>
        <w:t xml:space="preserve">         </w:t>
      </w:r>
      <w:r w:rsidR="001912B8" w:rsidRPr="00906050">
        <w:rPr>
          <w:rFonts w:ascii="Times New Roman" w:hAnsi="Times New Roman" w:cs="Times New Roman"/>
          <w:sz w:val="16"/>
          <w:szCs w:val="16"/>
        </w:rPr>
        <w:t>Fuente: elaboración SEGEPLAN con información del SINIP 01.0</w:t>
      </w:r>
      <w:r w:rsidR="001912B8">
        <w:rPr>
          <w:rFonts w:ascii="Times New Roman" w:hAnsi="Times New Roman" w:cs="Times New Roman"/>
          <w:sz w:val="16"/>
          <w:szCs w:val="16"/>
        </w:rPr>
        <w:t>1</w:t>
      </w:r>
      <w:r w:rsidR="001912B8" w:rsidRPr="00906050">
        <w:rPr>
          <w:rFonts w:ascii="Times New Roman" w:hAnsi="Times New Roman" w:cs="Times New Roman"/>
          <w:sz w:val="16"/>
          <w:szCs w:val="16"/>
        </w:rPr>
        <w:t>.202</w:t>
      </w:r>
      <w:r w:rsidR="001912B8">
        <w:rPr>
          <w:rFonts w:ascii="Times New Roman" w:hAnsi="Times New Roman" w:cs="Times New Roman"/>
          <w:sz w:val="16"/>
          <w:szCs w:val="16"/>
        </w:rPr>
        <w:t>1</w:t>
      </w:r>
      <w:r>
        <w:rPr>
          <w:rFonts w:ascii="Times New Roman" w:hAnsi="Times New Roman" w:cs="Times New Roman"/>
          <w:sz w:val="16"/>
          <w:szCs w:val="16"/>
        </w:rPr>
        <w:t>.</w:t>
      </w:r>
    </w:p>
    <w:p w14:paraId="0514234A" w14:textId="77777777" w:rsidR="001912B8" w:rsidRPr="00254E88" w:rsidRDefault="001912B8" w:rsidP="001912B8">
      <w:pPr>
        <w:spacing w:after="0" w:line="240" w:lineRule="auto"/>
        <w:ind w:left="62"/>
        <w:rPr>
          <w:rFonts w:ascii="Times New Roman" w:hAnsi="Times New Roman" w:cs="Times New Roman"/>
          <w:b/>
          <w:color w:val="000000"/>
          <w:spacing w:val="-3"/>
          <w:sz w:val="20"/>
          <w:szCs w:val="20"/>
        </w:rPr>
      </w:pPr>
    </w:p>
    <w:p w14:paraId="709A92D0" w14:textId="636E40E2" w:rsidR="001912B8" w:rsidRPr="00F709A7" w:rsidRDefault="001912B8" w:rsidP="00F709A7">
      <w:pPr>
        <w:spacing w:after="0" w:line="240" w:lineRule="auto"/>
        <w:ind w:left="62"/>
        <w:jc w:val="both"/>
        <w:rPr>
          <w:rFonts w:ascii="Helvetica" w:hAnsi="Helvetica" w:cs="Helvetica"/>
          <w:color w:val="000000"/>
          <w:spacing w:val="-3"/>
          <w:sz w:val="24"/>
          <w:szCs w:val="24"/>
        </w:rPr>
      </w:pPr>
      <w:r w:rsidRPr="00F709A7">
        <w:rPr>
          <w:rFonts w:ascii="Helvetica" w:hAnsi="Helvetica" w:cs="Helvetica"/>
          <w:color w:val="000000"/>
          <w:spacing w:val="-3"/>
          <w:sz w:val="24"/>
          <w:szCs w:val="24"/>
        </w:rPr>
        <w:t xml:space="preserve">La gráfica muestra que al final, un 86.54% de los proyectos con asignación presupuestaria, </w:t>
      </w:r>
      <w:r w:rsidR="00F709A7" w:rsidRPr="00F709A7">
        <w:rPr>
          <w:rFonts w:ascii="Helvetica" w:hAnsi="Helvetica" w:cs="Helvetica"/>
          <w:color w:val="000000"/>
          <w:spacing w:val="-3"/>
          <w:sz w:val="24"/>
          <w:szCs w:val="24"/>
        </w:rPr>
        <w:t>lograron ejecución</w:t>
      </w:r>
      <w:r w:rsidRPr="00F709A7">
        <w:rPr>
          <w:rFonts w:ascii="Helvetica" w:hAnsi="Helvetica" w:cs="Helvetica"/>
          <w:color w:val="000000"/>
          <w:spacing w:val="-3"/>
          <w:sz w:val="24"/>
          <w:szCs w:val="24"/>
        </w:rPr>
        <w:t xml:space="preserve"> de los recursos.</w:t>
      </w:r>
    </w:p>
    <w:p w14:paraId="74FF39F5" w14:textId="77777777" w:rsidR="001912B8" w:rsidRPr="00254E88" w:rsidRDefault="001912B8" w:rsidP="001912B8">
      <w:pPr>
        <w:spacing w:after="0" w:line="240" w:lineRule="auto"/>
        <w:ind w:left="62"/>
        <w:rPr>
          <w:rFonts w:ascii="Times New Roman" w:hAnsi="Times New Roman" w:cs="Times New Roman"/>
          <w:b/>
          <w:color w:val="000000"/>
          <w:spacing w:val="-3"/>
          <w:sz w:val="20"/>
          <w:szCs w:val="20"/>
        </w:rPr>
      </w:pPr>
    </w:p>
    <w:p w14:paraId="7E5F6AB4" w14:textId="77777777" w:rsidR="001912B8" w:rsidRDefault="001912B8" w:rsidP="001912B8">
      <w:pPr>
        <w:spacing w:after="0" w:line="240" w:lineRule="auto"/>
        <w:ind w:left="62"/>
        <w:rPr>
          <w:rFonts w:ascii="Times New Roman" w:hAnsi="Times New Roman" w:cs="Times New Roman"/>
          <w:b/>
          <w:color w:val="000000"/>
          <w:spacing w:val="-3"/>
          <w:sz w:val="20"/>
          <w:szCs w:val="20"/>
        </w:rPr>
      </w:pPr>
    </w:p>
    <w:p w14:paraId="1AFF000C" w14:textId="77777777" w:rsidR="001912B8" w:rsidRPr="003B1BD8" w:rsidRDefault="001912B8" w:rsidP="003B1BD8">
      <w:pPr>
        <w:jc w:val="both"/>
        <w:rPr>
          <w:rFonts w:ascii="Helvetica" w:eastAsiaTheme="majorEastAsia" w:hAnsi="Helvetica" w:cstheme="majorBidi"/>
          <w:b/>
          <w:color w:val="002060"/>
          <w:sz w:val="28"/>
          <w:szCs w:val="28"/>
        </w:rPr>
      </w:pPr>
      <w:r w:rsidRPr="003B1BD8">
        <w:rPr>
          <w:rFonts w:ascii="Helvetica" w:eastAsiaTheme="majorEastAsia" w:hAnsi="Helvetica" w:cstheme="majorBidi"/>
          <w:b/>
          <w:color w:val="002060"/>
          <w:sz w:val="28"/>
          <w:szCs w:val="28"/>
        </w:rPr>
        <w:t>Inversión Programada y Cantidad de Proyectos orientados para atender el Estado de calamidad por Covid-19</w:t>
      </w:r>
    </w:p>
    <w:p w14:paraId="541C8CF9" w14:textId="3D3C04F3" w:rsidR="00F52482" w:rsidRPr="00AE743B" w:rsidRDefault="001912B8" w:rsidP="001912B8">
      <w:pPr>
        <w:spacing w:after="0" w:line="240" w:lineRule="auto"/>
        <w:jc w:val="both"/>
        <w:rPr>
          <w:rFonts w:ascii="Times New Roman" w:hAnsi="Times New Roman" w:cs="Times New Roman"/>
          <w:sz w:val="24"/>
          <w:szCs w:val="24"/>
        </w:rPr>
      </w:pPr>
      <w:r w:rsidRPr="00AE743B">
        <w:rPr>
          <w:rFonts w:ascii="Helvetica" w:hAnsi="Helvetica" w:cs="Helvetica"/>
          <w:sz w:val="24"/>
          <w:szCs w:val="24"/>
        </w:rPr>
        <w:t xml:space="preserve">Durante el ejercicio fiscal 2020, 259 municipalidades de los 22 departamentos de Guatemala registraron un monto de Q167.64 millones destinados para 364 proyectos para atender a la población afectada por el estado de calamidad COVID 19. Según la tipología de los proyectos, casi en su totalidad son proyectos que no forman capital fijo, solo dos está clasificados como formación de capital fijo, como se muestra en </w:t>
      </w:r>
      <w:r w:rsidR="00F52482">
        <w:rPr>
          <w:rFonts w:ascii="Helvetica" w:hAnsi="Helvetica" w:cs="Helvetica"/>
          <w:sz w:val="24"/>
          <w:szCs w:val="24"/>
        </w:rPr>
        <w:t>la tabla 39.</w:t>
      </w:r>
    </w:p>
    <w:p w14:paraId="18662D4C" w14:textId="77777777" w:rsidR="003562C1" w:rsidRPr="0059105E" w:rsidRDefault="00F52482" w:rsidP="00F709A7">
      <w:pPr>
        <w:pStyle w:val="ttulosgrficas"/>
        <w:rPr>
          <w:color w:val="4472C4" w:themeColor="accent1"/>
        </w:rPr>
      </w:pPr>
      <w:bookmarkStart w:id="102" w:name="_Toc67589152"/>
      <w:r w:rsidRPr="0059105E">
        <w:rPr>
          <w:color w:val="4472C4" w:themeColor="accent1"/>
        </w:rPr>
        <w:t xml:space="preserve">Tabla </w:t>
      </w:r>
      <w:r w:rsidR="007F134F" w:rsidRPr="0059105E">
        <w:rPr>
          <w:color w:val="4472C4" w:themeColor="accent1"/>
        </w:rPr>
        <w:fldChar w:fldCharType="begin"/>
      </w:r>
      <w:r w:rsidR="007F134F" w:rsidRPr="0059105E">
        <w:rPr>
          <w:color w:val="4472C4" w:themeColor="accent1"/>
        </w:rPr>
        <w:instrText xml:space="preserve"> SEQ Tabla \* ARABIC </w:instrText>
      </w:r>
      <w:r w:rsidR="007F134F" w:rsidRPr="0059105E">
        <w:rPr>
          <w:color w:val="4472C4" w:themeColor="accent1"/>
        </w:rPr>
        <w:fldChar w:fldCharType="separate"/>
      </w:r>
      <w:r w:rsidR="00AA2593" w:rsidRPr="0059105E">
        <w:rPr>
          <w:color w:val="4472C4" w:themeColor="accent1"/>
        </w:rPr>
        <w:t>39</w:t>
      </w:r>
      <w:r w:rsidR="007F134F" w:rsidRPr="0059105E">
        <w:rPr>
          <w:color w:val="4472C4" w:themeColor="accent1"/>
        </w:rPr>
        <w:fldChar w:fldCharType="end"/>
      </w:r>
      <w:r w:rsidR="003562C1" w:rsidRPr="0059105E">
        <w:rPr>
          <w:color w:val="4472C4" w:themeColor="accent1"/>
        </w:rPr>
        <w:t xml:space="preserve">, </w:t>
      </w:r>
      <w:r w:rsidR="001912B8" w:rsidRPr="0059105E">
        <w:rPr>
          <w:color w:val="4472C4" w:themeColor="accent1"/>
        </w:rPr>
        <w:t xml:space="preserve">Inversión </w:t>
      </w:r>
      <w:r w:rsidR="00F709A7" w:rsidRPr="0059105E">
        <w:rPr>
          <w:color w:val="4472C4" w:themeColor="accent1"/>
        </w:rPr>
        <w:t>Programada y</w:t>
      </w:r>
      <w:r w:rsidR="001912B8" w:rsidRPr="0059105E">
        <w:rPr>
          <w:color w:val="4472C4" w:themeColor="accent1"/>
        </w:rPr>
        <w:t xml:space="preserve"> Cantidad de Proyectos</w:t>
      </w:r>
      <w:bookmarkEnd w:id="102"/>
      <w:r w:rsidR="001912B8" w:rsidRPr="0059105E">
        <w:rPr>
          <w:color w:val="4472C4" w:themeColor="accent1"/>
        </w:rPr>
        <w:t xml:space="preserve"> </w:t>
      </w:r>
    </w:p>
    <w:p w14:paraId="12A25726" w14:textId="78F603A6" w:rsidR="003562C1" w:rsidRPr="0059105E" w:rsidRDefault="001912B8" w:rsidP="00F709A7">
      <w:pPr>
        <w:pStyle w:val="ttulosgrficas"/>
        <w:rPr>
          <w:color w:val="4472C4" w:themeColor="accent1"/>
        </w:rPr>
      </w:pPr>
      <w:r w:rsidRPr="0059105E">
        <w:rPr>
          <w:color w:val="4472C4" w:themeColor="accent1"/>
        </w:rPr>
        <w:t xml:space="preserve">orientados para atender el Estado de </w:t>
      </w:r>
      <w:r w:rsidR="00F709A7" w:rsidRPr="0059105E">
        <w:rPr>
          <w:color w:val="4472C4" w:themeColor="accent1"/>
        </w:rPr>
        <w:t>calamidad</w:t>
      </w:r>
      <w:r w:rsidRPr="0059105E">
        <w:rPr>
          <w:color w:val="4472C4" w:themeColor="accent1"/>
        </w:rPr>
        <w:t xml:space="preserve"> por Covid-19</w:t>
      </w:r>
    </w:p>
    <w:p w14:paraId="043460B6" w14:textId="12063169" w:rsidR="001912B8" w:rsidRPr="0059105E" w:rsidRDefault="001912B8" w:rsidP="00F709A7">
      <w:pPr>
        <w:pStyle w:val="ttulosgrficas"/>
        <w:rPr>
          <w:color w:val="4472C4" w:themeColor="accent1"/>
        </w:rPr>
      </w:pPr>
      <w:r w:rsidRPr="0059105E">
        <w:rPr>
          <w:color w:val="4472C4" w:themeColor="accent1"/>
        </w:rPr>
        <w:t xml:space="preserve"> por los Gobiernos Locales</w:t>
      </w:r>
    </w:p>
    <w:p w14:paraId="413BD2BC" w14:textId="4374B103" w:rsidR="00CF6A54" w:rsidRPr="0021078E" w:rsidRDefault="00CF6A54" w:rsidP="00CF6A54">
      <w:pPr>
        <w:pStyle w:val="ttulosgrficas"/>
        <w:spacing w:line="120" w:lineRule="auto"/>
      </w:pPr>
      <w:r>
        <w:tab/>
      </w:r>
    </w:p>
    <w:tbl>
      <w:tblPr>
        <w:tblW w:w="8920" w:type="dxa"/>
        <w:tblCellMar>
          <w:left w:w="70" w:type="dxa"/>
          <w:right w:w="70" w:type="dxa"/>
        </w:tblCellMar>
        <w:tblLook w:val="04A0" w:firstRow="1" w:lastRow="0" w:firstColumn="1" w:lastColumn="0" w:noHBand="0" w:noVBand="1"/>
      </w:tblPr>
      <w:tblGrid>
        <w:gridCol w:w="1754"/>
        <w:gridCol w:w="939"/>
        <w:gridCol w:w="1277"/>
        <w:gridCol w:w="1416"/>
        <w:gridCol w:w="998"/>
        <w:gridCol w:w="1179"/>
        <w:gridCol w:w="1357"/>
      </w:tblGrid>
      <w:tr w:rsidR="000810BD" w:rsidRPr="004D059E" w14:paraId="3C67A190" w14:textId="77777777" w:rsidTr="00CF6A54">
        <w:trPr>
          <w:trHeight w:val="500"/>
        </w:trPr>
        <w:tc>
          <w:tcPr>
            <w:tcW w:w="1754" w:type="dxa"/>
            <w:vMerge w:val="restart"/>
            <w:tcBorders>
              <w:top w:val="single" w:sz="8" w:space="0" w:color="auto"/>
              <w:left w:val="single" w:sz="8" w:space="0" w:color="auto"/>
              <w:bottom w:val="single" w:sz="8" w:space="0" w:color="000000"/>
              <w:right w:val="single" w:sz="8" w:space="0" w:color="auto"/>
            </w:tcBorders>
            <w:shd w:val="clear" w:color="000000" w:fill="DDEBF7"/>
            <w:vAlign w:val="center"/>
            <w:hideMark/>
          </w:tcPr>
          <w:p w14:paraId="0125100A" w14:textId="77777777" w:rsidR="000810BD" w:rsidRPr="00CF6A54" w:rsidRDefault="000810BD" w:rsidP="00CF6A54">
            <w:pPr>
              <w:spacing w:after="0" w:line="240" w:lineRule="auto"/>
              <w:jc w:val="center"/>
              <w:rPr>
                <w:rFonts w:ascii="Helvetica" w:hAnsi="Helvetica" w:cs="Helvetica"/>
                <w:b/>
                <w:sz w:val="16"/>
                <w:szCs w:val="24"/>
              </w:rPr>
            </w:pPr>
            <w:r w:rsidRPr="00CF6A54">
              <w:rPr>
                <w:rFonts w:ascii="Helvetica" w:hAnsi="Helvetica" w:cs="Helvetica"/>
                <w:b/>
                <w:sz w:val="16"/>
                <w:szCs w:val="24"/>
              </w:rPr>
              <w:t>DEPARTAMENTO</w:t>
            </w:r>
          </w:p>
        </w:tc>
        <w:tc>
          <w:tcPr>
            <w:tcW w:w="3632" w:type="dxa"/>
            <w:gridSpan w:val="3"/>
            <w:tcBorders>
              <w:top w:val="single" w:sz="8" w:space="0" w:color="auto"/>
              <w:left w:val="nil"/>
              <w:bottom w:val="single" w:sz="8" w:space="0" w:color="auto"/>
              <w:right w:val="single" w:sz="8" w:space="0" w:color="000000"/>
            </w:tcBorders>
            <w:shd w:val="clear" w:color="000000" w:fill="DDEBF7"/>
            <w:hideMark/>
          </w:tcPr>
          <w:p w14:paraId="05E50715" w14:textId="249742EC" w:rsidR="000810BD" w:rsidRPr="00CF6A54" w:rsidRDefault="000810BD" w:rsidP="00CF6A54">
            <w:pPr>
              <w:jc w:val="center"/>
              <w:rPr>
                <w:rFonts w:ascii="Helvetica" w:hAnsi="Helvetica" w:cs="Helvetica"/>
                <w:b/>
                <w:sz w:val="16"/>
                <w:szCs w:val="24"/>
              </w:rPr>
            </w:pPr>
            <w:r w:rsidRPr="00CF6A54">
              <w:rPr>
                <w:rFonts w:ascii="Helvetica" w:hAnsi="Helvetica" w:cs="Helvetica"/>
                <w:b/>
                <w:sz w:val="16"/>
                <w:szCs w:val="24"/>
              </w:rPr>
              <w:t>PROYECTOS QUE NO FORMAN CAPITAL FIJO</w:t>
            </w:r>
          </w:p>
        </w:tc>
        <w:tc>
          <w:tcPr>
            <w:tcW w:w="3534" w:type="dxa"/>
            <w:gridSpan w:val="3"/>
            <w:tcBorders>
              <w:top w:val="single" w:sz="8" w:space="0" w:color="auto"/>
              <w:left w:val="nil"/>
              <w:bottom w:val="single" w:sz="8" w:space="0" w:color="auto"/>
              <w:right w:val="single" w:sz="8" w:space="0" w:color="000000"/>
            </w:tcBorders>
            <w:shd w:val="clear" w:color="000000" w:fill="DDEBF7"/>
            <w:hideMark/>
          </w:tcPr>
          <w:p w14:paraId="3E4D73FE" w14:textId="0D48F892" w:rsidR="000810BD" w:rsidRPr="00CF6A54" w:rsidRDefault="000810BD" w:rsidP="00CF6A54">
            <w:pPr>
              <w:jc w:val="center"/>
              <w:rPr>
                <w:rFonts w:ascii="Helvetica" w:hAnsi="Helvetica" w:cs="Helvetica"/>
                <w:b/>
                <w:sz w:val="16"/>
                <w:szCs w:val="24"/>
              </w:rPr>
            </w:pPr>
            <w:r w:rsidRPr="00CF6A54">
              <w:rPr>
                <w:rFonts w:ascii="Helvetica" w:hAnsi="Helvetica" w:cs="Helvetica"/>
                <w:b/>
                <w:sz w:val="16"/>
                <w:szCs w:val="24"/>
              </w:rPr>
              <w:t>PROYECTOS QUE FORMAN</w:t>
            </w:r>
            <w:r w:rsidR="00CF6A54">
              <w:rPr>
                <w:rFonts w:ascii="Helvetica" w:hAnsi="Helvetica" w:cs="Helvetica"/>
                <w:b/>
                <w:sz w:val="16"/>
                <w:szCs w:val="24"/>
              </w:rPr>
              <w:t xml:space="preserve"> </w:t>
            </w:r>
            <w:r w:rsidRPr="00CF6A54">
              <w:rPr>
                <w:rFonts w:ascii="Helvetica" w:hAnsi="Helvetica" w:cs="Helvetica"/>
                <w:b/>
                <w:sz w:val="16"/>
                <w:szCs w:val="24"/>
              </w:rPr>
              <w:t>CAPITAL FIJO</w:t>
            </w:r>
          </w:p>
        </w:tc>
      </w:tr>
      <w:tr w:rsidR="000810BD" w:rsidRPr="004D059E" w14:paraId="2E35FA1B" w14:textId="77777777" w:rsidTr="00CF6A54">
        <w:trPr>
          <w:trHeight w:val="113"/>
        </w:trPr>
        <w:tc>
          <w:tcPr>
            <w:tcW w:w="1754" w:type="dxa"/>
            <w:vMerge/>
            <w:tcBorders>
              <w:top w:val="single" w:sz="8" w:space="0" w:color="auto"/>
              <w:left w:val="single" w:sz="8" w:space="0" w:color="auto"/>
              <w:bottom w:val="single" w:sz="8" w:space="0" w:color="000000"/>
              <w:right w:val="single" w:sz="8" w:space="0" w:color="auto"/>
            </w:tcBorders>
            <w:vAlign w:val="center"/>
            <w:hideMark/>
          </w:tcPr>
          <w:p w14:paraId="6EADD412" w14:textId="77777777" w:rsidR="000810BD" w:rsidRPr="00CF6A54" w:rsidRDefault="000810BD" w:rsidP="000810BD">
            <w:pPr>
              <w:spacing w:after="0" w:line="240" w:lineRule="auto"/>
              <w:jc w:val="both"/>
              <w:rPr>
                <w:rFonts w:ascii="Helvetica" w:hAnsi="Helvetica" w:cs="Helvetica"/>
                <w:b/>
                <w:sz w:val="16"/>
                <w:szCs w:val="24"/>
              </w:rPr>
            </w:pPr>
          </w:p>
        </w:tc>
        <w:tc>
          <w:tcPr>
            <w:tcW w:w="939" w:type="dxa"/>
            <w:tcBorders>
              <w:top w:val="nil"/>
              <w:left w:val="nil"/>
              <w:bottom w:val="single" w:sz="8" w:space="0" w:color="auto"/>
              <w:right w:val="single" w:sz="8" w:space="0" w:color="auto"/>
            </w:tcBorders>
            <w:shd w:val="clear" w:color="000000" w:fill="DDEBF7"/>
            <w:vAlign w:val="center"/>
            <w:hideMark/>
          </w:tcPr>
          <w:p w14:paraId="1DADB0AD" w14:textId="77777777" w:rsidR="000810BD" w:rsidRPr="00CF6A54" w:rsidRDefault="000810BD" w:rsidP="00CF6A54">
            <w:pPr>
              <w:spacing w:after="0" w:line="240" w:lineRule="auto"/>
              <w:jc w:val="center"/>
              <w:rPr>
                <w:rFonts w:ascii="Helvetica" w:hAnsi="Helvetica" w:cs="Helvetica"/>
                <w:b/>
                <w:sz w:val="16"/>
                <w:szCs w:val="24"/>
              </w:rPr>
            </w:pPr>
            <w:r w:rsidRPr="00CF6A54">
              <w:rPr>
                <w:rFonts w:ascii="Helvetica" w:hAnsi="Helvetica" w:cs="Helvetica"/>
                <w:b/>
                <w:sz w:val="16"/>
                <w:szCs w:val="24"/>
              </w:rPr>
              <w:t>Proyectos</w:t>
            </w:r>
          </w:p>
        </w:tc>
        <w:tc>
          <w:tcPr>
            <w:tcW w:w="1277" w:type="dxa"/>
            <w:tcBorders>
              <w:top w:val="nil"/>
              <w:left w:val="nil"/>
              <w:bottom w:val="single" w:sz="8" w:space="0" w:color="auto"/>
              <w:right w:val="single" w:sz="8" w:space="0" w:color="auto"/>
            </w:tcBorders>
            <w:shd w:val="clear" w:color="000000" w:fill="DDEBF7"/>
            <w:vAlign w:val="center"/>
            <w:hideMark/>
          </w:tcPr>
          <w:p w14:paraId="2B5F9352" w14:textId="663B11B2" w:rsidR="000810BD" w:rsidRPr="00CF6A54" w:rsidRDefault="000810BD" w:rsidP="00CF6A54">
            <w:pPr>
              <w:spacing w:after="0" w:line="240" w:lineRule="auto"/>
              <w:jc w:val="center"/>
              <w:rPr>
                <w:rFonts w:ascii="Helvetica" w:hAnsi="Helvetica" w:cs="Helvetica"/>
                <w:b/>
                <w:sz w:val="16"/>
                <w:szCs w:val="24"/>
              </w:rPr>
            </w:pPr>
            <w:r w:rsidRPr="00CF6A54">
              <w:rPr>
                <w:rFonts w:ascii="Helvetica" w:hAnsi="Helvetica" w:cs="Helvetica"/>
                <w:b/>
                <w:sz w:val="16"/>
                <w:szCs w:val="24"/>
              </w:rPr>
              <w:t>Total programado</w:t>
            </w:r>
          </w:p>
        </w:tc>
        <w:tc>
          <w:tcPr>
            <w:tcW w:w="1416" w:type="dxa"/>
            <w:tcBorders>
              <w:top w:val="nil"/>
              <w:left w:val="nil"/>
              <w:bottom w:val="single" w:sz="8" w:space="0" w:color="auto"/>
              <w:right w:val="single" w:sz="8" w:space="0" w:color="auto"/>
            </w:tcBorders>
            <w:shd w:val="clear" w:color="000000" w:fill="DDEBF7"/>
            <w:vAlign w:val="center"/>
            <w:hideMark/>
          </w:tcPr>
          <w:p w14:paraId="0CA38CA8" w14:textId="77777777" w:rsidR="000810BD" w:rsidRPr="00CF6A54" w:rsidRDefault="000810BD" w:rsidP="00CF6A54">
            <w:pPr>
              <w:spacing w:after="0" w:line="240" w:lineRule="auto"/>
              <w:jc w:val="center"/>
              <w:rPr>
                <w:rFonts w:ascii="Helvetica" w:hAnsi="Helvetica" w:cs="Helvetica"/>
                <w:b/>
                <w:sz w:val="16"/>
                <w:szCs w:val="24"/>
              </w:rPr>
            </w:pPr>
            <w:r w:rsidRPr="00CF6A54">
              <w:rPr>
                <w:rFonts w:ascii="Helvetica" w:hAnsi="Helvetica" w:cs="Helvetica"/>
                <w:b/>
                <w:sz w:val="16"/>
                <w:szCs w:val="24"/>
              </w:rPr>
              <w:t>Porcentaje participación</w:t>
            </w:r>
          </w:p>
        </w:tc>
        <w:tc>
          <w:tcPr>
            <w:tcW w:w="998" w:type="dxa"/>
            <w:tcBorders>
              <w:top w:val="nil"/>
              <w:left w:val="nil"/>
              <w:bottom w:val="single" w:sz="8" w:space="0" w:color="auto"/>
              <w:right w:val="single" w:sz="8" w:space="0" w:color="auto"/>
            </w:tcBorders>
            <w:shd w:val="clear" w:color="000000" w:fill="DDEBF7"/>
            <w:vAlign w:val="center"/>
            <w:hideMark/>
          </w:tcPr>
          <w:p w14:paraId="7957B0AA" w14:textId="77777777" w:rsidR="000810BD" w:rsidRPr="00CF6A54" w:rsidRDefault="000810BD" w:rsidP="00CF6A54">
            <w:pPr>
              <w:spacing w:after="0" w:line="240" w:lineRule="auto"/>
              <w:jc w:val="center"/>
              <w:rPr>
                <w:rFonts w:ascii="Helvetica" w:hAnsi="Helvetica" w:cs="Helvetica"/>
                <w:b/>
                <w:sz w:val="16"/>
                <w:szCs w:val="24"/>
              </w:rPr>
            </w:pPr>
            <w:r w:rsidRPr="00CF6A54">
              <w:rPr>
                <w:rFonts w:ascii="Helvetica" w:hAnsi="Helvetica" w:cs="Helvetica"/>
                <w:b/>
                <w:sz w:val="16"/>
                <w:szCs w:val="24"/>
              </w:rPr>
              <w:t>Proyectos</w:t>
            </w:r>
          </w:p>
        </w:tc>
        <w:tc>
          <w:tcPr>
            <w:tcW w:w="1179" w:type="dxa"/>
            <w:tcBorders>
              <w:top w:val="nil"/>
              <w:left w:val="nil"/>
              <w:bottom w:val="single" w:sz="8" w:space="0" w:color="auto"/>
              <w:right w:val="single" w:sz="8" w:space="0" w:color="auto"/>
            </w:tcBorders>
            <w:shd w:val="clear" w:color="000000" w:fill="DDEBF7"/>
            <w:vAlign w:val="center"/>
            <w:hideMark/>
          </w:tcPr>
          <w:p w14:paraId="34216D55" w14:textId="77777777" w:rsidR="000810BD" w:rsidRPr="00CF6A54" w:rsidRDefault="000810BD" w:rsidP="00CF6A54">
            <w:pPr>
              <w:spacing w:after="0" w:line="240" w:lineRule="auto"/>
              <w:jc w:val="center"/>
              <w:rPr>
                <w:rFonts w:ascii="Helvetica" w:hAnsi="Helvetica" w:cs="Helvetica"/>
                <w:b/>
                <w:sz w:val="16"/>
                <w:szCs w:val="24"/>
              </w:rPr>
            </w:pPr>
            <w:r w:rsidRPr="00CF6A54">
              <w:rPr>
                <w:rFonts w:ascii="Helvetica" w:hAnsi="Helvetica" w:cs="Helvetica"/>
                <w:b/>
                <w:sz w:val="16"/>
                <w:szCs w:val="24"/>
              </w:rPr>
              <w:t>Total programado</w:t>
            </w:r>
          </w:p>
        </w:tc>
        <w:tc>
          <w:tcPr>
            <w:tcW w:w="1357" w:type="dxa"/>
            <w:tcBorders>
              <w:top w:val="nil"/>
              <w:left w:val="nil"/>
              <w:bottom w:val="single" w:sz="8" w:space="0" w:color="auto"/>
              <w:right w:val="single" w:sz="8" w:space="0" w:color="auto"/>
            </w:tcBorders>
            <w:shd w:val="clear" w:color="000000" w:fill="DDEBF7"/>
            <w:vAlign w:val="center"/>
            <w:hideMark/>
          </w:tcPr>
          <w:p w14:paraId="016C2E39" w14:textId="77777777" w:rsidR="000810BD" w:rsidRPr="00CF6A54" w:rsidRDefault="000810BD" w:rsidP="00CF6A54">
            <w:pPr>
              <w:spacing w:after="0" w:line="240" w:lineRule="auto"/>
              <w:jc w:val="center"/>
              <w:rPr>
                <w:rFonts w:ascii="Helvetica" w:hAnsi="Helvetica" w:cs="Helvetica"/>
                <w:b/>
                <w:sz w:val="16"/>
                <w:szCs w:val="24"/>
              </w:rPr>
            </w:pPr>
            <w:r w:rsidRPr="00CF6A54">
              <w:rPr>
                <w:rFonts w:ascii="Helvetica" w:hAnsi="Helvetica" w:cs="Helvetica"/>
                <w:b/>
                <w:sz w:val="16"/>
                <w:szCs w:val="24"/>
              </w:rPr>
              <w:t>Porcentaje participación</w:t>
            </w:r>
          </w:p>
        </w:tc>
      </w:tr>
      <w:tr w:rsidR="000810BD" w:rsidRPr="004D059E" w14:paraId="46C0FE44"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67C89687"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Alta Verapaz        </w:t>
            </w:r>
          </w:p>
        </w:tc>
        <w:tc>
          <w:tcPr>
            <w:tcW w:w="939" w:type="dxa"/>
            <w:tcBorders>
              <w:top w:val="nil"/>
              <w:left w:val="nil"/>
              <w:bottom w:val="single" w:sz="4" w:space="0" w:color="auto"/>
              <w:right w:val="single" w:sz="4" w:space="0" w:color="auto"/>
            </w:tcBorders>
            <w:shd w:val="clear" w:color="auto" w:fill="auto"/>
            <w:noWrap/>
            <w:vAlign w:val="center"/>
            <w:hideMark/>
          </w:tcPr>
          <w:p w14:paraId="1543B1A5"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11</w:t>
            </w:r>
          </w:p>
        </w:tc>
        <w:tc>
          <w:tcPr>
            <w:tcW w:w="1277" w:type="dxa"/>
            <w:tcBorders>
              <w:top w:val="nil"/>
              <w:left w:val="nil"/>
              <w:bottom w:val="single" w:sz="4" w:space="0" w:color="auto"/>
              <w:right w:val="single" w:sz="4" w:space="0" w:color="auto"/>
            </w:tcBorders>
            <w:shd w:val="clear" w:color="auto" w:fill="auto"/>
            <w:noWrap/>
            <w:vAlign w:val="center"/>
            <w:hideMark/>
          </w:tcPr>
          <w:p w14:paraId="6102B4A5"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5.61</w:t>
            </w:r>
          </w:p>
        </w:tc>
        <w:tc>
          <w:tcPr>
            <w:tcW w:w="1416" w:type="dxa"/>
            <w:tcBorders>
              <w:top w:val="nil"/>
              <w:left w:val="nil"/>
              <w:bottom w:val="single" w:sz="4" w:space="0" w:color="auto"/>
              <w:right w:val="single" w:sz="4" w:space="0" w:color="auto"/>
            </w:tcBorders>
            <w:shd w:val="clear" w:color="auto" w:fill="auto"/>
            <w:noWrap/>
            <w:vAlign w:val="center"/>
            <w:hideMark/>
          </w:tcPr>
          <w:p w14:paraId="3FD91680"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3.41</w:t>
            </w:r>
          </w:p>
        </w:tc>
        <w:tc>
          <w:tcPr>
            <w:tcW w:w="998" w:type="dxa"/>
            <w:tcBorders>
              <w:top w:val="nil"/>
              <w:left w:val="nil"/>
              <w:bottom w:val="single" w:sz="4" w:space="0" w:color="auto"/>
              <w:right w:val="single" w:sz="4" w:space="0" w:color="auto"/>
            </w:tcBorders>
            <w:shd w:val="clear" w:color="auto" w:fill="auto"/>
            <w:noWrap/>
            <w:vAlign w:val="center"/>
            <w:hideMark/>
          </w:tcPr>
          <w:p w14:paraId="0641104F" w14:textId="0322BB99"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091B5815" w14:textId="66839F91"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790EC5A3" w14:textId="628D665A" w:rsidR="000810BD" w:rsidRPr="004D059E" w:rsidRDefault="000810BD" w:rsidP="000810BD">
            <w:pPr>
              <w:spacing w:after="0" w:line="240" w:lineRule="auto"/>
              <w:jc w:val="center"/>
              <w:rPr>
                <w:rFonts w:ascii="Helvetica" w:hAnsi="Helvetica" w:cs="Helvetica"/>
                <w:sz w:val="18"/>
                <w:szCs w:val="24"/>
              </w:rPr>
            </w:pPr>
          </w:p>
        </w:tc>
      </w:tr>
      <w:tr w:rsidR="000810BD" w:rsidRPr="004D059E" w14:paraId="4D3EC66A"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74E760E0"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Baja Verapaz   </w:t>
            </w:r>
          </w:p>
        </w:tc>
        <w:tc>
          <w:tcPr>
            <w:tcW w:w="939" w:type="dxa"/>
            <w:tcBorders>
              <w:top w:val="nil"/>
              <w:left w:val="nil"/>
              <w:bottom w:val="single" w:sz="4" w:space="0" w:color="auto"/>
              <w:right w:val="single" w:sz="4" w:space="0" w:color="auto"/>
            </w:tcBorders>
            <w:shd w:val="clear" w:color="auto" w:fill="auto"/>
            <w:noWrap/>
            <w:vAlign w:val="center"/>
            <w:hideMark/>
          </w:tcPr>
          <w:p w14:paraId="6B7C59F9"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w:t>
            </w:r>
          </w:p>
        </w:tc>
        <w:tc>
          <w:tcPr>
            <w:tcW w:w="1277" w:type="dxa"/>
            <w:tcBorders>
              <w:top w:val="nil"/>
              <w:left w:val="nil"/>
              <w:bottom w:val="single" w:sz="4" w:space="0" w:color="auto"/>
              <w:right w:val="single" w:sz="4" w:space="0" w:color="auto"/>
            </w:tcBorders>
            <w:shd w:val="clear" w:color="auto" w:fill="auto"/>
            <w:noWrap/>
            <w:vAlign w:val="center"/>
            <w:hideMark/>
          </w:tcPr>
          <w:p w14:paraId="1C94952D"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1.5</w:t>
            </w:r>
          </w:p>
        </w:tc>
        <w:tc>
          <w:tcPr>
            <w:tcW w:w="1416" w:type="dxa"/>
            <w:tcBorders>
              <w:top w:val="nil"/>
              <w:left w:val="nil"/>
              <w:bottom w:val="single" w:sz="4" w:space="0" w:color="auto"/>
              <w:right w:val="single" w:sz="4" w:space="0" w:color="auto"/>
            </w:tcBorders>
            <w:shd w:val="clear" w:color="auto" w:fill="auto"/>
            <w:noWrap/>
            <w:vAlign w:val="center"/>
            <w:hideMark/>
          </w:tcPr>
          <w:p w14:paraId="0B2BB299"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0.91</w:t>
            </w:r>
          </w:p>
        </w:tc>
        <w:tc>
          <w:tcPr>
            <w:tcW w:w="998" w:type="dxa"/>
            <w:tcBorders>
              <w:top w:val="nil"/>
              <w:left w:val="nil"/>
              <w:bottom w:val="single" w:sz="4" w:space="0" w:color="auto"/>
              <w:right w:val="single" w:sz="4" w:space="0" w:color="auto"/>
            </w:tcBorders>
            <w:shd w:val="clear" w:color="auto" w:fill="auto"/>
            <w:noWrap/>
            <w:vAlign w:val="center"/>
            <w:hideMark/>
          </w:tcPr>
          <w:p w14:paraId="266F437E" w14:textId="659C7205"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157CFD30" w14:textId="3DCF162A"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7709C7B1" w14:textId="4C9215C2" w:rsidR="000810BD" w:rsidRPr="004D059E" w:rsidRDefault="000810BD" w:rsidP="000810BD">
            <w:pPr>
              <w:spacing w:after="0" w:line="240" w:lineRule="auto"/>
              <w:jc w:val="center"/>
              <w:rPr>
                <w:rFonts w:ascii="Helvetica" w:hAnsi="Helvetica" w:cs="Helvetica"/>
                <w:sz w:val="18"/>
                <w:szCs w:val="24"/>
              </w:rPr>
            </w:pPr>
          </w:p>
        </w:tc>
      </w:tr>
      <w:tr w:rsidR="000810BD" w:rsidRPr="004D059E" w14:paraId="44F28E94"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7C4EA6BF"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Chimaltenango     </w:t>
            </w:r>
          </w:p>
        </w:tc>
        <w:tc>
          <w:tcPr>
            <w:tcW w:w="939" w:type="dxa"/>
            <w:tcBorders>
              <w:top w:val="nil"/>
              <w:left w:val="nil"/>
              <w:bottom w:val="single" w:sz="4" w:space="0" w:color="auto"/>
              <w:right w:val="single" w:sz="4" w:space="0" w:color="auto"/>
            </w:tcBorders>
            <w:shd w:val="clear" w:color="auto" w:fill="auto"/>
            <w:noWrap/>
            <w:vAlign w:val="center"/>
            <w:hideMark/>
          </w:tcPr>
          <w:p w14:paraId="705FF035"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18</w:t>
            </w:r>
          </w:p>
        </w:tc>
        <w:tc>
          <w:tcPr>
            <w:tcW w:w="1277" w:type="dxa"/>
            <w:tcBorders>
              <w:top w:val="nil"/>
              <w:left w:val="nil"/>
              <w:bottom w:val="single" w:sz="4" w:space="0" w:color="auto"/>
              <w:right w:val="single" w:sz="4" w:space="0" w:color="auto"/>
            </w:tcBorders>
            <w:shd w:val="clear" w:color="auto" w:fill="auto"/>
            <w:noWrap/>
            <w:vAlign w:val="center"/>
            <w:hideMark/>
          </w:tcPr>
          <w:p w14:paraId="2B8F2727"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6.93</w:t>
            </w:r>
          </w:p>
        </w:tc>
        <w:tc>
          <w:tcPr>
            <w:tcW w:w="1416" w:type="dxa"/>
            <w:tcBorders>
              <w:top w:val="nil"/>
              <w:left w:val="nil"/>
              <w:bottom w:val="single" w:sz="4" w:space="0" w:color="auto"/>
              <w:right w:val="single" w:sz="4" w:space="0" w:color="auto"/>
            </w:tcBorders>
            <w:shd w:val="clear" w:color="auto" w:fill="auto"/>
            <w:noWrap/>
            <w:vAlign w:val="center"/>
            <w:hideMark/>
          </w:tcPr>
          <w:p w14:paraId="2DDDCD6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4.21</w:t>
            </w:r>
          </w:p>
        </w:tc>
        <w:tc>
          <w:tcPr>
            <w:tcW w:w="998" w:type="dxa"/>
            <w:tcBorders>
              <w:top w:val="nil"/>
              <w:left w:val="nil"/>
              <w:bottom w:val="single" w:sz="4" w:space="0" w:color="auto"/>
              <w:right w:val="single" w:sz="4" w:space="0" w:color="auto"/>
            </w:tcBorders>
            <w:shd w:val="clear" w:color="auto" w:fill="auto"/>
            <w:noWrap/>
            <w:vAlign w:val="center"/>
            <w:hideMark/>
          </w:tcPr>
          <w:p w14:paraId="311E824D" w14:textId="1B599EC7"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7A79842F" w14:textId="582CEFF7"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22D0F277" w14:textId="4EFEAEFF" w:rsidR="000810BD" w:rsidRPr="004D059E" w:rsidRDefault="000810BD" w:rsidP="000810BD">
            <w:pPr>
              <w:spacing w:after="0" w:line="240" w:lineRule="auto"/>
              <w:jc w:val="center"/>
              <w:rPr>
                <w:rFonts w:ascii="Helvetica" w:hAnsi="Helvetica" w:cs="Helvetica"/>
                <w:sz w:val="18"/>
                <w:szCs w:val="24"/>
              </w:rPr>
            </w:pPr>
          </w:p>
        </w:tc>
      </w:tr>
      <w:tr w:rsidR="000810BD" w:rsidRPr="004D059E" w14:paraId="0E388D0D"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2854AB51"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Chiquimula      </w:t>
            </w:r>
          </w:p>
        </w:tc>
        <w:tc>
          <w:tcPr>
            <w:tcW w:w="939" w:type="dxa"/>
            <w:tcBorders>
              <w:top w:val="nil"/>
              <w:left w:val="nil"/>
              <w:bottom w:val="single" w:sz="4" w:space="0" w:color="auto"/>
              <w:right w:val="single" w:sz="4" w:space="0" w:color="auto"/>
            </w:tcBorders>
            <w:shd w:val="clear" w:color="auto" w:fill="auto"/>
            <w:noWrap/>
            <w:vAlign w:val="center"/>
            <w:hideMark/>
          </w:tcPr>
          <w:p w14:paraId="533D1D50"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14</w:t>
            </w:r>
          </w:p>
        </w:tc>
        <w:tc>
          <w:tcPr>
            <w:tcW w:w="1277" w:type="dxa"/>
            <w:tcBorders>
              <w:top w:val="nil"/>
              <w:left w:val="nil"/>
              <w:bottom w:val="single" w:sz="4" w:space="0" w:color="auto"/>
              <w:right w:val="single" w:sz="4" w:space="0" w:color="auto"/>
            </w:tcBorders>
            <w:shd w:val="clear" w:color="auto" w:fill="auto"/>
            <w:noWrap/>
            <w:vAlign w:val="center"/>
            <w:hideMark/>
          </w:tcPr>
          <w:p w14:paraId="6A9A6C90"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6.14</w:t>
            </w:r>
          </w:p>
        </w:tc>
        <w:tc>
          <w:tcPr>
            <w:tcW w:w="1416" w:type="dxa"/>
            <w:tcBorders>
              <w:top w:val="nil"/>
              <w:left w:val="nil"/>
              <w:bottom w:val="single" w:sz="4" w:space="0" w:color="auto"/>
              <w:right w:val="single" w:sz="4" w:space="0" w:color="auto"/>
            </w:tcBorders>
            <w:shd w:val="clear" w:color="auto" w:fill="auto"/>
            <w:noWrap/>
            <w:vAlign w:val="center"/>
            <w:hideMark/>
          </w:tcPr>
          <w:p w14:paraId="4143BCB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3.73</w:t>
            </w:r>
          </w:p>
        </w:tc>
        <w:tc>
          <w:tcPr>
            <w:tcW w:w="998" w:type="dxa"/>
            <w:tcBorders>
              <w:top w:val="nil"/>
              <w:left w:val="nil"/>
              <w:bottom w:val="single" w:sz="4" w:space="0" w:color="auto"/>
              <w:right w:val="single" w:sz="4" w:space="0" w:color="auto"/>
            </w:tcBorders>
            <w:shd w:val="clear" w:color="auto" w:fill="auto"/>
            <w:noWrap/>
            <w:vAlign w:val="center"/>
            <w:hideMark/>
          </w:tcPr>
          <w:p w14:paraId="5EAC4BC4" w14:textId="1B8C456E"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12E38562" w14:textId="6F5049CD"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3D80B8A6" w14:textId="762C2A31" w:rsidR="000810BD" w:rsidRPr="004D059E" w:rsidRDefault="000810BD" w:rsidP="000810BD">
            <w:pPr>
              <w:spacing w:after="0" w:line="240" w:lineRule="auto"/>
              <w:jc w:val="center"/>
              <w:rPr>
                <w:rFonts w:ascii="Helvetica" w:hAnsi="Helvetica" w:cs="Helvetica"/>
                <w:sz w:val="18"/>
                <w:szCs w:val="24"/>
              </w:rPr>
            </w:pPr>
          </w:p>
        </w:tc>
      </w:tr>
      <w:tr w:rsidR="000810BD" w:rsidRPr="004D059E" w14:paraId="6C1DDB70"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2A87EFE9"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El Progreso      </w:t>
            </w:r>
          </w:p>
        </w:tc>
        <w:tc>
          <w:tcPr>
            <w:tcW w:w="939" w:type="dxa"/>
            <w:tcBorders>
              <w:top w:val="nil"/>
              <w:left w:val="nil"/>
              <w:bottom w:val="single" w:sz="4" w:space="0" w:color="auto"/>
              <w:right w:val="single" w:sz="4" w:space="0" w:color="auto"/>
            </w:tcBorders>
            <w:shd w:val="clear" w:color="auto" w:fill="auto"/>
            <w:noWrap/>
            <w:vAlign w:val="center"/>
            <w:hideMark/>
          </w:tcPr>
          <w:p w14:paraId="3C0B7C5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w:t>
            </w:r>
          </w:p>
        </w:tc>
        <w:tc>
          <w:tcPr>
            <w:tcW w:w="1277" w:type="dxa"/>
            <w:tcBorders>
              <w:top w:val="nil"/>
              <w:left w:val="nil"/>
              <w:bottom w:val="single" w:sz="4" w:space="0" w:color="auto"/>
              <w:right w:val="single" w:sz="4" w:space="0" w:color="auto"/>
            </w:tcBorders>
            <w:shd w:val="clear" w:color="auto" w:fill="auto"/>
            <w:noWrap/>
            <w:vAlign w:val="center"/>
            <w:hideMark/>
          </w:tcPr>
          <w:p w14:paraId="1FAEB089"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2.58</w:t>
            </w:r>
          </w:p>
        </w:tc>
        <w:tc>
          <w:tcPr>
            <w:tcW w:w="1416" w:type="dxa"/>
            <w:tcBorders>
              <w:top w:val="nil"/>
              <w:left w:val="nil"/>
              <w:bottom w:val="single" w:sz="4" w:space="0" w:color="auto"/>
              <w:right w:val="single" w:sz="4" w:space="0" w:color="auto"/>
            </w:tcBorders>
            <w:shd w:val="clear" w:color="auto" w:fill="auto"/>
            <w:noWrap/>
            <w:vAlign w:val="center"/>
            <w:hideMark/>
          </w:tcPr>
          <w:p w14:paraId="0BB74CD1"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1.57</w:t>
            </w:r>
          </w:p>
        </w:tc>
        <w:tc>
          <w:tcPr>
            <w:tcW w:w="998" w:type="dxa"/>
            <w:tcBorders>
              <w:top w:val="nil"/>
              <w:left w:val="nil"/>
              <w:bottom w:val="single" w:sz="4" w:space="0" w:color="auto"/>
              <w:right w:val="single" w:sz="4" w:space="0" w:color="auto"/>
            </w:tcBorders>
            <w:shd w:val="clear" w:color="auto" w:fill="auto"/>
            <w:noWrap/>
            <w:vAlign w:val="center"/>
            <w:hideMark/>
          </w:tcPr>
          <w:p w14:paraId="120AA7A0" w14:textId="175B8939"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3DCD535B" w14:textId="2DAC0715"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0903A6AC" w14:textId="3B986D06" w:rsidR="000810BD" w:rsidRPr="004D059E" w:rsidRDefault="000810BD" w:rsidP="000810BD">
            <w:pPr>
              <w:spacing w:after="0" w:line="240" w:lineRule="auto"/>
              <w:jc w:val="center"/>
              <w:rPr>
                <w:rFonts w:ascii="Helvetica" w:hAnsi="Helvetica" w:cs="Helvetica"/>
                <w:sz w:val="18"/>
                <w:szCs w:val="24"/>
              </w:rPr>
            </w:pPr>
          </w:p>
        </w:tc>
      </w:tr>
      <w:tr w:rsidR="000810BD" w:rsidRPr="004D059E" w14:paraId="13F8722E"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5078586A"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Escuintla   </w:t>
            </w:r>
          </w:p>
        </w:tc>
        <w:tc>
          <w:tcPr>
            <w:tcW w:w="939" w:type="dxa"/>
            <w:tcBorders>
              <w:top w:val="nil"/>
              <w:left w:val="nil"/>
              <w:bottom w:val="single" w:sz="4" w:space="0" w:color="auto"/>
              <w:right w:val="single" w:sz="4" w:space="0" w:color="auto"/>
            </w:tcBorders>
            <w:shd w:val="clear" w:color="auto" w:fill="auto"/>
            <w:noWrap/>
            <w:vAlign w:val="center"/>
            <w:hideMark/>
          </w:tcPr>
          <w:p w14:paraId="33E4B6BF"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24</w:t>
            </w:r>
          </w:p>
        </w:tc>
        <w:tc>
          <w:tcPr>
            <w:tcW w:w="1277" w:type="dxa"/>
            <w:tcBorders>
              <w:top w:val="nil"/>
              <w:left w:val="nil"/>
              <w:bottom w:val="single" w:sz="4" w:space="0" w:color="auto"/>
              <w:right w:val="single" w:sz="4" w:space="0" w:color="auto"/>
            </w:tcBorders>
            <w:shd w:val="clear" w:color="auto" w:fill="auto"/>
            <w:noWrap/>
            <w:vAlign w:val="center"/>
            <w:hideMark/>
          </w:tcPr>
          <w:p w14:paraId="684387DD"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14.92</w:t>
            </w:r>
          </w:p>
        </w:tc>
        <w:tc>
          <w:tcPr>
            <w:tcW w:w="1416" w:type="dxa"/>
            <w:tcBorders>
              <w:top w:val="nil"/>
              <w:left w:val="nil"/>
              <w:bottom w:val="single" w:sz="4" w:space="0" w:color="auto"/>
              <w:right w:val="single" w:sz="4" w:space="0" w:color="auto"/>
            </w:tcBorders>
            <w:shd w:val="clear" w:color="auto" w:fill="auto"/>
            <w:noWrap/>
            <w:vAlign w:val="center"/>
            <w:hideMark/>
          </w:tcPr>
          <w:p w14:paraId="01C01842"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9.06</w:t>
            </w:r>
          </w:p>
        </w:tc>
        <w:tc>
          <w:tcPr>
            <w:tcW w:w="998" w:type="dxa"/>
            <w:tcBorders>
              <w:top w:val="nil"/>
              <w:left w:val="nil"/>
              <w:bottom w:val="single" w:sz="4" w:space="0" w:color="auto"/>
              <w:right w:val="single" w:sz="4" w:space="0" w:color="auto"/>
            </w:tcBorders>
            <w:shd w:val="clear" w:color="auto" w:fill="auto"/>
            <w:noWrap/>
            <w:vAlign w:val="center"/>
            <w:hideMark/>
          </w:tcPr>
          <w:p w14:paraId="416F4FD4" w14:textId="619B4217"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6656462B" w14:textId="1C434E11"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16CEBB69" w14:textId="5D169041" w:rsidR="000810BD" w:rsidRPr="004D059E" w:rsidRDefault="000810BD" w:rsidP="000810BD">
            <w:pPr>
              <w:spacing w:after="0" w:line="240" w:lineRule="auto"/>
              <w:jc w:val="center"/>
              <w:rPr>
                <w:rFonts w:ascii="Helvetica" w:hAnsi="Helvetica" w:cs="Helvetica"/>
                <w:sz w:val="18"/>
                <w:szCs w:val="24"/>
              </w:rPr>
            </w:pPr>
          </w:p>
        </w:tc>
      </w:tr>
      <w:tr w:rsidR="000810BD" w:rsidRPr="004D059E" w14:paraId="7E95E5E6"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3D4109AE"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Guatemala      </w:t>
            </w:r>
          </w:p>
        </w:tc>
        <w:tc>
          <w:tcPr>
            <w:tcW w:w="939" w:type="dxa"/>
            <w:tcBorders>
              <w:top w:val="nil"/>
              <w:left w:val="nil"/>
              <w:bottom w:val="single" w:sz="4" w:space="0" w:color="auto"/>
              <w:right w:val="single" w:sz="4" w:space="0" w:color="auto"/>
            </w:tcBorders>
            <w:shd w:val="clear" w:color="auto" w:fill="auto"/>
            <w:noWrap/>
            <w:vAlign w:val="center"/>
            <w:hideMark/>
          </w:tcPr>
          <w:p w14:paraId="031D302E"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14</w:t>
            </w:r>
          </w:p>
        </w:tc>
        <w:tc>
          <w:tcPr>
            <w:tcW w:w="1277" w:type="dxa"/>
            <w:tcBorders>
              <w:top w:val="nil"/>
              <w:left w:val="nil"/>
              <w:bottom w:val="single" w:sz="4" w:space="0" w:color="auto"/>
              <w:right w:val="single" w:sz="4" w:space="0" w:color="auto"/>
            </w:tcBorders>
            <w:shd w:val="clear" w:color="auto" w:fill="auto"/>
            <w:noWrap/>
            <w:vAlign w:val="center"/>
            <w:hideMark/>
          </w:tcPr>
          <w:p w14:paraId="11CE11A1"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17.83</w:t>
            </w:r>
          </w:p>
        </w:tc>
        <w:tc>
          <w:tcPr>
            <w:tcW w:w="1416" w:type="dxa"/>
            <w:tcBorders>
              <w:top w:val="nil"/>
              <w:left w:val="nil"/>
              <w:bottom w:val="single" w:sz="4" w:space="0" w:color="auto"/>
              <w:right w:val="single" w:sz="4" w:space="0" w:color="auto"/>
            </w:tcBorders>
            <w:shd w:val="clear" w:color="auto" w:fill="auto"/>
            <w:noWrap/>
            <w:vAlign w:val="center"/>
            <w:hideMark/>
          </w:tcPr>
          <w:p w14:paraId="29871AD1"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10.83</w:t>
            </w:r>
          </w:p>
        </w:tc>
        <w:tc>
          <w:tcPr>
            <w:tcW w:w="998" w:type="dxa"/>
            <w:tcBorders>
              <w:top w:val="nil"/>
              <w:left w:val="nil"/>
              <w:bottom w:val="single" w:sz="4" w:space="0" w:color="auto"/>
              <w:right w:val="single" w:sz="4" w:space="0" w:color="auto"/>
            </w:tcBorders>
            <w:shd w:val="clear" w:color="auto" w:fill="auto"/>
            <w:noWrap/>
            <w:vAlign w:val="center"/>
            <w:hideMark/>
          </w:tcPr>
          <w:p w14:paraId="3F1C9FCA" w14:textId="45A902A7"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482AD662" w14:textId="7FD78FDD"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2E6F4AD0" w14:textId="0BB71144" w:rsidR="000810BD" w:rsidRPr="004D059E" w:rsidRDefault="000810BD" w:rsidP="000810BD">
            <w:pPr>
              <w:spacing w:after="0" w:line="240" w:lineRule="auto"/>
              <w:jc w:val="center"/>
              <w:rPr>
                <w:rFonts w:ascii="Helvetica" w:hAnsi="Helvetica" w:cs="Helvetica"/>
                <w:sz w:val="18"/>
                <w:szCs w:val="24"/>
              </w:rPr>
            </w:pPr>
          </w:p>
        </w:tc>
      </w:tr>
      <w:tr w:rsidR="000810BD" w:rsidRPr="004D059E" w14:paraId="0D8B4F3E"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57A1AEAD"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Huehuetenango   </w:t>
            </w:r>
          </w:p>
        </w:tc>
        <w:tc>
          <w:tcPr>
            <w:tcW w:w="939" w:type="dxa"/>
            <w:tcBorders>
              <w:top w:val="nil"/>
              <w:left w:val="nil"/>
              <w:bottom w:val="single" w:sz="4" w:space="0" w:color="auto"/>
              <w:right w:val="single" w:sz="4" w:space="0" w:color="auto"/>
            </w:tcBorders>
            <w:shd w:val="clear" w:color="auto" w:fill="auto"/>
            <w:noWrap/>
            <w:vAlign w:val="center"/>
            <w:hideMark/>
          </w:tcPr>
          <w:p w14:paraId="70B70214"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29</w:t>
            </w:r>
          </w:p>
        </w:tc>
        <w:tc>
          <w:tcPr>
            <w:tcW w:w="1277" w:type="dxa"/>
            <w:tcBorders>
              <w:top w:val="nil"/>
              <w:left w:val="nil"/>
              <w:bottom w:val="single" w:sz="4" w:space="0" w:color="auto"/>
              <w:right w:val="single" w:sz="4" w:space="0" w:color="auto"/>
            </w:tcBorders>
            <w:shd w:val="clear" w:color="auto" w:fill="auto"/>
            <w:noWrap/>
            <w:vAlign w:val="center"/>
            <w:hideMark/>
          </w:tcPr>
          <w:p w14:paraId="37D7B44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8.23</w:t>
            </w:r>
          </w:p>
        </w:tc>
        <w:tc>
          <w:tcPr>
            <w:tcW w:w="1416" w:type="dxa"/>
            <w:tcBorders>
              <w:top w:val="nil"/>
              <w:left w:val="nil"/>
              <w:bottom w:val="single" w:sz="4" w:space="0" w:color="auto"/>
              <w:right w:val="single" w:sz="4" w:space="0" w:color="auto"/>
            </w:tcBorders>
            <w:shd w:val="clear" w:color="auto" w:fill="auto"/>
            <w:noWrap/>
            <w:vAlign w:val="center"/>
            <w:hideMark/>
          </w:tcPr>
          <w:p w14:paraId="692CAB56"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w:t>
            </w:r>
          </w:p>
        </w:tc>
        <w:tc>
          <w:tcPr>
            <w:tcW w:w="998" w:type="dxa"/>
            <w:tcBorders>
              <w:top w:val="nil"/>
              <w:left w:val="nil"/>
              <w:bottom w:val="single" w:sz="4" w:space="0" w:color="auto"/>
              <w:right w:val="single" w:sz="4" w:space="0" w:color="auto"/>
            </w:tcBorders>
            <w:shd w:val="clear" w:color="auto" w:fill="auto"/>
            <w:noWrap/>
            <w:vAlign w:val="center"/>
            <w:hideMark/>
          </w:tcPr>
          <w:p w14:paraId="71B5F960"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w:t>
            </w:r>
          </w:p>
        </w:tc>
        <w:tc>
          <w:tcPr>
            <w:tcW w:w="1179" w:type="dxa"/>
            <w:tcBorders>
              <w:top w:val="nil"/>
              <w:left w:val="nil"/>
              <w:bottom w:val="single" w:sz="4" w:space="0" w:color="auto"/>
              <w:right w:val="single" w:sz="4" w:space="0" w:color="auto"/>
            </w:tcBorders>
            <w:shd w:val="clear" w:color="auto" w:fill="auto"/>
            <w:noWrap/>
            <w:vAlign w:val="center"/>
            <w:hideMark/>
          </w:tcPr>
          <w:p w14:paraId="6D2CD0BB"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1.7</w:t>
            </w:r>
          </w:p>
        </w:tc>
        <w:tc>
          <w:tcPr>
            <w:tcW w:w="1357" w:type="dxa"/>
            <w:tcBorders>
              <w:top w:val="nil"/>
              <w:left w:val="nil"/>
              <w:bottom w:val="single" w:sz="4" w:space="0" w:color="auto"/>
              <w:right w:val="single" w:sz="8" w:space="0" w:color="auto"/>
            </w:tcBorders>
            <w:shd w:val="clear" w:color="auto" w:fill="auto"/>
            <w:noWrap/>
            <w:vAlign w:val="center"/>
            <w:hideMark/>
          </w:tcPr>
          <w:p w14:paraId="6B5095AF"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57.82</w:t>
            </w:r>
          </w:p>
        </w:tc>
      </w:tr>
      <w:tr w:rsidR="000810BD" w:rsidRPr="004D059E" w14:paraId="52A333A2"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346BA9F5"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Izabal        </w:t>
            </w:r>
          </w:p>
        </w:tc>
        <w:tc>
          <w:tcPr>
            <w:tcW w:w="939" w:type="dxa"/>
            <w:tcBorders>
              <w:top w:val="nil"/>
              <w:left w:val="nil"/>
              <w:bottom w:val="single" w:sz="4" w:space="0" w:color="auto"/>
              <w:right w:val="single" w:sz="4" w:space="0" w:color="auto"/>
            </w:tcBorders>
            <w:shd w:val="clear" w:color="auto" w:fill="auto"/>
            <w:noWrap/>
            <w:vAlign w:val="center"/>
            <w:hideMark/>
          </w:tcPr>
          <w:p w14:paraId="2163EAD5"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6</w:t>
            </w:r>
          </w:p>
        </w:tc>
        <w:tc>
          <w:tcPr>
            <w:tcW w:w="1277" w:type="dxa"/>
            <w:tcBorders>
              <w:top w:val="nil"/>
              <w:left w:val="nil"/>
              <w:bottom w:val="single" w:sz="4" w:space="0" w:color="auto"/>
              <w:right w:val="single" w:sz="4" w:space="0" w:color="auto"/>
            </w:tcBorders>
            <w:shd w:val="clear" w:color="auto" w:fill="auto"/>
            <w:noWrap/>
            <w:vAlign w:val="center"/>
            <w:hideMark/>
          </w:tcPr>
          <w:p w14:paraId="1134A428"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1.82</w:t>
            </w:r>
          </w:p>
        </w:tc>
        <w:tc>
          <w:tcPr>
            <w:tcW w:w="1416" w:type="dxa"/>
            <w:tcBorders>
              <w:top w:val="nil"/>
              <w:left w:val="nil"/>
              <w:bottom w:val="single" w:sz="4" w:space="0" w:color="auto"/>
              <w:right w:val="single" w:sz="4" w:space="0" w:color="auto"/>
            </w:tcBorders>
            <w:shd w:val="clear" w:color="auto" w:fill="auto"/>
            <w:noWrap/>
            <w:vAlign w:val="center"/>
            <w:hideMark/>
          </w:tcPr>
          <w:p w14:paraId="2B8A3D8B"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1.1</w:t>
            </w:r>
          </w:p>
        </w:tc>
        <w:tc>
          <w:tcPr>
            <w:tcW w:w="998" w:type="dxa"/>
            <w:tcBorders>
              <w:top w:val="nil"/>
              <w:left w:val="nil"/>
              <w:bottom w:val="single" w:sz="4" w:space="0" w:color="auto"/>
              <w:right w:val="single" w:sz="4" w:space="0" w:color="auto"/>
            </w:tcBorders>
            <w:shd w:val="clear" w:color="auto" w:fill="auto"/>
            <w:noWrap/>
            <w:vAlign w:val="center"/>
            <w:hideMark/>
          </w:tcPr>
          <w:p w14:paraId="7167BB02" w14:textId="091E1A79"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337E40CD" w14:textId="62EA5358"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0D88C2BB" w14:textId="528C4A6F" w:rsidR="000810BD" w:rsidRPr="004D059E" w:rsidRDefault="000810BD" w:rsidP="000810BD">
            <w:pPr>
              <w:spacing w:after="0" w:line="240" w:lineRule="auto"/>
              <w:jc w:val="center"/>
              <w:rPr>
                <w:rFonts w:ascii="Helvetica" w:hAnsi="Helvetica" w:cs="Helvetica"/>
                <w:sz w:val="18"/>
                <w:szCs w:val="24"/>
              </w:rPr>
            </w:pPr>
          </w:p>
        </w:tc>
      </w:tr>
      <w:tr w:rsidR="000810BD" w:rsidRPr="004D059E" w14:paraId="79A662DA"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5A00B46D"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Jalapa          </w:t>
            </w:r>
          </w:p>
        </w:tc>
        <w:tc>
          <w:tcPr>
            <w:tcW w:w="939" w:type="dxa"/>
            <w:tcBorders>
              <w:top w:val="nil"/>
              <w:left w:val="nil"/>
              <w:bottom w:val="single" w:sz="4" w:space="0" w:color="auto"/>
              <w:right w:val="single" w:sz="4" w:space="0" w:color="auto"/>
            </w:tcBorders>
            <w:shd w:val="clear" w:color="auto" w:fill="auto"/>
            <w:noWrap/>
            <w:vAlign w:val="center"/>
            <w:hideMark/>
          </w:tcPr>
          <w:p w14:paraId="6816ACF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7</w:t>
            </w:r>
          </w:p>
        </w:tc>
        <w:tc>
          <w:tcPr>
            <w:tcW w:w="1277" w:type="dxa"/>
            <w:tcBorders>
              <w:top w:val="nil"/>
              <w:left w:val="nil"/>
              <w:bottom w:val="single" w:sz="4" w:space="0" w:color="auto"/>
              <w:right w:val="single" w:sz="4" w:space="0" w:color="auto"/>
            </w:tcBorders>
            <w:shd w:val="clear" w:color="auto" w:fill="auto"/>
            <w:noWrap/>
            <w:vAlign w:val="center"/>
            <w:hideMark/>
          </w:tcPr>
          <w:p w14:paraId="48F73542"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5.15</w:t>
            </w:r>
          </w:p>
        </w:tc>
        <w:tc>
          <w:tcPr>
            <w:tcW w:w="1416" w:type="dxa"/>
            <w:tcBorders>
              <w:top w:val="nil"/>
              <w:left w:val="nil"/>
              <w:bottom w:val="single" w:sz="4" w:space="0" w:color="auto"/>
              <w:right w:val="single" w:sz="4" w:space="0" w:color="auto"/>
            </w:tcBorders>
            <w:shd w:val="clear" w:color="auto" w:fill="auto"/>
            <w:noWrap/>
            <w:vAlign w:val="center"/>
            <w:hideMark/>
          </w:tcPr>
          <w:p w14:paraId="4EC30C87"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3.13</w:t>
            </w:r>
          </w:p>
        </w:tc>
        <w:tc>
          <w:tcPr>
            <w:tcW w:w="998" w:type="dxa"/>
            <w:tcBorders>
              <w:top w:val="nil"/>
              <w:left w:val="nil"/>
              <w:bottom w:val="single" w:sz="4" w:space="0" w:color="auto"/>
              <w:right w:val="single" w:sz="4" w:space="0" w:color="auto"/>
            </w:tcBorders>
            <w:shd w:val="clear" w:color="auto" w:fill="auto"/>
            <w:noWrap/>
            <w:vAlign w:val="center"/>
            <w:hideMark/>
          </w:tcPr>
          <w:p w14:paraId="2BC471EF"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w:t>
            </w:r>
          </w:p>
        </w:tc>
        <w:tc>
          <w:tcPr>
            <w:tcW w:w="1179" w:type="dxa"/>
            <w:tcBorders>
              <w:top w:val="nil"/>
              <w:left w:val="nil"/>
              <w:bottom w:val="single" w:sz="4" w:space="0" w:color="auto"/>
              <w:right w:val="single" w:sz="4" w:space="0" w:color="auto"/>
            </w:tcBorders>
            <w:shd w:val="clear" w:color="auto" w:fill="auto"/>
            <w:noWrap/>
            <w:vAlign w:val="center"/>
            <w:hideMark/>
          </w:tcPr>
          <w:p w14:paraId="2A539DF7"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1.24</w:t>
            </w:r>
          </w:p>
        </w:tc>
        <w:tc>
          <w:tcPr>
            <w:tcW w:w="1357" w:type="dxa"/>
            <w:tcBorders>
              <w:top w:val="nil"/>
              <w:left w:val="nil"/>
              <w:bottom w:val="single" w:sz="4" w:space="0" w:color="auto"/>
              <w:right w:val="single" w:sz="8" w:space="0" w:color="auto"/>
            </w:tcBorders>
            <w:shd w:val="clear" w:color="auto" w:fill="auto"/>
            <w:noWrap/>
            <w:vAlign w:val="center"/>
            <w:hideMark/>
          </w:tcPr>
          <w:p w14:paraId="64DFD2C9"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42.18</w:t>
            </w:r>
          </w:p>
        </w:tc>
      </w:tr>
      <w:tr w:rsidR="000810BD" w:rsidRPr="004D059E" w14:paraId="00EEBF86"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7F2B2C5E"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Jutiapa</w:t>
            </w:r>
          </w:p>
        </w:tc>
        <w:tc>
          <w:tcPr>
            <w:tcW w:w="939" w:type="dxa"/>
            <w:tcBorders>
              <w:top w:val="nil"/>
              <w:left w:val="nil"/>
              <w:bottom w:val="single" w:sz="4" w:space="0" w:color="auto"/>
              <w:right w:val="single" w:sz="4" w:space="0" w:color="auto"/>
            </w:tcBorders>
            <w:shd w:val="clear" w:color="auto" w:fill="auto"/>
            <w:noWrap/>
            <w:vAlign w:val="center"/>
            <w:hideMark/>
          </w:tcPr>
          <w:p w14:paraId="365216FF"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20</w:t>
            </w:r>
          </w:p>
        </w:tc>
        <w:tc>
          <w:tcPr>
            <w:tcW w:w="1277" w:type="dxa"/>
            <w:tcBorders>
              <w:top w:val="nil"/>
              <w:left w:val="nil"/>
              <w:bottom w:val="single" w:sz="4" w:space="0" w:color="auto"/>
              <w:right w:val="single" w:sz="4" w:space="0" w:color="auto"/>
            </w:tcBorders>
            <w:shd w:val="clear" w:color="auto" w:fill="auto"/>
            <w:noWrap/>
            <w:vAlign w:val="center"/>
            <w:hideMark/>
          </w:tcPr>
          <w:p w14:paraId="0649106D"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9.31</w:t>
            </w:r>
          </w:p>
        </w:tc>
        <w:tc>
          <w:tcPr>
            <w:tcW w:w="1416" w:type="dxa"/>
            <w:tcBorders>
              <w:top w:val="nil"/>
              <w:left w:val="nil"/>
              <w:bottom w:val="single" w:sz="4" w:space="0" w:color="auto"/>
              <w:right w:val="single" w:sz="4" w:space="0" w:color="auto"/>
            </w:tcBorders>
            <w:shd w:val="clear" w:color="auto" w:fill="auto"/>
            <w:noWrap/>
            <w:vAlign w:val="center"/>
            <w:hideMark/>
          </w:tcPr>
          <w:p w14:paraId="3C07ECA1"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5.65</w:t>
            </w:r>
          </w:p>
        </w:tc>
        <w:tc>
          <w:tcPr>
            <w:tcW w:w="998" w:type="dxa"/>
            <w:tcBorders>
              <w:top w:val="nil"/>
              <w:left w:val="nil"/>
              <w:bottom w:val="single" w:sz="4" w:space="0" w:color="auto"/>
              <w:right w:val="single" w:sz="4" w:space="0" w:color="auto"/>
            </w:tcBorders>
            <w:shd w:val="clear" w:color="auto" w:fill="auto"/>
            <w:noWrap/>
            <w:vAlign w:val="center"/>
            <w:hideMark/>
          </w:tcPr>
          <w:p w14:paraId="170DBDD3" w14:textId="6B105AA4"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0537F942" w14:textId="6D722901"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4F6215E5" w14:textId="4F9C0D10" w:rsidR="000810BD" w:rsidRPr="004D059E" w:rsidRDefault="000810BD" w:rsidP="000810BD">
            <w:pPr>
              <w:spacing w:after="0" w:line="240" w:lineRule="auto"/>
              <w:jc w:val="center"/>
              <w:rPr>
                <w:rFonts w:ascii="Helvetica" w:hAnsi="Helvetica" w:cs="Helvetica"/>
                <w:sz w:val="18"/>
                <w:szCs w:val="24"/>
              </w:rPr>
            </w:pPr>
          </w:p>
        </w:tc>
      </w:tr>
      <w:tr w:rsidR="000810BD" w:rsidRPr="004D059E" w14:paraId="47AEC9C6"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6236162C"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Petén        </w:t>
            </w:r>
          </w:p>
        </w:tc>
        <w:tc>
          <w:tcPr>
            <w:tcW w:w="939" w:type="dxa"/>
            <w:tcBorders>
              <w:top w:val="nil"/>
              <w:left w:val="nil"/>
              <w:bottom w:val="single" w:sz="4" w:space="0" w:color="auto"/>
              <w:right w:val="single" w:sz="4" w:space="0" w:color="auto"/>
            </w:tcBorders>
            <w:shd w:val="clear" w:color="auto" w:fill="auto"/>
            <w:noWrap/>
            <w:vAlign w:val="center"/>
            <w:hideMark/>
          </w:tcPr>
          <w:p w14:paraId="4FFD936A"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19</w:t>
            </w:r>
          </w:p>
        </w:tc>
        <w:tc>
          <w:tcPr>
            <w:tcW w:w="1277" w:type="dxa"/>
            <w:tcBorders>
              <w:top w:val="nil"/>
              <w:left w:val="nil"/>
              <w:bottom w:val="single" w:sz="4" w:space="0" w:color="auto"/>
              <w:right w:val="single" w:sz="4" w:space="0" w:color="auto"/>
            </w:tcBorders>
            <w:shd w:val="clear" w:color="auto" w:fill="auto"/>
            <w:noWrap/>
            <w:vAlign w:val="center"/>
            <w:hideMark/>
          </w:tcPr>
          <w:p w14:paraId="4E0D315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6.87</w:t>
            </w:r>
          </w:p>
        </w:tc>
        <w:tc>
          <w:tcPr>
            <w:tcW w:w="1416" w:type="dxa"/>
            <w:tcBorders>
              <w:top w:val="nil"/>
              <w:left w:val="nil"/>
              <w:bottom w:val="single" w:sz="4" w:space="0" w:color="auto"/>
              <w:right w:val="single" w:sz="4" w:space="0" w:color="auto"/>
            </w:tcBorders>
            <w:shd w:val="clear" w:color="auto" w:fill="auto"/>
            <w:noWrap/>
            <w:vAlign w:val="center"/>
            <w:hideMark/>
          </w:tcPr>
          <w:p w14:paraId="6B2B66D1"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4.17</w:t>
            </w:r>
          </w:p>
        </w:tc>
        <w:tc>
          <w:tcPr>
            <w:tcW w:w="998" w:type="dxa"/>
            <w:tcBorders>
              <w:top w:val="nil"/>
              <w:left w:val="nil"/>
              <w:bottom w:val="single" w:sz="4" w:space="0" w:color="auto"/>
              <w:right w:val="single" w:sz="4" w:space="0" w:color="auto"/>
            </w:tcBorders>
            <w:shd w:val="clear" w:color="auto" w:fill="auto"/>
            <w:noWrap/>
            <w:vAlign w:val="center"/>
            <w:hideMark/>
          </w:tcPr>
          <w:p w14:paraId="7B145C4E" w14:textId="30AE08D6"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57260A41" w14:textId="1F95D468"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69644B6F" w14:textId="52026B61" w:rsidR="000810BD" w:rsidRPr="004D059E" w:rsidRDefault="000810BD" w:rsidP="000810BD">
            <w:pPr>
              <w:spacing w:after="0" w:line="240" w:lineRule="auto"/>
              <w:jc w:val="center"/>
              <w:rPr>
                <w:rFonts w:ascii="Helvetica" w:hAnsi="Helvetica" w:cs="Helvetica"/>
                <w:sz w:val="18"/>
                <w:szCs w:val="24"/>
              </w:rPr>
            </w:pPr>
          </w:p>
        </w:tc>
      </w:tr>
      <w:tr w:rsidR="000810BD" w:rsidRPr="004D059E" w14:paraId="2DCF94D2"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177F92B7"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Quetzaltenango   </w:t>
            </w:r>
          </w:p>
        </w:tc>
        <w:tc>
          <w:tcPr>
            <w:tcW w:w="939" w:type="dxa"/>
            <w:tcBorders>
              <w:top w:val="nil"/>
              <w:left w:val="nil"/>
              <w:bottom w:val="single" w:sz="4" w:space="0" w:color="auto"/>
              <w:right w:val="single" w:sz="4" w:space="0" w:color="auto"/>
            </w:tcBorders>
            <w:shd w:val="clear" w:color="auto" w:fill="auto"/>
            <w:noWrap/>
            <w:vAlign w:val="center"/>
            <w:hideMark/>
          </w:tcPr>
          <w:p w14:paraId="142C2B88"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21</w:t>
            </w:r>
          </w:p>
        </w:tc>
        <w:tc>
          <w:tcPr>
            <w:tcW w:w="1277" w:type="dxa"/>
            <w:tcBorders>
              <w:top w:val="nil"/>
              <w:left w:val="nil"/>
              <w:bottom w:val="single" w:sz="4" w:space="0" w:color="auto"/>
              <w:right w:val="single" w:sz="4" w:space="0" w:color="auto"/>
            </w:tcBorders>
            <w:shd w:val="clear" w:color="auto" w:fill="auto"/>
            <w:noWrap/>
            <w:vAlign w:val="center"/>
            <w:hideMark/>
          </w:tcPr>
          <w:p w14:paraId="7D8ECAF5"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5.21</w:t>
            </w:r>
          </w:p>
        </w:tc>
        <w:tc>
          <w:tcPr>
            <w:tcW w:w="1416" w:type="dxa"/>
            <w:tcBorders>
              <w:top w:val="nil"/>
              <w:left w:val="nil"/>
              <w:bottom w:val="single" w:sz="4" w:space="0" w:color="auto"/>
              <w:right w:val="single" w:sz="4" w:space="0" w:color="auto"/>
            </w:tcBorders>
            <w:shd w:val="clear" w:color="auto" w:fill="auto"/>
            <w:noWrap/>
            <w:vAlign w:val="center"/>
            <w:hideMark/>
          </w:tcPr>
          <w:p w14:paraId="6A0D0EF0"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3.16</w:t>
            </w:r>
          </w:p>
        </w:tc>
        <w:tc>
          <w:tcPr>
            <w:tcW w:w="998" w:type="dxa"/>
            <w:tcBorders>
              <w:top w:val="nil"/>
              <w:left w:val="nil"/>
              <w:bottom w:val="single" w:sz="4" w:space="0" w:color="auto"/>
              <w:right w:val="single" w:sz="4" w:space="0" w:color="auto"/>
            </w:tcBorders>
            <w:shd w:val="clear" w:color="auto" w:fill="auto"/>
            <w:noWrap/>
            <w:vAlign w:val="center"/>
            <w:hideMark/>
          </w:tcPr>
          <w:p w14:paraId="120309CC" w14:textId="41DE3AA9"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199B8D36" w14:textId="057D37BF"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7F8509A2" w14:textId="2FD03F67" w:rsidR="000810BD" w:rsidRPr="004D059E" w:rsidRDefault="000810BD" w:rsidP="000810BD">
            <w:pPr>
              <w:spacing w:after="0" w:line="240" w:lineRule="auto"/>
              <w:jc w:val="center"/>
              <w:rPr>
                <w:rFonts w:ascii="Helvetica" w:hAnsi="Helvetica" w:cs="Helvetica"/>
                <w:sz w:val="18"/>
                <w:szCs w:val="24"/>
              </w:rPr>
            </w:pPr>
          </w:p>
        </w:tc>
      </w:tr>
      <w:tr w:rsidR="000810BD" w:rsidRPr="004D059E" w14:paraId="6110AFA6"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0F8D17A1"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Quiche         </w:t>
            </w:r>
          </w:p>
        </w:tc>
        <w:tc>
          <w:tcPr>
            <w:tcW w:w="939" w:type="dxa"/>
            <w:tcBorders>
              <w:top w:val="nil"/>
              <w:left w:val="nil"/>
              <w:bottom w:val="single" w:sz="4" w:space="0" w:color="auto"/>
              <w:right w:val="single" w:sz="4" w:space="0" w:color="auto"/>
            </w:tcBorders>
            <w:shd w:val="clear" w:color="auto" w:fill="auto"/>
            <w:noWrap/>
            <w:vAlign w:val="center"/>
            <w:hideMark/>
          </w:tcPr>
          <w:p w14:paraId="32D03F13"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18</w:t>
            </w:r>
          </w:p>
        </w:tc>
        <w:tc>
          <w:tcPr>
            <w:tcW w:w="1277" w:type="dxa"/>
            <w:tcBorders>
              <w:top w:val="nil"/>
              <w:left w:val="nil"/>
              <w:bottom w:val="single" w:sz="4" w:space="0" w:color="auto"/>
              <w:right w:val="single" w:sz="4" w:space="0" w:color="auto"/>
            </w:tcBorders>
            <w:shd w:val="clear" w:color="auto" w:fill="auto"/>
            <w:noWrap/>
            <w:vAlign w:val="center"/>
            <w:hideMark/>
          </w:tcPr>
          <w:p w14:paraId="7A108F98"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16.24</w:t>
            </w:r>
          </w:p>
        </w:tc>
        <w:tc>
          <w:tcPr>
            <w:tcW w:w="1416" w:type="dxa"/>
            <w:tcBorders>
              <w:top w:val="nil"/>
              <w:left w:val="nil"/>
              <w:bottom w:val="single" w:sz="4" w:space="0" w:color="auto"/>
              <w:right w:val="single" w:sz="4" w:space="0" w:color="auto"/>
            </w:tcBorders>
            <w:shd w:val="clear" w:color="auto" w:fill="auto"/>
            <w:noWrap/>
            <w:vAlign w:val="center"/>
            <w:hideMark/>
          </w:tcPr>
          <w:p w14:paraId="6861B64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9.86</w:t>
            </w:r>
          </w:p>
        </w:tc>
        <w:tc>
          <w:tcPr>
            <w:tcW w:w="998" w:type="dxa"/>
            <w:tcBorders>
              <w:top w:val="nil"/>
              <w:left w:val="nil"/>
              <w:bottom w:val="single" w:sz="4" w:space="0" w:color="auto"/>
              <w:right w:val="single" w:sz="4" w:space="0" w:color="auto"/>
            </w:tcBorders>
            <w:shd w:val="clear" w:color="auto" w:fill="auto"/>
            <w:noWrap/>
            <w:vAlign w:val="center"/>
            <w:hideMark/>
          </w:tcPr>
          <w:p w14:paraId="079B7A06" w14:textId="631D21EA"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72A4E7AE" w14:textId="6FAB037E"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3B59048F" w14:textId="0EB1F1C9" w:rsidR="000810BD" w:rsidRPr="004D059E" w:rsidRDefault="000810BD" w:rsidP="000810BD">
            <w:pPr>
              <w:spacing w:after="0" w:line="240" w:lineRule="auto"/>
              <w:jc w:val="center"/>
              <w:rPr>
                <w:rFonts w:ascii="Helvetica" w:hAnsi="Helvetica" w:cs="Helvetica"/>
                <w:sz w:val="18"/>
                <w:szCs w:val="24"/>
              </w:rPr>
            </w:pPr>
          </w:p>
        </w:tc>
      </w:tr>
      <w:tr w:rsidR="000810BD" w:rsidRPr="004D059E" w14:paraId="6FC0336A"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582F5B01"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Retalhuleu      </w:t>
            </w:r>
          </w:p>
        </w:tc>
        <w:tc>
          <w:tcPr>
            <w:tcW w:w="939" w:type="dxa"/>
            <w:tcBorders>
              <w:top w:val="nil"/>
              <w:left w:val="nil"/>
              <w:bottom w:val="single" w:sz="4" w:space="0" w:color="auto"/>
              <w:right w:val="single" w:sz="4" w:space="0" w:color="auto"/>
            </w:tcBorders>
            <w:shd w:val="clear" w:color="auto" w:fill="auto"/>
            <w:noWrap/>
            <w:vAlign w:val="center"/>
            <w:hideMark/>
          </w:tcPr>
          <w:p w14:paraId="2BC31E31"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6</w:t>
            </w:r>
          </w:p>
        </w:tc>
        <w:tc>
          <w:tcPr>
            <w:tcW w:w="1277" w:type="dxa"/>
            <w:tcBorders>
              <w:top w:val="nil"/>
              <w:left w:val="nil"/>
              <w:bottom w:val="single" w:sz="4" w:space="0" w:color="auto"/>
              <w:right w:val="single" w:sz="4" w:space="0" w:color="auto"/>
            </w:tcBorders>
            <w:shd w:val="clear" w:color="auto" w:fill="auto"/>
            <w:noWrap/>
            <w:vAlign w:val="center"/>
            <w:hideMark/>
          </w:tcPr>
          <w:p w14:paraId="7769F5B2"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1.85</w:t>
            </w:r>
          </w:p>
        </w:tc>
        <w:tc>
          <w:tcPr>
            <w:tcW w:w="1416" w:type="dxa"/>
            <w:tcBorders>
              <w:top w:val="nil"/>
              <w:left w:val="nil"/>
              <w:bottom w:val="single" w:sz="4" w:space="0" w:color="auto"/>
              <w:right w:val="single" w:sz="4" w:space="0" w:color="auto"/>
            </w:tcBorders>
            <w:shd w:val="clear" w:color="auto" w:fill="auto"/>
            <w:noWrap/>
            <w:vAlign w:val="center"/>
            <w:hideMark/>
          </w:tcPr>
          <w:p w14:paraId="37039AD6"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1.12</w:t>
            </w:r>
          </w:p>
        </w:tc>
        <w:tc>
          <w:tcPr>
            <w:tcW w:w="998" w:type="dxa"/>
            <w:tcBorders>
              <w:top w:val="nil"/>
              <w:left w:val="nil"/>
              <w:bottom w:val="single" w:sz="4" w:space="0" w:color="auto"/>
              <w:right w:val="single" w:sz="4" w:space="0" w:color="auto"/>
            </w:tcBorders>
            <w:shd w:val="clear" w:color="auto" w:fill="auto"/>
            <w:noWrap/>
            <w:vAlign w:val="center"/>
            <w:hideMark/>
          </w:tcPr>
          <w:p w14:paraId="2057D03F" w14:textId="5B956CFB"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63DCC5D2" w14:textId="0E82C589"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279DE753" w14:textId="49E0BEE8" w:rsidR="000810BD" w:rsidRPr="004D059E" w:rsidRDefault="000810BD" w:rsidP="000810BD">
            <w:pPr>
              <w:spacing w:after="0" w:line="240" w:lineRule="auto"/>
              <w:jc w:val="center"/>
              <w:rPr>
                <w:rFonts w:ascii="Helvetica" w:hAnsi="Helvetica" w:cs="Helvetica"/>
                <w:sz w:val="18"/>
                <w:szCs w:val="24"/>
              </w:rPr>
            </w:pPr>
          </w:p>
        </w:tc>
      </w:tr>
      <w:tr w:rsidR="000810BD" w:rsidRPr="004D059E" w14:paraId="0FB29EC6"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3B8168A9"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Sacatepéquez      </w:t>
            </w:r>
          </w:p>
        </w:tc>
        <w:tc>
          <w:tcPr>
            <w:tcW w:w="939" w:type="dxa"/>
            <w:tcBorders>
              <w:top w:val="nil"/>
              <w:left w:val="nil"/>
              <w:bottom w:val="single" w:sz="4" w:space="0" w:color="auto"/>
              <w:right w:val="single" w:sz="4" w:space="0" w:color="auto"/>
            </w:tcBorders>
            <w:shd w:val="clear" w:color="auto" w:fill="auto"/>
            <w:noWrap/>
            <w:vAlign w:val="center"/>
            <w:hideMark/>
          </w:tcPr>
          <w:p w14:paraId="6E98FEA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20</w:t>
            </w:r>
          </w:p>
        </w:tc>
        <w:tc>
          <w:tcPr>
            <w:tcW w:w="1277" w:type="dxa"/>
            <w:tcBorders>
              <w:top w:val="nil"/>
              <w:left w:val="nil"/>
              <w:bottom w:val="single" w:sz="4" w:space="0" w:color="auto"/>
              <w:right w:val="single" w:sz="4" w:space="0" w:color="auto"/>
            </w:tcBorders>
            <w:shd w:val="clear" w:color="auto" w:fill="auto"/>
            <w:noWrap/>
            <w:vAlign w:val="center"/>
            <w:hideMark/>
          </w:tcPr>
          <w:p w14:paraId="7E6F002C"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10.7</w:t>
            </w:r>
          </w:p>
        </w:tc>
        <w:tc>
          <w:tcPr>
            <w:tcW w:w="1416" w:type="dxa"/>
            <w:tcBorders>
              <w:top w:val="nil"/>
              <w:left w:val="nil"/>
              <w:bottom w:val="single" w:sz="4" w:space="0" w:color="auto"/>
              <w:right w:val="single" w:sz="4" w:space="0" w:color="auto"/>
            </w:tcBorders>
            <w:shd w:val="clear" w:color="auto" w:fill="auto"/>
            <w:noWrap/>
            <w:vAlign w:val="center"/>
            <w:hideMark/>
          </w:tcPr>
          <w:p w14:paraId="03668336"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6.5</w:t>
            </w:r>
          </w:p>
        </w:tc>
        <w:tc>
          <w:tcPr>
            <w:tcW w:w="998" w:type="dxa"/>
            <w:tcBorders>
              <w:top w:val="nil"/>
              <w:left w:val="nil"/>
              <w:bottom w:val="single" w:sz="4" w:space="0" w:color="auto"/>
              <w:right w:val="single" w:sz="4" w:space="0" w:color="auto"/>
            </w:tcBorders>
            <w:shd w:val="clear" w:color="auto" w:fill="auto"/>
            <w:noWrap/>
            <w:vAlign w:val="center"/>
            <w:hideMark/>
          </w:tcPr>
          <w:p w14:paraId="0EC45F66" w14:textId="4E08B594"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1E8C890C" w14:textId="3F2ACCCD"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107265A8" w14:textId="67FFACBC" w:rsidR="000810BD" w:rsidRPr="004D059E" w:rsidRDefault="000810BD" w:rsidP="000810BD">
            <w:pPr>
              <w:spacing w:after="0" w:line="240" w:lineRule="auto"/>
              <w:jc w:val="center"/>
              <w:rPr>
                <w:rFonts w:ascii="Helvetica" w:hAnsi="Helvetica" w:cs="Helvetica"/>
                <w:sz w:val="18"/>
                <w:szCs w:val="24"/>
              </w:rPr>
            </w:pPr>
          </w:p>
        </w:tc>
      </w:tr>
      <w:tr w:rsidR="000810BD" w:rsidRPr="004D059E" w14:paraId="26B2C092"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5281C302"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San Marcos   </w:t>
            </w:r>
          </w:p>
        </w:tc>
        <w:tc>
          <w:tcPr>
            <w:tcW w:w="939" w:type="dxa"/>
            <w:tcBorders>
              <w:top w:val="nil"/>
              <w:left w:val="nil"/>
              <w:bottom w:val="single" w:sz="4" w:space="0" w:color="auto"/>
              <w:right w:val="single" w:sz="4" w:space="0" w:color="auto"/>
            </w:tcBorders>
            <w:shd w:val="clear" w:color="auto" w:fill="auto"/>
            <w:noWrap/>
            <w:vAlign w:val="center"/>
            <w:hideMark/>
          </w:tcPr>
          <w:p w14:paraId="5722FC97"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32</w:t>
            </w:r>
          </w:p>
        </w:tc>
        <w:tc>
          <w:tcPr>
            <w:tcW w:w="1277" w:type="dxa"/>
            <w:tcBorders>
              <w:top w:val="nil"/>
              <w:left w:val="nil"/>
              <w:bottom w:val="single" w:sz="4" w:space="0" w:color="auto"/>
              <w:right w:val="single" w:sz="4" w:space="0" w:color="auto"/>
            </w:tcBorders>
            <w:shd w:val="clear" w:color="auto" w:fill="auto"/>
            <w:noWrap/>
            <w:vAlign w:val="center"/>
            <w:hideMark/>
          </w:tcPr>
          <w:p w14:paraId="74411707"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5.71</w:t>
            </w:r>
          </w:p>
        </w:tc>
        <w:tc>
          <w:tcPr>
            <w:tcW w:w="1416" w:type="dxa"/>
            <w:tcBorders>
              <w:top w:val="nil"/>
              <w:left w:val="nil"/>
              <w:bottom w:val="single" w:sz="4" w:space="0" w:color="auto"/>
              <w:right w:val="single" w:sz="4" w:space="0" w:color="auto"/>
            </w:tcBorders>
            <w:shd w:val="clear" w:color="auto" w:fill="auto"/>
            <w:noWrap/>
            <w:vAlign w:val="center"/>
            <w:hideMark/>
          </w:tcPr>
          <w:p w14:paraId="001D5026"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3.47</w:t>
            </w:r>
          </w:p>
        </w:tc>
        <w:tc>
          <w:tcPr>
            <w:tcW w:w="998" w:type="dxa"/>
            <w:tcBorders>
              <w:top w:val="nil"/>
              <w:left w:val="nil"/>
              <w:bottom w:val="single" w:sz="4" w:space="0" w:color="auto"/>
              <w:right w:val="single" w:sz="4" w:space="0" w:color="auto"/>
            </w:tcBorders>
            <w:shd w:val="clear" w:color="auto" w:fill="auto"/>
            <w:noWrap/>
            <w:vAlign w:val="center"/>
            <w:hideMark/>
          </w:tcPr>
          <w:p w14:paraId="7F9864CB" w14:textId="5692A773"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145FB949" w14:textId="532EC9FB"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3753D8D9" w14:textId="45078EE8" w:rsidR="000810BD" w:rsidRPr="004D059E" w:rsidRDefault="000810BD" w:rsidP="000810BD">
            <w:pPr>
              <w:spacing w:after="0" w:line="240" w:lineRule="auto"/>
              <w:jc w:val="center"/>
              <w:rPr>
                <w:rFonts w:ascii="Helvetica" w:hAnsi="Helvetica" w:cs="Helvetica"/>
                <w:sz w:val="18"/>
                <w:szCs w:val="24"/>
              </w:rPr>
            </w:pPr>
          </w:p>
        </w:tc>
      </w:tr>
      <w:tr w:rsidR="000810BD" w:rsidRPr="004D059E" w14:paraId="4AD514AC"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32925C4F"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Santa rosa   </w:t>
            </w:r>
          </w:p>
        </w:tc>
        <w:tc>
          <w:tcPr>
            <w:tcW w:w="939" w:type="dxa"/>
            <w:tcBorders>
              <w:top w:val="nil"/>
              <w:left w:val="nil"/>
              <w:bottom w:val="single" w:sz="4" w:space="0" w:color="auto"/>
              <w:right w:val="single" w:sz="4" w:space="0" w:color="auto"/>
            </w:tcBorders>
            <w:shd w:val="clear" w:color="auto" w:fill="auto"/>
            <w:noWrap/>
            <w:vAlign w:val="center"/>
            <w:hideMark/>
          </w:tcPr>
          <w:p w14:paraId="33EC102D"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13</w:t>
            </w:r>
          </w:p>
        </w:tc>
        <w:tc>
          <w:tcPr>
            <w:tcW w:w="1277" w:type="dxa"/>
            <w:tcBorders>
              <w:top w:val="nil"/>
              <w:left w:val="nil"/>
              <w:bottom w:val="single" w:sz="4" w:space="0" w:color="auto"/>
              <w:right w:val="single" w:sz="4" w:space="0" w:color="auto"/>
            </w:tcBorders>
            <w:shd w:val="clear" w:color="auto" w:fill="auto"/>
            <w:noWrap/>
            <w:vAlign w:val="center"/>
            <w:hideMark/>
          </w:tcPr>
          <w:p w14:paraId="02356126"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6.61</w:t>
            </w:r>
          </w:p>
        </w:tc>
        <w:tc>
          <w:tcPr>
            <w:tcW w:w="1416" w:type="dxa"/>
            <w:tcBorders>
              <w:top w:val="nil"/>
              <w:left w:val="nil"/>
              <w:bottom w:val="single" w:sz="4" w:space="0" w:color="auto"/>
              <w:right w:val="single" w:sz="4" w:space="0" w:color="auto"/>
            </w:tcBorders>
            <w:shd w:val="clear" w:color="auto" w:fill="auto"/>
            <w:noWrap/>
            <w:vAlign w:val="center"/>
            <w:hideMark/>
          </w:tcPr>
          <w:p w14:paraId="54DC9744"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4.01</w:t>
            </w:r>
          </w:p>
        </w:tc>
        <w:tc>
          <w:tcPr>
            <w:tcW w:w="998" w:type="dxa"/>
            <w:tcBorders>
              <w:top w:val="nil"/>
              <w:left w:val="nil"/>
              <w:bottom w:val="single" w:sz="4" w:space="0" w:color="auto"/>
              <w:right w:val="single" w:sz="4" w:space="0" w:color="auto"/>
            </w:tcBorders>
            <w:shd w:val="clear" w:color="auto" w:fill="auto"/>
            <w:noWrap/>
            <w:vAlign w:val="center"/>
            <w:hideMark/>
          </w:tcPr>
          <w:p w14:paraId="2DA3E8D8" w14:textId="4E022343"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0428687C" w14:textId="430F9808"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1D3D1180" w14:textId="48484AD0" w:rsidR="000810BD" w:rsidRPr="004D059E" w:rsidRDefault="000810BD" w:rsidP="000810BD">
            <w:pPr>
              <w:spacing w:after="0" w:line="240" w:lineRule="auto"/>
              <w:jc w:val="center"/>
              <w:rPr>
                <w:rFonts w:ascii="Helvetica" w:hAnsi="Helvetica" w:cs="Helvetica"/>
                <w:sz w:val="18"/>
                <w:szCs w:val="24"/>
              </w:rPr>
            </w:pPr>
          </w:p>
        </w:tc>
      </w:tr>
      <w:tr w:rsidR="000810BD" w:rsidRPr="004D059E" w14:paraId="41909B31"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6B86D4A9"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Sololá        </w:t>
            </w:r>
          </w:p>
        </w:tc>
        <w:tc>
          <w:tcPr>
            <w:tcW w:w="939" w:type="dxa"/>
            <w:tcBorders>
              <w:top w:val="nil"/>
              <w:left w:val="nil"/>
              <w:bottom w:val="single" w:sz="4" w:space="0" w:color="auto"/>
              <w:right w:val="single" w:sz="4" w:space="0" w:color="auto"/>
            </w:tcBorders>
            <w:shd w:val="clear" w:color="auto" w:fill="auto"/>
            <w:noWrap/>
            <w:vAlign w:val="center"/>
            <w:hideMark/>
          </w:tcPr>
          <w:p w14:paraId="2E9950DB"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42</w:t>
            </w:r>
          </w:p>
        </w:tc>
        <w:tc>
          <w:tcPr>
            <w:tcW w:w="1277" w:type="dxa"/>
            <w:tcBorders>
              <w:top w:val="nil"/>
              <w:left w:val="nil"/>
              <w:bottom w:val="single" w:sz="4" w:space="0" w:color="auto"/>
              <w:right w:val="single" w:sz="4" w:space="0" w:color="auto"/>
            </w:tcBorders>
            <w:shd w:val="clear" w:color="auto" w:fill="auto"/>
            <w:noWrap/>
            <w:vAlign w:val="center"/>
            <w:hideMark/>
          </w:tcPr>
          <w:p w14:paraId="4ABFA5F8"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17.3</w:t>
            </w:r>
          </w:p>
        </w:tc>
        <w:tc>
          <w:tcPr>
            <w:tcW w:w="1416" w:type="dxa"/>
            <w:tcBorders>
              <w:top w:val="nil"/>
              <w:left w:val="nil"/>
              <w:bottom w:val="single" w:sz="4" w:space="0" w:color="auto"/>
              <w:right w:val="single" w:sz="4" w:space="0" w:color="auto"/>
            </w:tcBorders>
            <w:shd w:val="clear" w:color="auto" w:fill="auto"/>
            <w:noWrap/>
            <w:vAlign w:val="center"/>
            <w:hideMark/>
          </w:tcPr>
          <w:p w14:paraId="354EEEB7"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10.5</w:t>
            </w:r>
          </w:p>
        </w:tc>
        <w:tc>
          <w:tcPr>
            <w:tcW w:w="998" w:type="dxa"/>
            <w:tcBorders>
              <w:top w:val="nil"/>
              <w:left w:val="nil"/>
              <w:bottom w:val="single" w:sz="4" w:space="0" w:color="auto"/>
              <w:right w:val="single" w:sz="4" w:space="0" w:color="auto"/>
            </w:tcBorders>
            <w:shd w:val="clear" w:color="auto" w:fill="auto"/>
            <w:noWrap/>
            <w:vAlign w:val="center"/>
            <w:hideMark/>
          </w:tcPr>
          <w:p w14:paraId="3028B13B" w14:textId="186AFA96"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2423FA9A" w14:textId="5B1C0AFB"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1351BB71" w14:textId="5DDE2BC1" w:rsidR="000810BD" w:rsidRPr="004D059E" w:rsidRDefault="000810BD" w:rsidP="000810BD">
            <w:pPr>
              <w:spacing w:after="0" w:line="240" w:lineRule="auto"/>
              <w:jc w:val="center"/>
              <w:rPr>
                <w:rFonts w:ascii="Helvetica" w:hAnsi="Helvetica" w:cs="Helvetica"/>
                <w:sz w:val="18"/>
                <w:szCs w:val="24"/>
              </w:rPr>
            </w:pPr>
          </w:p>
        </w:tc>
      </w:tr>
      <w:tr w:rsidR="000810BD" w:rsidRPr="004D059E" w14:paraId="5C7EFE3F"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639E8908"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Suchitepéquez     </w:t>
            </w:r>
          </w:p>
        </w:tc>
        <w:tc>
          <w:tcPr>
            <w:tcW w:w="939" w:type="dxa"/>
            <w:tcBorders>
              <w:top w:val="nil"/>
              <w:left w:val="nil"/>
              <w:bottom w:val="single" w:sz="4" w:space="0" w:color="auto"/>
              <w:right w:val="single" w:sz="4" w:space="0" w:color="auto"/>
            </w:tcBorders>
            <w:shd w:val="clear" w:color="auto" w:fill="auto"/>
            <w:noWrap/>
            <w:vAlign w:val="center"/>
            <w:hideMark/>
          </w:tcPr>
          <w:p w14:paraId="53FBD6C4"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14</w:t>
            </w:r>
          </w:p>
        </w:tc>
        <w:tc>
          <w:tcPr>
            <w:tcW w:w="1277" w:type="dxa"/>
            <w:tcBorders>
              <w:top w:val="nil"/>
              <w:left w:val="nil"/>
              <w:bottom w:val="single" w:sz="4" w:space="0" w:color="auto"/>
              <w:right w:val="single" w:sz="4" w:space="0" w:color="auto"/>
            </w:tcBorders>
            <w:shd w:val="clear" w:color="auto" w:fill="auto"/>
            <w:noWrap/>
            <w:vAlign w:val="center"/>
            <w:hideMark/>
          </w:tcPr>
          <w:p w14:paraId="7F6AF564"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4.35</w:t>
            </w:r>
          </w:p>
        </w:tc>
        <w:tc>
          <w:tcPr>
            <w:tcW w:w="1416" w:type="dxa"/>
            <w:tcBorders>
              <w:top w:val="nil"/>
              <w:left w:val="nil"/>
              <w:bottom w:val="single" w:sz="4" w:space="0" w:color="auto"/>
              <w:right w:val="single" w:sz="4" w:space="0" w:color="auto"/>
            </w:tcBorders>
            <w:shd w:val="clear" w:color="auto" w:fill="auto"/>
            <w:noWrap/>
            <w:vAlign w:val="center"/>
            <w:hideMark/>
          </w:tcPr>
          <w:p w14:paraId="4554F583"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2.64</w:t>
            </w:r>
          </w:p>
        </w:tc>
        <w:tc>
          <w:tcPr>
            <w:tcW w:w="998" w:type="dxa"/>
            <w:tcBorders>
              <w:top w:val="nil"/>
              <w:left w:val="nil"/>
              <w:bottom w:val="single" w:sz="4" w:space="0" w:color="auto"/>
              <w:right w:val="single" w:sz="4" w:space="0" w:color="auto"/>
            </w:tcBorders>
            <w:shd w:val="clear" w:color="auto" w:fill="auto"/>
            <w:noWrap/>
            <w:vAlign w:val="center"/>
            <w:hideMark/>
          </w:tcPr>
          <w:p w14:paraId="675B89EA" w14:textId="2F416C85"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3DC6C25B" w14:textId="7BED093F"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0D1AE990" w14:textId="4F88BB69" w:rsidR="000810BD" w:rsidRPr="004D059E" w:rsidRDefault="000810BD" w:rsidP="000810BD">
            <w:pPr>
              <w:spacing w:after="0" w:line="240" w:lineRule="auto"/>
              <w:jc w:val="center"/>
              <w:rPr>
                <w:rFonts w:ascii="Helvetica" w:hAnsi="Helvetica" w:cs="Helvetica"/>
                <w:sz w:val="18"/>
                <w:szCs w:val="24"/>
              </w:rPr>
            </w:pPr>
          </w:p>
        </w:tc>
      </w:tr>
      <w:tr w:rsidR="000810BD" w:rsidRPr="004D059E" w14:paraId="266F465C"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0EEC94ED"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Totonicapán      </w:t>
            </w:r>
          </w:p>
        </w:tc>
        <w:tc>
          <w:tcPr>
            <w:tcW w:w="939" w:type="dxa"/>
            <w:tcBorders>
              <w:top w:val="nil"/>
              <w:left w:val="nil"/>
              <w:bottom w:val="single" w:sz="4" w:space="0" w:color="auto"/>
              <w:right w:val="single" w:sz="4" w:space="0" w:color="auto"/>
            </w:tcBorders>
            <w:shd w:val="clear" w:color="auto" w:fill="auto"/>
            <w:noWrap/>
            <w:vAlign w:val="center"/>
            <w:hideMark/>
          </w:tcPr>
          <w:p w14:paraId="2519FA00"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14</w:t>
            </w:r>
          </w:p>
        </w:tc>
        <w:tc>
          <w:tcPr>
            <w:tcW w:w="1277" w:type="dxa"/>
            <w:tcBorders>
              <w:top w:val="nil"/>
              <w:left w:val="nil"/>
              <w:bottom w:val="single" w:sz="4" w:space="0" w:color="auto"/>
              <w:right w:val="single" w:sz="4" w:space="0" w:color="auto"/>
            </w:tcBorders>
            <w:shd w:val="clear" w:color="auto" w:fill="auto"/>
            <w:noWrap/>
            <w:vAlign w:val="center"/>
            <w:hideMark/>
          </w:tcPr>
          <w:p w14:paraId="7098AACA"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5.47</w:t>
            </w:r>
          </w:p>
        </w:tc>
        <w:tc>
          <w:tcPr>
            <w:tcW w:w="1416" w:type="dxa"/>
            <w:tcBorders>
              <w:top w:val="nil"/>
              <w:left w:val="nil"/>
              <w:bottom w:val="single" w:sz="4" w:space="0" w:color="auto"/>
              <w:right w:val="single" w:sz="4" w:space="0" w:color="auto"/>
            </w:tcBorders>
            <w:shd w:val="clear" w:color="auto" w:fill="auto"/>
            <w:noWrap/>
            <w:vAlign w:val="center"/>
            <w:hideMark/>
          </w:tcPr>
          <w:p w14:paraId="2BDCEA97"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3.32</w:t>
            </w:r>
          </w:p>
        </w:tc>
        <w:tc>
          <w:tcPr>
            <w:tcW w:w="998" w:type="dxa"/>
            <w:tcBorders>
              <w:top w:val="nil"/>
              <w:left w:val="nil"/>
              <w:bottom w:val="single" w:sz="4" w:space="0" w:color="auto"/>
              <w:right w:val="single" w:sz="4" w:space="0" w:color="auto"/>
            </w:tcBorders>
            <w:shd w:val="clear" w:color="auto" w:fill="auto"/>
            <w:noWrap/>
            <w:vAlign w:val="center"/>
            <w:hideMark/>
          </w:tcPr>
          <w:p w14:paraId="55206936" w14:textId="4B8A78FF"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57712BF6" w14:textId="1A509DEA"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2BB05310" w14:textId="21C6D43B" w:rsidR="000810BD" w:rsidRPr="004D059E" w:rsidRDefault="000810BD" w:rsidP="000810BD">
            <w:pPr>
              <w:spacing w:after="0" w:line="240" w:lineRule="auto"/>
              <w:jc w:val="center"/>
              <w:rPr>
                <w:rFonts w:ascii="Helvetica" w:hAnsi="Helvetica" w:cs="Helvetica"/>
                <w:sz w:val="18"/>
                <w:szCs w:val="24"/>
              </w:rPr>
            </w:pPr>
          </w:p>
        </w:tc>
      </w:tr>
      <w:tr w:rsidR="000810BD" w:rsidRPr="004D059E" w14:paraId="5A5BE31E" w14:textId="77777777" w:rsidTr="000810BD">
        <w:trPr>
          <w:trHeight w:val="113"/>
        </w:trPr>
        <w:tc>
          <w:tcPr>
            <w:tcW w:w="1754" w:type="dxa"/>
            <w:tcBorders>
              <w:top w:val="nil"/>
              <w:left w:val="single" w:sz="8" w:space="0" w:color="auto"/>
              <w:bottom w:val="single" w:sz="4" w:space="0" w:color="auto"/>
              <w:right w:val="single" w:sz="4" w:space="0" w:color="auto"/>
            </w:tcBorders>
            <w:shd w:val="clear" w:color="auto" w:fill="auto"/>
            <w:noWrap/>
            <w:vAlign w:val="center"/>
            <w:hideMark/>
          </w:tcPr>
          <w:p w14:paraId="15EAFE15" w14:textId="77777777" w:rsidR="000810BD" w:rsidRPr="004D059E" w:rsidRDefault="000810BD" w:rsidP="000810BD">
            <w:pPr>
              <w:spacing w:after="0" w:line="240" w:lineRule="auto"/>
              <w:jc w:val="both"/>
              <w:rPr>
                <w:rFonts w:ascii="Helvetica" w:hAnsi="Helvetica" w:cs="Helvetica"/>
                <w:sz w:val="18"/>
                <w:szCs w:val="24"/>
              </w:rPr>
            </w:pPr>
            <w:r w:rsidRPr="004D059E">
              <w:rPr>
                <w:rFonts w:ascii="Helvetica" w:hAnsi="Helvetica" w:cs="Helvetica"/>
                <w:sz w:val="18"/>
                <w:szCs w:val="24"/>
              </w:rPr>
              <w:t xml:space="preserve">Zacapa         </w:t>
            </w:r>
          </w:p>
        </w:tc>
        <w:tc>
          <w:tcPr>
            <w:tcW w:w="939" w:type="dxa"/>
            <w:tcBorders>
              <w:top w:val="nil"/>
              <w:left w:val="nil"/>
              <w:bottom w:val="single" w:sz="4" w:space="0" w:color="auto"/>
              <w:right w:val="single" w:sz="4" w:space="0" w:color="auto"/>
            </w:tcBorders>
            <w:shd w:val="clear" w:color="auto" w:fill="auto"/>
            <w:noWrap/>
            <w:vAlign w:val="center"/>
            <w:hideMark/>
          </w:tcPr>
          <w:p w14:paraId="73222A1E"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10</w:t>
            </w:r>
          </w:p>
        </w:tc>
        <w:tc>
          <w:tcPr>
            <w:tcW w:w="1277" w:type="dxa"/>
            <w:tcBorders>
              <w:top w:val="nil"/>
              <w:left w:val="nil"/>
              <w:bottom w:val="single" w:sz="4" w:space="0" w:color="auto"/>
              <w:right w:val="single" w:sz="4" w:space="0" w:color="auto"/>
            </w:tcBorders>
            <w:shd w:val="clear" w:color="auto" w:fill="auto"/>
            <w:noWrap/>
            <w:vAlign w:val="center"/>
            <w:hideMark/>
          </w:tcPr>
          <w:p w14:paraId="00B6AD79"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4.38</w:t>
            </w:r>
          </w:p>
        </w:tc>
        <w:tc>
          <w:tcPr>
            <w:tcW w:w="1416" w:type="dxa"/>
            <w:tcBorders>
              <w:top w:val="nil"/>
              <w:left w:val="nil"/>
              <w:bottom w:val="single" w:sz="4" w:space="0" w:color="auto"/>
              <w:right w:val="single" w:sz="4" w:space="0" w:color="auto"/>
            </w:tcBorders>
            <w:shd w:val="clear" w:color="auto" w:fill="auto"/>
            <w:noWrap/>
            <w:vAlign w:val="center"/>
            <w:hideMark/>
          </w:tcPr>
          <w:p w14:paraId="7B29B612" w14:textId="77777777" w:rsidR="000810BD" w:rsidRPr="004D059E" w:rsidRDefault="000810BD" w:rsidP="000810BD">
            <w:pPr>
              <w:spacing w:after="0" w:line="240" w:lineRule="auto"/>
              <w:jc w:val="center"/>
              <w:rPr>
                <w:rFonts w:ascii="Helvetica" w:hAnsi="Helvetica" w:cs="Helvetica"/>
                <w:sz w:val="18"/>
                <w:szCs w:val="24"/>
              </w:rPr>
            </w:pPr>
            <w:r w:rsidRPr="004D059E">
              <w:rPr>
                <w:rFonts w:ascii="Helvetica" w:hAnsi="Helvetica" w:cs="Helvetica"/>
                <w:sz w:val="18"/>
                <w:szCs w:val="24"/>
              </w:rPr>
              <w:t>2.66</w:t>
            </w:r>
          </w:p>
        </w:tc>
        <w:tc>
          <w:tcPr>
            <w:tcW w:w="998" w:type="dxa"/>
            <w:tcBorders>
              <w:top w:val="nil"/>
              <w:left w:val="nil"/>
              <w:bottom w:val="single" w:sz="4" w:space="0" w:color="auto"/>
              <w:right w:val="single" w:sz="4" w:space="0" w:color="auto"/>
            </w:tcBorders>
            <w:shd w:val="clear" w:color="auto" w:fill="auto"/>
            <w:noWrap/>
            <w:vAlign w:val="center"/>
            <w:hideMark/>
          </w:tcPr>
          <w:p w14:paraId="0A3ADCCF" w14:textId="63C89414" w:rsidR="000810BD" w:rsidRPr="004D059E" w:rsidRDefault="000810BD" w:rsidP="000810BD">
            <w:pPr>
              <w:spacing w:after="0" w:line="240" w:lineRule="auto"/>
              <w:jc w:val="center"/>
              <w:rPr>
                <w:rFonts w:ascii="Helvetica" w:hAnsi="Helvetica" w:cs="Helvetica"/>
                <w:sz w:val="18"/>
                <w:szCs w:val="24"/>
              </w:rPr>
            </w:pPr>
          </w:p>
        </w:tc>
        <w:tc>
          <w:tcPr>
            <w:tcW w:w="1179" w:type="dxa"/>
            <w:tcBorders>
              <w:top w:val="nil"/>
              <w:left w:val="nil"/>
              <w:bottom w:val="single" w:sz="4" w:space="0" w:color="auto"/>
              <w:right w:val="single" w:sz="4" w:space="0" w:color="auto"/>
            </w:tcBorders>
            <w:shd w:val="clear" w:color="auto" w:fill="auto"/>
            <w:noWrap/>
            <w:vAlign w:val="center"/>
            <w:hideMark/>
          </w:tcPr>
          <w:p w14:paraId="0F35B16B" w14:textId="20E5A965" w:rsidR="000810BD" w:rsidRPr="004D059E" w:rsidRDefault="000810BD" w:rsidP="000810BD">
            <w:pPr>
              <w:spacing w:after="0" w:line="240" w:lineRule="auto"/>
              <w:jc w:val="center"/>
              <w:rPr>
                <w:rFonts w:ascii="Helvetica" w:hAnsi="Helvetica" w:cs="Helvetica"/>
                <w:sz w:val="18"/>
                <w:szCs w:val="24"/>
              </w:rPr>
            </w:pPr>
          </w:p>
        </w:tc>
        <w:tc>
          <w:tcPr>
            <w:tcW w:w="1357" w:type="dxa"/>
            <w:tcBorders>
              <w:top w:val="nil"/>
              <w:left w:val="nil"/>
              <w:bottom w:val="single" w:sz="4" w:space="0" w:color="auto"/>
              <w:right w:val="single" w:sz="8" w:space="0" w:color="auto"/>
            </w:tcBorders>
            <w:shd w:val="clear" w:color="auto" w:fill="auto"/>
            <w:noWrap/>
            <w:vAlign w:val="center"/>
            <w:hideMark/>
          </w:tcPr>
          <w:p w14:paraId="19E3FC89" w14:textId="25A05146" w:rsidR="000810BD" w:rsidRPr="004D059E" w:rsidRDefault="000810BD" w:rsidP="000810BD">
            <w:pPr>
              <w:spacing w:after="0" w:line="240" w:lineRule="auto"/>
              <w:jc w:val="center"/>
              <w:rPr>
                <w:rFonts w:ascii="Helvetica" w:hAnsi="Helvetica" w:cs="Helvetica"/>
                <w:sz w:val="18"/>
                <w:szCs w:val="24"/>
              </w:rPr>
            </w:pPr>
          </w:p>
        </w:tc>
      </w:tr>
      <w:tr w:rsidR="000810BD" w:rsidRPr="004D059E" w14:paraId="7EC527D6" w14:textId="77777777" w:rsidTr="000810BD">
        <w:trPr>
          <w:trHeight w:val="113"/>
        </w:trPr>
        <w:tc>
          <w:tcPr>
            <w:tcW w:w="1754" w:type="dxa"/>
            <w:tcBorders>
              <w:top w:val="nil"/>
              <w:left w:val="single" w:sz="8" w:space="0" w:color="auto"/>
              <w:bottom w:val="single" w:sz="8" w:space="0" w:color="auto"/>
              <w:right w:val="single" w:sz="4" w:space="0" w:color="auto"/>
            </w:tcBorders>
            <w:shd w:val="clear" w:color="000000" w:fill="DDEBF7"/>
            <w:noWrap/>
            <w:vAlign w:val="center"/>
            <w:hideMark/>
          </w:tcPr>
          <w:p w14:paraId="1224DD74" w14:textId="158A07A6" w:rsidR="000810BD" w:rsidRPr="004D059E" w:rsidRDefault="000810BD" w:rsidP="003B0029">
            <w:pPr>
              <w:rPr>
                <w:rFonts w:ascii="Times New Roman" w:eastAsia="Times New Roman" w:hAnsi="Times New Roman" w:cs="Times New Roman"/>
                <w:b/>
                <w:bCs/>
                <w:color w:val="000000"/>
                <w:sz w:val="20"/>
                <w:szCs w:val="20"/>
                <w:lang w:eastAsia="es-GT"/>
              </w:rPr>
            </w:pPr>
            <w:r w:rsidRPr="004D059E">
              <w:rPr>
                <w:rFonts w:ascii="Times New Roman" w:eastAsia="Times New Roman" w:hAnsi="Times New Roman" w:cs="Times New Roman"/>
                <w:b/>
                <w:bCs/>
                <w:color w:val="000000"/>
                <w:sz w:val="20"/>
                <w:szCs w:val="20"/>
                <w:lang w:eastAsia="es-GT"/>
              </w:rPr>
              <w:t>Total</w:t>
            </w:r>
          </w:p>
        </w:tc>
        <w:tc>
          <w:tcPr>
            <w:tcW w:w="939" w:type="dxa"/>
            <w:tcBorders>
              <w:top w:val="nil"/>
              <w:left w:val="nil"/>
              <w:bottom w:val="single" w:sz="8" w:space="0" w:color="auto"/>
              <w:right w:val="single" w:sz="4" w:space="0" w:color="auto"/>
            </w:tcBorders>
            <w:shd w:val="clear" w:color="000000" w:fill="DDEBF7"/>
            <w:noWrap/>
            <w:vAlign w:val="center"/>
            <w:hideMark/>
          </w:tcPr>
          <w:p w14:paraId="2B505FAB" w14:textId="77777777" w:rsidR="000810BD" w:rsidRPr="004D059E" w:rsidRDefault="000810BD" w:rsidP="00CF6A54">
            <w:pPr>
              <w:jc w:val="center"/>
              <w:rPr>
                <w:rFonts w:ascii="Times New Roman" w:eastAsia="Times New Roman" w:hAnsi="Times New Roman" w:cs="Times New Roman"/>
                <w:b/>
                <w:bCs/>
                <w:color w:val="000000"/>
                <w:sz w:val="20"/>
                <w:szCs w:val="20"/>
                <w:lang w:eastAsia="es-GT"/>
              </w:rPr>
            </w:pPr>
            <w:r w:rsidRPr="004D059E">
              <w:rPr>
                <w:rFonts w:ascii="Times New Roman" w:eastAsia="Times New Roman" w:hAnsi="Times New Roman" w:cs="Times New Roman"/>
                <w:b/>
                <w:bCs/>
                <w:color w:val="000000"/>
                <w:sz w:val="20"/>
                <w:szCs w:val="20"/>
                <w:lang w:eastAsia="es-GT"/>
              </w:rPr>
              <w:t>362</w:t>
            </w:r>
          </w:p>
        </w:tc>
        <w:tc>
          <w:tcPr>
            <w:tcW w:w="1277" w:type="dxa"/>
            <w:tcBorders>
              <w:top w:val="nil"/>
              <w:left w:val="nil"/>
              <w:bottom w:val="single" w:sz="8" w:space="0" w:color="auto"/>
              <w:right w:val="single" w:sz="4" w:space="0" w:color="auto"/>
            </w:tcBorders>
            <w:shd w:val="clear" w:color="000000" w:fill="DDEBF7"/>
            <w:noWrap/>
            <w:vAlign w:val="center"/>
            <w:hideMark/>
          </w:tcPr>
          <w:p w14:paraId="4572E342" w14:textId="77777777" w:rsidR="000810BD" w:rsidRPr="004D059E" w:rsidRDefault="000810BD" w:rsidP="00CF6A54">
            <w:pPr>
              <w:jc w:val="center"/>
              <w:rPr>
                <w:rFonts w:ascii="Times New Roman" w:eastAsia="Times New Roman" w:hAnsi="Times New Roman" w:cs="Times New Roman"/>
                <w:b/>
                <w:bCs/>
                <w:color w:val="000000"/>
                <w:sz w:val="20"/>
                <w:szCs w:val="20"/>
                <w:lang w:eastAsia="es-GT"/>
              </w:rPr>
            </w:pPr>
            <w:r w:rsidRPr="004D059E">
              <w:rPr>
                <w:rFonts w:ascii="Times New Roman" w:eastAsia="Times New Roman" w:hAnsi="Times New Roman" w:cs="Times New Roman"/>
                <w:b/>
                <w:bCs/>
                <w:color w:val="000000"/>
                <w:sz w:val="20"/>
                <w:szCs w:val="20"/>
                <w:lang w:eastAsia="es-GT"/>
              </w:rPr>
              <w:t>164.71</w:t>
            </w:r>
          </w:p>
        </w:tc>
        <w:tc>
          <w:tcPr>
            <w:tcW w:w="1416" w:type="dxa"/>
            <w:tcBorders>
              <w:top w:val="nil"/>
              <w:left w:val="nil"/>
              <w:bottom w:val="single" w:sz="8" w:space="0" w:color="auto"/>
              <w:right w:val="single" w:sz="4" w:space="0" w:color="auto"/>
            </w:tcBorders>
            <w:shd w:val="clear" w:color="000000" w:fill="DDEBF7"/>
            <w:noWrap/>
            <w:vAlign w:val="center"/>
            <w:hideMark/>
          </w:tcPr>
          <w:p w14:paraId="63854765" w14:textId="77777777" w:rsidR="000810BD" w:rsidRPr="004D059E" w:rsidRDefault="000810BD" w:rsidP="00CF6A54">
            <w:pPr>
              <w:jc w:val="center"/>
              <w:rPr>
                <w:rFonts w:ascii="Times New Roman" w:eastAsia="Times New Roman" w:hAnsi="Times New Roman" w:cs="Times New Roman"/>
                <w:b/>
                <w:bCs/>
                <w:color w:val="000000"/>
                <w:sz w:val="20"/>
                <w:szCs w:val="20"/>
                <w:lang w:eastAsia="es-GT"/>
              </w:rPr>
            </w:pPr>
            <w:r w:rsidRPr="004D059E">
              <w:rPr>
                <w:rFonts w:ascii="Times New Roman" w:eastAsia="Times New Roman" w:hAnsi="Times New Roman" w:cs="Times New Roman"/>
                <w:b/>
                <w:bCs/>
                <w:color w:val="000000"/>
                <w:sz w:val="20"/>
                <w:szCs w:val="20"/>
                <w:lang w:eastAsia="es-GT"/>
              </w:rPr>
              <w:t>100</w:t>
            </w:r>
          </w:p>
        </w:tc>
        <w:tc>
          <w:tcPr>
            <w:tcW w:w="998" w:type="dxa"/>
            <w:tcBorders>
              <w:top w:val="nil"/>
              <w:left w:val="nil"/>
              <w:bottom w:val="single" w:sz="8" w:space="0" w:color="auto"/>
              <w:right w:val="single" w:sz="4" w:space="0" w:color="auto"/>
            </w:tcBorders>
            <w:shd w:val="clear" w:color="000000" w:fill="DDEBF7"/>
            <w:noWrap/>
            <w:vAlign w:val="center"/>
            <w:hideMark/>
          </w:tcPr>
          <w:p w14:paraId="0B10E787" w14:textId="77777777" w:rsidR="000810BD" w:rsidRPr="004D059E" w:rsidRDefault="000810BD" w:rsidP="00CF6A54">
            <w:pPr>
              <w:jc w:val="center"/>
              <w:rPr>
                <w:rFonts w:ascii="Times New Roman" w:eastAsia="Times New Roman" w:hAnsi="Times New Roman" w:cs="Times New Roman"/>
                <w:b/>
                <w:bCs/>
                <w:color w:val="000000"/>
                <w:sz w:val="20"/>
                <w:szCs w:val="20"/>
                <w:lang w:eastAsia="es-GT"/>
              </w:rPr>
            </w:pPr>
            <w:r w:rsidRPr="004D059E">
              <w:rPr>
                <w:rFonts w:ascii="Times New Roman" w:eastAsia="Times New Roman" w:hAnsi="Times New Roman" w:cs="Times New Roman"/>
                <w:b/>
                <w:bCs/>
                <w:color w:val="000000"/>
                <w:sz w:val="20"/>
                <w:szCs w:val="20"/>
                <w:lang w:eastAsia="es-GT"/>
              </w:rPr>
              <w:t>2</w:t>
            </w:r>
          </w:p>
        </w:tc>
        <w:tc>
          <w:tcPr>
            <w:tcW w:w="1179" w:type="dxa"/>
            <w:tcBorders>
              <w:top w:val="nil"/>
              <w:left w:val="nil"/>
              <w:bottom w:val="single" w:sz="8" w:space="0" w:color="auto"/>
              <w:right w:val="single" w:sz="4" w:space="0" w:color="auto"/>
            </w:tcBorders>
            <w:shd w:val="clear" w:color="000000" w:fill="DDEBF7"/>
            <w:noWrap/>
            <w:vAlign w:val="center"/>
            <w:hideMark/>
          </w:tcPr>
          <w:p w14:paraId="228EE6DC" w14:textId="77777777" w:rsidR="000810BD" w:rsidRPr="004D059E" w:rsidRDefault="000810BD" w:rsidP="00CF6A54">
            <w:pPr>
              <w:jc w:val="center"/>
              <w:rPr>
                <w:rFonts w:ascii="Times New Roman" w:eastAsia="Times New Roman" w:hAnsi="Times New Roman" w:cs="Times New Roman"/>
                <w:b/>
                <w:bCs/>
                <w:color w:val="000000"/>
                <w:sz w:val="20"/>
                <w:szCs w:val="20"/>
                <w:lang w:eastAsia="es-GT"/>
              </w:rPr>
            </w:pPr>
            <w:r w:rsidRPr="004D059E">
              <w:rPr>
                <w:rFonts w:ascii="Times New Roman" w:eastAsia="Times New Roman" w:hAnsi="Times New Roman" w:cs="Times New Roman"/>
                <w:b/>
                <w:bCs/>
                <w:color w:val="000000"/>
                <w:sz w:val="20"/>
                <w:szCs w:val="20"/>
                <w:lang w:eastAsia="es-GT"/>
              </w:rPr>
              <w:t>2.94</w:t>
            </w:r>
          </w:p>
        </w:tc>
        <w:tc>
          <w:tcPr>
            <w:tcW w:w="1357" w:type="dxa"/>
            <w:tcBorders>
              <w:top w:val="nil"/>
              <w:left w:val="nil"/>
              <w:bottom w:val="single" w:sz="8" w:space="0" w:color="auto"/>
              <w:right w:val="single" w:sz="8" w:space="0" w:color="auto"/>
            </w:tcBorders>
            <w:shd w:val="clear" w:color="000000" w:fill="DDEBF7"/>
            <w:noWrap/>
            <w:vAlign w:val="center"/>
            <w:hideMark/>
          </w:tcPr>
          <w:p w14:paraId="5F3B3DF7" w14:textId="77777777" w:rsidR="000810BD" w:rsidRPr="004D059E" w:rsidRDefault="000810BD" w:rsidP="00CF6A54">
            <w:pPr>
              <w:jc w:val="center"/>
              <w:rPr>
                <w:rFonts w:ascii="Times New Roman" w:eastAsia="Times New Roman" w:hAnsi="Times New Roman" w:cs="Times New Roman"/>
                <w:b/>
                <w:bCs/>
                <w:color w:val="000000"/>
                <w:sz w:val="20"/>
                <w:szCs w:val="20"/>
                <w:lang w:eastAsia="es-GT"/>
              </w:rPr>
            </w:pPr>
            <w:r w:rsidRPr="004D059E">
              <w:rPr>
                <w:rFonts w:ascii="Times New Roman" w:eastAsia="Times New Roman" w:hAnsi="Times New Roman" w:cs="Times New Roman"/>
                <w:b/>
                <w:bCs/>
                <w:color w:val="000000"/>
                <w:sz w:val="20"/>
                <w:szCs w:val="20"/>
                <w:lang w:eastAsia="es-GT"/>
              </w:rPr>
              <w:t>0</w:t>
            </w:r>
          </w:p>
        </w:tc>
      </w:tr>
    </w:tbl>
    <w:p w14:paraId="5D68B1DF" w14:textId="77777777" w:rsidR="001912B8" w:rsidRDefault="001912B8" w:rsidP="001912B8">
      <w:pPr>
        <w:rPr>
          <w:rFonts w:ascii="Times New Roman" w:hAnsi="Times New Roman" w:cs="Times New Roman"/>
          <w:sz w:val="16"/>
          <w:szCs w:val="16"/>
        </w:rPr>
      </w:pPr>
      <w:r w:rsidRPr="00906050">
        <w:rPr>
          <w:rFonts w:ascii="Times New Roman" w:hAnsi="Times New Roman" w:cs="Times New Roman"/>
          <w:sz w:val="16"/>
          <w:szCs w:val="16"/>
        </w:rPr>
        <w:t>Fuente: elaboración SEG</w:t>
      </w:r>
      <w:r>
        <w:rPr>
          <w:rFonts w:ascii="Times New Roman" w:hAnsi="Times New Roman" w:cs="Times New Roman"/>
          <w:sz w:val="16"/>
          <w:szCs w:val="16"/>
        </w:rPr>
        <w:t>EPLAN con información del SINIP.</w:t>
      </w:r>
    </w:p>
    <w:p w14:paraId="5BEF67C5" w14:textId="77777777" w:rsidR="000810BD" w:rsidRDefault="000810BD" w:rsidP="00A47FDD">
      <w:pPr>
        <w:pStyle w:val="normalinforme"/>
        <w:rPr>
          <w:rFonts w:ascii="Helvetica" w:hAnsi="Helvetica" w:cs="Helvetica"/>
          <w:b/>
          <w:bCs/>
          <w:color w:val="1F3864" w:themeColor="accent1" w:themeShade="80"/>
          <w:sz w:val="28"/>
          <w:szCs w:val="28"/>
        </w:rPr>
      </w:pPr>
      <w:bookmarkStart w:id="103" w:name="_Toc62718056"/>
    </w:p>
    <w:p w14:paraId="0C80B3BB" w14:textId="418F73B0" w:rsidR="000810BD" w:rsidRDefault="000810BD" w:rsidP="00A47FDD">
      <w:pPr>
        <w:pStyle w:val="normalinforme"/>
        <w:rPr>
          <w:rFonts w:ascii="Helvetica" w:hAnsi="Helvetica" w:cs="Helvetica"/>
          <w:b/>
          <w:bCs/>
          <w:color w:val="1F3864" w:themeColor="accent1" w:themeShade="80"/>
          <w:sz w:val="28"/>
          <w:szCs w:val="28"/>
        </w:rPr>
      </w:pPr>
    </w:p>
    <w:p w14:paraId="3755F397" w14:textId="4531AB86" w:rsidR="003B0029" w:rsidRDefault="003B0029" w:rsidP="00A47FDD">
      <w:pPr>
        <w:pStyle w:val="normalinforme"/>
        <w:rPr>
          <w:rFonts w:ascii="Helvetica" w:hAnsi="Helvetica" w:cs="Helvetica"/>
          <w:b/>
          <w:bCs/>
          <w:color w:val="1F3864" w:themeColor="accent1" w:themeShade="80"/>
          <w:sz w:val="28"/>
          <w:szCs w:val="28"/>
        </w:rPr>
      </w:pPr>
    </w:p>
    <w:p w14:paraId="1D8E1DDB" w14:textId="77777777" w:rsidR="00AD5ABC" w:rsidRDefault="00AD5ABC" w:rsidP="00A47FDD">
      <w:pPr>
        <w:pStyle w:val="normalinforme"/>
        <w:rPr>
          <w:rFonts w:ascii="Helvetica" w:hAnsi="Helvetica" w:cs="Helvetica"/>
          <w:b/>
          <w:bCs/>
          <w:color w:val="1F3864" w:themeColor="accent1" w:themeShade="80"/>
          <w:sz w:val="28"/>
          <w:szCs w:val="28"/>
        </w:rPr>
      </w:pPr>
    </w:p>
    <w:p w14:paraId="6669A259" w14:textId="0A6CD6FF" w:rsidR="001912B8" w:rsidRPr="00A47FDD" w:rsidRDefault="001912B8" w:rsidP="00A47FDD">
      <w:pPr>
        <w:pStyle w:val="normalinforme"/>
        <w:rPr>
          <w:rFonts w:ascii="Helvetica" w:hAnsi="Helvetica" w:cs="Helvetica"/>
          <w:b/>
          <w:bCs/>
          <w:color w:val="1F3864" w:themeColor="accent1" w:themeShade="80"/>
          <w:sz w:val="28"/>
          <w:szCs w:val="28"/>
        </w:rPr>
      </w:pPr>
      <w:r w:rsidRPr="00A47FDD">
        <w:rPr>
          <w:rFonts w:ascii="Helvetica" w:hAnsi="Helvetica" w:cs="Helvetica"/>
          <w:b/>
          <w:bCs/>
          <w:color w:val="1F3864" w:themeColor="accent1" w:themeShade="80"/>
          <w:sz w:val="28"/>
          <w:szCs w:val="28"/>
        </w:rPr>
        <w:t>Inversión asignada y ejecutada a nivel nacional</w:t>
      </w:r>
      <w:bookmarkEnd w:id="103"/>
    </w:p>
    <w:p w14:paraId="7D862B70" w14:textId="77777777" w:rsidR="001912B8" w:rsidRPr="00906050" w:rsidRDefault="001912B8" w:rsidP="001912B8">
      <w:pPr>
        <w:spacing w:after="0" w:line="240" w:lineRule="auto"/>
        <w:rPr>
          <w:rFonts w:ascii="Times New Roman" w:hAnsi="Times New Roman" w:cs="Times New Roman"/>
          <w:sz w:val="16"/>
          <w:szCs w:val="16"/>
        </w:rPr>
      </w:pPr>
      <w:r w:rsidRPr="00906050">
        <w:rPr>
          <w:rFonts w:ascii="Times New Roman" w:hAnsi="Times New Roman" w:cs="Times New Roman"/>
          <w:sz w:val="16"/>
          <w:szCs w:val="16"/>
        </w:rPr>
        <w:tab/>
      </w:r>
    </w:p>
    <w:p w14:paraId="1F3D523D" w14:textId="428C6A97" w:rsidR="001912B8" w:rsidRDefault="001912B8" w:rsidP="001912B8">
      <w:pPr>
        <w:spacing w:after="0" w:line="240" w:lineRule="auto"/>
        <w:jc w:val="both"/>
        <w:rPr>
          <w:rFonts w:ascii="Helvetica" w:hAnsi="Helvetica" w:cs="Helvetica"/>
          <w:sz w:val="24"/>
          <w:szCs w:val="24"/>
        </w:rPr>
      </w:pPr>
      <w:r w:rsidRPr="00F709A7">
        <w:rPr>
          <w:rFonts w:ascii="Helvetica" w:hAnsi="Helvetica" w:cs="Helvetica"/>
          <w:sz w:val="24"/>
          <w:szCs w:val="24"/>
        </w:rPr>
        <w:t>Es importante mostrar la evolución mensual al tercer cuatrimestre del presupuesto de inversión a nivel nacional registrado en el SINIP correspondiente al Ejercicio Fiscal 2020</w:t>
      </w:r>
      <w:r w:rsidR="003B0029">
        <w:rPr>
          <w:rFonts w:ascii="Helvetica" w:hAnsi="Helvetica" w:cs="Helvetica"/>
          <w:sz w:val="24"/>
          <w:szCs w:val="24"/>
        </w:rPr>
        <w:t>.</w:t>
      </w:r>
      <w:r w:rsidRPr="00F709A7">
        <w:rPr>
          <w:rFonts w:ascii="Helvetica" w:hAnsi="Helvetica" w:cs="Helvetica"/>
          <w:sz w:val="24"/>
          <w:szCs w:val="24"/>
        </w:rPr>
        <w:t xml:space="preserve"> </w:t>
      </w:r>
      <w:r w:rsidR="003B0029">
        <w:rPr>
          <w:rFonts w:ascii="Helvetica" w:hAnsi="Helvetica" w:cs="Helvetica"/>
          <w:sz w:val="24"/>
          <w:szCs w:val="24"/>
        </w:rPr>
        <w:t>Ver</w:t>
      </w:r>
      <w:r w:rsidR="002C1F2D">
        <w:rPr>
          <w:rFonts w:ascii="Helvetica" w:hAnsi="Helvetica" w:cs="Helvetica"/>
          <w:sz w:val="24"/>
          <w:szCs w:val="24"/>
        </w:rPr>
        <w:t xml:space="preserve"> gráfica 8</w:t>
      </w:r>
      <w:r w:rsidRPr="00F709A7">
        <w:rPr>
          <w:rFonts w:ascii="Helvetica" w:hAnsi="Helvetica" w:cs="Helvetica"/>
          <w:sz w:val="24"/>
          <w:szCs w:val="24"/>
        </w:rPr>
        <w:t>.</w:t>
      </w:r>
    </w:p>
    <w:p w14:paraId="4B6C5284" w14:textId="77777777" w:rsidR="003E1E24" w:rsidRPr="00F709A7" w:rsidRDefault="003E1E24" w:rsidP="001912B8">
      <w:pPr>
        <w:spacing w:after="0" w:line="240" w:lineRule="auto"/>
        <w:jc w:val="both"/>
        <w:rPr>
          <w:rFonts w:ascii="Helvetica" w:hAnsi="Helvetica" w:cs="Helvetica"/>
          <w:sz w:val="24"/>
          <w:szCs w:val="24"/>
        </w:rPr>
      </w:pPr>
    </w:p>
    <w:p w14:paraId="5CF4B42A" w14:textId="77777777" w:rsidR="003562C1" w:rsidRPr="0059105E" w:rsidRDefault="003E1E24" w:rsidP="00F709A7">
      <w:pPr>
        <w:pStyle w:val="ttulosgrficas"/>
        <w:rPr>
          <w:color w:val="4472C4" w:themeColor="accent1"/>
        </w:rPr>
      </w:pPr>
      <w:bookmarkStart w:id="104" w:name="_Toc67377815"/>
      <w:bookmarkStart w:id="105" w:name="_Toc67381558"/>
      <w:bookmarkStart w:id="106" w:name="_Toc67589108"/>
      <w:r w:rsidRPr="0059105E">
        <w:rPr>
          <w:color w:val="4472C4" w:themeColor="accent1"/>
        </w:rPr>
        <w:t xml:space="preserve">Gráfica </w:t>
      </w:r>
      <w:r w:rsidR="007F134F" w:rsidRPr="0059105E">
        <w:rPr>
          <w:color w:val="4472C4" w:themeColor="accent1"/>
        </w:rPr>
        <w:fldChar w:fldCharType="begin"/>
      </w:r>
      <w:r w:rsidR="007F134F" w:rsidRPr="0059105E">
        <w:rPr>
          <w:color w:val="4472C4" w:themeColor="accent1"/>
        </w:rPr>
        <w:instrText xml:space="preserve"> SEQ Gráfica \* ARABIC </w:instrText>
      </w:r>
      <w:r w:rsidR="007F134F" w:rsidRPr="0059105E">
        <w:rPr>
          <w:color w:val="4472C4" w:themeColor="accent1"/>
        </w:rPr>
        <w:fldChar w:fldCharType="separate"/>
      </w:r>
      <w:r w:rsidR="00AA2593" w:rsidRPr="0059105E">
        <w:rPr>
          <w:color w:val="4472C4" w:themeColor="accent1"/>
        </w:rPr>
        <w:t>8</w:t>
      </w:r>
      <w:bookmarkEnd w:id="104"/>
      <w:bookmarkEnd w:id="105"/>
      <w:r w:rsidR="007F134F" w:rsidRPr="0059105E">
        <w:rPr>
          <w:color w:val="4472C4" w:themeColor="accent1"/>
        </w:rPr>
        <w:fldChar w:fldCharType="end"/>
      </w:r>
      <w:r w:rsidR="003562C1" w:rsidRPr="0059105E">
        <w:rPr>
          <w:color w:val="4472C4" w:themeColor="accent1"/>
        </w:rPr>
        <w:t xml:space="preserve">, </w:t>
      </w:r>
      <w:r w:rsidR="001912B8" w:rsidRPr="0059105E">
        <w:rPr>
          <w:color w:val="4472C4" w:themeColor="accent1"/>
        </w:rPr>
        <w:t>Inversión asignada y ejecutada acumulada mensual</w:t>
      </w:r>
      <w:bookmarkEnd w:id="106"/>
      <w:r w:rsidR="001912B8" w:rsidRPr="0059105E">
        <w:rPr>
          <w:color w:val="4472C4" w:themeColor="accent1"/>
        </w:rPr>
        <w:t xml:space="preserve"> </w:t>
      </w:r>
    </w:p>
    <w:p w14:paraId="5FDCAC3C" w14:textId="674F0160" w:rsidR="001912B8" w:rsidRPr="0059105E" w:rsidRDefault="001912B8" w:rsidP="00F709A7">
      <w:pPr>
        <w:pStyle w:val="ttulosgrficas"/>
        <w:rPr>
          <w:color w:val="4472C4" w:themeColor="accent1"/>
        </w:rPr>
      </w:pPr>
      <w:r w:rsidRPr="0059105E">
        <w:rPr>
          <w:color w:val="4472C4" w:themeColor="accent1"/>
        </w:rPr>
        <w:t xml:space="preserve">a nivel nacional </w:t>
      </w:r>
    </w:p>
    <w:p w14:paraId="650F06AF" w14:textId="77777777" w:rsidR="001912B8" w:rsidRDefault="001912B8" w:rsidP="001912B8">
      <w:pPr>
        <w:spacing w:after="0"/>
        <w:jc w:val="center"/>
        <w:rPr>
          <w:rFonts w:ascii="Times New Roman" w:hAnsi="Times New Roman" w:cs="Times New Roman"/>
          <w:b/>
          <w:color w:val="000000"/>
          <w:spacing w:val="-3"/>
          <w:sz w:val="20"/>
          <w:szCs w:val="20"/>
        </w:rPr>
      </w:pPr>
    </w:p>
    <w:p w14:paraId="0C8058A5" w14:textId="77777777" w:rsidR="001912B8" w:rsidRDefault="001912B8" w:rsidP="001912B8">
      <w:pPr>
        <w:spacing w:after="0"/>
        <w:jc w:val="center"/>
        <w:rPr>
          <w:rFonts w:ascii="Times New Roman" w:hAnsi="Times New Roman" w:cs="Times New Roman"/>
          <w:b/>
          <w:color w:val="000000"/>
          <w:spacing w:val="-3"/>
          <w:sz w:val="20"/>
          <w:szCs w:val="20"/>
        </w:rPr>
      </w:pPr>
      <w:r>
        <w:rPr>
          <w:noProof/>
          <w:lang w:eastAsia="es-GT"/>
        </w:rPr>
        <w:drawing>
          <wp:inline distT="0" distB="0" distL="0" distR="0" wp14:anchorId="4124249D" wp14:editId="564A5A43">
            <wp:extent cx="5886450" cy="2990850"/>
            <wp:effectExtent l="0" t="0" r="0" b="0"/>
            <wp:docPr id="12" name="Gráfico 1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0A55A5B-5A6C-4F89-B11A-04EEA6A39C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02D6535" w14:textId="7CC88C11" w:rsidR="001912B8" w:rsidRPr="00906050" w:rsidRDefault="00CF6A54" w:rsidP="001912B8">
      <w:pPr>
        <w:spacing w:after="0" w:line="240" w:lineRule="auto"/>
        <w:rPr>
          <w:rFonts w:ascii="Times New Roman" w:hAnsi="Times New Roman" w:cs="Times New Roman"/>
          <w:sz w:val="16"/>
          <w:szCs w:val="16"/>
        </w:rPr>
      </w:pPr>
      <w:r>
        <w:rPr>
          <w:rFonts w:ascii="Times New Roman" w:hAnsi="Times New Roman" w:cs="Times New Roman"/>
          <w:b/>
          <w:color w:val="000000"/>
          <w:spacing w:val="-3"/>
          <w:sz w:val="20"/>
          <w:szCs w:val="20"/>
        </w:rPr>
        <w:t xml:space="preserve">   </w:t>
      </w:r>
      <w:r w:rsidR="001912B8" w:rsidRPr="00906050">
        <w:rPr>
          <w:rFonts w:ascii="Times New Roman" w:hAnsi="Times New Roman" w:cs="Times New Roman"/>
          <w:sz w:val="16"/>
          <w:szCs w:val="16"/>
        </w:rPr>
        <w:t xml:space="preserve">Fuente: elaboración SEGEPLAN con información del SINIP al </w:t>
      </w:r>
      <w:r w:rsidR="001912B8">
        <w:rPr>
          <w:rFonts w:ascii="Times New Roman" w:hAnsi="Times New Roman" w:cs="Times New Roman"/>
          <w:sz w:val="16"/>
          <w:szCs w:val="16"/>
        </w:rPr>
        <w:t>18.01.2021</w:t>
      </w:r>
      <w:r w:rsidR="001912B8" w:rsidRPr="00906050">
        <w:rPr>
          <w:rFonts w:ascii="Times New Roman" w:hAnsi="Times New Roman" w:cs="Times New Roman"/>
          <w:sz w:val="16"/>
          <w:szCs w:val="16"/>
        </w:rPr>
        <w:t>.</w:t>
      </w:r>
    </w:p>
    <w:p w14:paraId="28907188" w14:textId="705AE4E6" w:rsidR="001912B8" w:rsidRPr="00906050" w:rsidRDefault="001912B8" w:rsidP="001912B8">
      <w:pPr>
        <w:spacing w:after="0" w:line="240" w:lineRule="auto"/>
        <w:rPr>
          <w:rFonts w:ascii="Times New Roman" w:hAnsi="Times New Roman" w:cs="Times New Roman"/>
          <w:sz w:val="16"/>
          <w:szCs w:val="16"/>
        </w:rPr>
      </w:pPr>
    </w:p>
    <w:p w14:paraId="486028A0" w14:textId="1AEF56E4" w:rsidR="001912B8" w:rsidRPr="00F709A7" w:rsidRDefault="001912B8" w:rsidP="001912B8">
      <w:pPr>
        <w:spacing w:after="0" w:line="240" w:lineRule="auto"/>
        <w:jc w:val="both"/>
        <w:rPr>
          <w:rFonts w:ascii="Helvetica" w:hAnsi="Helvetica" w:cs="Helvetica"/>
          <w:sz w:val="24"/>
          <w:szCs w:val="24"/>
        </w:rPr>
      </w:pPr>
      <w:r w:rsidRPr="00F709A7">
        <w:rPr>
          <w:rFonts w:ascii="Helvetica" w:hAnsi="Helvetica" w:cs="Helvetica"/>
          <w:sz w:val="24"/>
          <w:szCs w:val="24"/>
        </w:rPr>
        <w:t xml:space="preserve">Los datos </w:t>
      </w:r>
      <w:r w:rsidR="00F709A7" w:rsidRPr="00F709A7">
        <w:rPr>
          <w:rFonts w:ascii="Helvetica" w:hAnsi="Helvetica" w:cs="Helvetica"/>
          <w:sz w:val="24"/>
          <w:szCs w:val="24"/>
        </w:rPr>
        <w:t>muestran</w:t>
      </w:r>
      <w:r w:rsidRPr="00F709A7">
        <w:rPr>
          <w:rFonts w:ascii="Helvetica" w:hAnsi="Helvetica" w:cs="Helvetica"/>
          <w:sz w:val="24"/>
          <w:szCs w:val="24"/>
        </w:rPr>
        <w:t xml:space="preserve"> que</w:t>
      </w:r>
      <w:r w:rsidR="0064339C">
        <w:rPr>
          <w:rFonts w:ascii="Helvetica" w:hAnsi="Helvetica" w:cs="Helvetica"/>
          <w:sz w:val="24"/>
          <w:szCs w:val="24"/>
        </w:rPr>
        <w:t>,</w:t>
      </w:r>
      <w:r w:rsidRPr="00F709A7">
        <w:rPr>
          <w:rFonts w:ascii="Helvetica" w:hAnsi="Helvetica" w:cs="Helvetica"/>
          <w:sz w:val="24"/>
          <w:szCs w:val="24"/>
        </w:rPr>
        <w:t xml:space="preserve"> del  monto de Q10,886.1 millones asignados para 6,980 proyectos, las EPI reportaron el 58.48% de ejecución financiera (Q6,474.9 millones), y se hace oportuno indicar que  los factores que incidieron en el bajo nivel de la ejecución a nivel nacional, entre otros fueron, la no aprobación del presupuesto, que generó una serie de reprogramaciones de los proyectos durante el primer cuatrimestre, dificultando el inicio de la ejecución; también, la declaración de estado de calamidad COVID 19 con las disposiciones emitidas por la emergencia parar salvaguardar la vida de la población; finalmente, los efectos de las tormentas tropicales Iota y </w:t>
      </w:r>
      <w:proofErr w:type="spellStart"/>
      <w:r w:rsidRPr="00F709A7">
        <w:rPr>
          <w:rFonts w:ascii="Helvetica" w:hAnsi="Helvetica" w:cs="Helvetica"/>
          <w:sz w:val="24"/>
          <w:szCs w:val="24"/>
        </w:rPr>
        <w:t>Eta,que</w:t>
      </w:r>
      <w:proofErr w:type="spellEnd"/>
      <w:r w:rsidRPr="00F709A7">
        <w:rPr>
          <w:rFonts w:ascii="Helvetica" w:hAnsi="Helvetica" w:cs="Helvetica"/>
          <w:sz w:val="24"/>
          <w:szCs w:val="24"/>
        </w:rPr>
        <w:t xml:space="preserve"> dificultaron el proceso de ejecución de los proyectos de inversión en el territorio.</w:t>
      </w:r>
    </w:p>
    <w:p w14:paraId="2C036123" w14:textId="77777777" w:rsidR="001912B8" w:rsidRDefault="001912B8" w:rsidP="001912B8">
      <w:pPr>
        <w:jc w:val="both"/>
        <w:rPr>
          <w:rFonts w:ascii="Times New Roman" w:hAnsi="Times New Roman" w:cs="Times New Roman"/>
        </w:rPr>
      </w:pPr>
    </w:p>
    <w:p w14:paraId="18B23B7B" w14:textId="42440FA4" w:rsidR="001912B8" w:rsidRPr="003B1BD8" w:rsidRDefault="001912B8" w:rsidP="00F709A7">
      <w:pPr>
        <w:rPr>
          <w:rFonts w:ascii="Helvetica" w:hAnsi="Helvetica" w:cstheme="majorBidi"/>
          <w:b/>
          <w:color w:val="002060"/>
          <w:sz w:val="28"/>
          <w:szCs w:val="28"/>
        </w:rPr>
      </w:pPr>
      <w:bookmarkStart w:id="107" w:name="_Toc62718057"/>
      <w:r w:rsidRPr="003B1BD8">
        <w:rPr>
          <w:rFonts w:ascii="Helvetica" w:eastAsiaTheme="majorEastAsia" w:hAnsi="Helvetica" w:cstheme="majorBidi"/>
          <w:b/>
          <w:color w:val="002060"/>
          <w:sz w:val="28"/>
          <w:szCs w:val="28"/>
        </w:rPr>
        <w:t>Distribución de la inversión asignada y ejecutada a nivel</w:t>
      </w:r>
      <w:r w:rsidR="00F709A7" w:rsidRPr="003B1BD8">
        <w:rPr>
          <w:rFonts w:ascii="Helvetica" w:eastAsiaTheme="majorEastAsia" w:hAnsi="Helvetica" w:cstheme="majorBidi"/>
          <w:b/>
          <w:color w:val="002060"/>
          <w:sz w:val="28"/>
          <w:szCs w:val="28"/>
        </w:rPr>
        <w:t xml:space="preserve"> </w:t>
      </w:r>
      <w:r w:rsidRPr="003B1BD8">
        <w:rPr>
          <w:rFonts w:ascii="Helvetica" w:eastAsiaTheme="majorEastAsia" w:hAnsi="Helvetica" w:cstheme="majorBidi"/>
          <w:b/>
          <w:color w:val="002060"/>
          <w:sz w:val="28"/>
          <w:szCs w:val="28"/>
        </w:rPr>
        <w:t>nacional por función</w:t>
      </w:r>
      <w:bookmarkEnd w:id="107"/>
    </w:p>
    <w:p w14:paraId="163D9D6B" w14:textId="68C84E1D" w:rsidR="001912B8" w:rsidRPr="0083517B" w:rsidRDefault="001912B8" w:rsidP="001912B8">
      <w:pPr>
        <w:spacing w:after="0" w:line="240" w:lineRule="auto"/>
        <w:jc w:val="both"/>
        <w:rPr>
          <w:rFonts w:ascii="Helvetica" w:hAnsi="Helvetica" w:cs="Helvetica"/>
          <w:sz w:val="24"/>
          <w:szCs w:val="24"/>
        </w:rPr>
      </w:pPr>
      <w:r w:rsidRPr="0083517B">
        <w:rPr>
          <w:rFonts w:ascii="Helvetica" w:hAnsi="Helvetica" w:cs="Helvetica"/>
          <w:sz w:val="24"/>
          <w:szCs w:val="24"/>
        </w:rPr>
        <w:t>Por función</w:t>
      </w:r>
      <w:r w:rsidR="002C1F2D">
        <w:rPr>
          <w:rFonts w:ascii="Helvetica" w:hAnsi="Helvetica" w:cs="Helvetica"/>
          <w:sz w:val="24"/>
          <w:szCs w:val="24"/>
        </w:rPr>
        <w:t>,</w:t>
      </w:r>
      <w:r w:rsidRPr="0083517B">
        <w:rPr>
          <w:rFonts w:ascii="Helvetica" w:hAnsi="Helvetica" w:cs="Helvetica"/>
          <w:sz w:val="24"/>
          <w:szCs w:val="24"/>
        </w:rPr>
        <w:t xml:space="preserve"> en </w:t>
      </w:r>
      <w:r w:rsidR="002C1F2D">
        <w:rPr>
          <w:rFonts w:ascii="Helvetica" w:hAnsi="Helvetica" w:cs="Helvetica"/>
          <w:sz w:val="24"/>
          <w:szCs w:val="24"/>
        </w:rPr>
        <w:t>la tabla 40</w:t>
      </w:r>
      <w:r w:rsidRPr="0083517B">
        <w:rPr>
          <w:rFonts w:ascii="Helvetica" w:hAnsi="Helvetica" w:cs="Helvetica"/>
          <w:sz w:val="24"/>
          <w:szCs w:val="24"/>
        </w:rPr>
        <w:t xml:space="preserve"> se presentan la inversión asignada y ejecutada al finalizar el tercer cuatrimestre.</w:t>
      </w:r>
    </w:p>
    <w:p w14:paraId="54CCD0CF" w14:textId="77777777" w:rsidR="001912B8" w:rsidRDefault="001912B8" w:rsidP="001912B8">
      <w:pPr>
        <w:spacing w:after="0"/>
        <w:ind w:hanging="142"/>
        <w:jc w:val="center"/>
        <w:rPr>
          <w:rFonts w:ascii="Times New Roman" w:hAnsi="Times New Roman" w:cs="Times New Roman"/>
          <w:b/>
          <w:color w:val="000000"/>
          <w:spacing w:val="-3"/>
        </w:rPr>
      </w:pPr>
    </w:p>
    <w:p w14:paraId="50738537" w14:textId="644AB1A3" w:rsidR="001912B8" w:rsidRDefault="001912B8" w:rsidP="001912B8">
      <w:pPr>
        <w:spacing w:after="0"/>
        <w:ind w:hanging="142"/>
        <w:jc w:val="center"/>
        <w:rPr>
          <w:rFonts w:ascii="Times New Roman" w:hAnsi="Times New Roman" w:cs="Times New Roman"/>
          <w:b/>
          <w:color w:val="000000"/>
          <w:spacing w:val="-3"/>
        </w:rPr>
      </w:pPr>
    </w:p>
    <w:p w14:paraId="208DB446" w14:textId="77777777" w:rsidR="003562C1" w:rsidRDefault="003562C1" w:rsidP="001912B8">
      <w:pPr>
        <w:spacing w:after="0"/>
        <w:ind w:hanging="142"/>
        <w:jc w:val="center"/>
        <w:rPr>
          <w:rFonts w:ascii="Times New Roman" w:hAnsi="Times New Roman" w:cs="Times New Roman"/>
          <w:b/>
          <w:color w:val="000000"/>
          <w:spacing w:val="-3"/>
        </w:rPr>
      </w:pPr>
    </w:p>
    <w:p w14:paraId="34ED54F1" w14:textId="77777777" w:rsidR="00444E51" w:rsidRDefault="00444E51" w:rsidP="002C1F2D">
      <w:pPr>
        <w:spacing w:after="0" w:line="240" w:lineRule="auto"/>
        <w:jc w:val="center"/>
        <w:rPr>
          <w:rFonts w:ascii="Helvetica" w:hAnsi="Helvetica" w:cs="Helvetica"/>
          <w:sz w:val="24"/>
          <w:szCs w:val="24"/>
        </w:rPr>
      </w:pPr>
    </w:p>
    <w:p w14:paraId="45518D5D" w14:textId="5314E965" w:rsidR="001912B8" w:rsidRPr="0059105E" w:rsidRDefault="002C1F2D" w:rsidP="0083517B">
      <w:pPr>
        <w:pStyle w:val="ttulosgrficas"/>
        <w:rPr>
          <w:color w:val="4472C4" w:themeColor="accent1"/>
        </w:rPr>
      </w:pPr>
      <w:bookmarkStart w:id="108" w:name="_Toc67589153"/>
      <w:r w:rsidRPr="0059105E">
        <w:rPr>
          <w:color w:val="4472C4" w:themeColor="accent1"/>
        </w:rPr>
        <w:t xml:space="preserve">Tabla </w:t>
      </w:r>
      <w:r w:rsidR="007F134F" w:rsidRPr="0059105E">
        <w:rPr>
          <w:color w:val="4472C4" w:themeColor="accent1"/>
        </w:rPr>
        <w:fldChar w:fldCharType="begin"/>
      </w:r>
      <w:r w:rsidR="007F134F" w:rsidRPr="0059105E">
        <w:rPr>
          <w:color w:val="4472C4" w:themeColor="accent1"/>
        </w:rPr>
        <w:instrText xml:space="preserve"> SEQ Tabla \* ARABIC </w:instrText>
      </w:r>
      <w:r w:rsidR="007F134F" w:rsidRPr="0059105E">
        <w:rPr>
          <w:color w:val="4472C4" w:themeColor="accent1"/>
        </w:rPr>
        <w:fldChar w:fldCharType="separate"/>
      </w:r>
      <w:r w:rsidR="00AA2593" w:rsidRPr="0059105E">
        <w:rPr>
          <w:color w:val="4472C4" w:themeColor="accent1"/>
        </w:rPr>
        <w:t>40</w:t>
      </w:r>
      <w:r w:rsidR="007F134F" w:rsidRPr="0059105E">
        <w:rPr>
          <w:color w:val="4472C4" w:themeColor="accent1"/>
        </w:rPr>
        <w:fldChar w:fldCharType="end"/>
      </w:r>
      <w:r w:rsidR="003562C1" w:rsidRPr="0059105E">
        <w:rPr>
          <w:color w:val="4472C4" w:themeColor="accent1"/>
        </w:rPr>
        <w:t xml:space="preserve">, </w:t>
      </w:r>
      <w:r w:rsidR="001912B8" w:rsidRPr="0059105E">
        <w:rPr>
          <w:color w:val="4472C4" w:themeColor="accent1"/>
        </w:rPr>
        <w:t xml:space="preserve">Inversión asignada y ejecutada a nivel nacional por </w:t>
      </w:r>
      <w:r w:rsidR="00F709A7" w:rsidRPr="0059105E">
        <w:rPr>
          <w:color w:val="4472C4" w:themeColor="accent1"/>
        </w:rPr>
        <w:t>función</w:t>
      </w:r>
      <w:r w:rsidR="001912B8" w:rsidRPr="0059105E">
        <w:rPr>
          <w:color w:val="4472C4" w:themeColor="accent1"/>
        </w:rPr>
        <w:t xml:space="preserve"> y cantidad de proyectos</w:t>
      </w:r>
      <w:bookmarkEnd w:id="108"/>
    </w:p>
    <w:p w14:paraId="30F06841" w14:textId="77777777" w:rsidR="00444E51" w:rsidRPr="00906050" w:rsidRDefault="00444E51" w:rsidP="00444E51">
      <w:pPr>
        <w:pStyle w:val="ttulosgrficas"/>
        <w:spacing w:line="120" w:lineRule="auto"/>
      </w:pPr>
    </w:p>
    <w:tbl>
      <w:tblPr>
        <w:tblW w:w="5172" w:type="pct"/>
        <w:tblLayout w:type="fixed"/>
        <w:tblCellMar>
          <w:left w:w="70" w:type="dxa"/>
          <w:right w:w="70" w:type="dxa"/>
        </w:tblCellMar>
        <w:tblLook w:val="04A0" w:firstRow="1" w:lastRow="0" w:firstColumn="1" w:lastColumn="0" w:noHBand="0" w:noVBand="1"/>
      </w:tblPr>
      <w:tblGrid>
        <w:gridCol w:w="1827"/>
        <w:gridCol w:w="1079"/>
        <w:gridCol w:w="1057"/>
        <w:gridCol w:w="1232"/>
        <w:gridCol w:w="1069"/>
        <w:gridCol w:w="1069"/>
        <w:gridCol w:w="1234"/>
        <w:gridCol w:w="1260"/>
      </w:tblGrid>
      <w:tr w:rsidR="001912B8" w:rsidRPr="00E87AB9" w14:paraId="4ED8696C" w14:textId="77777777" w:rsidTr="00444E51">
        <w:trPr>
          <w:trHeight w:val="480"/>
        </w:trPr>
        <w:tc>
          <w:tcPr>
            <w:tcW w:w="929"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514DF76"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Función</w:t>
            </w:r>
          </w:p>
        </w:tc>
        <w:tc>
          <w:tcPr>
            <w:tcW w:w="549"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CCD7E25"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Cantidad de proyectos</w:t>
            </w:r>
          </w:p>
        </w:tc>
        <w:tc>
          <w:tcPr>
            <w:tcW w:w="538"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026D27D6"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Monto asignado</w:t>
            </w:r>
          </w:p>
        </w:tc>
        <w:tc>
          <w:tcPr>
            <w:tcW w:w="627"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309E00C7"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Porcentaje relativo</w:t>
            </w:r>
          </w:p>
        </w:tc>
        <w:tc>
          <w:tcPr>
            <w:tcW w:w="544"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3890A970"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Cantidad de proyectos</w:t>
            </w:r>
          </w:p>
        </w:tc>
        <w:tc>
          <w:tcPr>
            <w:tcW w:w="544"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20C101AF"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Monto ejecutado</w:t>
            </w:r>
          </w:p>
        </w:tc>
        <w:tc>
          <w:tcPr>
            <w:tcW w:w="628"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276A61CE"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Porcentaje ejecución financiera</w:t>
            </w:r>
          </w:p>
        </w:tc>
        <w:tc>
          <w:tcPr>
            <w:tcW w:w="64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3736DD66" w14:textId="34F4B50B"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Porcentaje promedio</w:t>
            </w:r>
            <w:r w:rsidR="0064339C">
              <w:rPr>
                <w:rFonts w:ascii="Helvetica" w:eastAsia="Times New Roman" w:hAnsi="Helvetica" w:cs="Helvetica"/>
                <w:b/>
                <w:bCs/>
                <w:sz w:val="18"/>
                <w:szCs w:val="18"/>
                <w:lang w:eastAsia="es-GT"/>
              </w:rPr>
              <w:t xml:space="preserve"> de</w:t>
            </w:r>
            <w:r w:rsidRPr="008F7682">
              <w:rPr>
                <w:rFonts w:ascii="Helvetica" w:eastAsia="Times New Roman" w:hAnsi="Helvetica" w:cs="Helvetica"/>
                <w:b/>
                <w:bCs/>
                <w:sz w:val="18"/>
                <w:szCs w:val="18"/>
                <w:lang w:eastAsia="es-GT"/>
              </w:rPr>
              <w:t xml:space="preserve"> avance físico</w:t>
            </w:r>
          </w:p>
        </w:tc>
      </w:tr>
      <w:tr w:rsidR="001912B8" w:rsidRPr="00E87AB9" w14:paraId="1A1C9FCE" w14:textId="77777777" w:rsidTr="00444E51">
        <w:trPr>
          <w:trHeight w:val="255"/>
        </w:trPr>
        <w:tc>
          <w:tcPr>
            <w:tcW w:w="929" w:type="pct"/>
            <w:tcBorders>
              <w:top w:val="single" w:sz="4" w:space="0" w:color="auto"/>
              <w:left w:val="single" w:sz="4" w:space="0" w:color="auto"/>
              <w:right w:val="single" w:sz="4" w:space="0" w:color="auto"/>
            </w:tcBorders>
            <w:shd w:val="clear" w:color="auto" w:fill="auto"/>
            <w:vAlign w:val="center"/>
            <w:hideMark/>
          </w:tcPr>
          <w:p w14:paraId="5F512621"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Administración Fiscal</w:t>
            </w:r>
          </w:p>
        </w:tc>
        <w:tc>
          <w:tcPr>
            <w:tcW w:w="549" w:type="pct"/>
            <w:tcBorders>
              <w:top w:val="nil"/>
              <w:left w:val="nil"/>
              <w:bottom w:val="single" w:sz="4" w:space="0" w:color="auto"/>
              <w:right w:val="single" w:sz="4" w:space="0" w:color="auto"/>
            </w:tcBorders>
            <w:shd w:val="clear" w:color="auto" w:fill="auto"/>
            <w:noWrap/>
            <w:vAlign w:val="center"/>
            <w:hideMark/>
          </w:tcPr>
          <w:p w14:paraId="4730AE4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w:t>
            </w:r>
          </w:p>
        </w:tc>
        <w:tc>
          <w:tcPr>
            <w:tcW w:w="538" w:type="pct"/>
            <w:tcBorders>
              <w:top w:val="nil"/>
              <w:left w:val="nil"/>
              <w:bottom w:val="single" w:sz="4" w:space="0" w:color="auto"/>
              <w:right w:val="single" w:sz="4" w:space="0" w:color="auto"/>
            </w:tcBorders>
            <w:shd w:val="clear" w:color="auto" w:fill="auto"/>
            <w:noWrap/>
            <w:vAlign w:val="center"/>
            <w:hideMark/>
          </w:tcPr>
          <w:p w14:paraId="319AE862"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6.32</w:t>
            </w:r>
          </w:p>
        </w:tc>
        <w:tc>
          <w:tcPr>
            <w:tcW w:w="627" w:type="pct"/>
            <w:tcBorders>
              <w:top w:val="nil"/>
              <w:left w:val="nil"/>
              <w:bottom w:val="single" w:sz="4" w:space="0" w:color="auto"/>
              <w:right w:val="single" w:sz="4" w:space="0" w:color="auto"/>
            </w:tcBorders>
            <w:shd w:val="clear" w:color="auto" w:fill="auto"/>
            <w:noWrap/>
            <w:vAlign w:val="center"/>
            <w:hideMark/>
          </w:tcPr>
          <w:p w14:paraId="1ED1C47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0.06</w:t>
            </w:r>
          </w:p>
        </w:tc>
        <w:tc>
          <w:tcPr>
            <w:tcW w:w="544" w:type="pct"/>
            <w:tcBorders>
              <w:top w:val="nil"/>
              <w:left w:val="nil"/>
              <w:bottom w:val="single" w:sz="4" w:space="0" w:color="auto"/>
              <w:right w:val="single" w:sz="4" w:space="0" w:color="auto"/>
            </w:tcBorders>
            <w:shd w:val="clear" w:color="auto" w:fill="auto"/>
            <w:noWrap/>
            <w:vAlign w:val="center"/>
            <w:hideMark/>
          </w:tcPr>
          <w:p w14:paraId="706B641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w:t>
            </w:r>
          </w:p>
        </w:tc>
        <w:tc>
          <w:tcPr>
            <w:tcW w:w="544" w:type="pct"/>
            <w:tcBorders>
              <w:top w:val="nil"/>
              <w:left w:val="nil"/>
              <w:bottom w:val="single" w:sz="4" w:space="0" w:color="auto"/>
              <w:right w:val="single" w:sz="4" w:space="0" w:color="auto"/>
            </w:tcBorders>
            <w:shd w:val="clear" w:color="auto" w:fill="auto"/>
            <w:noWrap/>
            <w:vAlign w:val="center"/>
            <w:hideMark/>
          </w:tcPr>
          <w:p w14:paraId="62EBDC83"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1.85</w:t>
            </w:r>
          </w:p>
        </w:tc>
        <w:tc>
          <w:tcPr>
            <w:tcW w:w="628" w:type="pct"/>
            <w:tcBorders>
              <w:top w:val="nil"/>
              <w:left w:val="nil"/>
              <w:bottom w:val="single" w:sz="4" w:space="0" w:color="auto"/>
              <w:right w:val="single" w:sz="4" w:space="0" w:color="auto"/>
            </w:tcBorders>
            <w:shd w:val="clear" w:color="auto" w:fill="auto"/>
            <w:noWrap/>
            <w:vAlign w:val="center"/>
            <w:hideMark/>
          </w:tcPr>
          <w:p w14:paraId="0D7767B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29.27</w:t>
            </w:r>
          </w:p>
        </w:tc>
        <w:tc>
          <w:tcPr>
            <w:tcW w:w="642" w:type="pct"/>
            <w:tcBorders>
              <w:top w:val="nil"/>
              <w:left w:val="nil"/>
              <w:bottom w:val="single" w:sz="4" w:space="0" w:color="auto"/>
              <w:right w:val="single" w:sz="4" w:space="0" w:color="auto"/>
            </w:tcBorders>
            <w:shd w:val="clear" w:color="auto" w:fill="auto"/>
            <w:noWrap/>
            <w:vAlign w:val="center"/>
            <w:hideMark/>
          </w:tcPr>
          <w:p w14:paraId="38D3381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42.06</w:t>
            </w:r>
          </w:p>
        </w:tc>
      </w:tr>
      <w:tr w:rsidR="001912B8" w:rsidRPr="00E87AB9" w14:paraId="09E55586" w14:textId="77777777" w:rsidTr="00444E51">
        <w:trPr>
          <w:trHeight w:val="255"/>
        </w:trPr>
        <w:tc>
          <w:tcPr>
            <w:tcW w:w="929" w:type="pct"/>
            <w:tcBorders>
              <w:left w:val="single" w:sz="4" w:space="0" w:color="auto"/>
              <w:bottom w:val="single" w:sz="4" w:space="0" w:color="auto"/>
              <w:right w:val="single" w:sz="4" w:space="0" w:color="auto"/>
            </w:tcBorders>
            <w:shd w:val="clear" w:color="auto" w:fill="auto"/>
            <w:vAlign w:val="center"/>
            <w:hideMark/>
          </w:tcPr>
          <w:p w14:paraId="572B718F"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Agropecuario</w:t>
            </w:r>
          </w:p>
        </w:tc>
        <w:tc>
          <w:tcPr>
            <w:tcW w:w="549" w:type="pct"/>
            <w:tcBorders>
              <w:top w:val="nil"/>
              <w:left w:val="nil"/>
              <w:bottom w:val="single" w:sz="4" w:space="0" w:color="auto"/>
              <w:right w:val="single" w:sz="4" w:space="0" w:color="auto"/>
            </w:tcBorders>
            <w:shd w:val="clear" w:color="auto" w:fill="auto"/>
            <w:noWrap/>
            <w:vAlign w:val="center"/>
            <w:hideMark/>
          </w:tcPr>
          <w:p w14:paraId="38B05EF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76</w:t>
            </w:r>
          </w:p>
        </w:tc>
        <w:tc>
          <w:tcPr>
            <w:tcW w:w="538" w:type="pct"/>
            <w:tcBorders>
              <w:top w:val="nil"/>
              <w:left w:val="nil"/>
              <w:bottom w:val="single" w:sz="4" w:space="0" w:color="auto"/>
              <w:right w:val="single" w:sz="4" w:space="0" w:color="auto"/>
            </w:tcBorders>
            <w:shd w:val="clear" w:color="auto" w:fill="auto"/>
            <w:noWrap/>
            <w:vAlign w:val="center"/>
            <w:hideMark/>
          </w:tcPr>
          <w:p w14:paraId="61388977"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82.03</w:t>
            </w:r>
          </w:p>
        </w:tc>
        <w:tc>
          <w:tcPr>
            <w:tcW w:w="627" w:type="pct"/>
            <w:tcBorders>
              <w:top w:val="nil"/>
              <w:left w:val="nil"/>
              <w:bottom w:val="single" w:sz="4" w:space="0" w:color="auto"/>
              <w:right w:val="single" w:sz="4" w:space="0" w:color="auto"/>
            </w:tcBorders>
            <w:shd w:val="clear" w:color="auto" w:fill="auto"/>
            <w:noWrap/>
            <w:vAlign w:val="center"/>
            <w:hideMark/>
          </w:tcPr>
          <w:p w14:paraId="50FE829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0.75</w:t>
            </w:r>
          </w:p>
        </w:tc>
        <w:tc>
          <w:tcPr>
            <w:tcW w:w="544" w:type="pct"/>
            <w:tcBorders>
              <w:top w:val="nil"/>
              <w:left w:val="nil"/>
              <w:bottom w:val="single" w:sz="4" w:space="0" w:color="auto"/>
              <w:right w:val="single" w:sz="4" w:space="0" w:color="auto"/>
            </w:tcBorders>
            <w:shd w:val="clear" w:color="auto" w:fill="auto"/>
            <w:noWrap/>
            <w:vAlign w:val="center"/>
            <w:hideMark/>
          </w:tcPr>
          <w:p w14:paraId="4EE54F1F"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70</w:t>
            </w:r>
          </w:p>
        </w:tc>
        <w:tc>
          <w:tcPr>
            <w:tcW w:w="544" w:type="pct"/>
            <w:tcBorders>
              <w:top w:val="nil"/>
              <w:left w:val="nil"/>
              <w:bottom w:val="single" w:sz="4" w:space="0" w:color="auto"/>
              <w:right w:val="single" w:sz="4" w:space="0" w:color="auto"/>
            </w:tcBorders>
            <w:shd w:val="clear" w:color="auto" w:fill="auto"/>
            <w:noWrap/>
            <w:vAlign w:val="center"/>
            <w:hideMark/>
          </w:tcPr>
          <w:p w14:paraId="4E1937CB"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41.57</w:t>
            </w:r>
          </w:p>
        </w:tc>
        <w:tc>
          <w:tcPr>
            <w:tcW w:w="628" w:type="pct"/>
            <w:tcBorders>
              <w:top w:val="nil"/>
              <w:left w:val="nil"/>
              <w:bottom w:val="single" w:sz="4" w:space="0" w:color="auto"/>
              <w:right w:val="single" w:sz="4" w:space="0" w:color="auto"/>
            </w:tcBorders>
            <w:shd w:val="clear" w:color="auto" w:fill="auto"/>
            <w:noWrap/>
            <w:vAlign w:val="center"/>
            <w:hideMark/>
          </w:tcPr>
          <w:p w14:paraId="387E574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50.68</w:t>
            </w:r>
          </w:p>
        </w:tc>
        <w:tc>
          <w:tcPr>
            <w:tcW w:w="642" w:type="pct"/>
            <w:tcBorders>
              <w:top w:val="nil"/>
              <w:left w:val="nil"/>
              <w:bottom w:val="single" w:sz="4" w:space="0" w:color="auto"/>
              <w:right w:val="single" w:sz="4" w:space="0" w:color="auto"/>
            </w:tcBorders>
            <w:shd w:val="clear" w:color="auto" w:fill="auto"/>
            <w:noWrap/>
            <w:vAlign w:val="center"/>
            <w:hideMark/>
          </w:tcPr>
          <w:p w14:paraId="61E784F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79.23</w:t>
            </w:r>
          </w:p>
        </w:tc>
      </w:tr>
      <w:tr w:rsidR="001912B8" w:rsidRPr="00E87AB9" w14:paraId="3B09CA09"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3E0E9BF8"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Agua y Saneamiento</w:t>
            </w:r>
          </w:p>
        </w:tc>
        <w:tc>
          <w:tcPr>
            <w:tcW w:w="549" w:type="pct"/>
            <w:tcBorders>
              <w:top w:val="nil"/>
              <w:left w:val="nil"/>
              <w:bottom w:val="single" w:sz="4" w:space="0" w:color="auto"/>
              <w:right w:val="single" w:sz="4" w:space="0" w:color="auto"/>
            </w:tcBorders>
            <w:shd w:val="clear" w:color="auto" w:fill="auto"/>
            <w:noWrap/>
            <w:vAlign w:val="bottom"/>
            <w:hideMark/>
          </w:tcPr>
          <w:p w14:paraId="51824BF7"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1488</w:t>
            </w:r>
          </w:p>
        </w:tc>
        <w:tc>
          <w:tcPr>
            <w:tcW w:w="538" w:type="pct"/>
            <w:tcBorders>
              <w:top w:val="nil"/>
              <w:left w:val="nil"/>
              <w:bottom w:val="single" w:sz="4" w:space="0" w:color="auto"/>
              <w:right w:val="single" w:sz="4" w:space="0" w:color="auto"/>
            </w:tcBorders>
            <w:shd w:val="clear" w:color="auto" w:fill="auto"/>
            <w:noWrap/>
            <w:vAlign w:val="bottom"/>
            <w:hideMark/>
          </w:tcPr>
          <w:p w14:paraId="0EA91887"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1,976.60</w:t>
            </w:r>
          </w:p>
        </w:tc>
        <w:tc>
          <w:tcPr>
            <w:tcW w:w="627" w:type="pct"/>
            <w:tcBorders>
              <w:top w:val="nil"/>
              <w:left w:val="nil"/>
              <w:bottom w:val="single" w:sz="4" w:space="0" w:color="auto"/>
              <w:right w:val="single" w:sz="4" w:space="0" w:color="auto"/>
            </w:tcBorders>
            <w:shd w:val="clear" w:color="auto" w:fill="auto"/>
            <w:noWrap/>
            <w:vAlign w:val="center"/>
            <w:hideMark/>
          </w:tcPr>
          <w:p w14:paraId="081EA5B3"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18.16</w:t>
            </w:r>
          </w:p>
        </w:tc>
        <w:tc>
          <w:tcPr>
            <w:tcW w:w="544" w:type="pct"/>
            <w:tcBorders>
              <w:top w:val="nil"/>
              <w:left w:val="nil"/>
              <w:bottom w:val="single" w:sz="4" w:space="0" w:color="auto"/>
              <w:right w:val="single" w:sz="4" w:space="0" w:color="auto"/>
            </w:tcBorders>
            <w:shd w:val="clear" w:color="auto" w:fill="auto"/>
            <w:noWrap/>
            <w:vAlign w:val="bottom"/>
            <w:hideMark/>
          </w:tcPr>
          <w:p w14:paraId="1AC76F6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1325</w:t>
            </w:r>
          </w:p>
        </w:tc>
        <w:tc>
          <w:tcPr>
            <w:tcW w:w="544" w:type="pct"/>
            <w:tcBorders>
              <w:top w:val="nil"/>
              <w:left w:val="nil"/>
              <w:bottom w:val="single" w:sz="4" w:space="0" w:color="auto"/>
              <w:right w:val="single" w:sz="4" w:space="0" w:color="auto"/>
            </w:tcBorders>
            <w:shd w:val="clear" w:color="auto" w:fill="auto"/>
            <w:noWrap/>
            <w:vAlign w:val="bottom"/>
            <w:hideMark/>
          </w:tcPr>
          <w:p w14:paraId="7009EF80"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1,185.27</w:t>
            </w:r>
          </w:p>
        </w:tc>
        <w:tc>
          <w:tcPr>
            <w:tcW w:w="628" w:type="pct"/>
            <w:tcBorders>
              <w:top w:val="nil"/>
              <w:left w:val="nil"/>
              <w:bottom w:val="single" w:sz="4" w:space="0" w:color="auto"/>
              <w:right w:val="single" w:sz="4" w:space="0" w:color="auto"/>
            </w:tcBorders>
            <w:shd w:val="clear" w:color="auto" w:fill="auto"/>
            <w:noWrap/>
            <w:vAlign w:val="center"/>
            <w:hideMark/>
          </w:tcPr>
          <w:p w14:paraId="4835F1F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59.97</w:t>
            </w:r>
          </w:p>
        </w:tc>
        <w:tc>
          <w:tcPr>
            <w:tcW w:w="642" w:type="pct"/>
            <w:tcBorders>
              <w:top w:val="nil"/>
              <w:left w:val="nil"/>
              <w:bottom w:val="single" w:sz="4" w:space="0" w:color="auto"/>
              <w:right w:val="single" w:sz="4" w:space="0" w:color="auto"/>
            </w:tcBorders>
            <w:shd w:val="clear" w:color="auto" w:fill="auto"/>
            <w:noWrap/>
            <w:vAlign w:val="bottom"/>
            <w:hideMark/>
          </w:tcPr>
          <w:p w14:paraId="5890834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83.09</w:t>
            </w:r>
          </w:p>
        </w:tc>
      </w:tr>
      <w:tr w:rsidR="001912B8" w:rsidRPr="00E87AB9" w14:paraId="37064F6F"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0198836E"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Ciencia y Tecnología</w:t>
            </w:r>
          </w:p>
        </w:tc>
        <w:tc>
          <w:tcPr>
            <w:tcW w:w="549" w:type="pct"/>
            <w:tcBorders>
              <w:top w:val="nil"/>
              <w:left w:val="nil"/>
              <w:bottom w:val="single" w:sz="4" w:space="0" w:color="auto"/>
              <w:right w:val="single" w:sz="4" w:space="0" w:color="auto"/>
            </w:tcBorders>
            <w:shd w:val="clear" w:color="auto" w:fill="auto"/>
            <w:noWrap/>
            <w:vAlign w:val="bottom"/>
            <w:hideMark/>
          </w:tcPr>
          <w:p w14:paraId="52F6C35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w:t>
            </w:r>
          </w:p>
        </w:tc>
        <w:tc>
          <w:tcPr>
            <w:tcW w:w="538" w:type="pct"/>
            <w:tcBorders>
              <w:top w:val="nil"/>
              <w:left w:val="nil"/>
              <w:bottom w:val="single" w:sz="4" w:space="0" w:color="auto"/>
              <w:right w:val="single" w:sz="4" w:space="0" w:color="auto"/>
            </w:tcBorders>
            <w:shd w:val="clear" w:color="auto" w:fill="auto"/>
            <w:noWrap/>
            <w:vAlign w:val="bottom"/>
            <w:hideMark/>
          </w:tcPr>
          <w:p w14:paraId="5FB1ADA9"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11.95</w:t>
            </w:r>
          </w:p>
        </w:tc>
        <w:tc>
          <w:tcPr>
            <w:tcW w:w="627" w:type="pct"/>
            <w:tcBorders>
              <w:top w:val="nil"/>
              <w:left w:val="nil"/>
              <w:bottom w:val="single" w:sz="4" w:space="0" w:color="auto"/>
              <w:right w:val="single" w:sz="4" w:space="0" w:color="auto"/>
            </w:tcBorders>
            <w:shd w:val="clear" w:color="auto" w:fill="auto"/>
            <w:noWrap/>
            <w:vAlign w:val="center"/>
            <w:hideMark/>
          </w:tcPr>
          <w:p w14:paraId="3E6020C2"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0.11</w:t>
            </w:r>
          </w:p>
        </w:tc>
        <w:tc>
          <w:tcPr>
            <w:tcW w:w="544" w:type="pct"/>
            <w:tcBorders>
              <w:top w:val="nil"/>
              <w:left w:val="nil"/>
              <w:bottom w:val="single" w:sz="4" w:space="0" w:color="auto"/>
              <w:right w:val="single" w:sz="4" w:space="0" w:color="auto"/>
            </w:tcBorders>
            <w:shd w:val="clear" w:color="auto" w:fill="auto"/>
            <w:noWrap/>
            <w:vAlign w:val="bottom"/>
            <w:hideMark/>
          </w:tcPr>
          <w:p w14:paraId="08D58FB1"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w:t>
            </w:r>
          </w:p>
        </w:tc>
        <w:tc>
          <w:tcPr>
            <w:tcW w:w="544" w:type="pct"/>
            <w:tcBorders>
              <w:top w:val="nil"/>
              <w:left w:val="nil"/>
              <w:bottom w:val="single" w:sz="4" w:space="0" w:color="auto"/>
              <w:right w:val="single" w:sz="4" w:space="0" w:color="auto"/>
            </w:tcBorders>
            <w:shd w:val="clear" w:color="auto" w:fill="auto"/>
            <w:noWrap/>
            <w:vAlign w:val="bottom"/>
            <w:hideMark/>
          </w:tcPr>
          <w:p w14:paraId="03F62B48"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1.89</w:t>
            </w:r>
          </w:p>
        </w:tc>
        <w:tc>
          <w:tcPr>
            <w:tcW w:w="628" w:type="pct"/>
            <w:tcBorders>
              <w:top w:val="nil"/>
              <w:left w:val="nil"/>
              <w:bottom w:val="single" w:sz="4" w:space="0" w:color="auto"/>
              <w:right w:val="single" w:sz="4" w:space="0" w:color="auto"/>
            </w:tcBorders>
            <w:shd w:val="clear" w:color="auto" w:fill="auto"/>
            <w:noWrap/>
            <w:vAlign w:val="center"/>
            <w:hideMark/>
          </w:tcPr>
          <w:p w14:paraId="15E7228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15.82</w:t>
            </w:r>
          </w:p>
        </w:tc>
        <w:tc>
          <w:tcPr>
            <w:tcW w:w="642" w:type="pct"/>
            <w:tcBorders>
              <w:top w:val="nil"/>
              <w:left w:val="nil"/>
              <w:bottom w:val="single" w:sz="4" w:space="0" w:color="auto"/>
              <w:right w:val="single" w:sz="4" w:space="0" w:color="auto"/>
            </w:tcBorders>
            <w:shd w:val="clear" w:color="auto" w:fill="auto"/>
            <w:noWrap/>
            <w:vAlign w:val="bottom"/>
            <w:hideMark/>
          </w:tcPr>
          <w:p w14:paraId="5F255A4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33.18</w:t>
            </w:r>
          </w:p>
        </w:tc>
      </w:tr>
      <w:tr w:rsidR="001912B8" w:rsidRPr="00E87AB9" w14:paraId="7C3BB4D3"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08221AC9"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Comunicaciones</w:t>
            </w:r>
          </w:p>
        </w:tc>
        <w:tc>
          <w:tcPr>
            <w:tcW w:w="549" w:type="pct"/>
            <w:tcBorders>
              <w:top w:val="nil"/>
              <w:left w:val="nil"/>
              <w:bottom w:val="single" w:sz="4" w:space="0" w:color="auto"/>
              <w:right w:val="single" w:sz="4" w:space="0" w:color="auto"/>
            </w:tcBorders>
            <w:shd w:val="clear" w:color="auto" w:fill="auto"/>
            <w:noWrap/>
            <w:vAlign w:val="bottom"/>
            <w:hideMark/>
          </w:tcPr>
          <w:p w14:paraId="1F6A531C"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w:t>
            </w:r>
          </w:p>
        </w:tc>
        <w:tc>
          <w:tcPr>
            <w:tcW w:w="538" w:type="pct"/>
            <w:tcBorders>
              <w:top w:val="nil"/>
              <w:left w:val="nil"/>
              <w:bottom w:val="single" w:sz="4" w:space="0" w:color="auto"/>
              <w:right w:val="single" w:sz="4" w:space="0" w:color="auto"/>
            </w:tcBorders>
            <w:shd w:val="clear" w:color="auto" w:fill="auto"/>
            <w:noWrap/>
            <w:vAlign w:val="bottom"/>
            <w:hideMark/>
          </w:tcPr>
          <w:p w14:paraId="4D031497"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12.49</w:t>
            </w:r>
          </w:p>
        </w:tc>
        <w:tc>
          <w:tcPr>
            <w:tcW w:w="627" w:type="pct"/>
            <w:tcBorders>
              <w:top w:val="nil"/>
              <w:left w:val="nil"/>
              <w:bottom w:val="single" w:sz="4" w:space="0" w:color="auto"/>
              <w:right w:val="single" w:sz="4" w:space="0" w:color="auto"/>
            </w:tcBorders>
            <w:shd w:val="clear" w:color="auto" w:fill="auto"/>
            <w:noWrap/>
            <w:vAlign w:val="center"/>
            <w:hideMark/>
          </w:tcPr>
          <w:p w14:paraId="0A39C046"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0.11</w:t>
            </w:r>
          </w:p>
        </w:tc>
        <w:tc>
          <w:tcPr>
            <w:tcW w:w="544" w:type="pct"/>
            <w:tcBorders>
              <w:top w:val="nil"/>
              <w:left w:val="nil"/>
              <w:bottom w:val="single" w:sz="4" w:space="0" w:color="auto"/>
              <w:right w:val="single" w:sz="4" w:space="0" w:color="auto"/>
            </w:tcBorders>
            <w:shd w:val="clear" w:color="auto" w:fill="auto"/>
            <w:noWrap/>
            <w:vAlign w:val="bottom"/>
            <w:hideMark/>
          </w:tcPr>
          <w:p w14:paraId="6491E19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w:t>
            </w:r>
          </w:p>
        </w:tc>
        <w:tc>
          <w:tcPr>
            <w:tcW w:w="544" w:type="pct"/>
            <w:tcBorders>
              <w:top w:val="nil"/>
              <w:left w:val="nil"/>
              <w:bottom w:val="single" w:sz="4" w:space="0" w:color="auto"/>
              <w:right w:val="single" w:sz="4" w:space="0" w:color="auto"/>
            </w:tcBorders>
            <w:shd w:val="clear" w:color="auto" w:fill="auto"/>
            <w:noWrap/>
            <w:vAlign w:val="bottom"/>
            <w:hideMark/>
          </w:tcPr>
          <w:p w14:paraId="4B896056"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1.34</w:t>
            </w:r>
          </w:p>
        </w:tc>
        <w:tc>
          <w:tcPr>
            <w:tcW w:w="628" w:type="pct"/>
            <w:tcBorders>
              <w:top w:val="nil"/>
              <w:left w:val="nil"/>
              <w:bottom w:val="single" w:sz="4" w:space="0" w:color="auto"/>
              <w:right w:val="single" w:sz="4" w:space="0" w:color="auto"/>
            </w:tcBorders>
            <w:shd w:val="clear" w:color="auto" w:fill="auto"/>
            <w:noWrap/>
            <w:vAlign w:val="center"/>
            <w:hideMark/>
          </w:tcPr>
          <w:p w14:paraId="7041995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10.76</w:t>
            </w:r>
          </w:p>
        </w:tc>
        <w:tc>
          <w:tcPr>
            <w:tcW w:w="642" w:type="pct"/>
            <w:tcBorders>
              <w:top w:val="nil"/>
              <w:left w:val="nil"/>
              <w:bottom w:val="single" w:sz="4" w:space="0" w:color="auto"/>
              <w:right w:val="single" w:sz="4" w:space="0" w:color="auto"/>
            </w:tcBorders>
            <w:shd w:val="clear" w:color="auto" w:fill="auto"/>
            <w:noWrap/>
            <w:vAlign w:val="bottom"/>
            <w:hideMark/>
          </w:tcPr>
          <w:p w14:paraId="1FA446C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58.04</w:t>
            </w:r>
          </w:p>
        </w:tc>
      </w:tr>
      <w:tr w:rsidR="001912B8" w:rsidRPr="00E87AB9" w14:paraId="0DE195BE"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19950AE0"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Cultura y Deportes</w:t>
            </w:r>
          </w:p>
        </w:tc>
        <w:tc>
          <w:tcPr>
            <w:tcW w:w="549" w:type="pct"/>
            <w:tcBorders>
              <w:top w:val="nil"/>
              <w:left w:val="nil"/>
              <w:bottom w:val="single" w:sz="4" w:space="0" w:color="auto"/>
              <w:right w:val="single" w:sz="4" w:space="0" w:color="auto"/>
            </w:tcBorders>
            <w:shd w:val="clear" w:color="auto" w:fill="auto"/>
            <w:noWrap/>
            <w:vAlign w:val="center"/>
            <w:hideMark/>
          </w:tcPr>
          <w:p w14:paraId="05CEEF8C"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251</w:t>
            </w:r>
          </w:p>
        </w:tc>
        <w:tc>
          <w:tcPr>
            <w:tcW w:w="538" w:type="pct"/>
            <w:tcBorders>
              <w:top w:val="nil"/>
              <w:left w:val="nil"/>
              <w:bottom w:val="single" w:sz="4" w:space="0" w:color="auto"/>
              <w:right w:val="single" w:sz="4" w:space="0" w:color="auto"/>
            </w:tcBorders>
            <w:shd w:val="clear" w:color="auto" w:fill="auto"/>
            <w:noWrap/>
            <w:vAlign w:val="center"/>
            <w:hideMark/>
          </w:tcPr>
          <w:p w14:paraId="6EC87BDD"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199.99</w:t>
            </w:r>
          </w:p>
        </w:tc>
        <w:tc>
          <w:tcPr>
            <w:tcW w:w="627" w:type="pct"/>
            <w:tcBorders>
              <w:top w:val="nil"/>
              <w:left w:val="nil"/>
              <w:bottom w:val="single" w:sz="4" w:space="0" w:color="auto"/>
              <w:right w:val="single" w:sz="4" w:space="0" w:color="auto"/>
            </w:tcBorders>
            <w:shd w:val="clear" w:color="auto" w:fill="auto"/>
            <w:noWrap/>
            <w:vAlign w:val="center"/>
            <w:hideMark/>
          </w:tcPr>
          <w:p w14:paraId="1C44BB5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1.84</w:t>
            </w:r>
          </w:p>
        </w:tc>
        <w:tc>
          <w:tcPr>
            <w:tcW w:w="544" w:type="pct"/>
            <w:tcBorders>
              <w:top w:val="nil"/>
              <w:left w:val="nil"/>
              <w:bottom w:val="single" w:sz="4" w:space="0" w:color="auto"/>
              <w:right w:val="single" w:sz="4" w:space="0" w:color="auto"/>
            </w:tcBorders>
            <w:shd w:val="clear" w:color="auto" w:fill="auto"/>
            <w:noWrap/>
            <w:vAlign w:val="center"/>
            <w:hideMark/>
          </w:tcPr>
          <w:p w14:paraId="13D4657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209</w:t>
            </w:r>
          </w:p>
        </w:tc>
        <w:tc>
          <w:tcPr>
            <w:tcW w:w="544" w:type="pct"/>
            <w:tcBorders>
              <w:top w:val="nil"/>
              <w:left w:val="nil"/>
              <w:bottom w:val="single" w:sz="4" w:space="0" w:color="auto"/>
              <w:right w:val="single" w:sz="4" w:space="0" w:color="auto"/>
            </w:tcBorders>
            <w:shd w:val="clear" w:color="auto" w:fill="auto"/>
            <w:noWrap/>
            <w:vAlign w:val="center"/>
            <w:hideMark/>
          </w:tcPr>
          <w:p w14:paraId="5644F359"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94.79</w:t>
            </w:r>
          </w:p>
        </w:tc>
        <w:tc>
          <w:tcPr>
            <w:tcW w:w="628" w:type="pct"/>
            <w:tcBorders>
              <w:top w:val="nil"/>
              <w:left w:val="nil"/>
              <w:bottom w:val="single" w:sz="4" w:space="0" w:color="auto"/>
              <w:right w:val="single" w:sz="4" w:space="0" w:color="auto"/>
            </w:tcBorders>
            <w:shd w:val="clear" w:color="auto" w:fill="auto"/>
            <w:noWrap/>
            <w:vAlign w:val="center"/>
            <w:hideMark/>
          </w:tcPr>
          <w:p w14:paraId="2E387FD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47.39</w:t>
            </w:r>
          </w:p>
        </w:tc>
        <w:tc>
          <w:tcPr>
            <w:tcW w:w="642" w:type="pct"/>
            <w:tcBorders>
              <w:top w:val="nil"/>
              <w:left w:val="nil"/>
              <w:bottom w:val="single" w:sz="4" w:space="0" w:color="auto"/>
              <w:right w:val="single" w:sz="4" w:space="0" w:color="auto"/>
            </w:tcBorders>
            <w:shd w:val="clear" w:color="auto" w:fill="auto"/>
            <w:noWrap/>
            <w:vAlign w:val="center"/>
            <w:hideMark/>
          </w:tcPr>
          <w:p w14:paraId="488E15A7"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64.09</w:t>
            </w:r>
          </w:p>
        </w:tc>
      </w:tr>
      <w:tr w:rsidR="001912B8" w:rsidRPr="00E87AB9" w14:paraId="500D2941"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223A46FC"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Defensa</w:t>
            </w:r>
          </w:p>
        </w:tc>
        <w:tc>
          <w:tcPr>
            <w:tcW w:w="549" w:type="pct"/>
            <w:tcBorders>
              <w:top w:val="nil"/>
              <w:left w:val="nil"/>
              <w:bottom w:val="single" w:sz="4" w:space="0" w:color="auto"/>
              <w:right w:val="single" w:sz="4" w:space="0" w:color="auto"/>
            </w:tcBorders>
            <w:shd w:val="clear" w:color="auto" w:fill="auto"/>
            <w:noWrap/>
            <w:vAlign w:val="center"/>
            <w:hideMark/>
          </w:tcPr>
          <w:p w14:paraId="30C1E46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w:t>
            </w:r>
          </w:p>
        </w:tc>
        <w:tc>
          <w:tcPr>
            <w:tcW w:w="538" w:type="pct"/>
            <w:tcBorders>
              <w:top w:val="nil"/>
              <w:left w:val="nil"/>
              <w:bottom w:val="single" w:sz="4" w:space="0" w:color="auto"/>
              <w:right w:val="single" w:sz="4" w:space="0" w:color="auto"/>
            </w:tcBorders>
            <w:shd w:val="clear" w:color="auto" w:fill="auto"/>
            <w:noWrap/>
            <w:vAlign w:val="center"/>
            <w:hideMark/>
          </w:tcPr>
          <w:p w14:paraId="1964E9E4"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5.53</w:t>
            </w:r>
          </w:p>
        </w:tc>
        <w:tc>
          <w:tcPr>
            <w:tcW w:w="627" w:type="pct"/>
            <w:tcBorders>
              <w:top w:val="nil"/>
              <w:left w:val="nil"/>
              <w:bottom w:val="single" w:sz="4" w:space="0" w:color="auto"/>
              <w:right w:val="single" w:sz="4" w:space="0" w:color="auto"/>
            </w:tcBorders>
            <w:shd w:val="clear" w:color="auto" w:fill="auto"/>
            <w:noWrap/>
            <w:vAlign w:val="center"/>
            <w:hideMark/>
          </w:tcPr>
          <w:p w14:paraId="4F6D7D7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0.05</w:t>
            </w:r>
          </w:p>
        </w:tc>
        <w:tc>
          <w:tcPr>
            <w:tcW w:w="544" w:type="pct"/>
            <w:tcBorders>
              <w:top w:val="nil"/>
              <w:left w:val="nil"/>
              <w:bottom w:val="single" w:sz="4" w:space="0" w:color="auto"/>
              <w:right w:val="single" w:sz="4" w:space="0" w:color="auto"/>
            </w:tcBorders>
            <w:shd w:val="clear" w:color="auto" w:fill="auto"/>
            <w:noWrap/>
            <w:vAlign w:val="center"/>
            <w:hideMark/>
          </w:tcPr>
          <w:p w14:paraId="3672E319"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w:t>
            </w:r>
          </w:p>
        </w:tc>
        <w:tc>
          <w:tcPr>
            <w:tcW w:w="544" w:type="pct"/>
            <w:tcBorders>
              <w:top w:val="nil"/>
              <w:left w:val="nil"/>
              <w:bottom w:val="single" w:sz="4" w:space="0" w:color="auto"/>
              <w:right w:val="single" w:sz="4" w:space="0" w:color="auto"/>
            </w:tcBorders>
            <w:shd w:val="clear" w:color="auto" w:fill="auto"/>
            <w:noWrap/>
            <w:vAlign w:val="center"/>
            <w:hideMark/>
          </w:tcPr>
          <w:p w14:paraId="707EF7A4"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4.99</w:t>
            </w:r>
          </w:p>
        </w:tc>
        <w:tc>
          <w:tcPr>
            <w:tcW w:w="628" w:type="pct"/>
            <w:tcBorders>
              <w:top w:val="nil"/>
              <w:left w:val="nil"/>
              <w:bottom w:val="single" w:sz="4" w:space="0" w:color="auto"/>
              <w:right w:val="single" w:sz="4" w:space="0" w:color="auto"/>
            </w:tcBorders>
            <w:shd w:val="clear" w:color="auto" w:fill="auto"/>
            <w:noWrap/>
            <w:vAlign w:val="center"/>
            <w:hideMark/>
          </w:tcPr>
          <w:p w14:paraId="51EF4C4F"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90.30</w:t>
            </w:r>
          </w:p>
        </w:tc>
        <w:tc>
          <w:tcPr>
            <w:tcW w:w="642" w:type="pct"/>
            <w:tcBorders>
              <w:top w:val="nil"/>
              <w:left w:val="nil"/>
              <w:bottom w:val="single" w:sz="4" w:space="0" w:color="auto"/>
              <w:right w:val="single" w:sz="4" w:space="0" w:color="auto"/>
            </w:tcBorders>
            <w:shd w:val="clear" w:color="auto" w:fill="auto"/>
            <w:noWrap/>
            <w:vAlign w:val="center"/>
            <w:hideMark/>
          </w:tcPr>
          <w:p w14:paraId="644F44B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91.12</w:t>
            </w:r>
          </w:p>
        </w:tc>
      </w:tr>
      <w:tr w:rsidR="001912B8" w:rsidRPr="00E87AB9" w14:paraId="2ECEF5F5"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23F48299"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Desarrollo Urbano y Rural</w:t>
            </w:r>
          </w:p>
        </w:tc>
        <w:tc>
          <w:tcPr>
            <w:tcW w:w="549" w:type="pct"/>
            <w:tcBorders>
              <w:top w:val="nil"/>
              <w:left w:val="nil"/>
              <w:bottom w:val="single" w:sz="4" w:space="0" w:color="auto"/>
              <w:right w:val="single" w:sz="4" w:space="0" w:color="auto"/>
            </w:tcBorders>
            <w:shd w:val="clear" w:color="auto" w:fill="auto"/>
            <w:noWrap/>
            <w:vAlign w:val="center"/>
            <w:hideMark/>
          </w:tcPr>
          <w:p w14:paraId="7642F534"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402</w:t>
            </w:r>
          </w:p>
        </w:tc>
        <w:tc>
          <w:tcPr>
            <w:tcW w:w="538" w:type="pct"/>
            <w:tcBorders>
              <w:top w:val="nil"/>
              <w:left w:val="nil"/>
              <w:bottom w:val="single" w:sz="4" w:space="0" w:color="auto"/>
              <w:right w:val="single" w:sz="4" w:space="0" w:color="auto"/>
            </w:tcBorders>
            <w:shd w:val="clear" w:color="auto" w:fill="auto"/>
            <w:noWrap/>
            <w:vAlign w:val="center"/>
            <w:hideMark/>
          </w:tcPr>
          <w:p w14:paraId="01C5D2FE"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506.45</w:t>
            </w:r>
          </w:p>
        </w:tc>
        <w:tc>
          <w:tcPr>
            <w:tcW w:w="627" w:type="pct"/>
            <w:tcBorders>
              <w:top w:val="nil"/>
              <w:left w:val="nil"/>
              <w:bottom w:val="single" w:sz="4" w:space="0" w:color="auto"/>
              <w:right w:val="single" w:sz="4" w:space="0" w:color="auto"/>
            </w:tcBorders>
            <w:shd w:val="clear" w:color="auto" w:fill="auto"/>
            <w:noWrap/>
            <w:vAlign w:val="center"/>
            <w:hideMark/>
          </w:tcPr>
          <w:p w14:paraId="1D3BFA92"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4.65</w:t>
            </w:r>
          </w:p>
        </w:tc>
        <w:tc>
          <w:tcPr>
            <w:tcW w:w="544" w:type="pct"/>
            <w:tcBorders>
              <w:top w:val="nil"/>
              <w:left w:val="nil"/>
              <w:bottom w:val="single" w:sz="4" w:space="0" w:color="auto"/>
              <w:right w:val="single" w:sz="4" w:space="0" w:color="auto"/>
            </w:tcBorders>
            <w:shd w:val="clear" w:color="auto" w:fill="auto"/>
            <w:noWrap/>
            <w:vAlign w:val="center"/>
            <w:hideMark/>
          </w:tcPr>
          <w:p w14:paraId="21087189"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331</w:t>
            </w:r>
          </w:p>
        </w:tc>
        <w:tc>
          <w:tcPr>
            <w:tcW w:w="544" w:type="pct"/>
            <w:tcBorders>
              <w:top w:val="nil"/>
              <w:left w:val="nil"/>
              <w:bottom w:val="single" w:sz="4" w:space="0" w:color="auto"/>
              <w:right w:val="single" w:sz="4" w:space="0" w:color="auto"/>
            </w:tcBorders>
            <w:shd w:val="clear" w:color="auto" w:fill="auto"/>
            <w:noWrap/>
            <w:vAlign w:val="center"/>
            <w:hideMark/>
          </w:tcPr>
          <w:p w14:paraId="5BF84B9E"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304.23</w:t>
            </w:r>
          </w:p>
        </w:tc>
        <w:tc>
          <w:tcPr>
            <w:tcW w:w="628" w:type="pct"/>
            <w:tcBorders>
              <w:top w:val="nil"/>
              <w:left w:val="nil"/>
              <w:bottom w:val="single" w:sz="4" w:space="0" w:color="auto"/>
              <w:right w:val="single" w:sz="4" w:space="0" w:color="auto"/>
            </w:tcBorders>
            <w:shd w:val="clear" w:color="auto" w:fill="auto"/>
            <w:noWrap/>
            <w:vAlign w:val="center"/>
            <w:hideMark/>
          </w:tcPr>
          <w:p w14:paraId="5F79C4B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60.07</w:t>
            </w:r>
          </w:p>
        </w:tc>
        <w:tc>
          <w:tcPr>
            <w:tcW w:w="642" w:type="pct"/>
            <w:tcBorders>
              <w:top w:val="nil"/>
              <w:left w:val="nil"/>
              <w:bottom w:val="single" w:sz="4" w:space="0" w:color="auto"/>
              <w:right w:val="single" w:sz="4" w:space="0" w:color="auto"/>
            </w:tcBorders>
            <w:shd w:val="clear" w:color="auto" w:fill="auto"/>
            <w:noWrap/>
            <w:vAlign w:val="center"/>
            <w:hideMark/>
          </w:tcPr>
          <w:p w14:paraId="5D7D666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71.69</w:t>
            </w:r>
          </w:p>
        </w:tc>
      </w:tr>
      <w:tr w:rsidR="001912B8" w:rsidRPr="00E87AB9" w14:paraId="1C81D6D3"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54BE7EBC"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Educación</w:t>
            </w:r>
          </w:p>
        </w:tc>
        <w:tc>
          <w:tcPr>
            <w:tcW w:w="549" w:type="pct"/>
            <w:tcBorders>
              <w:top w:val="nil"/>
              <w:left w:val="nil"/>
              <w:bottom w:val="single" w:sz="4" w:space="0" w:color="auto"/>
              <w:right w:val="single" w:sz="4" w:space="0" w:color="auto"/>
            </w:tcBorders>
            <w:shd w:val="clear" w:color="auto" w:fill="auto"/>
            <w:noWrap/>
            <w:vAlign w:val="center"/>
            <w:hideMark/>
          </w:tcPr>
          <w:p w14:paraId="2B10DE1F"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1550</w:t>
            </w:r>
          </w:p>
        </w:tc>
        <w:tc>
          <w:tcPr>
            <w:tcW w:w="538" w:type="pct"/>
            <w:tcBorders>
              <w:top w:val="nil"/>
              <w:left w:val="nil"/>
              <w:bottom w:val="single" w:sz="4" w:space="0" w:color="auto"/>
              <w:right w:val="single" w:sz="4" w:space="0" w:color="auto"/>
            </w:tcBorders>
            <w:shd w:val="clear" w:color="auto" w:fill="auto"/>
            <w:noWrap/>
            <w:vAlign w:val="center"/>
            <w:hideMark/>
          </w:tcPr>
          <w:p w14:paraId="41260D59"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1,311.15</w:t>
            </w:r>
          </w:p>
        </w:tc>
        <w:tc>
          <w:tcPr>
            <w:tcW w:w="627" w:type="pct"/>
            <w:tcBorders>
              <w:top w:val="nil"/>
              <w:left w:val="nil"/>
              <w:bottom w:val="single" w:sz="4" w:space="0" w:color="auto"/>
              <w:right w:val="single" w:sz="4" w:space="0" w:color="auto"/>
            </w:tcBorders>
            <w:shd w:val="clear" w:color="auto" w:fill="auto"/>
            <w:noWrap/>
            <w:vAlign w:val="center"/>
            <w:hideMark/>
          </w:tcPr>
          <w:p w14:paraId="6BDAF11C"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12.04</w:t>
            </w:r>
          </w:p>
        </w:tc>
        <w:tc>
          <w:tcPr>
            <w:tcW w:w="544" w:type="pct"/>
            <w:tcBorders>
              <w:top w:val="nil"/>
              <w:left w:val="nil"/>
              <w:bottom w:val="single" w:sz="4" w:space="0" w:color="auto"/>
              <w:right w:val="single" w:sz="4" w:space="0" w:color="auto"/>
            </w:tcBorders>
            <w:shd w:val="clear" w:color="auto" w:fill="auto"/>
            <w:noWrap/>
            <w:vAlign w:val="center"/>
            <w:hideMark/>
          </w:tcPr>
          <w:p w14:paraId="4960C0F3"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1349</w:t>
            </w:r>
          </w:p>
        </w:tc>
        <w:tc>
          <w:tcPr>
            <w:tcW w:w="544" w:type="pct"/>
            <w:tcBorders>
              <w:top w:val="nil"/>
              <w:left w:val="nil"/>
              <w:bottom w:val="single" w:sz="4" w:space="0" w:color="auto"/>
              <w:right w:val="single" w:sz="4" w:space="0" w:color="auto"/>
            </w:tcBorders>
            <w:shd w:val="clear" w:color="auto" w:fill="auto"/>
            <w:noWrap/>
            <w:vAlign w:val="center"/>
            <w:hideMark/>
          </w:tcPr>
          <w:p w14:paraId="1FD6F4D5"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660.05</w:t>
            </w:r>
          </w:p>
        </w:tc>
        <w:tc>
          <w:tcPr>
            <w:tcW w:w="628" w:type="pct"/>
            <w:tcBorders>
              <w:top w:val="nil"/>
              <w:left w:val="nil"/>
              <w:bottom w:val="single" w:sz="4" w:space="0" w:color="auto"/>
              <w:right w:val="single" w:sz="4" w:space="0" w:color="auto"/>
            </w:tcBorders>
            <w:shd w:val="clear" w:color="auto" w:fill="auto"/>
            <w:noWrap/>
            <w:vAlign w:val="center"/>
            <w:hideMark/>
          </w:tcPr>
          <w:p w14:paraId="147B5EF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50.34</w:t>
            </w:r>
          </w:p>
        </w:tc>
        <w:tc>
          <w:tcPr>
            <w:tcW w:w="642" w:type="pct"/>
            <w:tcBorders>
              <w:top w:val="nil"/>
              <w:left w:val="nil"/>
              <w:bottom w:val="single" w:sz="4" w:space="0" w:color="auto"/>
              <w:right w:val="single" w:sz="4" w:space="0" w:color="auto"/>
            </w:tcBorders>
            <w:shd w:val="clear" w:color="auto" w:fill="auto"/>
            <w:noWrap/>
            <w:vAlign w:val="center"/>
            <w:hideMark/>
          </w:tcPr>
          <w:p w14:paraId="5BF68CB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83.39</w:t>
            </w:r>
          </w:p>
        </w:tc>
      </w:tr>
      <w:tr w:rsidR="001912B8" w:rsidRPr="00E87AB9" w14:paraId="7CF10640"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3C1B1DEA"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Energía</w:t>
            </w:r>
          </w:p>
        </w:tc>
        <w:tc>
          <w:tcPr>
            <w:tcW w:w="549" w:type="pct"/>
            <w:tcBorders>
              <w:top w:val="nil"/>
              <w:left w:val="nil"/>
              <w:bottom w:val="single" w:sz="4" w:space="0" w:color="auto"/>
              <w:right w:val="single" w:sz="4" w:space="0" w:color="auto"/>
            </w:tcBorders>
            <w:shd w:val="clear" w:color="auto" w:fill="auto"/>
            <w:noWrap/>
            <w:vAlign w:val="center"/>
            <w:hideMark/>
          </w:tcPr>
          <w:p w14:paraId="77577BDC"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153</w:t>
            </w:r>
          </w:p>
        </w:tc>
        <w:tc>
          <w:tcPr>
            <w:tcW w:w="538" w:type="pct"/>
            <w:tcBorders>
              <w:top w:val="nil"/>
              <w:left w:val="nil"/>
              <w:bottom w:val="single" w:sz="4" w:space="0" w:color="auto"/>
              <w:right w:val="single" w:sz="4" w:space="0" w:color="auto"/>
            </w:tcBorders>
            <w:shd w:val="clear" w:color="auto" w:fill="auto"/>
            <w:noWrap/>
            <w:vAlign w:val="center"/>
            <w:hideMark/>
          </w:tcPr>
          <w:p w14:paraId="7237AFAA"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145.37</w:t>
            </w:r>
          </w:p>
        </w:tc>
        <w:tc>
          <w:tcPr>
            <w:tcW w:w="627" w:type="pct"/>
            <w:tcBorders>
              <w:top w:val="nil"/>
              <w:left w:val="nil"/>
              <w:bottom w:val="single" w:sz="4" w:space="0" w:color="auto"/>
              <w:right w:val="single" w:sz="4" w:space="0" w:color="auto"/>
            </w:tcBorders>
            <w:shd w:val="clear" w:color="auto" w:fill="auto"/>
            <w:noWrap/>
            <w:vAlign w:val="center"/>
            <w:hideMark/>
          </w:tcPr>
          <w:p w14:paraId="5D5AF9A1"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1.34</w:t>
            </w:r>
          </w:p>
        </w:tc>
        <w:tc>
          <w:tcPr>
            <w:tcW w:w="544" w:type="pct"/>
            <w:tcBorders>
              <w:top w:val="nil"/>
              <w:left w:val="nil"/>
              <w:bottom w:val="single" w:sz="4" w:space="0" w:color="auto"/>
              <w:right w:val="single" w:sz="4" w:space="0" w:color="auto"/>
            </w:tcBorders>
            <w:shd w:val="clear" w:color="auto" w:fill="auto"/>
            <w:noWrap/>
            <w:vAlign w:val="center"/>
            <w:hideMark/>
          </w:tcPr>
          <w:p w14:paraId="06276C7C"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129</w:t>
            </w:r>
          </w:p>
        </w:tc>
        <w:tc>
          <w:tcPr>
            <w:tcW w:w="544" w:type="pct"/>
            <w:tcBorders>
              <w:top w:val="nil"/>
              <w:left w:val="nil"/>
              <w:bottom w:val="single" w:sz="4" w:space="0" w:color="auto"/>
              <w:right w:val="single" w:sz="4" w:space="0" w:color="auto"/>
            </w:tcBorders>
            <w:shd w:val="clear" w:color="auto" w:fill="auto"/>
            <w:noWrap/>
            <w:vAlign w:val="center"/>
            <w:hideMark/>
          </w:tcPr>
          <w:p w14:paraId="3179801A"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93.60</w:t>
            </w:r>
          </w:p>
        </w:tc>
        <w:tc>
          <w:tcPr>
            <w:tcW w:w="628" w:type="pct"/>
            <w:tcBorders>
              <w:top w:val="nil"/>
              <w:left w:val="nil"/>
              <w:bottom w:val="single" w:sz="4" w:space="0" w:color="auto"/>
              <w:right w:val="single" w:sz="4" w:space="0" w:color="auto"/>
            </w:tcBorders>
            <w:shd w:val="clear" w:color="auto" w:fill="auto"/>
            <w:noWrap/>
            <w:vAlign w:val="center"/>
            <w:hideMark/>
          </w:tcPr>
          <w:p w14:paraId="1D3441FC"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64.39</w:t>
            </w:r>
          </w:p>
        </w:tc>
        <w:tc>
          <w:tcPr>
            <w:tcW w:w="642" w:type="pct"/>
            <w:tcBorders>
              <w:top w:val="nil"/>
              <w:left w:val="nil"/>
              <w:bottom w:val="single" w:sz="4" w:space="0" w:color="auto"/>
              <w:right w:val="single" w:sz="4" w:space="0" w:color="auto"/>
            </w:tcBorders>
            <w:shd w:val="clear" w:color="auto" w:fill="auto"/>
            <w:noWrap/>
            <w:vAlign w:val="center"/>
            <w:hideMark/>
          </w:tcPr>
          <w:p w14:paraId="78D4208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70.85</w:t>
            </w:r>
          </w:p>
        </w:tc>
      </w:tr>
      <w:tr w:rsidR="001912B8" w:rsidRPr="00E87AB9" w14:paraId="64C08D48"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4589C767"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Industria y Comercio</w:t>
            </w:r>
          </w:p>
        </w:tc>
        <w:tc>
          <w:tcPr>
            <w:tcW w:w="549" w:type="pct"/>
            <w:tcBorders>
              <w:top w:val="nil"/>
              <w:left w:val="nil"/>
              <w:bottom w:val="single" w:sz="4" w:space="0" w:color="auto"/>
              <w:right w:val="single" w:sz="4" w:space="0" w:color="auto"/>
            </w:tcBorders>
            <w:shd w:val="clear" w:color="auto" w:fill="auto"/>
            <w:noWrap/>
            <w:vAlign w:val="center"/>
            <w:hideMark/>
          </w:tcPr>
          <w:p w14:paraId="51B38186"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w:t>
            </w:r>
          </w:p>
        </w:tc>
        <w:tc>
          <w:tcPr>
            <w:tcW w:w="538" w:type="pct"/>
            <w:tcBorders>
              <w:top w:val="nil"/>
              <w:left w:val="nil"/>
              <w:bottom w:val="single" w:sz="4" w:space="0" w:color="auto"/>
              <w:right w:val="single" w:sz="4" w:space="0" w:color="auto"/>
            </w:tcBorders>
            <w:shd w:val="clear" w:color="auto" w:fill="auto"/>
            <w:noWrap/>
            <w:vAlign w:val="center"/>
            <w:hideMark/>
          </w:tcPr>
          <w:p w14:paraId="6E7CD9FA"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9.12</w:t>
            </w:r>
          </w:p>
        </w:tc>
        <w:tc>
          <w:tcPr>
            <w:tcW w:w="627" w:type="pct"/>
            <w:tcBorders>
              <w:top w:val="nil"/>
              <w:left w:val="nil"/>
              <w:bottom w:val="single" w:sz="4" w:space="0" w:color="auto"/>
              <w:right w:val="single" w:sz="4" w:space="0" w:color="auto"/>
            </w:tcBorders>
            <w:shd w:val="clear" w:color="auto" w:fill="auto"/>
            <w:noWrap/>
            <w:vAlign w:val="center"/>
            <w:hideMark/>
          </w:tcPr>
          <w:p w14:paraId="46C34607"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0.08</w:t>
            </w:r>
          </w:p>
        </w:tc>
        <w:tc>
          <w:tcPr>
            <w:tcW w:w="544" w:type="pct"/>
            <w:tcBorders>
              <w:top w:val="nil"/>
              <w:left w:val="nil"/>
              <w:bottom w:val="single" w:sz="4" w:space="0" w:color="auto"/>
              <w:right w:val="single" w:sz="4" w:space="0" w:color="auto"/>
            </w:tcBorders>
            <w:shd w:val="clear" w:color="auto" w:fill="auto"/>
            <w:noWrap/>
            <w:vAlign w:val="center"/>
            <w:hideMark/>
          </w:tcPr>
          <w:p w14:paraId="4C625E46"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w:t>
            </w:r>
          </w:p>
        </w:tc>
        <w:tc>
          <w:tcPr>
            <w:tcW w:w="544" w:type="pct"/>
            <w:tcBorders>
              <w:top w:val="nil"/>
              <w:left w:val="nil"/>
              <w:bottom w:val="single" w:sz="4" w:space="0" w:color="auto"/>
              <w:right w:val="single" w:sz="4" w:space="0" w:color="auto"/>
            </w:tcBorders>
            <w:shd w:val="clear" w:color="auto" w:fill="auto"/>
            <w:noWrap/>
            <w:vAlign w:val="center"/>
            <w:hideMark/>
          </w:tcPr>
          <w:p w14:paraId="74C77433"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6.03</w:t>
            </w:r>
          </w:p>
        </w:tc>
        <w:tc>
          <w:tcPr>
            <w:tcW w:w="628" w:type="pct"/>
            <w:tcBorders>
              <w:top w:val="nil"/>
              <w:left w:val="nil"/>
              <w:bottom w:val="single" w:sz="4" w:space="0" w:color="auto"/>
              <w:right w:val="single" w:sz="4" w:space="0" w:color="auto"/>
            </w:tcBorders>
            <w:shd w:val="clear" w:color="auto" w:fill="auto"/>
            <w:noWrap/>
            <w:vAlign w:val="center"/>
            <w:hideMark/>
          </w:tcPr>
          <w:p w14:paraId="22C1C164"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66.15</w:t>
            </w:r>
          </w:p>
        </w:tc>
        <w:tc>
          <w:tcPr>
            <w:tcW w:w="642" w:type="pct"/>
            <w:tcBorders>
              <w:top w:val="nil"/>
              <w:left w:val="nil"/>
              <w:bottom w:val="single" w:sz="4" w:space="0" w:color="auto"/>
              <w:right w:val="single" w:sz="4" w:space="0" w:color="auto"/>
            </w:tcBorders>
            <w:shd w:val="clear" w:color="auto" w:fill="auto"/>
            <w:noWrap/>
            <w:vAlign w:val="center"/>
            <w:hideMark/>
          </w:tcPr>
          <w:p w14:paraId="7E24CC5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48.57</w:t>
            </w:r>
          </w:p>
        </w:tc>
      </w:tr>
      <w:tr w:rsidR="001912B8" w:rsidRPr="00E87AB9" w14:paraId="41A50233"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49F8F546"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Judicial</w:t>
            </w:r>
          </w:p>
        </w:tc>
        <w:tc>
          <w:tcPr>
            <w:tcW w:w="549" w:type="pct"/>
            <w:tcBorders>
              <w:top w:val="nil"/>
              <w:left w:val="nil"/>
              <w:bottom w:val="single" w:sz="4" w:space="0" w:color="auto"/>
              <w:right w:val="single" w:sz="4" w:space="0" w:color="auto"/>
            </w:tcBorders>
            <w:shd w:val="clear" w:color="auto" w:fill="auto"/>
            <w:noWrap/>
            <w:vAlign w:val="center"/>
            <w:hideMark/>
          </w:tcPr>
          <w:p w14:paraId="6EE64A6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w:t>
            </w:r>
          </w:p>
        </w:tc>
        <w:tc>
          <w:tcPr>
            <w:tcW w:w="538" w:type="pct"/>
            <w:tcBorders>
              <w:top w:val="nil"/>
              <w:left w:val="nil"/>
              <w:bottom w:val="single" w:sz="4" w:space="0" w:color="auto"/>
              <w:right w:val="single" w:sz="4" w:space="0" w:color="auto"/>
            </w:tcBorders>
            <w:shd w:val="clear" w:color="auto" w:fill="auto"/>
            <w:noWrap/>
            <w:vAlign w:val="center"/>
            <w:hideMark/>
          </w:tcPr>
          <w:p w14:paraId="13C158AB"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17.68</w:t>
            </w:r>
          </w:p>
        </w:tc>
        <w:tc>
          <w:tcPr>
            <w:tcW w:w="627" w:type="pct"/>
            <w:tcBorders>
              <w:top w:val="nil"/>
              <w:left w:val="nil"/>
              <w:bottom w:val="single" w:sz="4" w:space="0" w:color="auto"/>
              <w:right w:val="single" w:sz="4" w:space="0" w:color="auto"/>
            </w:tcBorders>
            <w:shd w:val="clear" w:color="auto" w:fill="auto"/>
            <w:noWrap/>
            <w:vAlign w:val="center"/>
            <w:hideMark/>
          </w:tcPr>
          <w:p w14:paraId="7B734659"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0.16</w:t>
            </w:r>
          </w:p>
        </w:tc>
        <w:tc>
          <w:tcPr>
            <w:tcW w:w="544" w:type="pct"/>
            <w:tcBorders>
              <w:top w:val="nil"/>
              <w:left w:val="nil"/>
              <w:bottom w:val="single" w:sz="4" w:space="0" w:color="auto"/>
              <w:right w:val="single" w:sz="4" w:space="0" w:color="auto"/>
            </w:tcBorders>
            <w:shd w:val="clear" w:color="auto" w:fill="auto"/>
            <w:noWrap/>
            <w:vAlign w:val="center"/>
            <w:hideMark/>
          </w:tcPr>
          <w:p w14:paraId="105EC74F"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w:t>
            </w:r>
          </w:p>
        </w:tc>
        <w:tc>
          <w:tcPr>
            <w:tcW w:w="544" w:type="pct"/>
            <w:tcBorders>
              <w:top w:val="nil"/>
              <w:left w:val="nil"/>
              <w:bottom w:val="single" w:sz="4" w:space="0" w:color="auto"/>
              <w:right w:val="single" w:sz="4" w:space="0" w:color="auto"/>
            </w:tcBorders>
            <w:shd w:val="clear" w:color="auto" w:fill="auto"/>
            <w:noWrap/>
            <w:vAlign w:val="center"/>
            <w:hideMark/>
          </w:tcPr>
          <w:p w14:paraId="1F10E8A9"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5.95</w:t>
            </w:r>
          </w:p>
        </w:tc>
        <w:tc>
          <w:tcPr>
            <w:tcW w:w="628" w:type="pct"/>
            <w:tcBorders>
              <w:top w:val="nil"/>
              <w:left w:val="nil"/>
              <w:bottom w:val="single" w:sz="4" w:space="0" w:color="auto"/>
              <w:right w:val="single" w:sz="4" w:space="0" w:color="auto"/>
            </w:tcBorders>
            <w:shd w:val="clear" w:color="auto" w:fill="auto"/>
            <w:noWrap/>
            <w:vAlign w:val="center"/>
            <w:hideMark/>
          </w:tcPr>
          <w:p w14:paraId="66BA4F6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33.67</w:t>
            </w:r>
          </w:p>
        </w:tc>
        <w:tc>
          <w:tcPr>
            <w:tcW w:w="642" w:type="pct"/>
            <w:tcBorders>
              <w:top w:val="nil"/>
              <w:left w:val="nil"/>
              <w:bottom w:val="single" w:sz="4" w:space="0" w:color="auto"/>
              <w:right w:val="single" w:sz="4" w:space="0" w:color="auto"/>
            </w:tcBorders>
            <w:shd w:val="clear" w:color="auto" w:fill="auto"/>
            <w:noWrap/>
            <w:vAlign w:val="center"/>
            <w:hideMark/>
          </w:tcPr>
          <w:p w14:paraId="1484B1C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58.73</w:t>
            </w:r>
          </w:p>
        </w:tc>
      </w:tr>
      <w:tr w:rsidR="001912B8" w:rsidRPr="00E87AB9" w14:paraId="45DCFED9"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72522F5F"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Medio Ambiente</w:t>
            </w:r>
          </w:p>
        </w:tc>
        <w:tc>
          <w:tcPr>
            <w:tcW w:w="549" w:type="pct"/>
            <w:tcBorders>
              <w:top w:val="nil"/>
              <w:left w:val="nil"/>
              <w:bottom w:val="single" w:sz="4" w:space="0" w:color="auto"/>
              <w:right w:val="single" w:sz="4" w:space="0" w:color="auto"/>
            </w:tcBorders>
            <w:shd w:val="clear" w:color="auto" w:fill="auto"/>
            <w:noWrap/>
            <w:vAlign w:val="center"/>
            <w:hideMark/>
          </w:tcPr>
          <w:p w14:paraId="55F04F57"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204</w:t>
            </w:r>
          </w:p>
        </w:tc>
        <w:tc>
          <w:tcPr>
            <w:tcW w:w="538" w:type="pct"/>
            <w:tcBorders>
              <w:top w:val="nil"/>
              <w:left w:val="nil"/>
              <w:bottom w:val="single" w:sz="4" w:space="0" w:color="auto"/>
              <w:right w:val="single" w:sz="4" w:space="0" w:color="auto"/>
            </w:tcBorders>
            <w:shd w:val="clear" w:color="auto" w:fill="auto"/>
            <w:noWrap/>
            <w:vAlign w:val="center"/>
            <w:hideMark/>
          </w:tcPr>
          <w:p w14:paraId="7F2091F2"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219.24</w:t>
            </w:r>
          </w:p>
        </w:tc>
        <w:tc>
          <w:tcPr>
            <w:tcW w:w="627" w:type="pct"/>
            <w:tcBorders>
              <w:top w:val="nil"/>
              <w:left w:val="nil"/>
              <w:bottom w:val="single" w:sz="4" w:space="0" w:color="auto"/>
              <w:right w:val="single" w:sz="4" w:space="0" w:color="auto"/>
            </w:tcBorders>
            <w:shd w:val="clear" w:color="auto" w:fill="auto"/>
            <w:noWrap/>
            <w:vAlign w:val="center"/>
            <w:hideMark/>
          </w:tcPr>
          <w:p w14:paraId="1F8BECD9"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2.01</w:t>
            </w:r>
          </w:p>
        </w:tc>
        <w:tc>
          <w:tcPr>
            <w:tcW w:w="544" w:type="pct"/>
            <w:tcBorders>
              <w:top w:val="nil"/>
              <w:left w:val="nil"/>
              <w:bottom w:val="single" w:sz="4" w:space="0" w:color="auto"/>
              <w:right w:val="single" w:sz="4" w:space="0" w:color="auto"/>
            </w:tcBorders>
            <w:shd w:val="clear" w:color="auto" w:fill="auto"/>
            <w:noWrap/>
            <w:vAlign w:val="center"/>
            <w:hideMark/>
          </w:tcPr>
          <w:p w14:paraId="560A0517"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198</w:t>
            </w:r>
          </w:p>
        </w:tc>
        <w:tc>
          <w:tcPr>
            <w:tcW w:w="544" w:type="pct"/>
            <w:tcBorders>
              <w:top w:val="nil"/>
              <w:left w:val="nil"/>
              <w:bottom w:val="single" w:sz="4" w:space="0" w:color="auto"/>
              <w:right w:val="single" w:sz="4" w:space="0" w:color="auto"/>
            </w:tcBorders>
            <w:shd w:val="clear" w:color="auto" w:fill="auto"/>
            <w:noWrap/>
            <w:vAlign w:val="center"/>
            <w:hideMark/>
          </w:tcPr>
          <w:p w14:paraId="59722F67"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164.10</w:t>
            </w:r>
          </w:p>
        </w:tc>
        <w:tc>
          <w:tcPr>
            <w:tcW w:w="628" w:type="pct"/>
            <w:tcBorders>
              <w:top w:val="nil"/>
              <w:left w:val="nil"/>
              <w:bottom w:val="single" w:sz="4" w:space="0" w:color="auto"/>
              <w:right w:val="single" w:sz="4" w:space="0" w:color="auto"/>
            </w:tcBorders>
            <w:shd w:val="clear" w:color="auto" w:fill="auto"/>
            <w:noWrap/>
            <w:vAlign w:val="center"/>
            <w:hideMark/>
          </w:tcPr>
          <w:p w14:paraId="0C91596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74.85</w:t>
            </w:r>
          </w:p>
        </w:tc>
        <w:tc>
          <w:tcPr>
            <w:tcW w:w="642" w:type="pct"/>
            <w:tcBorders>
              <w:top w:val="nil"/>
              <w:left w:val="nil"/>
              <w:bottom w:val="single" w:sz="4" w:space="0" w:color="auto"/>
              <w:right w:val="single" w:sz="4" w:space="0" w:color="auto"/>
            </w:tcBorders>
            <w:shd w:val="clear" w:color="auto" w:fill="auto"/>
            <w:noWrap/>
            <w:vAlign w:val="center"/>
            <w:hideMark/>
          </w:tcPr>
          <w:p w14:paraId="3F1FE690"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80.24</w:t>
            </w:r>
          </w:p>
        </w:tc>
      </w:tr>
      <w:tr w:rsidR="001912B8" w:rsidRPr="00E87AB9" w14:paraId="34361413"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4A29B12F"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Minería e Hidrocarburos</w:t>
            </w:r>
          </w:p>
        </w:tc>
        <w:tc>
          <w:tcPr>
            <w:tcW w:w="549" w:type="pct"/>
            <w:tcBorders>
              <w:top w:val="nil"/>
              <w:left w:val="nil"/>
              <w:bottom w:val="single" w:sz="4" w:space="0" w:color="auto"/>
              <w:right w:val="single" w:sz="4" w:space="0" w:color="auto"/>
            </w:tcBorders>
            <w:shd w:val="clear" w:color="auto" w:fill="auto"/>
            <w:noWrap/>
            <w:vAlign w:val="center"/>
            <w:hideMark/>
          </w:tcPr>
          <w:p w14:paraId="3C7F368F"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w:t>
            </w:r>
          </w:p>
        </w:tc>
        <w:tc>
          <w:tcPr>
            <w:tcW w:w="538" w:type="pct"/>
            <w:tcBorders>
              <w:top w:val="nil"/>
              <w:left w:val="nil"/>
              <w:bottom w:val="single" w:sz="4" w:space="0" w:color="auto"/>
              <w:right w:val="single" w:sz="4" w:space="0" w:color="auto"/>
            </w:tcBorders>
            <w:shd w:val="clear" w:color="auto" w:fill="auto"/>
            <w:noWrap/>
            <w:vAlign w:val="center"/>
            <w:hideMark/>
          </w:tcPr>
          <w:p w14:paraId="775CE7A9"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5.88</w:t>
            </w:r>
          </w:p>
        </w:tc>
        <w:tc>
          <w:tcPr>
            <w:tcW w:w="627" w:type="pct"/>
            <w:tcBorders>
              <w:top w:val="nil"/>
              <w:left w:val="nil"/>
              <w:bottom w:val="single" w:sz="4" w:space="0" w:color="auto"/>
              <w:right w:val="single" w:sz="4" w:space="0" w:color="auto"/>
            </w:tcBorders>
            <w:shd w:val="clear" w:color="auto" w:fill="auto"/>
            <w:noWrap/>
            <w:vAlign w:val="center"/>
            <w:hideMark/>
          </w:tcPr>
          <w:p w14:paraId="423024D2"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0.05</w:t>
            </w:r>
          </w:p>
        </w:tc>
        <w:tc>
          <w:tcPr>
            <w:tcW w:w="544" w:type="pct"/>
            <w:tcBorders>
              <w:top w:val="nil"/>
              <w:left w:val="nil"/>
              <w:bottom w:val="single" w:sz="4" w:space="0" w:color="auto"/>
              <w:right w:val="single" w:sz="4" w:space="0" w:color="auto"/>
            </w:tcBorders>
            <w:shd w:val="clear" w:color="auto" w:fill="auto"/>
            <w:noWrap/>
            <w:vAlign w:val="center"/>
            <w:hideMark/>
          </w:tcPr>
          <w:p w14:paraId="4C0171D1"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w:t>
            </w:r>
          </w:p>
        </w:tc>
        <w:tc>
          <w:tcPr>
            <w:tcW w:w="544" w:type="pct"/>
            <w:tcBorders>
              <w:top w:val="nil"/>
              <w:left w:val="nil"/>
              <w:bottom w:val="single" w:sz="4" w:space="0" w:color="auto"/>
              <w:right w:val="single" w:sz="4" w:space="0" w:color="auto"/>
            </w:tcBorders>
            <w:shd w:val="clear" w:color="auto" w:fill="auto"/>
            <w:noWrap/>
            <w:vAlign w:val="center"/>
            <w:hideMark/>
          </w:tcPr>
          <w:p w14:paraId="6E783D7C"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2.18</w:t>
            </w:r>
          </w:p>
        </w:tc>
        <w:tc>
          <w:tcPr>
            <w:tcW w:w="628" w:type="pct"/>
            <w:tcBorders>
              <w:top w:val="nil"/>
              <w:left w:val="nil"/>
              <w:bottom w:val="single" w:sz="4" w:space="0" w:color="auto"/>
              <w:right w:val="single" w:sz="4" w:space="0" w:color="auto"/>
            </w:tcBorders>
            <w:shd w:val="clear" w:color="auto" w:fill="auto"/>
            <w:noWrap/>
            <w:vAlign w:val="center"/>
            <w:hideMark/>
          </w:tcPr>
          <w:p w14:paraId="15DBA0B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36.99</w:t>
            </w:r>
          </w:p>
        </w:tc>
        <w:tc>
          <w:tcPr>
            <w:tcW w:w="642" w:type="pct"/>
            <w:tcBorders>
              <w:top w:val="nil"/>
              <w:left w:val="nil"/>
              <w:bottom w:val="single" w:sz="4" w:space="0" w:color="auto"/>
              <w:right w:val="single" w:sz="4" w:space="0" w:color="auto"/>
            </w:tcBorders>
            <w:shd w:val="clear" w:color="auto" w:fill="auto"/>
            <w:noWrap/>
            <w:vAlign w:val="center"/>
            <w:hideMark/>
          </w:tcPr>
          <w:p w14:paraId="25B1E1F4"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64.36</w:t>
            </w:r>
          </w:p>
        </w:tc>
      </w:tr>
      <w:tr w:rsidR="001912B8" w:rsidRPr="00E87AB9" w14:paraId="3E29C49B"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19ACECDA"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Otras Actividades de Administración</w:t>
            </w:r>
          </w:p>
        </w:tc>
        <w:tc>
          <w:tcPr>
            <w:tcW w:w="549" w:type="pct"/>
            <w:tcBorders>
              <w:top w:val="nil"/>
              <w:left w:val="nil"/>
              <w:bottom w:val="single" w:sz="4" w:space="0" w:color="auto"/>
              <w:right w:val="single" w:sz="4" w:space="0" w:color="auto"/>
            </w:tcBorders>
            <w:shd w:val="clear" w:color="auto" w:fill="auto"/>
            <w:noWrap/>
            <w:vAlign w:val="center"/>
            <w:hideMark/>
          </w:tcPr>
          <w:p w14:paraId="1A0739C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55</w:t>
            </w:r>
          </w:p>
        </w:tc>
        <w:tc>
          <w:tcPr>
            <w:tcW w:w="538" w:type="pct"/>
            <w:tcBorders>
              <w:top w:val="nil"/>
              <w:left w:val="nil"/>
              <w:bottom w:val="single" w:sz="4" w:space="0" w:color="auto"/>
              <w:right w:val="single" w:sz="4" w:space="0" w:color="auto"/>
            </w:tcBorders>
            <w:shd w:val="clear" w:color="auto" w:fill="auto"/>
            <w:noWrap/>
            <w:vAlign w:val="center"/>
            <w:hideMark/>
          </w:tcPr>
          <w:p w14:paraId="223FF47D"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97.21</w:t>
            </w:r>
          </w:p>
        </w:tc>
        <w:tc>
          <w:tcPr>
            <w:tcW w:w="627" w:type="pct"/>
            <w:tcBorders>
              <w:top w:val="nil"/>
              <w:left w:val="nil"/>
              <w:bottom w:val="single" w:sz="4" w:space="0" w:color="auto"/>
              <w:right w:val="single" w:sz="4" w:space="0" w:color="auto"/>
            </w:tcBorders>
            <w:shd w:val="clear" w:color="auto" w:fill="auto"/>
            <w:noWrap/>
            <w:vAlign w:val="center"/>
            <w:hideMark/>
          </w:tcPr>
          <w:p w14:paraId="0A93228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0.89</w:t>
            </w:r>
          </w:p>
        </w:tc>
        <w:tc>
          <w:tcPr>
            <w:tcW w:w="544" w:type="pct"/>
            <w:tcBorders>
              <w:top w:val="nil"/>
              <w:left w:val="nil"/>
              <w:bottom w:val="single" w:sz="4" w:space="0" w:color="auto"/>
              <w:right w:val="single" w:sz="4" w:space="0" w:color="auto"/>
            </w:tcBorders>
            <w:shd w:val="clear" w:color="auto" w:fill="auto"/>
            <w:noWrap/>
            <w:vAlign w:val="center"/>
            <w:hideMark/>
          </w:tcPr>
          <w:p w14:paraId="49A1251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48</w:t>
            </w:r>
          </w:p>
        </w:tc>
        <w:tc>
          <w:tcPr>
            <w:tcW w:w="544" w:type="pct"/>
            <w:tcBorders>
              <w:top w:val="nil"/>
              <w:left w:val="nil"/>
              <w:bottom w:val="single" w:sz="4" w:space="0" w:color="auto"/>
              <w:right w:val="single" w:sz="4" w:space="0" w:color="auto"/>
            </w:tcBorders>
            <w:shd w:val="clear" w:color="auto" w:fill="auto"/>
            <w:noWrap/>
            <w:vAlign w:val="center"/>
            <w:hideMark/>
          </w:tcPr>
          <w:p w14:paraId="46196B41"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36.62</w:t>
            </w:r>
          </w:p>
        </w:tc>
        <w:tc>
          <w:tcPr>
            <w:tcW w:w="628" w:type="pct"/>
            <w:tcBorders>
              <w:top w:val="nil"/>
              <w:left w:val="nil"/>
              <w:bottom w:val="single" w:sz="4" w:space="0" w:color="auto"/>
              <w:right w:val="single" w:sz="4" w:space="0" w:color="auto"/>
            </w:tcBorders>
            <w:shd w:val="clear" w:color="auto" w:fill="auto"/>
            <w:noWrap/>
            <w:vAlign w:val="center"/>
            <w:hideMark/>
          </w:tcPr>
          <w:p w14:paraId="58346C69"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37.67</w:t>
            </w:r>
          </w:p>
        </w:tc>
        <w:tc>
          <w:tcPr>
            <w:tcW w:w="642" w:type="pct"/>
            <w:tcBorders>
              <w:top w:val="nil"/>
              <w:left w:val="nil"/>
              <w:bottom w:val="single" w:sz="4" w:space="0" w:color="auto"/>
              <w:right w:val="single" w:sz="4" w:space="0" w:color="auto"/>
            </w:tcBorders>
            <w:shd w:val="clear" w:color="auto" w:fill="auto"/>
            <w:noWrap/>
            <w:vAlign w:val="center"/>
            <w:hideMark/>
          </w:tcPr>
          <w:p w14:paraId="6E2FE324"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67.96</w:t>
            </w:r>
          </w:p>
        </w:tc>
      </w:tr>
      <w:tr w:rsidR="001912B8" w:rsidRPr="00E87AB9" w14:paraId="70D03357"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636830C5"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Otras Actividades De Servicios Económicos</w:t>
            </w:r>
          </w:p>
        </w:tc>
        <w:tc>
          <w:tcPr>
            <w:tcW w:w="549" w:type="pct"/>
            <w:tcBorders>
              <w:top w:val="nil"/>
              <w:left w:val="nil"/>
              <w:bottom w:val="single" w:sz="4" w:space="0" w:color="auto"/>
              <w:right w:val="single" w:sz="4" w:space="0" w:color="auto"/>
            </w:tcBorders>
            <w:shd w:val="clear" w:color="auto" w:fill="auto"/>
            <w:noWrap/>
            <w:vAlign w:val="center"/>
            <w:hideMark/>
          </w:tcPr>
          <w:p w14:paraId="2F23D3D4"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41</w:t>
            </w:r>
          </w:p>
        </w:tc>
        <w:tc>
          <w:tcPr>
            <w:tcW w:w="538" w:type="pct"/>
            <w:tcBorders>
              <w:top w:val="nil"/>
              <w:left w:val="nil"/>
              <w:bottom w:val="single" w:sz="4" w:space="0" w:color="auto"/>
              <w:right w:val="single" w:sz="4" w:space="0" w:color="auto"/>
            </w:tcBorders>
            <w:shd w:val="clear" w:color="auto" w:fill="auto"/>
            <w:noWrap/>
            <w:vAlign w:val="center"/>
            <w:hideMark/>
          </w:tcPr>
          <w:p w14:paraId="0C8232D4"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16.12</w:t>
            </w:r>
          </w:p>
        </w:tc>
        <w:tc>
          <w:tcPr>
            <w:tcW w:w="627" w:type="pct"/>
            <w:tcBorders>
              <w:top w:val="nil"/>
              <w:left w:val="nil"/>
              <w:bottom w:val="single" w:sz="4" w:space="0" w:color="auto"/>
              <w:right w:val="single" w:sz="4" w:space="0" w:color="auto"/>
            </w:tcBorders>
            <w:shd w:val="clear" w:color="auto" w:fill="auto"/>
            <w:noWrap/>
            <w:vAlign w:val="center"/>
            <w:hideMark/>
          </w:tcPr>
          <w:p w14:paraId="79E49513"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0.15</w:t>
            </w:r>
          </w:p>
        </w:tc>
        <w:tc>
          <w:tcPr>
            <w:tcW w:w="544" w:type="pct"/>
            <w:tcBorders>
              <w:top w:val="nil"/>
              <w:left w:val="nil"/>
              <w:bottom w:val="single" w:sz="4" w:space="0" w:color="auto"/>
              <w:right w:val="single" w:sz="4" w:space="0" w:color="auto"/>
            </w:tcBorders>
            <w:shd w:val="clear" w:color="auto" w:fill="auto"/>
            <w:noWrap/>
            <w:vAlign w:val="center"/>
            <w:hideMark/>
          </w:tcPr>
          <w:p w14:paraId="5138049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40</w:t>
            </w:r>
          </w:p>
        </w:tc>
        <w:tc>
          <w:tcPr>
            <w:tcW w:w="544" w:type="pct"/>
            <w:tcBorders>
              <w:top w:val="nil"/>
              <w:left w:val="nil"/>
              <w:bottom w:val="single" w:sz="4" w:space="0" w:color="auto"/>
              <w:right w:val="single" w:sz="4" w:space="0" w:color="auto"/>
            </w:tcBorders>
            <w:shd w:val="clear" w:color="auto" w:fill="auto"/>
            <w:noWrap/>
            <w:vAlign w:val="center"/>
            <w:hideMark/>
          </w:tcPr>
          <w:p w14:paraId="6D151D73"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10.94</w:t>
            </w:r>
          </w:p>
        </w:tc>
        <w:tc>
          <w:tcPr>
            <w:tcW w:w="628" w:type="pct"/>
            <w:tcBorders>
              <w:top w:val="nil"/>
              <w:left w:val="nil"/>
              <w:bottom w:val="single" w:sz="4" w:space="0" w:color="auto"/>
              <w:right w:val="single" w:sz="4" w:space="0" w:color="auto"/>
            </w:tcBorders>
            <w:shd w:val="clear" w:color="auto" w:fill="auto"/>
            <w:noWrap/>
            <w:vAlign w:val="center"/>
            <w:hideMark/>
          </w:tcPr>
          <w:p w14:paraId="5E17A3A3"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67.86</w:t>
            </w:r>
          </w:p>
        </w:tc>
        <w:tc>
          <w:tcPr>
            <w:tcW w:w="642" w:type="pct"/>
            <w:tcBorders>
              <w:top w:val="nil"/>
              <w:left w:val="nil"/>
              <w:bottom w:val="single" w:sz="4" w:space="0" w:color="auto"/>
              <w:right w:val="single" w:sz="4" w:space="0" w:color="auto"/>
            </w:tcBorders>
            <w:shd w:val="clear" w:color="auto" w:fill="auto"/>
            <w:noWrap/>
            <w:vAlign w:val="center"/>
            <w:hideMark/>
          </w:tcPr>
          <w:p w14:paraId="4BED7C8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71.57</w:t>
            </w:r>
          </w:p>
        </w:tc>
      </w:tr>
      <w:tr w:rsidR="001912B8" w:rsidRPr="00E87AB9" w14:paraId="0024C18A"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7E4E960D"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Otras Actividades de Servicios Sociales</w:t>
            </w:r>
          </w:p>
        </w:tc>
        <w:tc>
          <w:tcPr>
            <w:tcW w:w="549" w:type="pct"/>
            <w:tcBorders>
              <w:top w:val="nil"/>
              <w:left w:val="nil"/>
              <w:bottom w:val="single" w:sz="4" w:space="0" w:color="auto"/>
              <w:right w:val="single" w:sz="4" w:space="0" w:color="auto"/>
            </w:tcBorders>
            <w:shd w:val="clear" w:color="auto" w:fill="auto"/>
            <w:noWrap/>
            <w:vAlign w:val="center"/>
            <w:hideMark/>
          </w:tcPr>
          <w:p w14:paraId="27DF5DE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75</w:t>
            </w:r>
          </w:p>
        </w:tc>
        <w:tc>
          <w:tcPr>
            <w:tcW w:w="538" w:type="pct"/>
            <w:tcBorders>
              <w:top w:val="nil"/>
              <w:left w:val="nil"/>
              <w:bottom w:val="single" w:sz="4" w:space="0" w:color="auto"/>
              <w:right w:val="single" w:sz="4" w:space="0" w:color="auto"/>
            </w:tcBorders>
            <w:shd w:val="clear" w:color="auto" w:fill="auto"/>
            <w:noWrap/>
            <w:vAlign w:val="center"/>
            <w:hideMark/>
          </w:tcPr>
          <w:p w14:paraId="3F21E6B2"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24.57</w:t>
            </w:r>
          </w:p>
        </w:tc>
        <w:tc>
          <w:tcPr>
            <w:tcW w:w="627" w:type="pct"/>
            <w:tcBorders>
              <w:top w:val="nil"/>
              <w:left w:val="nil"/>
              <w:bottom w:val="single" w:sz="4" w:space="0" w:color="auto"/>
              <w:right w:val="single" w:sz="4" w:space="0" w:color="auto"/>
            </w:tcBorders>
            <w:shd w:val="clear" w:color="auto" w:fill="auto"/>
            <w:noWrap/>
            <w:vAlign w:val="center"/>
            <w:hideMark/>
          </w:tcPr>
          <w:p w14:paraId="129BFF9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0.23</w:t>
            </w:r>
          </w:p>
        </w:tc>
        <w:tc>
          <w:tcPr>
            <w:tcW w:w="544" w:type="pct"/>
            <w:tcBorders>
              <w:top w:val="nil"/>
              <w:left w:val="nil"/>
              <w:bottom w:val="single" w:sz="4" w:space="0" w:color="auto"/>
              <w:right w:val="single" w:sz="4" w:space="0" w:color="auto"/>
            </w:tcBorders>
            <w:shd w:val="clear" w:color="auto" w:fill="auto"/>
            <w:noWrap/>
            <w:vAlign w:val="center"/>
            <w:hideMark/>
          </w:tcPr>
          <w:p w14:paraId="05A96E9F"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73</w:t>
            </w:r>
          </w:p>
        </w:tc>
        <w:tc>
          <w:tcPr>
            <w:tcW w:w="544" w:type="pct"/>
            <w:tcBorders>
              <w:top w:val="nil"/>
              <w:left w:val="nil"/>
              <w:bottom w:val="single" w:sz="4" w:space="0" w:color="auto"/>
              <w:right w:val="single" w:sz="4" w:space="0" w:color="auto"/>
            </w:tcBorders>
            <w:shd w:val="clear" w:color="auto" w:fill="auto"/>
            <w:noWrap/>
            <w:vAlign w:val="center"/>
            <w:hideMark/>
          </w:tcPr>
          <w:p w14:paraId="50057BAA"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17.27</w:t>
            </w:r>
          </w:p>
        </w:tc>
        <w:tc>
          <w:tcPr>
            <w:tcW w:w="628" w:type="pct"/>
            <w:tcBorders>
              <w:top w:val="nil"/>
              <w:left w:val="nil"/>
              <w:bottom w:val="single" w:sz="4" w:space="0" w:color="auto"/>
              <w:right w:val="single" w:sz="4" w:space="0" w:color="auto"/>
            </w:tcBorders>
            <w:shd w:val="clear" w:color="auto" w:fill="auto"/>
            <w:noWrap/>
            <w:vAlign w:val="center"/>
            <w:hideMark/>
          </w:tcPr>
          <w:p w14:paraId="7D66018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70.28</w:t>
            </w:r>
          </w:p>
        </w:tc>
        <w:tc>
          <w:tcPr>
            <w:tcW w:w="642" w:type="pct"/>
            <w:tcBorders>
              <w:top w:val="nil"/>
              <w:left w:val="nil"/>
              <w:bottom w:val="single" w:sz="4" w:space="0" w:color="auto"/>
              <w:right w:val="single" w:sz="4" w:space="0" w:color="auto"/>
            </w:tcBorders>
            <w:shd w:val="clear" w:color="auto" w:fill="auto"/>
            <w:noWrap/>
            <w:vAlign w:val="center"/>
            <w:hideMark/>
          </w:tcPr>
          <w:p w14:paraId="4D563B10"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77.91</w:t>
            </w:r>
          </w:p>
        </w:tc>
      </w:tr>
      <w:tr w:rsidR="001912B8" w:rsidRPr="00E87AB9" w14:paraId="511529AD"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1D216DC1"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Relaciones Exteriores</w:t>
            </w:r>
          </w:p>
        </w:tc>
        <w:tc>
          <w:tcPr>
            <w:tcW w:w="549" w:type="pct"/>
            <w:tcBorders>
              <w:top w:val="nil"/>
              <w:left w:val="nil"/>
              <w:bottom w:val="single" w:sz="4" w:space="0" w:color="auto"/>
              <w:right w:val="single" w:sz="4" w:space="0" w:color="auto"/>
            </w:tcBorders>
            <w:shd w:val="clear" w:color="auto" w:fill="auto"/>
            <w:noWrap/>
            <w:vAlign w:val="center"/>
            <w:hideMark/>
          </w:tcPr>
          <w:p w14:paraId="267C3572"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w:t>
            </w:r>
          </w:p>
        </w:tc>
        <w:tc>
          <w:tcPr>
            <w:tcW w:w="538" w:type="pct"/>
            <w:tcBorders>
              <w:top w:val="nil"/>
              <w:left w:val="nil"/>
              <w:bottom w:val="single" w:sz="4" w:space="0" w:color="auto"/>
              <w:right w:val="single" w:sz="4" w:space="0" w:color="auto"/>
            </w:tcBorders>
            <w:shd w:val="clear" w:color="auto" w:fill="auto"/>
            <w:noWrap/>
            <w:vAlign w:val="center"/>
            <w:hideMark/>
          </w:tcPr>
          <w:p w14:paraId="061B1E59"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1.50</w:t>
            </w:r>
          </w:p>
        </w:tc>
        <w:tc>
          <w:tcPr>
            <w:tcW w:w="627" w:type="pct"/>
            <w:tcBorders>
              <w:top w:val="nil"/>
              <w:left w:val="nil"/>
              <w:bottom w:val="single" w:sz="4" w:space="0" w:color="auto"/>
              <w:right w:val="single" w:sz="4" w:space="0" w:color="auto"/>
            </w:tcBorders>
            <w:shd w:val="clear" w:color="auto" w:fill="auto"/>
            <w:noWrap/>
            <w:vAlign w:val="center"/>
            <w:hideMark/>
          </w:tcPr>
          <w:p w14:paraId="5967FE31"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0.01</w:t>
            </w:r>
          </w:p>
        </w:tc>
        <w:tc>
          <w:tcPr>
            <w:tcW w:w="544" w:type="pct"/>
            <w:tcBorders>
              <w:top w:val="nil"/>
              <w:left w:val="nil"/>
              <w:bottom w:val="single" w:sz="4" w:space="0" w:color="auto"/>
              <w:right w:val="single" w:sz="4" w:space="0" w:color="auto"/>
            </w:tcBorders>
            <w:shd w:val="clear" w:color="auto" w:fill="auto"/>
            <w:noWrap/>
            <w:vAlign w:val="center"/>
            <w:hideMark/>
          </w:tcPr>
          <w:p w14:paraId="058F910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w:t>
            </w:r>
          </w:p>
        </w:tc>
        <w:tc>
          <w:tcPr>
            <w:tcW w:w="544" w:type="pct"/>
            <w:tcBorders>
              <w:top w:val="nil"/>
              <w:left w:val="nil"/>
              <w:bottom w:val="single" w:sz="4" w:space="0" w:color="auto"/>
              <w:right w:val="single" w:sz="4" w:space="0" w:color="auto"/>
            </w:tcBorders>
            <w:shd w:val="clear" w:color="auto" w:fill="auto"/>
            <w:noWrap/>
            <w:vAlign w:val="center"/>
            <w:hideMark/>
          </w:tcPr>
          <w:p w14:paraId="6FBC1468"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1.40</w:t>
            </w:r>
          </w:p>
        </w:tc>
        <w:tc>
          <w:tcPr>
            <w:tcW w:w="628" w:type="pct"/>
            <w:tcBorders>
              <w:top w:val="nil"/>
              <w:left w:val="nil"/>
              <w:bottom w:val="single" w:sz="4" w:space="0" w:color="auto"/>
              <w:right w:val="single" w:sz="4" w:space="0" w:color="auto"/>
            </w:tcBorders>
            <w:shd w:val="clear" w:color="auto" w:fill="auto"/>
            <w:noWrap/>
            <w:vAlign w:val="center"/>
            <w:hideMark/>
          </w:tcPr>
          <w:p w14:paraId="1D67C994"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93.26</w:t>
            </w:r>
          </w:p>
        </w:tc>
        <w:tc>
          <w:tcPr>
            <w:tcW w:w="642" w:type="pct"/>
            <w:tcBorders>
              <w:top w:val="nil"/>
              <w:left w:val="nil"/>
              <w:bottom w:val="single" w:sz="4" w:space="0" w:color="auto"/>
              <w:right w:val="single" w:sz="4" w:space="0" w:color="auto"/>
            </w:tcBorders>
            <w:shd w:val="clear" w:color="auto" w:fill="auto"/>
            <w:noWrap/>
            <w:vAlign w:val="center"/>
            <w:hideMark/>
          </w:tcPr>
          <w:p w14:paraId="31ACE68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94.50</w:t>
            </w:r>
          </w:p>
        </w:tc>
      </w:tr>
      <w:tr w:rsidR="001912B8" w:rsidRPr="00E87AB9" w14:paraId="7EB803D4"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33ECC11E"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Salud y Asistencia Social</w:t>
            </w:r>
          </w:p>
        </w:tc>
        <w:tc>
          <w:tcPr>
            <w:tcW w:w="549" w:type="pct"/>
            <w:tcBorders>
              <w:top w:val="nil"/>
              <w:left w:val="nil"/>
              <w:bottom w:val="single" w:sz="4" w:space="0" w:color="auto"/>
              <w:right w:val="single" w:sz="4" w:space="0" w:color="auto"/>
            </w:tcBorders>
            <w:shd w:val="clear" w:color="auto" w:fill="auto"/>
            <w:noWrap/>
            <w:vAlign w:val="center"/>
            <w:hideMark/>
          </w:tcPr>
          <w:p w14:paraId="1CB96BA0"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396</w:t>
            </w:r>
          </w:p>
        </w:tc>
        <w:tc>
          <w:tcPr>
            <w:tcW w:w="538" w:type="pct"/>
            <w:tcBorders>
              <w:top w:val="nil"/>
              <w:left w:val="nil"/>
              <w:bottom w:val="single" w:sz="4" w:space="0" w:color="auto"/>
              <w:right w:val="single" w:sz="4" w:space="0" w:color="auto"/>
            </w:tcBorders>
            <w:shd w:val="clear" w:color="auto" w:fill="auto"/>
            <w:noWrap/>
            <w:vAlign w:val="center"/>
            <w:hideMark/>
          </w:tcPr>
          <w:p w14:paraId="106296CB"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386.20</w:t>
            </w:r>
          </w:p>
        </w:tc>
        <w:tc>
          <w:tcPr>
            <w:tcW w:w="627" w:type="pct"/>
            <w:tcBorders>
              <w:top w:val="nil"/>
              <w:left w:val="nil"/>
              <w:bottom w:val="single" w:sz="4" w:space="0" w:color="auto"/>
              <w:right w:val="single" w:sz="4" w:space="0" w:color="auto"/>
            </w:tcBorders>
            <w:shd w:val="clear" w:color="auto" w:fill="auto"/>
            <w:noWrap/>
            <w:vAlign w:val="center"/>
            <w:hideMark/>
          </w:tcPr>
          <w:p w14:paraId="313FB00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3.55</w:t>
            </w:r>
          </w:p>
        </w:tc>
        <w:tc>
          <w:tcPr>
            <w:tcW w:w="544" w:type="pct"/>
            <w:tcBorders>
              <w:top w:val="nil"/>
              <w:left w:val="nil"/>
              <w:bottom w:val="single" w:sz="4" w:space="0" w:color="auto"/>
              <w:right w:val="single" w:sz="4" w:space="0" w:color="auto"/>
            </w:tcBorders>
            <w:shd w:val="clear" w:color="auto" w:fill="auto"/>
            <w:noWrap/>
            <w:vAlign w:val="center"/>
            <w:hideMark/>
          </w:tcPr>
          <w:p w14:paraId="7350E4E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343</w:t>
            </w:r>
          </w:p>
        </w:tc>
        <w:tc>
          <w:tcPr>
            <w:tcW w:w="544" w:type="pct"/>
            <w:tcBorders>
              <w:top w:val="nil"/>
              <w:left w:val="nil"/>
              <w:bottom w:val="single" w:sz="4" w:space="0" w:color="auto"/>
              <w:right w:val="single" w:sz="4" w:space="0" w:color="auto"/>
            </w:tcBorders>
            <w:shd w:val="clear" w:color="auto" w:fill="auto"/>
            <w:noWrap/>
            <w:vAlign w:val="center"/>
            <w:hideMark/>
          </w:tcPr>
          <w:p w14:paraId="016AE630"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156.76</w:t>
            </w:r>
          </w:p>
        </w:tc>
        <w:tc>
          <w:tcPr>
            <w:tcW w:w="628" w:type="pct"/>
            <w:tcBorders>
              <w:top w:val="nil"/>
              <w:left w:val="nil"/>
              <w:bottom w:val="single" w:sz="4" w:space="0" w:color="auto"/>
              <w:right w:val="single" w:sz="4" w:space="0" w:color="auto"/>
            </w:tcBorders>
            <w:shd w:val="clear" w:color="auto" w:fill="auto"/>
            <w:noWrap/>
            <w:vAlign w:val="center"/>
            <w:hideMark/>
          </w:tcPr>
          <w:p w14:paraId="7D0D789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40.59</w:t>
            </w:r>
          </w:p>
        </w:tc>
        <w:tc>
          <w:tcPr>
            <w:tcW w:w="642" w:type="pct"/>
            <w:tcBorders>
              <w:top w:val="nil"/>
              <w:left w:val="nil"/>
              <w:bottom w:val="single" w:sz="4" w:space="0" w:color="auto"/>
              <w:right w:val="single" w:sz="4" w:space="0" w:color="auto"/>
            </w:tcBorders>
            <w:shd w:val="clear" w:color="auto" w:fill="auto"/>
            <w:noWrap/>
            <w:vAlign w:val="center"/>
            <w:hideMark/>
          </w:tcPr>
          <w:p w14:paraId="08D8C2D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75.53</w:t>
            </w:r>
          </w:p>
        </w:tc>
      </w:tr>
      <w:tr w:rsidR="001912B8" w:rsidRPr="00E87AB9" w14:paraId="757804A2"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7477C5A9"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Seguridad Interna</w:t>
            </w:r>
          </w:p>
        </w:tc>
        <w:tc>
          <w:tcPr>
            <w:tcW w:w="549" w:type="pct"/>
            <w:tcBorders>
              <w:top w:val="nil"/>
              <w:left w:val="nil"/>
              <w:bottom w:val="single" w:sz="4" w:space="0" w:color="auto"/>
              <w:right w:val="single" w:sz="4" w:space="0" w:color="auto"/>
            </w:tcBorders>
            <w:shd w:val="clear" w:color="auto" w:fill="auto"/>
            <w:noWrap/>
            <w:vAlign w:val="center"/>
            <w:hideMark/>
          </w:tcPr>
          <w:p w14:paraId="31E6E91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77</w:t>
            </w:r>
          </w:p>
        </w:tc>
        <w:tc>
          <w:tcPr>
            <w:tcW w:w="538" w:type="pct"/>
            <w:tcBorders>
              <w:top w:val="nil"/>
              <w:left w:val="nil"/>
              <w:bottom w:val="single" w:sz="4" w:space="0" w:color="auto"/>
              <w:right w:val="single" w:sz="4" w:space="0" w:color="auto"/>
            </w:tcBorders>
            <w:shd w:val="clear" w:color="auto" w:fill="auto"/>
            <w:noWrap/>
            <w:vAlign w:val="center"/>
            <w:hideMark/>
          </w:tcPr>
          <w:p w14:paraId="02890B93"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170.35</w:t>
            </w:r>
          </w:p>
        </w:tc>
        <w:tc>
          <w:tcPr>
            <w:tcW w:w="627" w:type="pct"/>
            <w:tcBorders>
              <w:top w:val="nil"/>
              <w:left w:val="nil"/>
              <w:bottom w:val="single" w:sz="4" w:space="0" w:color="auto"/>
              <w:right w:val="single" w:sz="4" w:space="0" w:color="auto"/>
            </w:tcBorders>
            <w:shd w:val="clear" w:color="auto" w:fill="auto"/>
            <w:noWrap/>
            <w:vAlign w:val="center"/>
            <w:hideMark/>
          </w:tcPr>
          <w:p w14:paraId="5E8DAF50"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1.56</w:t>
            </w:r>
          </w:p>
        </w:tc>
        <w:tc>
          <w:tcPr>
            <w:tcW w:w="544" w:type="pct"/>
            <w:tcBorders>
              <w:top w:val="nil"/>
              <w:left w:val="nil"/>
              <w:bottom w:val="single" w:sz="4" w:space="0" w:color="auto"/>
              <w:right w:val="single" w:sz="4" w:space="0" w:color="auto"/>
            </w:tcBorders>
            <w:shd w:val="clear" w:color="auto" w:fill="auto"/>
            <w:noWrap/>
            <w:vAlign w:val="center"/>
            <w:hideMark/>
          </w:tcPr>
          <w:p w14:paraId="7C8B70A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61</w:t>
            </w:r>
          </w:p>
        </w:tc>
        <w:tc>
          <w:tcPr>
            <w:tcW w:w="544" w:type="pct"/>
            <w:tcBorders>
              <w:top w:val="nil"/>
              <w:left w:val="nil"/>
              <w:bottom w:val="single" w:sz="4" w:space="0" w:color="auto"/>
              <w:right w:val="single" w:sz="4" w:space="0" w:color="auto"/>
            </w:tcBorders>
            <w:shd w:val="clear" w:color="auto" w:fill="auto"/>
            <w:noWrap/>
            <w:vAlign w:val="center"/>
            <w:hideMark/>
          </w:tcPr>
          <w:p w14:paraId="0C6D5FF5"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56.35</w:t>
            </w:r>
          </w:p>
        </w:tc>
        <w:tc>
          <w:tcPr>
            <w:tcW w:w="628" w:type="pct"/>
            <w:tcBorders>
              <w:top w:val="nil"/>
              <w:left w:val="nil"/>
              <w:bottom w:val="single" w:sz="4" w:space="0" w:color="auto"/>
              <w:right w:val="single" w:sz="4" w:space="0" w:color="auto"/>
            </w:tcBorders>
            <w:shd w:val="clear" w:color="auto" w:fill="auto"/>
            <w:noWrap/>
            <w:vAlign w:val="center"/>
            <w:hideMark/>
          </w:tcPr>
          <w:p w14:paraId="5B06F0C6"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33.08</w:t>
            </w:r>
          </w:p>
        </w:tc>
        <w:tc>
          <w:tcPr>
            <w:tcW w:w="642" w:type="pct"/>
            <w:tcBorders>
              <w:top w:val="nil"/>
              <w:left w:val="nil"/>
              <w:bottom w:val="single" w:sz="4" w:space="0" w:color="auto"/>
              <w:right w:val="single" w:sz="4" w:space="0" w:color="auto"/>
            </w:tcBorders>
            <w:shd w:val="clear" w:color="auto" w:fill="auto"/>
            <w:noWrap/>
            <w:vAlign w:val="center"/>
            <w:hideMark/>
          </w:tcPr>
          <w:p w14:paraId="344FD3A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59.68</w:t>
            </w:r>
          </w:p>
        </w:tc>
      </w:tr>
      <w:tr w:rsidR="001912B8" w:rsidRPr="00E87AB9" w14:paraId="53DE9116"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1856BFED"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Servicios Generales</w:t>
            </w:r>
          </w:p>
        </w:tc>
        <w:tc>
          <w:tcPr>
            <w:tcW w:w="549" w:type="pct"/>
            <w:tcBorders>
              <w:top w:val="nil"/>
              <w:left w:val="nil"/>
              <w:bottom w:val="single" w:sz="4" w:space="0" w:color="auto"/>
              <w:right w:val="single" w:sz="4" w:space="0" w:color="auto"/>
            </w:tcBorders>
            <w:shd w:val="clear" w:color="auto" w:fill="auto"/>
            <w:noWrap/>
            <w:vAlign w:val="center"/>
            <w:hideMark/>
          </w:tcPr>
          <w:p w14:paraId="530DB15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210</w:t>
            </w:r>
          </w:p>
        </w:tc>
        <w:tc>
          <w:tcPr>
            <w:tcW w:w="538" w:type="pct"/>
            <w:tcBorders>
              <w:top w:val="nil"/>
              <w:left w:val="nil"/>
              <w:bottom w:val="single" w:sz="4" w:space="0" w:color="auto"/>
              <w:right w:val="single" w:sz="4" w:space="0" w:color="auto"/>
            </w:tcBorders>
            <w:shd w:val="clear" w:color="auto" w:fill="auto"/>
            <w:noWrap/>
            <w:vAlign w:val="center"/>
            <w:hideMark/>
          </w:tcPr>
          <w:p w14:paraId="4F59A3C2"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257.78</w:t>
            </w:r>
          </w:p>
        </w:tc>
        <w:tc>
          <w:tcPr>
            <w:tcW w:w="627" w:type="pct"/>
            <w:tcBorders>
              <w:top w:val="nil"/>
              <w:left w:val="nil"/>
              <w:bottom w:val="single" w:sz="4" w:space="0" w:color="auto"/>
              <w:right w:val="single" w:sz="4" w:space="0" w:color="auto"/>
            </w:tcBorders>
            <w:shd w:val="clear" w:color="auto" w:fill="auto"/>
            <w:noWrap/>
            <w:vAlign w:val="center"/>
            <w:hideMark/>
          </w:tcPr>
          <w:p w14:paraId="3CEC300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2.37</w:t>
            </w:r>
          </w:p>
        </w:tc>
        <w:tc>
          <w:tcPr>
            <w:tcW w:w="544" w:type="pct"/>
            <w:tcBorders>
              <w:top w:val="nil"/>
              <w:left w:val="nil"/>
              <w:bottom w:val="single" w:sz="4" w:space="0" w:color="auto"/>
              <w:right w:val="single" w:sz="4" w:space="0" w:color="auto"/>
            </w:tcBorders>
            <w:shd w:val="clear" w:color="auto" w:fill="auto"/>
            <w:noWrap/>
            <w:vAlign w:val="center"/>
            <w:hideMark/>
          </w:tcPr>
          <w:p w14:paraId="4BFC561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198</w:t>
            </w:r>
          </w:p>
        </w:tc>
        <w:tc>
          <w:tcPr>
            <w:tcW w:w="544" w:type="pct"/>
            <w:tcBorders>
              <w:top w:val="nil"/>
              <w:left w:val="nil"/>
              <w:bottom w:val="single" w:sz="4" w:space="0" w:color="auto"/>
              <w:right w:val="single" w:sz="4" w:space="0" w:color="auto"/>
            </w:tcBorders>
            <w:shd w:val="clear" w:color="auto" w:fill="auto"/>
            <w:noWrap/>
            <w:vAlign w:val="center"/>
            <w:hideMark/>
          </w:tcPr>
          <w:p w14:paraId="2A8065E3"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202.70</w:t>
            </w:r>
          </w:p>
        </w:tc>
        <w:tc>
          <w:tcPr>
            <w:tcW w:w="628" w:type="pct"/>
            <w:tcBorders>
              <w:top w:val="nil"/>
              <w:left w:val="nil"/>
              <w:bottom w:val="single" w:sz="4" w:space="0" w:color="auto"/>
              <w:right w:val="single" w:sz="4" w:space="0" w:color="auto"/>
            </w:tcBorders>
            <w:shd w:val="clear" w:color="auto" w:fill="auto"/>
            <w:noWrap/>
            <w:vAlign w:val="center"/>
            <w:hideMark/>
          </w:tcPr>
          <w:p w14:paraId="1AD176A8"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78.63</w:t>
            </w:r>
          </w:p>
        </w:tc>
        <w:tc>
          <w:tcPr>
            <w:tcW w:w="642" w:type="pct"/>
            <w:tcBorders>
              <w:top w:val="nil"/>
              <w:left w:val="nil"/>
              <w:bottom w:val="single" w:sz="4" w:space="0" w:color="auto"/>
              <w:right w:val="single" w:sz="4" w:space="0" w:color="auto"/>
            </w:tcBorders>
            <w:shd w:val="clear" w:color="auto" w:fill="auto"/>
            <w:noWrap/>
            <w:vAlign w:val="center"/>
            <w:hideMark/>
          </w:tcPr>
          <w:p w14:paraId="70C1BF8E"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74.47</w:t>
            </w:r>
          </w:p>
        </w:tc>
      </w:tr>
      <w:tr w:rsidR="001912B8" w:rsidRPr="00E87AB9" w14:paraId="373B0272"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1C70E56A"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Trabajo y Previsión Social</w:t>
            </w:r>
          </w:p>
        </w:tc>
        <w:tc>
          <w:tcPr>
            <w:tcW w:w="549" w:type="pct"/>
            <w:tcBorders>
              <w:top w:val="nil"/>
              <w:left w:val="nil"/>
              <w:bottom w:val="single" w:sz="4" w:space="0" w:color="auto"/>
              <w:right w:val="single" w:sz="4" w:space="0" w:color="auto"/>
            </w:tcBorders>
            <w:shd w:val="clear" w:color="auto" w:fill="auto"/>
            <w:noWrap/>
            <w:vAlign w:val="center"/>
            <w:hideMark/>
          </w:tcPr>
          <w:p w14:paraId="321DE6F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31</w:t>
            </w:r>
          </w:p>
        </w:tc>
        <w:tc>
          <w:tcPr>
            <w:tcW w:w="538" w:type="pct"/>
            <w:tcBorders>
              <w:top w:val="nil"/>
              <w:left w:val="nil"/>
              <w:bottom w:val="single" w:sz="4" w:space="0" w:color="auto"/>
              <w:right w:val="single" w:sz="4" w:space="0" w:color="auto"/>
            </w:tcBorders>
            <w:shd w:val="clear" w:color="auto" w:fill="auto"/>
            <w:noWrap/>
            <w:vAlign w:val="center"/>
            <w:hideMark/>
          </w:tcPr>
          <w:p w14:paraId="4032EBFF"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13.56</w:t>
            </w:r>
          </w:p>
        </w:tc>
        <w:tc>
          <w:tcPr>
            <w:tcW w:w="627" w:type="pct"/>
            <w:tcBorders>
              <w:top w:val="nil"/>
              <w:left w:val="nil"/>
              <w:bottom w:val="single" w:sz="4" w:space="0" w:color="auto"/>
              <w:right w:val="single" w:sz="4" w:space="0" w:color="auto"/>
            </w:tcBorders>
            <w:shd w:val="clear" w:color="auto" w:fill="auto"/>
            <w:noWrap/>
            <w:vAlign w:val="center"/>
            <w:hideMark/>
          </w:tcPr>
          <w:p w14:paraId="7C94740B"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0.12</w:t>
            </w:r>
          </w:p>
        </w:tc>
        <w:tc>
          <w:tcPr>
            <w:tcW w:w="544" w:type="pct"/>
            <w:tcBorders>
              <w:top w:val="nil"/>
              <w:left w:val="nil"/>
              <w:bottom w:val="single" w:sz="4" w:space="0" w:color="auto"/>
              <w:right w:val="single" w:sz="4" w:space="0" w:color="auto"/>
            </w:tcBorders>
            <w:shd w:val="clear" w:color="auto" w:fill="auto"/>
            <w:noWrap/>
            <w:vAlign w:val="center"/>
            <w:hideMark/>
          </w:tcPr>
          <w:p w14:paraId="6634C51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29</w:t>
            </w:r>
          </w:p>
        </w:tc>
        <w:tc>
          <w:tcPr>
            <w:tcW w:w="544" w:type="pct"/>
            <w:tcBorders>
              <w:top w:val="nil"/>
              <w:left w:val="nil"/>
              <w:bottom w:val="single" w:sz="4" w:space="0" w:color="auto"/>
              <w:right w:val="single" w:sz="4" w:space="0" w:color="auto"/>
            </w:tcBorders>
            <w:shd w:val="clear" w:color="auto" w:fill="auto"/>
            <w:noWrap/>
            <w:vAlign w:val="center"/>
            <w:hideMark/>
          </w:tcPr>
          <w:p w14:paraId="117A6112"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5.60</w:t>
            </w:r>
          </w:p>
        </w:tc>
        <w:tc>
          <w:tcPr>
            <w:tcW w:w="628" w:type="pct"/>
            <w:tcBorders>
              <w:top w:val="nil"/>
              <w:left w:val="nil"/>
              <w:bottom w:val="single" w:sz="4" w:space="0" w:color="auto"/>
              <w:right w:val="single" w:sz="4" w:space="0" w:color="auto"/>
            </w:tcBorders>
            <w:shd w:val="clear" w:color="auto" w:fill="auto"/>
            <w:noWrap/>
            <w:vAlign w:val="center"/>
            <w:hideMark/>
          </w:tcPr>
          <w:p w14:paraId="1EEAB53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41.26</w:t>
            </w:r>
          </w:p>
        </w:tc>
        <w:tc>
          <w:tcPr>
            <w:tcW w:w="642" w:type="pct"/>
            <w:tcBorders>
              <w:top w:val="nil"/>
              <w:left w:val="nil"/>
              <w:bottom w:val="single" w:sz="4" w:space="0" w:color="auto"/>
              <w:right w:val="single" w:sz="4" w:space="0" w:color="auto"/>
            </w:tcBorders>
            <w:shd w:val="clear" w:color="auto" w:fill="auto"/>
            <w:noWrap/>
            <w:vAlign w:val="center"/>
            <w:hideMark/>
          </w:tcPr>
          <w:p w14:paraId="2D3722B3"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57.57</w:t>
            </w:r>
          </w:p>
        </w:tc>
      </w:tr>
      <w:tr w:rsidR="001912B8" w:rsidRPr="00E87AB9" w14:paraId="448FDF56"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6DD9ABF3"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Transporte</w:t>
            </w:r>
          </w:p>
        </w:tc>
        <w:tc>
          <w:tcPr>
            <w:tcW w:w="549" w:type="pct"/>
            <w:tcBorders>
              <w:top w:val="nil"/>
              <w:left w:val="nil"/>
              <w:bottom w:val="single" w:sz="4" w:space="0" w:color="auto"/>
              <w:right w:val="single" w:sz="4" w:space="0" w:color="auto"/>
            </w:tcBorders>
            <w:shd w:val="clear" w:color="auto" w:fill="auto"/>
            <w:noWrap/>
            <w:vAlign w:val="center"/>
            <w:hideMark/>
          </w:tcPr>
          <w:p w14:paraId="52A66FA1"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1886</w:t>
            </w:r>
          </w:p>
        </w:tc>
        <w:tc>
          <w:tcPr>
            <w:tcW w:w="538" w:type="pct"/>
            <w:tcBorders>
              <w:top w:val="nil"/>
              <w:left w:val="nil"/>
              <w:bottom w:val="single" w:sz="4" w:space="0" w:color="auto"/>
              <w:right w:val="single" w:sz="4" w:space="0" w:color="auto"/>
            </w:tcBorders>
            <w:shd w:val="clear" w:color="auto" w:fill="auto"/>
            <w:noWrap/>
            <w:vAlign w:val="center"/>
            <w:hideMark/>
          </w:tcPr>
          <w:p w14:paraId="5615521F"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5,387.43</w:t>
            </w:r>
          </w:p>
        </w:tc>
        <w:tc>
          <w:tcPr>
            <w:tcW w:w="627" w:type="pct"/>
            <w:tcBorders>
              <w:top w:val="nil"/>
              <w:left w:val="nil"/>
              <w:bottom w:val="single" w:sz="4" w:space="0" w:color="auto"/>
              <w:right w:val="single" w:sz="4" w:space="0" w:color="auto"/>
            </w:tcBorders>
            <w:shd w:val="clear" w:color="auto" w:fill="auto"/>
            <w:noWrap/>
            <w:vAlign w:val="center"/>
            <w:hideMark/>
          </w:tcPr>
          <w:p w14:paraId="0AFC58E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49.49</w:t>
            </w:r>
          </w:p>
        </w:tc>
        <w:tc>
          <w:tcPr>
            <w:tcW w:w="544" w:type="pct"/>
            <w:tcBorders>
              <w:top w:val="nil"/>
              <w:left w:val="nil"/>
              <w:bottom w:val="single" w:sz="4" w:space="0" w:color="auto"/>
              <w:right w:val="single" w:sz="4" w:space="0" w:color="auto"/>
            </w:tcBorders>
            <w:shd w:val="clear" w:color="auto" w:fill="auto"/>
            <w:noWrap/>
            <w:vAlign w:val="center"/>
            <w:hideMark/>
          </w:tcPr>
          <w:p w14:paraId="0DEBC0D5"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1703</w:t>
            </w:r>
          </w:p>
        </w:tc>
        <w:tc>
          <w:tcPr>
            <w:tcW w:w="544" w:type="pct"/>
            <w:tcBorders>
              <w:top w:val="nil"/>
              <w:left w:val="nil"/>
              <w:bottom w:val="single" w:sz="4" w:space="0" w:color="auto"/>
              <w:right w:val="single" w:sz="4" w:space="0" w:color="auto"/>
            </w:tcBorders>
            <w:shd w:val="clear" w:color="auto" w:fill="auto"/>
            <w:noWrap/>
            <w:vAlign w:val="center"/>
            <w:hideMark/>
          </w:tcPr>
          <w:p w14:paraId="28516B38"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3,406.10</w:t>
            </w:r>
          </w:p>
        </w:tc>
        <w:tc>
          <w:tcPr>
            <w:tcW w:w="628" w:type="pct"/>
            <w:tcBorders>
              <w:top w:val="nil"/>
              <w:left w:val="nil"/>
              <w:bottom w:val="single" w:sz="4" w:space="0" w:color="auto"/>
              <w:right w:val="single" w:sz="4" w:space="0" w:color="auto"/>
            </w:tcBorders>
            <w:shd w:val="clear" w:color="auto" w:fill="auto"/>
            <w:noWrap/>
            <w:vAlign w:val="center"/>
            <w:hideMark/>
          </w:tcPr>
          <w:p w14:paraId="568B13E4"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63.22</w:t>
            </w:r>
          </w:p>
        </w:tc>
        <w:tc>
          <w:tcPr>
            <w:tcW w:w="642" w:type="pct"/>
            <w:tcBorders>
              <w:top w:val="nil"/>
              <w:left w:val="nil"/>
              <w:bottom w:val="single" w:sz="4" w:space="0" w:color="auto"/>
              <w:right w:val="single" w:sz="4" w:space="0" w:color="auto"/>
            </w:tcBorders>
            <w:shd w:val="clear" w:color="auto" w:fill="auto"/>
            <w:noWrap/>
            <w:vAlign w:val="center"/>
            <w:hideMark/>
          </w:tcPr>
          <w:p w14:paraId="3086F5C9"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81.48</w:t>
            </w:r>
          </w:p>
        </w:tc>
      </w:tr>
      <w:tr w:rsidR="001912B8" w:rsidRPr="00E87AB9" w14:paraId="2C4934CE"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5E77AC60"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Turismo</w:t>
            </w:r>
          </w:p>
        </w:tc>
        <w:tc>
          <w:tcPr>
            <w:tcW w:w="549" w:type="pct"/>
            <w:tcBorders>
              <w:top w:val="nil"/>
              <w:left w:val="nil"/>
              <w:bottom w:val="single" w:sz="4" w:space="0" w:color="auto"/>
              <w:right w:val="single" w:sz="4" w:space="0" w:color="auto"/>
            </w:tcBorders>
            <w:shd w:val="clear" w:color="auto" w:fill="auto"/>
            <w:noWrap/>
            <w:vAlign w:val="center"/>
            <w:hideMark/>
          </w:tcPr>
          <w:p w14:paraId="301CB951"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12</w:t>
            </w:r>
          </w:p>
        </w:tc>
        <w:tc>
          <w:tcPr>
            <w:tcW w:w="538" w:type="pct"/>
            <w:tcBorders>
              <w:top w:val="nil"/>
              <w:left w:val="nil"/>
              <w:bottom w:val="single" w:sz="4" w:space="0" w:color="auto"/>
              <w:right w:val="single" w:sz="4" w:space="0" w:color="auto"/>
            </w:tcBorders>
            <w:shd w:val="clear" w:color="auto" w:fill="auto"/>
            <w:noWrap/>
            <w:vAlign w:val="center"/>
            <w:hideMark/>
          </w:tcPr>
          <w:p w14:paraId="58FE151E"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6.35</w:t>
            </w:r>
          </w:p>
        </w:tc>
        <w:tc>
          <w:tcPr>
            <w:tcW w:w="627" w:type="pct"/>
            <w:tcBorders>
              <w:top w:val="nil"/>
              <w:left w:val="nil"/>
              <w:bottom w:val="single" w:sz="4" w:space="0" w:color="auto"/>
              <w:right w:val="single" w:sz="4" w:space="0" w:color="auto"/>
            </w:tcBorders>
            <w:shd w:val="clear" w:color="auto" w:fill="auto"/>
            <w:noWrap/>
            <w:vAlign w:val="center"/>
            <w:hideMark/>
          </w:tcPr>
          <w:p w14:paraId="267CFEAF"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0.06</w:t>
            </w:r>
          </w:p>
        </w:tc>
        <w:tc>
          <w:tcPr>
            <w:tcW w:w="544" w:type="pct"/>
            <w:tcBorders>
              <w:top w:val="nil"/>
              <w:left w:val="nil"/>
              <w:bottom w:val="single" w:sz="4" w:space="0" w:color="auto"/>
              <w:right w:val="single" w:sz="4" w:space="0" w:color="auto"/>
            </w:tcBorders>
            <w:shd w:val="clear" w:color="auto" w:fill="auto"/>
            <w:noWrap/>
            <w:vAlign w:val="center"/>
            <w:hideMark/>
          </w:tcPr>
          <w:p w14:paraId="244350CC"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11</w:t>
            </w:r>
          </w:p>
        </w:tc>
        <w:tc>
          <w:tcPr>
            <w:tcW w:w="544" w:type="pct"/>
            <w:tcBorders>
              <w:top w:val="nil"/>
              <w:left w:val="nil"/>
              <w:bottom w:val="single" w:sz="4" w:space="0" w:color="auto"/>
              <w:right w:val="single" w:sz="4" w:space="0" w:color="auto"/>
            </w:tcBorders>
            <w:shd w:val="clear" w:color="auto" w:fill="auto"/>
            <w:noWrap/>
            <w:vAlign w:val="center"/>
            <w:hideMark/>
          </w:tcPr>
          <w:p w14:paraId="457F780D"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4.37</w:t>
            </w:r>
          </w:p>
        </w:tc>
        <w:tc>
          <w:tcPr>
            <w:tcW w:w="628" w:type="pct"/>
            <w:tcBorders>
              <w:top w:val="nil"/>
              <w:left w:val="nil"/>
              <w:bottom w:val="single" w:sz="4" w:space="0" w:color="auto"/>
              <w:right w:val="single" w:sz="4" w:space="0" w:color="auto"/>
            </w:tcBorders>
            <w:shd w:val="clear" w:color="auto" w:fill="auto"/>
            <w:noWrap/>
            <w:vAlign w:val="center"/>
            <w:hideMark/>
          </w:tcPr>
          <w:p w14:paraId="462D71A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68.86</w:t>
            </w:r>
          </w:p>
        </w:tc>
        <w:tc>
          <w:tcPr>
            <w:tcW w:w="642" w:type="pct"/>
            <w:tcBorders>
              <w:top w:val="nil"/>
              <w:left w:val="nil"/>
              <w:bottom w:val="single" w:sz="4" w:space="0" w:color="auto"/>
              <w:right w:val="single" w:sz="4" w:space="0" w:color="auto"/>
            </w:tcBorders>
            <w:shd w:val="clear" w:color="auto" w:fill="auto"/>
            <w:noWrap/>
            <w:vAlign w:val="center"/>
            <w:hideMark/>
          </w:tcPr>
          <w:p w14:paraId="586EC35A"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69.15</w:t>
            </w:r>
          </w:p>
        </w:tc>
      </w:tr>
      <w:tr w:rsidR="001912B8" w:rsidRPr="00E87AB9" w14:paraId="73D1428E"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auto"/>
            <w:vAlign w:val="bottom"/>
            <w:hideMark/>
          </w:tcPr>
          <w:p w14:paraId="0F7B85E6" w14:textId="77777777" w:rsidR="001912B8" w:rsidRPr="008F7682" w:rsidRDefault="001912B8" w:rsidP="001912B8">
            <w:pPr>
              <w:spacing w:after="0"/>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Vivienda</w:t>
            </w:r>
          </w:p>
        </w:tc>
        <w:tc>
          <w:tcPr>
            <w:tcW w:w="549" w:type="pct"/>
            <w:tcBorders>
              <w:top w:val="nil"/>
              <w:left w:val="nil"/>
              <w:bottom w:val="single" w:sz="4" w:space="0" w:color="auto"/>
              <w:right w:val="single" w:sz="4" w:space="0" w:color="auto"/>
            </w:tcBorders>
            <w:shd w:val="clear" w:color="auto" w:fill="auto"/>
            <w:noWrap/>
            <w:vAlign w:val="center"/>
            <w:hideMark/>
          </w:tcPr>
          <w:p w14:paraId="10CC91D6"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27</w:t>
            </w:r>
          </w:p>
        </w:tc>
        <w:tc>
          <w:tcPr>
            <w:tcW w:w="538" w:type="pct"/>
            <w:tcBorders>
              <w:top w:val="nil"/>
              <w:left w:val="nil"/>
              <w:bottom w:val="single" w:sz="4" w:space="0" w:color="auto"/>
              <w:right w:val="single" w:sz="4" w:space="0" w:color="auto"/>
            </w:tcBorders>
            <w:shd w:val="clear" w:color="auto" w:fill="auto"/>
            <w:noWrap/>
            <w:vAlign w:val="center"/>
            <w:hideMark/>
          </w:tcPr>
          <w:p w14:paraId="13038AF3"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15.25</w:t>
            </w:r>
          </w:p>
        </w:tc>
        <w:tc>
          <w:tcPr>
            <w:tcW w:w="627" w:type="pct"/>
            <w:tcBorders>
              <w:top w:val="nil"/>
              <w:left w:val="nil"/>
              <w:bottom w:val="single" w:sz="4" w:space="0" w:color="auto"/>
              <w:right w:val="single" w:sz="4" w:space="0" w:color="auto"/>
            </w:tcBorders>
            <w:shd w:val="clear" w:color="auto" w:fill="auto"/>
            <w:noWrap/>
            <w:vAlign w:val="center"/>
            <w:hideMark/>
          </w:tcPr>
          <w:p w14:paraId="09F63557"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0.14</w:t>
            </w:r>
          </w:p>
        </w:tc>
        <w:tc>
          <w:tcPr>
            <w:tcW w:w="544" w:type="pct"/>
            <w:tcBorders>
              <w:top w:val="nil"/>
              <w:left w:val="nil"/>
              <w:bottom w:val="single" w:sz="4" w:space="0" w:color="auto"/>
              <w:right w:val="single" w:sz="4" w:space="0" w:color="auto"/>
            </w:tcBorders>
            <w:shd w:val="clear" w:color="auto" w:fill="auto"/>
            <w:noWrap/>
            <w:vAlign w:val="center"/>
            <w:hideMark/>
          </w:tcPr>
          <w:p w14:paraId="456912C3"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22</w:t>
            </w:r>
          </w:p>
        </w:tc>
        <w:tc>
          <w:tcPr>
            <w:tcW w:w="544" w:type="pct"/>
            <w:tcBorders>
              <w:top w:val="nil"/>
              <w:left w:val="nil"/>
              <w:bottom w:val="single" w:sz="4" w:space="0" w:color="auto"/>
              <w:right w:val="single" w:sz="4" w:space="0" w:color="auto"/>
            </w:tcBorders>
            <w:shd w:val="clear" w:color="auto" w:fill="auto"/>
            <w:noWrap/>
            <w:vAlign w:val="center"/>
            <w:hideMark/>
          </w:tcPr>
          <w:p w14:paraId="6B01999B" w14:textId="77777777" w:rsidR="001912B8" w:rsidRPr="008F7682" w:rsidRDefault="001912B8" w:rsidP="001912B8">
            <w:pPr>
              <w:spacing w:after="0"/>
              <w:jc w:val="right"/>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8.92</w:t>
            </w:r>
          </w:p>
        </w:tc>
        <w:tc>
          <w:tcPr>
            <w:tcW w:w="628" w:type="pct"/>
            <w:tcBorders>
              <w:top w:val="nil"/>
              <w:left w:val="nil"/>
              <w:bottom w:val="single" w:sz="4" w:space="0" w:color="auto"/>
              <w:right w:val="single" w:sz="4" w:space="0" w:color="auto"/>
            </w:tcBorders>
            <w:shd w:val="clear" w:color="auto" w:fill="auto"/>
            <w:noWrap/>
            <w:vAlign w:val="center"/>
            <w:hideMark/>
          </w:tcPr>
          <w:p w14:paraId="376EB630"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58.52</w:t>
            </w:r>
          </w:p>
        </w:tc>
        <w:tc>
          <w:tcPr>
            <w:tcW w:w="642" w:type="pct"/>
            <w:tcBorders>
              <w:top w:val="nil"/>
              <w:left w:val="nil"/>
              <w:bottom w:val="single" w:sz="4" w:space="0" w:color="auto"/>
              <w:right w:val="single" w:sz="4" w:space="0" w:color="auto"/>
            </w:tcBorders>
            <w:shd w:val="clear" w:color="auto" w:fill="auto"/>
            <w:noWrap/>
            <w:vAlign w:val="center"/>
            <w:hideMark/>
          </w:tcPr>
          <w:p w14:paraId="2D50120D" w14:textId="77777777" w:rsidR="001912B8" w:rsidRPr="008F7682" w:rsidRDefault="001912B8" w:rsidP="001912B8">
            <w:pPr>
              <w:spacing w:after="0"/>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53.27</w:t>
            </w:r>
          </w:p>
        </w:tc>
      </w:tr>
      <w:tr w:rsidR="001912B8" w:rsidRPr="00E87AB9" w14:paraId="1FC242B8" w14:textId="77777777" w:rsidTr="00444E51">
        <w:trPr>
          <w:trHeight w:val="255"/>
        </w:trPr>
        <w:tc>
          <w:tcPr>
            <w:tcW w:w="929" w:type="pct"/>
            <w:tcBorders>
              <w:top w:val="nil"/>
              <w:left w:val="single" w:sz="4" w:space="0" w:color="auto"/>
              <w:bottom w:val="single" w:sz="4" w:space="0" w:color="auto"/>
              <w:right w:val="single" w:sz="4" w:space="0" w:color="auto"/>
            </w:tcBorders>
            <w:shd w:val="clear" w:color="auto" w:fill="D9E2F3" w:themeFill="accent1" w:themeFillTint="33"/>
            <w:vAlign w:val="bottom"/>
            <w:hideMark/>
          </w:tcPr>
          <w:p w14:paraId="3DF32684" w14:textId="211A644D" w:rsidR="001912B8" w:rsidRPr="008F7682" w:rsidRDefault="001912B8" w:rsidP="001912B8">
            <w:pPr>
              <w:spacing w:after="0"/>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Total</w:t>
            </w:r>
          </w:p>
        </w:tc>
        <w:tc>
          <w:tcPr>
            <w:tcW w:w="549" w:type="pct"/>
            <w:tcBorders>
              <w:top w:val="nil"/>
              <w:left w:val="nil"/>
              <w:bottom w:val="single" w:sz="4" w:space="0" w:color="auto"/>
              <w:right w:val="single" w:sz="4" w:space="0" w:color="auto"/>
            </w:tcBorders>
            <w:shd w:val="clear" w:color="auto" w:fill="D9E2F3" w:themeFill="accent1" w:themeFillTint="33"/>
            <w:noWrap/>
            <w:vAlign w:val="bottom"/>
            <w:hideMark/>
          </w:tcPr>
          <w:p w14:paraId="34196335"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6,980</w:t>
            </w:r>
          </w:p>
        </w:tc>
        <w:tc>
          <w:tcPr>
            <w:tcW w:w="538" w:type="pct"/>
            <w:tcBorders>
              <w:top w:val="nil"/>
              <w:left w:val="nil"/>
              <w:bottom w:val="single" w:sz="4" w:space="0" w:color="auto"/>
              <w:right w:val="single" w:sz="4" w:space="0" w:color="auto"/>
            </w:tcBorders>
            <w:shd w:val="clear" w:color="auto" w:fill="D9E2F3" w:themeFill="accent1" w:themeFillTint="33"/>
            <w:noWrap/>
            <w:vAlign w:val="bottom"/>
            <w:hideMark/>
          </w:tcPr>
          <w:p w14:paraId="4CFFA625" w14:textId="77777777" w:rsidR="001912B8" w:rsidRPr="008F7682" w:rsidRDefault="001912B8" w:rsidP="001912B8">
            <w:pPr>
              <w:spacing w:after="0"/>
              <w:jc w:val="right"/>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10,886.15</w:t>
            </w:r>
          </w:p>
        </w:tc>
        <w:tc>
          <w:tcPr>
            <w:tcW w:w="627" w:type="pct"/>
            <w:tcBorders>
              <w:top w:val="nil"/>
              <w:left w:val="nil"/>
              <w:bottom w:val="single" w:sz="4" w:space="0" w:color="auto"/>
              <w:right w:val="single" w:sz="4" w:space="0" w:color="auto"/>
            </w:tcBorders>
            <w:shd w:val="clear" w:color="auto" w:fill="D9E2F3" w:themeFill="accent1" w:themeFillTint="33"/>
            <w:noWrap/>
            <w:vAlign w:val="bottom"/>
            <w:hideMark/>
          </w:tcPr>
          <w:p w14:paraId="0695B4A2"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100.00</w:t>
            </w:r>
          </w:p>
        </w:tc>
        <w:tc>
          <w:tcPr>
            <w:tcW w:w="544" w:type="pct"/>
            <w:tcBorders>
              <w:top w:val="nil"/>
              <w:left w:val="nil"/>
              <w:bottom w:val="single" w:sz="4" w:space="0" w:color="auto"/>
              <w:right w:val="single" w:sz="4" w:space="0" w:color="auto"/>
            </w:tcBorders>
            <w:shd w:val="clear" w:color="auto" w:fill="D9E2F3" w:themeFill="accent1" w:themeFillTint="33"/>
            <w:noWrap/>
            <w:vAlign w:val="bottom"/>
            <w:hideMark/>
          </w:tcPr>
          <w:p w14:paraId="383F6080"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6174</w:t>
            </w:r>
          </w:p>
        </w:tc>
        <w:tc>
          <w:tcPr>
            <w:tcW w:w="544" w:type="pct"/>
            <w:tcBorders>
              <w:top w:val="nil"/>
              <w:left w:val="nil"/>
              <w:bottom w:val="single" w:sz="4" w:space="0" w:color="auto"/>
              <w:right w:val="single" w:sz="4" w:space="0" w:color="auto"/>
            </w:tcBorders>
            <w:shd w:val="clear" w:color="auto" w:fill="D9E2F3" w:themeFill="accent1" w:themeFillTint="33"/>
            <w:noWrap/>
            <w:vAlign w:val="bottom"/>
            <w:hideMark/>
          </w:tcPr>
          <w:p w14:paraId="7265EA6F" w14:textId="77777777" w:rsidR="001912B8" w:rsidRPr="008F7682" w:rsidRDefault="001912B8" w:rsidP="001912B8">
            <w:pPr>
              <w:spacing w:after="0"/>
              <w:jc w:val="right"/>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6,474.89</w:t>
            </w:r>
          </w:p>
        </w:tc>
        <w:tc>
          <w:tcPr>
            <w:tcW w:w="628" w:type="pct"/>
            <w:tcBorders>
              <w:top w:val="nil"/>
              <w:left w:val="nil"/>
              <w:bottom w:val="single" w:sz="4" w:space="0" w:color="auto"/>
              <w:right w:val="single" w:sz="4" w:space="0" w:color="auto"/>
            </w:tcBorders>
            <w:shd w:val="clear" w:color="auto" w:fill="D9E2F3" w:themeFill="accent1" w:themeFillTint="33"/>
            <w:noWrap/>
            <w:vAlign w:val="center"/>
            <w:hideMark/>
          </w:tcPr>
          <w:p w14:paraId="4ADF9FA8"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59.48</w:t>
            </w:r>
          </w:p>
        </w:tc>
        <w:tc>
          <w:tcPr>
            <w:tcW w:w="642" w:type="pct"/>
            <w:tcBorders>
              <w:top w:val="nil"/>
              <w:left w:val="nil"/>
              <w:bottom w:val="single" w:sz="4" w:space="0" w:color="auto"/>
              <w:right w:val="single" w:sz="4" w:space="0" w:color="auto"/>
            </w:tcBorders>
            <w:shd w:val="clear" w:color="auto" w:fill="D9E2F3" w:themeFill="accent1" w:themeFillTint="33"/>
            <w:noWrap/>
            <w:vAlign w:val="bottom"/>
            <w:hideMark/>
          </w:tcPr>
          <w:p w14:paraId="7FFCC944" w14:textId="77777777" w:rsidR="001912B8" w:rsidRPr="008F7682" w:rsidRDefault="001912B8" w:rsidP="001912B8">
            <w:pPr>
              <w:spacing w:after="0"/>
              <w:jc w:val="center"/>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79.38</w:t>
            </w:r>
          </w:p>
        </w:tc>
      </w:tr>
    </w:tbl>
    <w:p w14:paraId="7A8660FC" w14:textId="77777777" w:rsidR="001912B8" w:rsidRPr="00906050" w:rsidRDefault="001912B8" w:rsidP="001912B8">
      <w:pPr>
        <w:rPr>
          <w:rFonts w:ascii="Times New Roman" w:hAnsi="Times New Roman" w:cs="Times New Roman"/>
          <w:sz w:val="16"/>
          <w:szCs w:val="16"/>
        </w:rPr>
      </w:pPr>
      <w:r w:rsidRPr="00906050">
        <w:rPr>
          <w:rFonts w:ascii="Times New Roman" w:hAnsi="Times New Roman" w:cs="Times New Roman"/>
          <w:sz w:val="16"/>
          <w:szCs w:val="16"/>
        </w:rPr>
        <w:t xml:space="preserve">Fuente: elaboración SEGEPLAN con información del SINIP al </w:t>
      </w:r>
      <w:r>
        <w:rPr>
          <w:rFonts w:ascii="Times New Roman" w:hAnsi="Times New Roman" w:cs="Times New Roman"/>
          <w:sz w:val="16"/>
          <w:szCs w:val="16"/>
        </w:rPr>
        <w:t>18.01</w:t>
      </w:r>
      <w:r w:rsidRPr="00906050">
        <w:rPr>
          <w:rFonts w:ascii="Times New Roman" w:hAnsi="Times New Roman" w:cs="Times New Roman"/>
          <w:sz w:val="16"/>
          <w:szCs w:val="16"/>
        </w:rPr>
        <w:t>.202</w:t>
      </w:r>
      <w:r>
        <w:rPr>
          <w:rFonts w:ascii="Times New Roman" w:hAnsi="Times New Roman" w:cs="Times New Roman"/>
          <w:sz w:val="16"/>
          <w:szCs w:val="16"/>
        </w:rPr>
        <w:t>1</w:t>
      </w:r>
      <w:r w:rsidRPr="00906050">
        <w:rPr>
          <w:rFonts w:ascii="Times New Roman" w:hAnsi="Times New Roman" w:cs="Times New Roman"/>
          <w:sz w:val="16"/>
          <w:szCs w:val="16"/>
        </w:rPr>
        <w:t>.</w:t>
      </w:r>
    </w:p>
    <w:p w14:paraId="1043A314" w14:textId="7D1A45CC" w:rsidR="001912B8" w:rsidRPr="0083517B" w:rsidRDefault="001912B8" w:rsidP="001912B8">
      <w:pPr>
        <w:spacing w:after="0" w:line="240" w:lineRule="auto"/>
        <w:jc w:val="both"/>
        <w:rPr>
          <w:rFonts w:ascii="Helvetica" w:hAnsi="Helvetica" w:cs="Helvetica"/>
          <w:sz w:val="24"/>
          <w:szCs w:val="24"/>
        </w:rPr>
      </w:pPr>
      <w:r w:rsidRPr="0083517B">
        <w:rPr>
          <w:rFonts w:ascii="Helvetica" w:hAnsi="Helvetica" w:cs="Helvetica"/>
          <w:sz w:val="24"/>
          <w:szCs w:val="24"/>
        </w:rPr>
        <w:t xml:space="preserve">De acuerdo con las orientaciones de la </w:t>
      </w:r>
      <w:r w:rsidR="0064339C">
        <w:rPr>
          <w:rFonts w:ascii="Helvetica" w:hAnsi="Helvetica" w:cs="Helvetica"/>
          <w:sz w:val="24"/>
          <w:szCs w:val="24"/>
        </w:rPr>
        <w:t>P</w:t>
      </w:r>
      <w:r w:rsidRPr="0083517B">
        <w:rPr>
          <w:rFonts w:ascii="Helvetica" w:hAnsi="Helvetica" w:cs="Helvetica"/>
          <w:sz w:val="24"/>
          <w:szCs w:val="24"/>
        </w:rPr>
        <w:t xml:space="preserve">olítica </w:t>
      </w:r>
      <w:r w:rsidR="0064339C">
        <w:rPr>
          <w:rFonts w:ascii="Helvetica" w:hAnsi="Helvetica" w:cs="Helvetica"/>
          <w:sz w:val="24"/>
          <w:szCs w:val="24"/>
        </w:rPr>
        <w:t>G</w:t>
      </w:r>
      <w:r w:rsidRPr="0083517B">
        <w:rPr>
          <w:rFonts w:ascii="Helvetica" w:hAnsi="Helvetica" w:cs="Helvetica"/>
          <w:sz w:val="24"/>
          <w:szCs w:val="24"/>
        </w:rPr>
        <w:t xml:space="preserve">eneral de </w:t>
      </w:r>
      <w:r w:rsidR="0064339C">
        <w:rPr>
          <w:rFonts w:ascii="Helvetica" w:hAnsi="Helvetica" w:cs="Helvetica"/>
          <w:sz w:val="24"/>
          <w:szCs w:val="24"/>
        </w:rPr>
        <w:t>G</w:t>
      </w:r>
      <w:r w:rsidRPr="0083517B">
        <w:rPr>
          <w:rFonts w:ascii="Helvetica" w:hAnsi="Helvetica" w:cs="Helvetica"/>
          <w:sz w:val="24"/>
          <w:szCs w:val="24"/>
        </w:rPr>
        <w:t>obierno, es importante resaltar las cinco funciones que registraron los mayores montos de inversión asignada, que son:</w:t>
      </w:r>
    </w:p>
    <w:p w14:paraId="0DD3EFBD" w14:textId="77777777" w:rsidR="001912B8" w:rsidRPr="0083517B" w:rsidRDefault="001912B8" w:rsidP="001912B8">
      <w:pPr>
        <w:spacing w:after="0" w:line="240" w:lineRule="auto"/>
        <w:jc w:val="both"/>
        <w:rPr>
          <w:rFonts w:ascii="Helvetica" w:hAnsi="Helvetica" w:cs="Helvetica"/>
          <w:sz w:val="24"/>
          <w:szCs w:val="24"/>
        </w:rPr>
      </w:pPr>
    </w:p>
    <w:p w14:paraId="16A0E55A" w14:textId="52BE5BCC" w:rsidR="001912B8" w:rsidRPr="0083517B" w:rsidRDefault="001912B8" w:rsidP="00984BA9">
      <w:pPr>
        <w:pStyle w:val="Prrafodelista"/>
        <w:numPr>
          <w:ilvl w:val="0"/>
          <w:numId w:val="16"/>
        </w:numPr>
        <w:spacing w:after="0" w:line="240" w:lineRule="auto"/>
        <w:jc w:val="both"/>
        <w:rPr>
          <w:rFonts w:ascii="Helvetica" w:hAnsi="Helvetica" w:cs="Helvetica"/>
          <w:sz w:val="24"/>
          <w:szCs w:val="24"/>
        </w:rPr>
      </w:pPr>
      <w:r w:rsidRPr="0083517B">
        <w:rPr>
          <w:rFonts w:ascii="Helvetica" w:hAnsi="Helvetica" w:cs="Helvetica"/>
          <w:sz w:val="24"/>
          <w:szCs w:val="24"/>
        </w:rPr>
        <w:t>Transporte</w:t>
      </w:r>
      <w:r w:rsidR="0064339C">
        <w:rPr>
          <w:rFonts w:ascii="Helvetica" w:hAnsi="Helvetica" w:cs="Helvetica"/>
          <w:sz w:val="24"/>
          <w:szCs w:val="24"/>
        </w:rPr>
        <w:t>:</w:t>
      </w:r>
      <w:r w:rsidRPr="0083517B">
        <w:rPr>
          <w:rFonts w:ascii="Helvetica" w:hAnsi="Helvetica" w:cs="Helvetica"/>
          <w:sz w:val="24"/>
          <w:szCs w:val="24"/>
        </w:rPr>
        <w:t xml:space="preserve"> que incluye 578 proyectos para construcción, ampliación y mejoramiento de calles, </w:t>
      </w:r>
      <w:r w:rsidR="0083517B" w:rsidRPr="0083517B">
        <w:rPr>
          <w:rFonts w:ascii="Helvetica" w:hAnsi="Helvetica" w:cs="Helvetica"/>
          <w:sz w:val="24"/>
          <w:szCs w:val="24"/>
        </w:rPr>
        <w:t>835 para</w:t>
      </w:r>
      <w:r w:rsidRPr="0083517B">
        <w:rPr>
          <w:rFonts w:ascii="Helvetica" w:hAnsi="Helvetica" w:cs="Helvetica"/>
          <w:sz w:val="24"/>
          <w:szCs w:val="24"/>
        </w:rPr>
        <w:t xml:space="preserve"> construcción y mejoramiento de caminos rurales, 113 para mejoramiento de carreteras, 90 para carreteras de terracería, 32 para puente vehiculares, 12 para mantenimiento periódico de carreteras </w:t>
      </w:r>
      <w:r w:rsidR="0083517B" w:rsidRPr="0083517B">
        <w:rPr>
          <w:rFonts w:ascii="Helvetica" w:hAnsi="Helvetica" w:cs="Helvetica"/>
          <w:sz w:val="24"/>
          <w:szCs w:val="24"/>
        </w:rPr>
        <w:t>pavimentadas y</w:t>
      </w:r>
      <w:r w:rsidRPr="0083517B">
        <w:rPr>
          <w:rFonts w:ascii="Helvetica" w:hAnsi="Helvetica" w:cs="Helvetica"/>
          <w:sz w:val="24"/>
          <w:szCs w:val="24"/>
        </w:rPr>
        <w:t xml:space="preserve"> 43 en otras tipologías de proyectos;</w:t>
      </w:r>
    </w:p>
    <w:p w14:paraId="358B704F" w14:textId="3735EFDB" w:rsidR="001912B8" w:rsidRPr="0083517B" w:rsidRDefault="001912B8" w:rsidP="00984BA9">
      <w:pPr>
        <w:pStyle w:val="Prrafodelista"/>
        <w:numPr>
          <w:ilvl w:val="0"/>
          <w:numId w:val="16"/>
        </w:numPr>
        <w:jc w:val="both"/>
        <w:rPr>
          <w:rFonts w:ascii="Helvetica" w:hAnsi="Helvetica" w:cs="Helvetica"/>
          <w:sz w:val="24"/>
          <w:szCs w:val="24"/>
        </w:rPr>
      </w:pPr>
      <w:r w:rsidRPr="0083517B">
        <w:rPr>
          <w:rFonts w:ascii="Helvetica" w:hAnsi="Helvetica" w:cs="Helvetica"/>
          <w:sz w:val="24"/>
          <w:szCs w:val="24"/>
        </w:rPr>
        <w:t>Agua y Saneamiento</w:t>
      </w:r>
      <w:r w:rsidR="0064339C">
        <w:rPr>
          <w:rFonts w:ascii="Helvetica" w:hAnsi="Helvetica" w:cs="Helvetica"/>
          <w:sz w:val="24"/>
          <w:szCs w:val="24"/>
        </w:rPr>
        <w:t>:</w:t>
      </w:r>
      <w:r w:rsidRPr="0083517B">
        <w:rPr>
          <w:rFonts w:ascii="Helvetica" w:hAnsi="Helvetica" w:cs="Helvetica"/>
          <w:sz w:val="24"/>
          <w:szCs w:val="24"/>
        </w:rPr>
        <w:t xml:space="preserve"> que se orienta para</w:t>
      </w:r>
      <w:r w:rsidR="0064339C">
        <w:rPr>
          <w:rFonts w:ascii="Helvetica" w:hAnsi="Helvetica" w:cs="Helvetica"/>
          <w:sz w:val="24"/>
          <w:szCs w:val="24"/>
        </w:rPr>
        <w:t>:</w:t>
      </w:r>
      <w:r w:rsidRPr="0083517B">
        <w:rPr>
          <w:rFonts w:ascii="Helvetica" w:hAnsi="Helvetica" w:cs="Helvetica"/>
          <w:sz w:val="24"/>
          <w:szCs w:val="24"/>
        </w:rPr>
        <w:t xml:space="preserve"> a) para el tema de agua, 646 sistemas de agua potable, 140 pozos, 8 sistemas para el tratamiento de agua potable; 15 tanques de mampostería, 10 tanques metálicos, 6 depósitos para agua pluvial, 2 bombas manuales y 2 para construcción de aljibes. b) En el tema de saneamiento, 337 sistemas de alcantarillado sanitario, 106 sistemas de tratamiento de aguas residuales, 28 sistema de aguas pluviales, 17 </w:t>
      </w:r>
      <w:r w:rsidR="0064339C">
        <w:rPr>
          <w:rFonts w:ascii="Helvetica" w:hAnsi="Helvetica" w:cs="Helvetica"/>
          <w:sz w:val="24"/>
          <w:szCs w:val="24"/>
        </w:rPr>
        <w:t>par</w:t>
      </w:r>
      <w:r w:rsidRPr="0083517B">
        <w:rPr>
          <w:rFonts w:ascii="Helvetica" w:hAnsi="Helvetica" w:cs="Helvetica"/>
          <w:sz w:val="24"/>
          <w:szCs w:val="24"/>
        </w:rPr>
        <w:t xml:space="preserve">a infraestructura </w:t>
      </w:r>
      <w:r w:rsidR="0064339C">
        <w:rPr>
          <w:rFonts w:ascii="Helvetica" w:hAnsi="Helvetica" w:cs="Helvetica"/>
          <w:sz w:val="24"/>
          <w:szCs w:val="24"/>
        </w:rPr>
        <w:t xml:space="preserve">de </w:t>
      </w:r>
      <w:r w:rsidRPr="0083517B">
        <w:rPr>
          <w:rFonts w:ascii="Helvetica" w:hAnsi="Helvetica" w:cs="Helvetica"/>
          <w:sz w:val="24"/>
          <w:szCs w:val="24"/>
        </w:rPr>
        <w:t>tratamiento de desechos sólidos, 4 sistemas de eliminación de aguas grises y 2 para construcción de letrinas.</w:t>
      </w:r>
    </w:p>
    <w:p w14:paraId="41604C88" w14:textId="54F68BB6" w:rsidR="001912B8" w:rsidRPr="0083517B" w:rsidRDefault="001912B8" w:rsidP="00984BA9">
      <w:pPr>
        <w:pStyle w:val="Prrafodelista"/>
        <w:numPr>
          <w:ilvl w:val="0"/>
          <w:numId w:val="16"/>
        </w:numPr>
        <w:jc w:val="both"/>
        <w:rPr>
          <w:rFonts w:ascii="Helvetica" w:hAnsi="Helvetica" w:cs="Helvetica"/>
          <w:sz w:val="24"/>
          <w:szCs w:val="24"/>
        </w:rPr>
      </w:pPr>
      <w:r w:rsidRPr="0083517B">
        <w:rPr>
          <w:rFonts w:ascii="Helvetica" w:hAnsi="Helvetica" w:cs="Helvetica"/>
          <w:sz w:val="24"/>
          <w:szCs w:val="24"/>
        </w:rPr>
        <w:t>Educación</w:t>
      </w:r>
      <w:r w:rsidR="0064339C">
        <w:rPr>
          <w:rFonts w:ascii="Helvetica" w:hAnsi="Helvetica" w:cs="Helvetica"/>
          <w:sz w:val="24"/>
          <w:szCs w:val="24"/>
        </w:rPr>
        <w:t>:</w:t>
      </w:r>
      <w:r w:rsidRPr="0083517B">
        <w:rPr>
          <w:rFonts w:ascii="Helvetica" w:hAnsi="Helvetica" w:cs="Helvetica"/>
          <w:sz w:val="24"/>
          <w:szCs w:val="24"/>
        </w:rPr>
        <w:t xml:space="preserve"> con tipología de proyectos así, 841para infraestructura de escuelas de educación primaria, 103 para escuelas de educación pre primaria, 200 para institutos de educación básica, 60 institutos de educación diversificada (entre ellos 7 tecnológicos), 8 para educación universitaria y 136 proyectos en otras tipologías a fines.  </w:t>
      </w:r>
    </w:p>
    <w:p w14:paraId="2664E256" w14:textId="5BD8F6F4" w:rsidR="001912B8" w:rsidRPr="0083517B" w:rsidRDefault="001912B8" w:rsidP="00984BA9">
      <w:pPr>
        <w:pStyle w:val="Prrafodelista"/>
        <w:numPr>
          <w:ilvl w:val="0"/>
          <w:numId w:val="16"/>
        </w:numPr>
        <w:spacing w:after="0" w:line="240" w:lineRule="auto"/>
        <w:jc w:val="both"/>
        <w:rPr>
          <w:rFonts w:ascii="Helvetica" w:hAnsi="Helvetica" w:cs="Helvetica"/>
          <w:sz w:val="24"/>
          <w:szCs w:val="24"/>
        </w:rPr>
      </w:pPr>
      <w:r w:rsidRPr="0083517B">
        <w:rPr>
          <w:rFonts w:ascii="Helvetica" w:hAnsi="Helvetica" w:cs="Helvetica"/>
          <w:sz w:val="24"/>
          <w:szCs w:val="24"/>
        </w:rPr>
        <w:t>Desarrollo Urbano y Rural</w:t>
      </w:r>
      <w:r w:rsidR="0064339C">
        <w:rPr>
          <w:rFonts w:ascii="Helvetica" w:hAnsi="Helvetica" w:cs="Helvetica"/>
          <w:sz w:val="24"/>
          <w:szCs w:val="24"/>
        </w:rPr>
        <w:t>:</w:t>
      </w:r>
      <w:r w:rsidRPr="0083517B">
        <w:rPr>
          <w:rFonts w:ascii="Helvetica" w:hAnsi="Helvetica" w:cs="Helvetica"/>
          <w:sz w:val="24"/>
          <w:szCs w:val="24"/>
        </w:rPr>
        <w:t xml:space="preserve"> cuyos proyectos son 103 de infraestructura para calles, 44 para urbanización, 35 para mercados, 35 para salones comunitarios, 29 para parques, 27 para banquetas peatonales, 23 para muros de contención y 35 proyectos distribuidos en otras </w:t>
      </w:r>
      <w:r w:rsidR="00BA17A3" w:rsidRPr="0083517B">
        <w:rPr>
          <w:rFonts w:ascii="Helvetica" w:hAnsi="Helvetica" w:cs="Helvetica"/>
          <w:sz w:val="24"/>
          <w:szCs w:val="24"/>
        </w:rPr>
        <w:t>tipologías.</w:t>
      </w:r>
    </w:p>
    <w:p w14:paraId="074BCA6C" w14:textId="25FCB169" w:rsidR="001912B8" w:rsidRDefault="001912B8" w:rsidP="00984BA9">
      <w:pPr>
        <w:pStyle w:val="Prrafodelista"/>
        <w:numPr>
          <w:ilvl w:val="0"/>
          <w:numId w:val="16"/>
        </w:numPr>
        <w:jc w:val="both"/>
        <w:rPr>
          <w:rFonts w:ascii="Helvetica" w:hAnsi="Helvetica" w:cs="Helvetica"/>
          <w:sz w:val="24"/>
          <w:szCs w:val="24"/>
        </w:rPr>
      </w:pPr>
      <w:r w:rsidRPr="0083517B">
        <w:rPr>
          <w:rFonts w:ascii="Helvetica" w:hAnsi="Helvetica" w:cs="Helvetica"/>
          <w:sz w:val="24"/>
          <w:szCs w:val="24"/>
        </w:rPr>
        <w:t>Salud y Asistencia Social</w:t>
      </w:r>
      <w:r w:rsidR="0064339C">
        <w:rPr>
          <w:rFonts w:ascii="Helvetica" w:hAnsi="Helvetica" w:cs="Helvetica"/>
          <w:sz w:val="24"/>
          <w:szCs w:val="24"/>
        </w:rPr>
        <w:t>:</w:t>
      </w:r>
      <w:r w:rsidRPr="0083517B">
        <w:rPr>
          <w:rFonts w:ascii="Helvetica" w:hAnsi="Helvetica" w:cs="Helvetica"/>
          <w:sz w:val="24"/>
          <w:szCs w:val="24"/>
        </w:rPr>
        <w:t xml:space="preserve"> distribuida según tipología de proyecto: a) infraestructura para el primer nivel de atención, 64 puestos de salud y 25 centros comunitarios de salud; para el segundo nivel de atención, 52 centros de salud, 8 centros de atención permanente, 4 centros de convergencia, 2 centros de urgencias médicas y 1 centro de atención integral materno infantil; 6 hospitales que corresponden a tercer nivel de atención y 181 proyectos distribuidos en otras tipologías a fines.</w:t>
      </w:r>
    </w:p>
    <w:p w14:paraId="036374BA" w14:textId="1981C50F" w:rsidR="00BA17A3" w:rsidRDefault="00BA17A3" w:rsidP="00BA17A3">
      <w:pPr>
        <w:pStyle w:val="Prrafodelista"/>
        <w:jc w:val="both"/>
        <w:rPr>
          <w:rFonts w:ascii="Helvetica" w:hAnsi="Helvetica" w:cs="Helvetica"/>
          <w:sz w:val="24"/>
          <w:szCs w:val="24"/>
        </w:rPr>
      </w:pPr>
    </w:p>
    <w:p w14:paraId="2271A0D9" w14:textId="7C347AD9" w:rsidR="00BA17A3" w:rsidRDefault="00BA17A3" w:rsidP="00BA17A3">
      <w:pPr>
        <w:pStyle w:val="Prrafodelista"/>
        <w:jc w:val="both"/>
        <w:rPr>
          <w:rFonts w:ascii="Helvetica" w:hAnsi="Helvetica" w:cs="Helvetica"/>
          <w:sz w:val="24"/>
          <w:szCs w:val="24"/>
        </w:rPr>
      </w:pPr>
    </w:p>
    <w:p w14:paraId="0459C4C1" w14:textId="02DDE593" w:rsidR="00BA17A3" w:rsidRDefault="00BA17A3" w:rsidP="00BA17A3">
      <w:pPr>
        <w:pStyle w:val="Prrafodelista"/>
        <w:jc w:val="both"/>
        <w:rPr>
          <w:rFonts w:ascii="Helvetica" w:hAnsi="Helvetica" w:cs="Helvetica"/>
          <w:sz w:val="24"/>
          <w:szCs w:val="24"/>
        </w:rPr>
      </w:pPr>
    </w:p>
    <w:p w14:paraId="15BCFA7E" w14:textId="0DE26F33" w:rsidR="00BA17A3" w:rsidRDefault="00BA17A3" w:rsidP="00BA17A3">
      <w:pPr>
        <w:pStyle w:val="Prrafodelista"/>
        <w:jc w:val="both"/>
        <w:rPr>
          <w:rFonts w:ascii="Helvetica" w:hAnsi="Helvetica" w:cs="Helvetica"/>
          <w:sz w:val="24"/>
          <w:szCs w:val="24"/>
        </w:rPr>
      </w:pPr>
    </w:p>
    <w:p w14:paraId="42D09D37" w14:textId="582C2ED4" w:rsidR="00BA17A3" w:rsidRDefault="00BA17A3" w:rsidP="00BA17A3">
      <w:pPr>
        <w:pStyle w:val="Prrafodelista"/>
        <w:jc w:val="both"/>
        <w:rPr>
          <w:rFonts w:ascii="Helvetica" w:hAnsi="Helvetica" w:cs="Helvetica"/>
          <w:sz w:val="24"/>
          <w:szCs w:val="24"/>
        </w:rPr>
      </w:pPr>
    </w:p>
    <w:p w14:paraId="320D71C7" w14:textId="48D2B54F" w:rsidR="00BA17A3" w:rsidRDefault="00BA17A3" w:rsidP="00BA17A3">
      <w:pPr>
        <w:pStyle w:val="Prrafodelista"/>
        <w:jc w:val="both"/>
        <w:rPr>
          <w:rFonts w:ascii="Helvetica" w:hAnsi="Helvetica" w:cs="Helvetica"/>
          <w:sz w:val="24"/>
          <w:szCs w:val="24"/>
        </w:rPr>
      </w:pPr>
    </w:p>
    <w:p w14:paraId="5682859E" w14:textId="684CEA25" w:rsidR="00BA17A3" w:rsidRDefault="00BA17A3" w:rsidP="00BA17A3">
      <w:pPr>
        <w:pStyle w:val="Prrafodelista"/>
        <w:jc w:val="both"/>
        <w:rPr>
          <w:rFonts w:ascii="Helvetica" w:hAnsi="Helvetica" w:cs="Helvetica"/>
          <w:sz w:val="24"/>
          <w:szCs w:val="24"/>
        </w:rPr>
      </w:pPr>
    </w:p>
    <w:p w14:paraId="69BF6EEC" w14:textId="700F39A2" w:rsidR="00BA17A3" w:rsidRDefault="00BA17A3" w:rsidP="00BA17A3">
      <w:pPr>
        <w:pStyle w:val="Prrafodelista"/>
        <w:jc w:val="both"/>
        <w:rPr>
          <w:rFonts w:ascii="Helvetica" w:hAnsi="Helvetica" w:cs="Helvetica"/>
          <w:sz w:val="24"/>
          <w:szCs w:val="24"/>
        </w:rPr>
      </w:pPr>
    </w:p>
    <w:p w14:paraId="1322FD41" w14:textId="405A74C4" w:rsidR="00BA17A3" w:rsidRDefault="00BA17A3" w:rsidP="00BA17A3">
      <w:pPr>
        <w:pStyle w:val="Prrafodelista"/>
        <w:jc w:val="both"/>
        <w:rPr>
          <w:rFonts w:ascii="Helvetica" w:hAnsi="Helvetica" w:cs="Helvetica"/>
          <w:sz w:val="24"/>
          <w:szCs w:val="24"/>
        </w:rPr>
      </w:pPr>
    </w:p>
    <w:p w14:paraId="693E47FC" w14:textId="155C8503" w:rsidR="00BA17A3" w:rsidRDefault="00BA17A3" w:rsidP="00BA17A3">
      <w:pPr>
        <w:pStyle w:val="Prrafodelista"/>
        <w:jc w:val="both"/>
        <w:rPr>
          <w:rFonts w:ascii="Helvetica" w:hAnsi="Helvetica" w:cs="Helvetica"/>
          <w:sz w:val="24"/>
          <w:szCs w:val="24"/>
        </w:rPr>
      </w:pPr>
    </w:p>
    <w:p w14:paraId="19677E3D" w14:textId="32629BD7" w:rsidR="00BA17A3" w:rsidRDefault="00BA17A3" w:rsidP="00BA17A3">
      <w:pPr>
        <w:pStyle w:val="Prrafodelista"/>
        <w:jc w:val="both"/>
        <w:rPr>
          <w:rFonts w:ascii="Helvetica" w:hAnsi="Helvetica" w:cs="Helvetica"/>
          <w:sz w:val="24"/>
          <w:szCs w:val="24"/>
        </w:rPr>
      </w:pPr>
    </w:p>
    <w:p w14:paraId="0C014AFE" w14:textId="28A6BB7B" w:rsidR="00BA17A3" w:rsidRDefault="00BA17A3" w:rsidP="00BA17A3">
      <w:pPr>
        <w:pStyle w:val="Prrafodelista"/>
        <w:jc w:val="both"/>
        <w:rPr>
          <w:rFonts w:ascii="Helvetica" w:hAnsi="Helvetica" w:cs="Helvetica"/>
          <w:sz w:val="24"/>
          <w:szCs w:val="24"/>
        </w:rPr>
      </w:pPr>
    </w:p>
    <w:p w14:paraId="1F7322EB" w14:textId="1F0F64EB" w:rsidR="00BA17A3" w:rsidRDefault="00BA17A3" w:rsidP="00BA17A3">
      <w:pPr>
        <w:pStyle w:val="Prrafodelista"/>
        <w:jc w:val="both"/>
        <w:rPr>
          <w:rFonts w:ascii="Helvetica" w:hAnsi="Helvetica" w:cs="Helvetica"/>
          <w:sz w:val="24"/>
          <w:szCs w:val="24"/>
        </w:rPr>
      </w:pPr>
    </w:p>
    <w:p w14:paraId="2C9F5327" w14:textId="7745D974" w:rsidR="00BA17A3" w:rsidRDefault="00BA17A3" w:rsidP="00BA17A3">
      <w:pPr>
        <w:pStyle w:val="Prrafodelista"/>
        <w:jc w:val="both"/>
        <w:rPr>
          <w:rFonts w:ascii="Helvetica" w:hAnsi="Helvetica" w:cs="Helvetica"/>
          <w:sz w:val="24"/>
          <w:szCs w:val="24"/>
        </w:rPr>
      </w:pPr>
    </w:p>
    <w:p w14:paraId="235A05D8" w14:textId="34905D12" w:rsidR="001912B8" w:rsidRPr="003B1BD8" w:rsidRDefault="001912B8" w:rsidP="003B1BD8">
      <w:pPr>
        <w:rPr>
          <w:rFonts w:ascii="Helvetica" w:hAnsi="Helvetica" w:cs="Helvetica"/>
          <w:b/>
          <w:bCs/>
          <w:color w:val="1F3864" w:themeColor="accent1" w:themeShade="80"/>
          <w:sz w:val="28"/>
          <w:szCs w:val="28"/>
        </w:rPr>
      </w:pPr>
      <w:bookmarkStart w:id="109" w:name="_Toc62718058"/>
      <w:r w:rsidRPr="003B1BD8">
        <w:rPr>
          <w:rFonts w:ascii="Helvetica" w:hAnsi="Helvetica" w:cs="Helvetica"/>
          <w:b/>
          <w:bCs/>
          <w:color w:val="1F3864" w:themeColor="accent1" w:themeShade="80"/>
          <w:sz w:val="28"/>
          <w:szCs w:val="28"/>
        </w:rPr>
        <w:t>Distribución de la inversión asignada y ejecutada a nivel nacional por territorio</w:t>
      </w:r>
      <w:bookmarkStart w:id="110" w:name="_Toc512251457"/>
      <w:bookmarkEnd w:id="109"/>
    </w:p>
    <w:p w14:paraId="1DBA37FC" w14:textId="6E224466" w:rsidR="001912B8" w:rsidRPr="0083517B" w:rsidRDefault="001912B8" w:rsidP="001912B8">
      <w:pPr>
        <w:spacing w:after="0" w:line="240" w:lineRule="auto"/>
        <w:jc w:val="both"/>
        <w:rPr>
          <w:rFonts w:ascii="Helvetica" w:hAnsi="Helvetica" w:cs="Helvetica"/>
          <w:sz w:val="24"/>
          <w:szCs w:val="24"/>
        </w:rPr>
      </w:pPr>
      <w:r w:rsidRPr="0083517B">
        <w:rPr>
          <w:rFonts w:ascii="Helvetica" w:hAnsi="Helvetica" w:cs="Helvetica"/>
          <w:sz w:val="24"/>
          <w:szCs w:val="24"/>
        </w:rPr>
        <w:t>La inversión pública ejecutada en el territorio por las distintas entidades ejecutoras de Gobierno al finalizar el tercer cuatrimestre del 2020</w:t>
      </w:r>
      <w:r w:rsidR="00691B67">
        <w:rPr>
          <w:rFonts w:ascii="Helvetica" w:hAnsi="Helvetica" w:cs="Helvetica"/>
          <w:sz w:val="24"/>
          <w:szCs w:val="24"/>
        </w:rPr>
        <w:t>,</w:t>
      </w:r>
      <w:r w:rsidRPr="0083517B">
        <w:rPr>
          <w:rFonts w:ascii="Helvetica" w:hAnsi="Helvetica" w:cs="Helvetica"/>
          <w:sz w:val="24"/>
          <w:szCs w:val="24"/>
        </w:rPr>
        <w:t xml:space="preserve"> se clasifica y presenta de la manera siguiente</w:t>
      </w:r>
      <w:r w:rsidR="002C1F2D">
        <w:rPr>
          <w:rFonts w:ascii="Helvetica" w:hAnsi="Helvetica" w:cs="Helvetica"/>
          <w:sz w:val="24"/>
          <w:szCs w:val="24"/>
        </w:rPr>
        <w:t>. Ver tabla 41.</w:t>
      </w:r>
    </w:p>
    <w:p w14:paraId="0C02905F" w14:textId="67699064" w:rsidR="001912B8" w:rsidRDefault="001912B8" w:rsidP="001912B8">
      <w:pPr>
        <w:spacing w:after="0" w:line="240" w:lineRule="auto"/>
        <w:jc w:val="both"/>
        <w:rPr>
          <w:rFonts w:ascii="Times New Roman" w:hAnsi="Times New Roman" w:cs="Times New Roman"/>
        </w:rPr>
      </w:pPr>
    </w:p>
    <w:p w14:paraId="24977725" w14:textId="32B719A0" w:rsidR="00444E51" w:rsidRDefault="002C1F2D" w:rsidP="0083517B">
      <w:pPr>
        <w:pStyle w:val="ttulosgrficas"/>
      </w:pPr>
      <w:bookmarkStart w:id="111" w:name="_Toc67589154"/>
      <w:r w:rsidRPr="0059105E">
        <w:rPr>
          <w:color w:val="4472C4" w:themeColor="accent1"/>
        </w:rPr>
        <w:t xml:space="preserve">Tabla </w:t>
      </w:r>
      <w:r w:rsidR="007F134F" w:rsidRPr="0059105E">
        <w:rPr>
          <w:color w:val="4472C4" w:themeColor="accent1"/>
        </w:rPr>
        <w:fldChar w:fldCharType="begin"/>
      </w:r>
      <w:r w:rsidR="007F134F" w:rsidRPr="0059105E">
        <w:rPr>
          <w:color w:val="4472C4" w:themeColor="accent1"/>
        </w:rPr>
        <w:instrText xml:space="preserve"> SEQ Tabla \* ARABIC </w:instrText>
      </w:r>
      <w:r w:rsidR="007F134F" w:rsidRPr="0059105E">
        <w:rPr>
          <w:color w:val="4472C4" w:themeColor="accent1"/>
        </w:rPr>
        <w:fldChar w:fldCharType="separate"/>
      </w:r>
      <w:r w:rsidR="00AA2593" w:rsidRPr="0059105E">
        <w:rPr>
          <w:color w:val="4472C4" w:themeColor="accent1"/>
        </w:rPr>
        <w:t>41</w:t>
      </w:r>
      <w:r w:rsidR="007F134F" w:rsidRPr="0059105E">
        <w:rPr>
          <w:color w:val="4472C4" w:themeColor="accent1"/>
        </w:rPr>
        <w:fldChar w:fldCharType="end"/>
      </w:r>
      <w:r w:rsidR="003562C1" w:rsidRPr="0059105E">
        <w:rPr>
          <w:color w:val="4472C4" w:themeColor="accent1"/>
        </w:rPr>
        <w:t xml:space="preserve">, </w:t>
      </w:r>
      <w:r w:rsidR="001912B8" w:rsidRPr="0059105E">
        <w:rPr>
          <w:color w:val="4472C4" w:themeColor="accent1"/>
        </w:rPr>
        <w:t>Inversión asignada y ejecutada a nivel nacional por territorio</w:t>
      </w:r>
      <w:bookmarkEnd w:id="111"/>
    </w:p>
    <w:p w14:paraId="2A4B63CD" w14:textId="0C86A5E8" w:rsidR="001912B8" w:rsidRPr="00906050" w:rsidRDefault="001912B8" w:rsidP="00444E51">
      <w:pPr>
        <w:pStyle w:val="ttulosgrficas"/>
        <w:spacing w:line="120" w:lineRule="auto"/>
      </w:pPr>
      <w:r w:rsidRPr="00906050">
        <w:t xml:space="preserve"> </w:t>
      </w:r>
    </w:p>
    <w:tbl>
      <w:tblPr>
        <w:tblW w:w="5000" w:type="pct"/>
        <w:tblLayout w:type="fixed"/>
        <w:tblCellMar>
          <w:left w:w="70" w:type="dxa"/>
          <w:right w:w="70" w:type="dxa"/>
        </w:tblCellMar>
        <w:tblLook w:val="04A0" w:firstRow="1" w:lastRow="0" w:firstColumn="1" w:lastColumn="0" w:noHBand="0" w:noVBand="1"/>
      </w:tblPr>
      <w:tblGrid>
        <w:gridCol w:w="2716"/>
        <w:gridCol w:w="1129"/>
        <w:gridCol w:w="1030"/>
        <w:gridCol w:w="1222"/>
        <w:gridCol w:w="1070"/>
        <w:gridCol w:w="1068"/>
        <w:gridCol w:w="1265"/>
      </w:tblGrid>
      <w:tr w:rsidR="001912B8" w:rsidRPr="0023461C" w14:paraId="4B1AAC2B" w14:textId="77777777" w:rsidTr="006042DC">
        <w:trPr>
          <w:trHeight w:val="315"/>
        </w:trPr>
        <w:tc>
          <w:tcPr>
            <w:tcW w:w="1430" w:type="pct"/>
            <w:vMerge w:val="restart"/>
            <w:tcBorders>
              <w:top w:val="single" w:sz="8" w:space="0" w:color="auto"/>
              <w:left w:val="single" w:sz="8" w:space="0" w:color="auto"/>
              <w:right w:val="single" w:sz="8" w:space="0" w:color="auto"/>
            </w:tcBorders>
            <w:shd w:val="clear" w:color="auto" w:fill="D9E2F3" w:themeFill="accent1" w:themeFillTint="33"/>
            <w:vAlign w:val="center"/>
            <w:hideMark/>
          </w:tcPr>
          <w:p w14:paraId="42E3F173" w14:textId="77777777" w:rsidR="001912B8" w:rsidRPr="00CE3D5C" w:rsidRDefault="001912B8" w:rsidP="001912B8">
            <w:pPr>
              <w:spacing w:after="0" w:line="240" w:lineRule="auto"/>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 </w:t>
            </w:r>
          </w:p>
          <w:p w14:paraId="3DB2AFBB" w14:textId="77777777" w:rsidR="001912B8" w:rsidRPr="00CE3D5C" w:rsidRDefault="001912B8" w:rsidP="001912B8">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Departamento</w:t>
            </w:r>
          </w:p>
        </w:tc>
        <w:tc>
          <w:tcPr>
            <w:tcW w:w="1779" w:type="pct"/>
            <w:gridSpan w:val="3"/>
            <w:tcBorders>
              <w:top w:val="single" w:sz="8" w:space="0" w:color="auto"/>
              <w:left w:val="nil"/>
              <w:bottom w:val="single" w:sz="8" w:space="0" w:color="auto"/>
              <w:right w:val="single" w:sz="8" w:space="0" w:color="000000"/>
            </w:tcBorders>
            <w:shd w:val="clear" w:color="auto" w:fill="D9E2F3" w:themeFill="accent1" w:themeFillTint="33"/>
            <w:vAlign w:val="center"/>
            <w:hideMark/>
          </w:tcPr>
          <w:p w14:paraId="0B0C6271" w14:textId="39FF3356"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Asignado</w:t>
            </w:r>
          </w:p>
        </w:tc>
        <w:tc>
          <w:tcPr>
            <w:tcW w:w="1791" w:type="pct"/>
            <w:gridSpan w:val="3"/>
            <w:tcBorders>
              <w:top w:val="single" w:sz="8" w:space="0" w:color="auto"/>
              <w:left w:val="nil"/>
              <w:bottom w:val="single" w:sz="8" w:space="0" w:color="auto"/>
              <w:right w:val="single" w:sz="8" w:space="0" w:color="000000"/>
            </w:tcBorders>
            <w:shd w:val="clear" w:color="auto" w:fill="D9E2F3" w:themeFill="accent1" w:themeFillTint="33"/>
            <w:vAlign w:val="center"/>
            <w:hideMark/>
          </w:tcPr>
          <w:p w14:paraId="752943CB" w14:textId="77777777"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Ejecutado</w:t>
            </w:r>
          </w:p>
        </w:tc>
      </w:tr>
      <w:tr w:rsidR="001912B8" w:rsidRPr="0023461C" w14:paraId="3CDC9B86" w14:textId="77777777" w:rsidTr="007879C1">
        <w:trPr>
          <w:trHeight w:val="418"/>
        </w:trPr>
        <w:tc>
          <w:tcPr>
            <w:tcW w:w="1430" w:type="pct"/>
            <w:vMerge/>
            <w:tcBorders>
              <w:left w:val="single" w:sz="8" w:space="0" w:color="auto"/>
              <w:bottom w:val="single" w:sz="8" w:space="0" w:color="auto"/>
              <w:right w:val="single" w:sz="8" w:space="0" w:color="auto"/>
            </w:tcBorders>
            <w:shd w:val="clear" w:color="auto" w:fill="D9E2F3" w:themeFill="accent1" w:themeFillTint="33"/>
            <w:vAlign w:val="center"/>
            <w:hideMark/>
          </w:tcPr>
          <w:p w14:paraId="594BDD57" w14:textId="77777777" w:rsidR="001912B8" w:rsidRPr="00CE3D5C" w:rsidRDefault="001912B8" w:rsidP="001912B8">
            <w:pPr>
              <w:spacing w:after="0" w:line="240" w:lineRule="auto"/>
              <w:jc w:val="center"/>
              <w:rPr>
                <w:rFonts w:ascii="Helvetica" w:eastAsia="Times New Roman" w:hAnsi="Helvetica" w:cs="Helvetica"/>
                <w:b/>
                <w:bCs/>
                <w:color w:val="000000"/>
                <w:sz w:val="18"/>
                <w:szCs w:val="18"/>
                <w:lang w:eastAsia="es-GT"/>
              </w:rPr>
            </w:pPr>
          </w:p>
        </w:tc>
        <w:tc>
          <w:tcPr>
            <w:tcW w:w="594" w:type="pct"/>
            <w:tcBorders>
              <w:top w:val="nil"/>
              <w:left w:val="nil"/>
              <w:bottom w:val="single" w:sz="8" w:space="0" w:color="auto"/>
              <w:right w:val="single" w:sz="8" w:space="0" w:color="auto"/>
            </w:tcBorders>
            <w:shd w:val="clear" w:color="auto" w:fill="D9E2F3" w:themeFill="accent1" w:themeFillTint="33"/>
            <w:vAlign w:val="center"/>
            <w:hideMark/>
          </w:tcPr>
          <w:p w14:paraId="4E7725C6" w14:textId="77777777"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Cantidad de proyectos</w:t>
            </w:r>
          </w:p>
        </w:tc>
        <w:tc>
          <w:tcPr>
            <w:tcW w:w="542" w:type="pct"/>
            <w:tcBorders>
              <w:top w:val="nil"/>
              <w:left w:val="nil"/>
              <w:bottom w:val="single" w:sz="8" w:space="0" w:color="auto"/>
              <w:right w:val="single" w:sz="8" w:space="0" w:color="auto"/>
            </w:tcBorders>
            <w:shd w:val="clear" w:color="auto" w:fill="D9E2F3" w:themeFill="accent1" w:themeFillTint="33"/>
            <w:vAlign w:val="center"/>
            <w:hideMark/>
          </w:tcPr>
          <w:p w14:paraId="4BF10E98" w14:textId="77777777"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Monto</w:t>
            </w:r>
          </w:p>
        </w:tc>
        <w:tc>
          <w:tcPr>
            <w:tcW w:w="643" w:type="pct"/>
            <w:tcBorders>
              <w:top w:val="nil"/>
              <w:left w:val="nil"/>
              <w:bottom w:val="single" w:sz="8" w:space="0" w:color="auto"/>
              <w:right w:val="single" w:sz="8" w:space="0" w:color="auto"/>
            </w:tcBorders>
            <w:shd w:val="clear" w:color="auto" w:fill="D9E2F3" w:themeFill="accent1" w:themeFillTint="33"/>
            <w:vAlign w:val="center"/>
            <w:hideMark/>
          </w:tcPr>
          <w:p w14:paraId="79C9CC1C" w14:textId="0E6131E1"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Porcentaje relativo</w:t>
            </w:r>
          </w:p>
        </w:tc>
        <w:tc>
          <w:tcPr>
            <w:tcW w:w="563" w:type="pct"/>
            <w:tcBorders>
              <w:top w:val="nil"/>
              <w:left w:val="nil"/>
              <w:bottom w:val="single" w:sz="8" w:space="0" w:color="auto"/>
              <w:right w:val="single" w:sz="8" w:space="0" w:color="auto"/>
            </w:tcBorders>
            <w:shd w:val="clear" w:color="auto" w:fill="D9E2F3" w:themeFill="accent1" w:themeFillTint="33"/>
            <w:vAlign w:val="center"/>
            <w:hideMark/>
          </w:tcPr>
          <w:p w14:paraId="4DA847C8" w14:textId="77777777"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Cantidad de proyectos</w:t>
            </w:r>
          </w:p>
        </w:tc>
        <w:tc>
          <w:tcPr>
            <w:tcW w:w="562" w:type="pct"/>
            <w:tcBorders>
              <w:top w:val="nil"/>
              <w:left w:val="nil"/>
              <w:bottom w:val="single" w:sz="8" w:space="0" w:color="auto"/>
              <w:right w:val="single" w:sz="8" w:space="0" w:color="auto"/>
            </w:tcBorders>
            <w:shd w:val="clear" w:color="auto" w:fill="D9E2F3" w:themeFill="accent1" w:themeFillTint="33"/>
            <w:vAlign w:val="center"/>
            <w:hideMark/>
          </w:tcPr>
          <w:p w14:paraId="4BD69601" w14:textId="77777777"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Monto</w:t>
            </w:r>
          </w:p>
        </w:tc>
        <w:tc>
          <w:tcPr>
            <w:tcW w:w="666" w:type="pct"/>
            <w:tcBorders>
              <w:top w:val="nil"/>
              <w:left w:val="nil"/>
              <w:bottom w:val="single" w:sz="8" w:space="0" w:color="auto"/>
              <w:right w:val="single" w:sz="8" w:space="0" w:color="auto"/>
            </w:tcBorders>
            <w:shd w:val="clear" w:color="auto" w:fill="D9E2F3" w:themeFill="accent1" w:themeFillTint="33"/>
            <w:vAlign w:val="center"/>
            <w:hideMark/>
          </w:tcPr>
          <w:p w14:paraId="02456FBF" w14:textId="41C32ABA" w:rsidR="001912B8" w:rsidRPr="00CE3D5C" w:rsidRDefault="001912B8" w:rsidP="006042DC">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Porcentaje ejecución</w:t>
            </w:r>
          </w:p>
        </w:tc>
      </w:tr>
      <w:tr w:rsidR="001912B8" w:rsidRPr="0023461C" w14:paraId="5631A18B"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764732CE"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bookmarkStart w:id="112" w:name="RANGE!I4"/>
            <w:bookmarkStart w:id="113" w:name="_Hlk60856382"/>
            <w:r w:rsidRPr="00CE3D5C">
              <w:rPr>
                <w:rFonts w:ascii="Helvetica" w:eastAsia="Times New Roman" w:hAnsi="Helvetica" w:cs="Helvetica"/>
                <w:color w:val="000000"/>
                <w:sz w:val="18"/>
                <w:szCs w:val="18"/>
                <w:lang w:eastAsia="es-GT"/>
              </w:rPr>
              <w:t>Alta Verapaz</w:t>
            </w:r>
            <w:bookmarkEnd w:id="112"/>
          </w:p>
        </w:tc>
        <w:tc>
          <w:tcPr>
            <w:tcW w:w="594" w:type="pct"/>
            <w:tcBorders>
              <w:top w:val="nil"/>
              <w:left w:val="nil"/>
              <w:bottom w:val="single" w:sz="8" w:space="0" w:color="auto"/>
              <w:right w:val="single" w:sz="8" w:space="0" w:color="auto"/>
            </w:tcBorders>
            <w:shd w:val="clear" w:color="auto" w:fill="auto"/>
            <w:noWrap/>
            <w:vAlign w:val="center"/>
            <w:hideMark/>
          </w:tcPr>
          <w:p w14:paraId="2474F27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173</w:t>
            </w:r>
          </w:p>
        </w:tc>
        <w:tc>
          <w:tcPr>
            <w:tcW w:w="542" w:type="pct"/>
            <w:tcBorders>
              <w:top w:val="nil"/>
              <w:left w:val="nil"/>
              <w:bottom w:val="single" w:sz="8" w:space="0" w:color="auto"/>
              <w:right w:val="single" w:sz="8" w:space="0" w:color="auto"/>
            </w:tcBorders>
            <w:shd w:val="clear" w:color="auto" w:fill="auto"/>
            <w:noWrap/>
            <w:vAlign w:val="center"/>
            <w:hideMark/>
          </w:tcPr>
          <w:p w14:paraId="35875D62"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640.77</w:t>
            </w:r>
          </w:p>
        </w:tc>
        <w:tc>
          <w:tcPr>
            <w:tcW w:w="643" w:type="pct"/>
            <w:tcBorders>
              <w:top w:val="nil"/>
              <w:left w:val="nil"/>
              <w:bottom w:val="single" w:sz="8" w:space="0" w:color="auto"/>
              <w:right w:val="single" w:sz="8" w:space="0" w:color="auto"/>
            </w:tcBorders>
            <w:shd w:val="clear" w:color="auto" w:fill="auto"/>
            <w:noWrap/>
            <w:vAlign w:val="center"/>
            <w:hideMark/>
          </w:tcPr>
          <w:p w14:paraId="25164661"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6.06</w:t>
            </w:r>
          </w:p>
        </w:tc>
        <w:tc>
          <w:tcPr>
            <w:tcW w:w="563" w:type="pct"/>
            <w:tcBorders>
              <w:top w:val="nil"/>
              <w:left w:val="nil"/>
              <w:bottom w:val="single" w:sz="8" w:space="0" w:color="auto"/>
              <w:right w:val="single" w:sz="8" w:space="0" w:color="auto"/>
            </w:tcBorders>
            <w:shd w:val="clear" w:color="auto" w:fill="auto"/>
            <w:noWrap/>
            <w:vAlign w:val="center"/>
            <w:hideMark/>
          </w:tcPr>
          <w:p w14:paraId="6296BF8B"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131</w:t>
            </w:r>
          </w:p>
        </w:tc>
        <w:tc>
          <w:tcPr>
            <w:tcW w:w="562" w:type="pct"/>
            <w:tcBorders>
              <w:top w:val="nil"/>
              <w:left w:val="nil"/>
              <w:bottom w:val="single" w:sz="8" w:space="0" w:color="auto"/>
              <w:right w:val="single" w:sz="8" w:space="0" w:color="auto"/>
            </w:tcBorders>
            <w:shd w:val="clear" w:color="auto" w:fill="auto"/>
            <w:noWrap/>
            <w:vAlign w:val="center"/>
            <w:hideMark/>
          </w:tcPr>
          <w:p w14:paraId="4C3F1C33"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405.10</w:t>
            </w:r>
          </w:p>
        </w:tc>
        <w:tc>
          <w:tcPr>
            <w:tcW w:w="666" w:type="pct"/>
            <w:tcBorders>
              <w:top w:val="nil"/>
              <w:left w:val="nil"/>
              <w:bottom w:val="single" w:sz="8" w:space="0" w:color="auto"/>
              <w:right w:val="single" w:sz="8" w:space="0" w:color="auto"/>
            </w:tcBorders>
            <w:shd w:val="clear" w:color="auto" w:fill="auto"/>
            <w:noWrap/>
            <w:vAlign w:val="center"/>
            <w:hideMark/>
          </w:tcPr>
          <w:p w14:paraId="2C29AF2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63.22</w:t>
            </w:r>
          </w:p>
        </w:tc>
      </w:tr>
      <w:bookmarkEnd w:id="113"/>
      <w:tr w:rsidR="001912B8" w:rsidRPr="0023461C" w14:paraId="791B72FF"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90F2FAE"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Baja Verapaz</w:t>
            </w:r>
          </w:p>
        </w:tc>
        <w:tc>
          <w:tcPr>
            <w:tcW w:w="594" w:type="pct"/>
            <w:tcBorders>
              <w:top w:val="nil"/>
              <w:left w:val="nil"/>
              <w:bottom w:val="single" w:sz="8" w:space="0" w:color="auto"/>
              <w:right w:val="single" w:sz="8" w:space="0" w:color="auto"/>
            </w:tcBorders>
            <w:shd w:val="clear" w:color="auto" w:fill="auto"/>
            <w:noWrap/>
            <w:vAlign w:val="center"/>
            <w:hideMark/>
          </w:tcPr>
          <w:p w14:paraId="66A50C6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181</w:t>
            </w:r>
          </w:p>
        </w:tc>
        <w:tc>
          <w:tcPr>
            <w:tcW w:w="542" w:type="pct"/>
            <w:tcBorders>
              <w:top w:val="nil"/>
              <w:left w:val="nil"/>
              <w:bottom w:val="single" w:sz="8" w:space="0" w:color="auto"/>
              <w:right w:val="single" w:sz="8" w:space="0" w:color="auto"/>
            </w:tcBorders>
            <w:shd w:val="clear" w:color="auto" w:fill="auto"/>
            <w:noWrap/>
            <w:vAlign w:val="center"/>
            <w:hideMark/>
          </w:tcPr>
          <w:p w14:paraId="64DA0F0E"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266.14</w:t>
            </w:r>
          </w:p>
        </w:tc>
        <w:tc>
          <w:tcPr>
            <w:tcW w:w="643" w:type="pct"/>
            <w:tcBorders>
              <w:top w:val="nil"/>
              <w:left w:val="nil"/>
              <w:bottom w:val="single" w:sz="8" w:space="0" w:color="auto"/>
              <w:right w:val="single" w:sz="8" w:space="0" w:color="auto"/>
            </w:tcBorders>
            <w:shd w:val="clear" w:color="auto" w:fill="auto"/>
            <w:noWrap/>
            <w:vAlign w:val="center"/>
            <w:hideMark/>
          </w:tcPr>
          <w:p w14:paraId="1C80700B"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2.52</w:t>
            </w:r>
          </w:p>
        </w:tc>
        <w:tc>
          <w:tcPr>
            <w:tcW w:w="563" w:type="pct"/>
            <w:tcBorders>
              <w:top w:val="nil"/>
              <w:left w:val="nil"/>
              <w:bottom w:val="single" w:sz="8" w:space="0" w:color="auto"/>
              <w:right w:val="single" w:sz="8" w:space="0" w:color="auto"/>
            </w:tcBorders>
            <w:shd w:val="clear" w:color="auto" w:fill="auto"/>
            <w:noWrap/>
            <w:vAlign w:val="center"/>
            <w:hideMark/>
          </w:tcPr>
          <w:p w14:paraId="0657155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176</w:t>
            </w:r>
          </w:p>
        </w:tc>
        <w:tc>
          <w:tcPr>
            <w:tcW w:w="562" w:type="pct"/>
            <w:tcBorders>
              <w:top w:val="nil"/>
              <w:left w:val="nil"/>
              <w:bottom w:val="single" w:sz="8" w:space="0" w:color="auto"/>
              <w:right w:val="single" w:sz="8" w:space="0" w:color="auto"/>
            </w:tcBorders>
            <w:shd w:val="clear" w:color="auto" w:fill="auto"/>
            <w:noWrap/>
            <w:vAlign w:val="center"/>
            <w:hideMark/>
          </w:tcPr>
          <w:p w14:paraId="55D96432"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175.60</w:t>
            </w:r>
          </w:p>
        </w:tc>
        <w:tc>
          <w:tcPr>
            <w:tcW w:w="666" w:type="pct"/>
            <w:tcBorders>
              <w:top w:val="nil"/>
              <w:left w:val="nil"/>
              <w:bottom w:val="single" w:sz="8" w:space="0" w:color="auto"/>
              <w:right w:val="single" w:sz="8" w:space="0" w:color="auto"/>
            </w:tcBorders>
            <w:shd w:val="clear" w:color="auto" w:fill="auto"/>
            <w:noWrap/>
            <w:vAlign w:val="center"/>
            <w:hideMark/>
          </w:tcPr>
          <w:p w14:paraId="0FE5AC9B"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65.98</w:t>
            </w:r>
          </w:p>
        </w:tc>
      </w:tr>
      <w:tr w:rsidR="001912B8" w:rsidRPr="0023461C" w14:paraId="07220D20"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2D17A5C9"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Chimaltenango</w:t>
            </w:r>
          </w:p>
        </w:tc>
        <w:tc>
          <w:tcPr>
            <w:tcW w:w="594" w:type="pct"/>
            <w:tcBorders>
              <w:top w:val="nil"/>
              <w:left w:val="nil"/>
              <w:bottom w:val="single" w:sz="8" w:space="0" w:color="auto"/>
              <w:right w:val="single" w:sz="8" w:space="0" w:color="auto"/>
            </w:tcBorders>
            <w:shd w:val="clear" w:color="auto" w:fill="auto"/>
            <w:noWrap/>
            <w:vAlign w:val="center"/>
            <w:hideMark/>
          </w:tcPr>
          <w:p w14:paraId="7F3FE15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445</w:t>
            </w:r>
          </w:p>
        </w:tc>
        <w:tc>
          <w:tcPr>
            <w:tcW w:w="542" w:type="pct"/>
            <w:tcBorders>
              <w:top w:val="nil"/>
              <w:left w:val="nil"/>
              <w:bottom w:val="single" w:sz="8" w:space="0" w:color="auto"/>
              <w:right w:val="single" w:sz="8" w:space="0" w:color="auto"/>
            </w:tcBorders>
            <w:shd w:val="clear" w:color="auto" w:fill="auto"/>
            <w:noWrap/>
            <w:vAlign w:val="center"/>
            <w:hideMark/>
          </w:tcPr>
          <w:p w14:paraId="50B3BD56"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363.72</w:t>
            </w:r>
          </w:p>
        </w:tc>
        <w:tc>
          <w:tcPr>
            <w:tcW w:w="643" w:type="pct"/>
            <w:tcBorders>
              <w:top w:val="nil"/>
              <w:left w:val="nil"/>
              <w:bottom w:val="single" w:sz="8" w:space="0" w:color="auto"/>
              <w:right w:val="single" w:sz="8" w:space="0" w:color="auto"/>
            </w:tcBorders>
            <w:shd w:val="clear" w:color="auto" w:fill="auto"/>
            <w:noWrap/>
            <w:vAlign w:val="center"/>
            <w:hideMark/>
          </w:tcPr>
          <w:p w14:paraId="1A736F13"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3.44</w:t>
            </w:r>
          </w:p>
        </w:tc>
        <w:tc>
          <w:tcPr>
            <w:tcW w:w="563" w:type="pct"/>
            <w:tcBorders>
              <w:top w:val="nil"/>
              <w:left w:val="nil"/>
              <w:bottom w:val="single" w:sz="8" w:space="0" w:color="auto"/>
              <w:right w:val="single" w:sz="8" w:space="0" w:color="auto"/>
            </w:tcBorders>
            <w:shd w:val="clear" w:color="auto" w:fill="auto"/>
            <w:noWrap/>
            <w:vAlign w:val="center"/>
            <w:hideMark/>
          </w:tcPr>
          <w:p w14:paraId="5978F5C8"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410</w:t>
            </w:r>
          </w:p>
        </w:tc>
        <w:tc>
          <w:tcPr>
            <w:tcW w:w="562" w:type="pct"/>
            <w:tcBorders>
              <w:top w:val="nil"/>
              <w:left w:val="nil"/>
              <w:bottom w:val="single" w:sz="8" w:space="0" w:color="auto"/>
              <w:right w:val="single" w:sz="8" w:space="0" w:color="auto"/>
            </w:tcBorders>
            <w:shd w:val="clear" w:color="auto" w:fill="auto"/>
            <w:noWrap/>
            <w:vAlign w:val="center"/>
            <w:hideMark/>
          </w:tcPr>
          <w:p w14:paraId="1079D73F"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184.13</w:t>
            </w:r>
          </w:p>
        </w:tc>
        <w:tc>
          <w:tcPr>
            <w:tcW w:w="666" w:type="pct"/>
            <w:tcBorders>
              <w:top w:val="nil"/>
              <w:left w:val="nil"/>
              <w:bottom w:val="single" w:sz="8" w:space="0" w:color="auto"/>
              <w:right w:val="single" w:sz="8" w:space="0" w:color="auto"/>
            </w:tcBorders>
            <w:shd w:val="clear" w:color="auto" w:fill="auto"/>
            <w:noWrap/>
            <w:vAlign w:val="center"/>
            <w:hideMark/>
          </w:tcPr>
          <w:p w14:paraId="2D433A58"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50.62</w:t>
            </w:r>
          </w:p>
        </w:tc>
      </w:tr>
      <w:tr w:rsidR="001912B8" w:rsidRPr="0023461C" w14:paraId="46CBF93C"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05E3F38"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Chiquimula</w:t>
            </w:r>
          </w:p>
        </w:tc>
        <w:tc>
          <w:tcPr>
            <w:tcW w:w="594" w:type="pct"/>
            <w:tcBorders>
              <w:top w:val="nil"/>
              <w:left w:val="nil"/>
              <w:bottom w:val="single" w:sz="8" w:space="0" w:color="auto"/>
              <w:right w:val="single" w:sz="8" w:space="0" w:color="auto"/>
            </w:tcBorders>
            <w:shd w:val="clear" w:color="auto" w:fill="auto"/>
            <w:noWrap/>
            <w:vAlign w:val="center"/>
            <w:hideMark/>
          </w:tcPr>
          <w:p w14:paraId="7AAC22D4"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287</w:t>
            </w:r>
          </w:p>
        </w:tc>
        <w:tc>
          <w:tcPr>
            <w:tcW w:w="542" w:type="pct"/>
            <w:tcBorders>
              <w:top w:val="nil"/>
              <w:left w:val="nil"/>
              <w:bottom w:val="single" w:sz="8" w:space="0" w:color="auto"/>
              <w:right w:val="single" w:sz="8" w:space="0" w:color="auto"/>
            </w:tcBorders>
            <w:shd w:val="clear" w:color="auto" w:fill="auto"/>
            <w:noWrap/>
            <w:vAlign w:val="center"/>
            <w:hideMark/>
          </w:tcPr>
          <w:p w14:paraId="38C116E7"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289.26</w:t>
            </w:r>
          </w:p>
        </w:tc>
        <w:tc>
          <w:tcPr>
            <w:tcW w:w="643" w:type="pct"/>
            <w:tcBorders>
              <w:top w:val="nil"/>
              <w:left w:val="nil"/>
              <w:bottom w:val="single" w:sz="8" w:space="0" w:color="auto"/>
              <w:right w:val="single" w:sz="8" w:space="0" w:color="auto"/>
            </w:tcBorders>
            <w:shd w:val="clear" w:color="auto" w:fill="auto"/>
            <w:noWrap/>
            <w:vAlign w:val="center"/>
            <w:hideMark/>
          </w:tcPr>
          <w:p w14:paraId="6298675E"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2.73</w:t>
            </w:r>
          </w:p>
        </w:tc>
        <w:tc>
          <w:tcPr>
            <w:tcW w:w="563" w:type="pct"/>
            <w:tcBorders>
              <w:top w:val="nil"/>
              <w:left w:val="nil"/>
              <w:bottom w:val="single" w:sz="8" w:space="0" w:color="auto"/>
              <w:right w:val="single" w:sz="8" w:space="0" w:color="auto"/>
            </w:tcBorders>
            <w:shd w:val="clear" w:color="auto" w:fill="auto"/>
            <w:noWrap/>
            <w:vAlign w:val="center"/>
            <w:hideMark/>
          </w:tcPr>
          <w:p w14:paraId="0BC27DF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246</w:t>
            </w:r>
          </w:p>
        </w:tc>
        <w:tc>
          <w:tcPr>
            <w:tcW w:w="562" w:type="pct"/>
            <w:tcBorders>
              <w:top w:val="nil"/>
              <w:left w:val="nil"/>
              <w:bottom w:val="single" w:sz="8" w:space="0" w:color="auto"/>
              <w:right w:val="single" w:sz="8" w:space="0" w:color="auto"/>
            </w:tcBorders>
            <w:shd w:val="clear" w:color="auto" w:fill="auto"/>
            <w:noWrap/>
            <w:vAlign w:val="center"/>
            <w:hideMark/>
          </w:tcPr>
          <w:p w14:paraId="3F67D130"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139.52</w:t>
            </w:r>
          </w:p>
        </w:tc>
        <w:tc>
          <w:tcPr>
            <w:tcW w:w="666" w:type="pct"/>
            <w:tcBorders>
              <w:top w:val="nil"/>
              <w:left w:val="nil"/>
              <w:bottom w:val="single" w:sz="8" w:space="0" w:color="auto"/>
              <w:right w:val="single" w:sz="8" w:space="0" w:color="auto"/>
            </w:tcBorders>
            <w:shd w:val="clear" w:color="auto" w:fill="auto"/>
            <w:noWrap/>
            <w:vAlign w:val="center"/>
            <w:hideMark/>
          </w:tcPr>
          <w:p w14:paraId="0CD0F176"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48.23</w:t>
            </w:r>
          </w:p>
        </w:tc>
      </w:tr>
      <w:tr w:rsidR="001912B8" w:rsidRPr="0023461C" w14:paraId="73BD0814"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1A254392"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El Progreso</w:t>
            </w:r>
          </w:p>
        </w:tc>
        <w:tc>
          <w:tcPr>
            <w:tcW w:w="594" w:type="pct"/>
            <w:tcBorders>
              <w:top w:val="nil"/>
              <w:left w:val="nil"/>
              <w:bottom w:val="single" w:sz="8" w:space="0" w:color="auto"/>
              <w:right w:val="single" w:sz="8" w:space="0" w:color="auto"/>
            </w:tcBorders>
            <w:shd w:val="clear" w:color="auto" w:fill="auto"/>
            <w:noWrap/>
            <w:vAlign w:val="center"/>
            <w:hideMark/>
          </w:tcPr>
          <w:p w14:paraId="229E0A8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123</w:t>
            </w:r>
          </w:p>
        </w:tc>
        <w:tc>
          <w:tcPr>
            <w:tcW w:w="542" w:type="pct"/>
            <w:tcBorders>
              <w:top w:val="nil"/>
              <w:left w:val="nil"/>
              <w:bottom w:val="single" w:sz="8" w:space="0" w:color="auto"/>
              <w:right w:val="single" w:sz="8" w:space="0" w:color="auto"/>
            </w:tcBorders>
            <w:shd w:val="clear" w:color="auto" w:fill="auto"/>
            <w:noWrap/>
            <w:vAlign w:val="center"/>
            <w:hideMark/>
          </w:tcPr>
          <w:p w14:paraId="24070316"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321.25</w:t>
            </w:r>
          </w:p>
        </w:tc>
        <w:tc>
          <w:tcPr>
            <w:tcW w:w="643" w:type="pct"/>
            <w:tcBorders>
              <w:top w:val="nil"/>
              <w:left w:val="nil"/>
              <w:bottom w:val="single" w:sz="8" w:space="0" w:color="auto"/>
              <w:right w:val="single" w:sz="8" w:space="0" w:color="auto"/>
            </w:tcBorders>
            <w:shd w:val="clear" w:color="auto" w:fill="auto"/>
            <w:noWrap/>
            <w:vAlign w:val="center"/>
            <w:hideMark/>
          </w:tcPr>
          <w:p w14:paraId="3C0E2A4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3.04</w:t>
            </w:r>
          </w:p>
        </w:tc>
        <w:tc>
          <w:tcPr>
            <w:tcW w:w="563" w:type="pct"/>
            <w:tcBorders>
              <w:top w:val="nil"/>
              <w:left w:val="nil"/>
              <w:bottom w:val="single" w:sz="8" w:space="0" w:color="auto"/>
              <w:right w:val="single" w:sz="8" w:space="0" w:color="auto"/>
            </w:tcBorders>
            <w:shd w:val="clear" w:color="auto" w:fill="auto"/>
            <w:noWrap/>
            <w:vAlign w:val="center"/>
            <w:hideMark/>
          </w:tcPr>
          <w:p w14:paraId="0677A921"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107</w:t>
            </w:r>
          </w:p>
        </w:tc>
        <w:tc>
          <w:tcPr>
            <w:tcW w:w="562" w:type="pct"/>
            <w:tcBorders>
              <w:top w:val="nil"/>
              <w:left w:val="nil"/>
              <w:bottom w:val="single" w:sz="8" w:space="0" w:color="auto"/>
              <w:right w:val="single" w:sz="8" w:space="0" w:color="auto"/>
            </w:tcBorders>
            <w:shd w:val="clear" w:color="auto" w:fill="auto"/>
            <w:noWrap/>
            <w:vAlign w:val="center"/>
            <w:hideMark/>
          </w:tcPr>
          <w:p w14:paraId="379FFC3A"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201.18</w:t>
            </w:r>
          </w:p>
        </w:tc>
        <w:tc>
          <w:tcPr>
            <w:tcW w:w="666" w:type="pct"/>
            <w:tcBorders>
              <w:top w:val="nil"/>
              <w:left w:val="nil"/>
              <w:bottom w:val="single" w:sz="8" w:space="0" w:color="auto"/>
              <w:right w:val="single" w:sz="8" w:space="0" w:color="auto"/>
            </w:tcBorders>
            <w:shd w:val="clear" w:color="auto" w:fill="auto"/>
            <w:noWrap/>
            <w:vAlign w:val="center"/>
            <w:hideMark/>
          </w:tcPr>
          <w:p w14:paraId="0F9C217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62.62</w:t>
            </w:r>
          </w:p>
        </w:tc>
      </w:tr>
      <w:tr w:rsidR="001912B8" w:rsidRPr="0023461C" w14:paraId="40384C11"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35EBE166"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Escuintla</w:t>
            </w:r>
          </w:p>
        </w:tc>
        <w:tc>
          <w:tcPr>
            <w:tcW w:w="594" w:type="pct"/>
            <w:tcBorders>
              <w:top w:val="nil"/>
              <w:left w:val="nil"/>
              <w:bottom w:val="single" w:sz="8" w:space="0" w:color="auto"/>
              <w:right w:val="single" w:sz="8" w:space="0" w:color="auto"/>
            </w:tcBorders>
            <w:shd w:val="clear" w:color="auto" w:fill="auto"/>
            <w:noWrap/>
            <w:vAlign w:val="center"/>
            <w:hideMark/>
          </w:tcPr>
          <w:p w14:paraId="3532E2E4"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202</w:t>
            </w:r>
          </w:p>
        </w:tc>
        <w:tc>
          <w:tcPr>
            <w:tcW w:w="542" w:type="pct"/>
            <w:tcBorders>
              <w:top w:val="nil"/>
              <w:left w:val="nil"/>
              <w:bottom w:val="single" w:sz="8" w:space="0" w:color="auto"/>
              <w:right w:val="single" w:sz="8" w:space="0" w:color="auto"/>
            </w:tcBorders>
            <w:shd w:val="clear" w:color="auto" w:fill="auto"/>
            <w:noWrap/>
            <w:vAlign w:val="center"/>
            <w:hideMark/>
          </w:tcPr>
          <w:p w14:paraId="7C3720B0"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1,044.71</w:t>
            </w:r>
          </w:p>
        </w:tc>
        <w:tc>
          <w:tcPr>
            <w:tcW w:w="643" w:type="pct"/>
            <w:tcBorders>
              <w:top w:val="nil"/>
              <w:left w:val="nil"/>
              <w:bottom w:val="single" w:sz="8" w:space="0" w:color="auto"/>
              <w:right w:val="single" w:sz="8" w:space="0" w:color="auto"/>
            </w:tcBorders>
            <w:shd w:val="clear" w:color="auto" w:fill="auto"/>
            <w:noWrap/>
            <w:vAlign w:val="center"/>
            <w:hideMark/>
          </w:tcPr>
          <w:p w14:paraId="69EDF44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9.88</w:t>
            </w:r>
          </w:p>
        </w:tc>
        <w:tc>
          <w:tcPr>
            <w:tcW w:w="563" w:type="pct"/>
            <w:tcBorders>
              <w:top w:val="nil"/>
              <w:left w:val="nil"/>
              <w:bottom w:val="single" w:sz="8" w:space="0" w:color="auto"/>
              <w:right w:val="single" w:sz="8" w:space="0" w:color="auto"/>
            </w:tcBorders>
            <w:shd w:val="clear" w:color="auto" w:fill="auto"/>
            <w:noWrap/>
            <w:vAlign w:val="center"/>
            <w:hideMark/>
          </w:tcPr>
          <w:p w14:paraId="68C20B4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186</w:t>
            </w:r>
          </w:p>
        </w:tc>
        <w:tc>
          <w:tcPr>
            <w:tcW w:w="562" w:type="pct"/>
            <w:tcBorders>
              <w:top w:val="nil"/>
              <w:left w:val="nil"/>
              <w:bottom w:val="single" w:sz="8" w:space="0" w:color="auto"/>
              <w:right w:val="single" w:sz="8" w:space="0" w:color="auto"/>
            </w:tcBorders>
            <w:shd w:val="clear" w:color="auto" w:fill="auto"/>
            <w:noWrap/>
            <w:vAlign w:val="center"/>
            <w:hideMark/>
          </w:tcPr>
          <w:p w14:paraId="7736C248"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350.31</w:t>
            </w:r>
          </w:p>
        </w:tc>
        <w:tc>
          <w:tcPr>
            <w:tcW w:w="666" w:type="pct"/>
            <w:tcBorders>
              <w:top w:val="nil"/>
              <w:left w:val="nil"/>
              <w:bottom w:val="single" w:sz="8" w:space="0" w:color="auto"/>
              <w:right w:val="single" w:sz="8" w:space="0" w:color="auto"/>
            </w:tcBorders>
            <w:shd w:val="clear" w:color="auto" w:fill="auto"/>
            <w:noWrap/>
            <w:vAlign w:val="center"/>
            <w:hideMark/>
          </w:tcPr>
          <w:p w14:paraId="0AC8462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33.53</w:t>
            </w:r>
          </w:p>
        </w:tc>
      </w:tr>
      <w:tr w:rsidR="001912B8" w:rsidRPr="0023461C" w14:paraId="03B6B716"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ACAF25B"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Guatemala</w:t>
            </w:r>
          </w:p>
        </w:tc>
        <w:tc>
          <w:tcPr>
            <w:tcW w:w="594" w:type="pct"/>
            <w:tcBorders>
              <w:top w:val="nil"/>
              <w:left w:val="nil"/>
              <w:bottom w:val="single" w:sz="8" w:space="0" w:color="auto"/>
              <w:right w:val="single" w:sz="8" w:space="0" w:color="auto"/>
            </w:tcBorders>
            <w:shd w:val="clear" w:color="auto" w:fill="auto"/>
            <w:noWrap/>
            <w:vAlign w:val="center"/>
            <w:hideMark/>
          </w:tcPr>
          <w:p w14:paraId="66C06027"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645</w:t>
            </w:r>
          </w:p>
        </w:tc>
        <w:tc>
          <w:tcPr>
            <w:tcW w:w="542" w:type="pct"/>
            <w:tcBorders>
              <w:top w:val="nil"/>
              <w:left w:val="nil"/>
              <w:bottom w:val="single" w:sz="8" w:space="0" w:color="auto"/>
              <w:right w:val="single" w:sz="8" w:space="0" w:color="auto"/>
            </w:tcBorders>
            <w:shd w:val="clear" w:color="auto" w:fill="auto"/>
            <w:noWrap/>
            <w:vAlign w:val="center"/>
            <w:hideMark/>
          </w:tcPr>
          <w:p w14:paraId="7D35A2DD"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1,454.20</w:t>
            </w:r>
          </w:p>
        </w:tc>
        <w:tc>
          <w:tcPr>
            <w:tcW w:w="643" w:type="pct"/>
            <w:tcBorders>
              <w:top w:val="nil"/>
              <w:left w:val="nil"/>
              <w:bottom w:val="single" w:sz="8" w:space="0" w:color="auto"/>
              <w:right w:val="single" w:sz="8" w:space="0" w:color="auto"/>
            </w:tcBorders>
            <w:shd w:val="clear" w:color="auto" w:fill="auto"/>
            <w:noWrap/>
            <w:vAlign w:val="center"/>
            <w:hideMark/>
          </w:tcPr>
          <w:p w14:paraId="0DB5EB4E"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13.75</w:t>
            </w:r>
          </w:p>
        </w:tc>
        <w:tc>
          <w:tcPr>
            <w:tcW w:w="563" w:type="pct"/>
            <w:tcBorders>
              <w:top w:val="nil"/>
              <w:left w:val="nil"/>
              <w:bottom w:val="single" w:sz="8" w:space="0" w:color="auto"/>
              <w:right w:val="single" w:sz="8" w:space="0" w:color="auto"/>
            </w:tcBorders>
            <w:shd w:val="clear" w:color="auto" w:fill="auto"/>
            <w:noWrap/>
            <w:vAlign w:val="center"/>
            <w:hideMark/>
          </w:tcPr>
          <w:p w14:paraId="1710BBE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486</w:t>
            </w:r>
          </w:p>
        </w:tc>
        <w:tc>
          <w:tcPr>
            <w:tcW w:w="562" w:type="pct"/>
            <w:tcBorders>
              <w:top w:val="nil"/>
              <w:left w:val="nil"/>
              <w:bottom w:val="single" w:sz="8" w:space="0" w:color="auto"/>
              <w:right w:val="single" w:sz="8" w:space="0" w:color="auto"/>
            </w:tcBorders>
            <w:shd w:val="clear" w:color="auto" w:fill="auto"/>
            <w:noWrap/>
            <w:vAlign w:val="center"/>
            <w:hideMark/>
          </w:tcPr>
          <w:p w14:paraId="78060321"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667.17</w:t>
            </w:r>
          </w:p>
        </w:tc>
        <w:tc>
          <w:tcPr>
            <w:tcW w:w="666" w:type="pct"/>
            <w:tcBorders>
              <w:top w:val="nil"/>
              <w:left w:val="nil"/>
              <w:bottom w:val="single" w:sz="8" w:space="0" w:color="auto"/>
              <w:right w:val="single" w:sz="8" w:space="0" w:color="auto"/>
            </w:tcBorders>
            <w:shd w:val="clear" w:color="auto" w:fill="auto"/>
            <w:noWrap/>
            <w:vAlign w:val="center"/>
            <w:hideMark/>
          </w:tcPr>
          <w:p w14:paraId="19B3043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45.88</w:t>
            </w:r>
          </w:p>
        </w:tc>
      </w:tr>
      <w:tr w:rsidR="001912B8" w:rsidRPr="0023461C" w14:paraId="148C1806"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139A8470"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Huehuetenango</w:t>
            </w:r>
          </w:p>
        </w:tc>
        <w:tc>
          <w:tcPr>
            <w:tcW w:w="594" w:type="pct"/>
            <w:tcBorders>
              <w:top w:val="nil"/>
              <w:left w:val="nil"/>
              <w:bottom w:val="single" w:sz="8" w:space="0" w:color="auto"/>
              <w:right w:val="single" w:sz="8" w:space="0" w:color="auto"/>
            </w:tcBorders>
            <w:shd w:val="clear" w:color="auto" w:fill="auto"/>
            <w:noWrap/>
            <w:vAlign w:val="center"/>
            <w:hideMark/>
          </w:tcPr>
          <w:p w14:paraId="29D76E11"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410</w:t>
            </w:r>
          </w:p>
        </w:tc>
        <w:tc>
          <w:tcPr>
            <w:tcW w:w="542" w:type="pct"/>
            <w:tcBorders>
              <w:top w:val="nil"/>
              <w:left w:val="nil"/>
              <w:bottom w:val="single" w:sz="8" w:space="0" w:color="auto"/>
              <w:right w:val="single" w:sz="8" w:space="0" w:color="auto"/>
            </w:tcBorders>
            <w:shd w:val="clear" w:color="auto" w:fill="auto"/>
            <w:noWrap/>
            <w:vAlign w:val="center"/>
            <w:hideMark/>
          </w:tcPr>
          <w:p w14:paraId="48A6508D"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543.12</w:t>
            </w:r>
          </w:p>
        </w:tc>
        <w:tc>
          <w:tcPr>
            <w:tcW w:w="643" w:type="pct"/>
            <w:tcBorders>
              <w:top w:val="nil"/>
              <w:left w:val="nil"/>
              <w:bottom w:val="single" w:sz="8" w:space="0" w:color="auto"/>
              <w:right w:val="single" w:sz="8" w:space="0" w:color="auto"/>
            </w:tcBorders>
            <w:shd w:val="clear" w:color="auto" w:fill="auto"/>
            <w:noWrap/>
            <w:vAlign w:val="center"/>
            <w:hideMark/>
          </w:tcPr>
          <w:p w14:paraId="2F6D0AE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5.13</w:t>
            </w:r>
          </w:p>
        </w:tc>
        <w:tc>
          <w:tcPr>
            <w:tcW w:w="563" w:type="pct"/>
            <w:tcBorders>
              <w:top w:val="nil"/>
              <w:left w:val="nil"/>
              <w:bottom w:val="single" w:sz="8" w:space="0" w:color="auto"/>
              <w:right w:val="single" w:sz="8" w:space="0" w:color="auto"/>
            </w:tcBorders>
            <w:shd w:val="clear" w:color="auto" w:fill="auto"/>
            <w:noWrap/>
            <w:vAlign w:val="center"/>
            <w:hideMark/>
          </w:tcPr>
          <w:p w14:paraId="054876B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344</w:t>
            </w:r>
          </w:p>
        </w:tc>
        <w:tc>
          <w:tcPr>
            <w:tcW w:w="562" w:type="pct"/>
            <w:tcBorders>
              <w:top w:val="nil"/>
              <w:left w:val="nil"/>
              <w:bottom w:val="single" w:sz="8" w:space="0" w:color="auto"/>
              <w:right w:val="single" w:sz="8" w:space="0" w:color="auto"/>
            </w:tcBorders>
            <w:shd w:val="clear" w:color="auto" w:fill="auto"/>
            <w:noWrap/>
            <w:vAlign w:val="center"/>
            <w:hideMark/>
          </w:tcPr>
          <w:p w14:paraId="480038A8"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249.39</w:t>
            </w:r>
          </w:p>
        </w:tc>
        <w:tc>
          <w:tcPr>
            <w:tcW w:w="666" w:type="pct"/>
            <w:tcBorders>
              <w:top w:val="nil"/>
              <w:left w:val="nil"/>
              <w:bottom w:val="single" w:sz="8" w:space="0" w:color="auto"/>
              <w:right w:val="single" w:sz="8" w:space="0" w:color="auto"/>
            </w:tcBorders>
            <w:shd w:val="clear" w:color="auto" w:fill="auto"/>
            <w:noWrap/>
            <w:vAlign w:val="center"/>
            <w:hideMark/>
          </w:tcPr>
          <w:p w14:paraId="4B8A528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45.92</w:t>
            </w:r>
          </w:p>
        </w:tc>
      </w:tr>
      <w:tr w:rsidR="001912B8" w:rsidRPr="0023461C" w14:paraId="0B6EF3DD"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5D826D01"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Izabal</w:t>
            </w:r>
          </w:p>
        </w:tc>
        <w:tc>
          <w:tcPr>
            <w:tcW w:w="594" w:type="pct"/>
            <w:tcBorders>
              <w:top w:val="nil"/>
              <w:left w:val="nil"/>
              <w:bottom w:val="single" w:sz="8" w:space="0" w:color="auto"/>
              <w:right w:val="single" w:sz="8" w:space="0" w:color="auto"/>
            </w:tcBorders>
            <w:shd w:val="clear" w:color="auto" w:fill="auto"/>
            <w:noWrap/>
            <w:vAlign w:val="center"/>
            <w:hideMark/>
          </w:tcPr>
          <w:p w14:paraId="6F9C9C7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91</w:t>
            </w:r>
          </w:p>
        </w:tc>
        <w:tc>
          <w:tcPr>
            <w:tcW w:w="542" w:type="pct"/>
            <w:tcBorders>
              <w:top w:val="nil"/>
              <w:left w:val="nil"/>
              <w:bottom w:val="single" w:sz="8" w:space="0" w:color="auto"/>
              <w:right w:val="single" w:sz="8" w:space="0" w:color="auto"/>
            </w:tcBorders>
            <w:shd w:val="clear" w:color="auto" w:fill="auto"/>
            <w:noWrap/>
            <w:vAlign w:val="center"/>
            <w:hideMark/>
          </w:tcPr>
          <w:p w14:paraId="662CABDF"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225.96</w:t>
            </w:r>
          </w:p>
        </w:tc>
        <w:tc>
          <w:tcPr>
            <w:tcW w:w="643" w:type="pct"/>
            <w:tcBorders>
              <w:top w:val="nil"/>
              <w:left w:val="nil"/>
              <w:bottom w:val="single" w:sz="8" w:space="0" w:color="auto"/>
              <w:right w:val="single" w:sz="8" w:space="0" w:color="auto"/>
            </w:tcBorders>
            <w:shd w:val="clear" w:color="auto" w:fill="auto"/>
            <w:noWrap/>
            <w:vAlign w:val="center"/>
            <w:hideMark/>
          </w:tcPr>
          <w:p w14:paraId="5ACA6E0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2.14</w:t>
            </w:r>
          </w:p>
        </w:tc>
        <w:tc>
          <w:tcPr>
            <w:tcW w:w="563" w:type="pct"/>
            <w:tcBorders>
              <w:top w:val="nil"/>
              <w:left w:val="nil"/>
              <w:bottom w:val="single" w:sz="8" w:space="0" w:color="auto"/>
              <w:right w:val="single" w:sz="8" w:space="0" w:color="auto"/>
            </w:tcBorders>
            <w:shd w:val="clear" w:color="auto" w:fill="auto"/>
            <w:noWrap/>
            <w:vAlign w:val="center"/>
            <w:hideMark/>
          </w:tcPr>
          <w:p w14:paraId="22EC6248"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74</w:t>
            </w:r>
          </w:p>
        </w:tc>
        <w:tc>
          <w:tcPr>
            <w:tcW w:w="562" w:type="pct"/>
            <w:tcBorders>
              <w:top w:val="nil"/>
              <w:left w:val="nil"/>
              <w:bottom w:val="single" w:sz="8" w:space="0" w:color="auto"/>
              <w:right w:val="single" w:sz="8" w:space="0" w:color="auto"/>
            </w:tcBorders>
            <w:shd w:val="clear" w:color="auto" w:fill="auto"/>
            <w:noWrap/>
            <w:vAlign w:val="center"/>
            <w:hideMark/>
          </w:tcPr>
          <w:p w14:paraId="6183262B"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98.66</w:t>
            </w:r>
          </w:p>
        </w:tc>
        <w:tc>
          <w:tcPr>
            <w:tcW w:w="666" w:type="pct"/>
            <w:tcBorders>
              <w:top w:val="nil"/>
              <w:left w:val="nil"/>
              <w:bottom w:val="single" w:sz="8" w:space="0" w:color="auto"/>
              <w:right w:val="single" w:sz="8" w:space="0" w:color="auto"/>
            </w:tcBorders>
            <w:shd w:val="clear" w:color="auto" w:fill="auto"/>
            <w:noWrap/>
            <w:vAlign w:val="center"/>
            <w:hideMark/>
          </w:tcPr>
          <w:p w14:paraId="7F5C1A6E"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43.66</w:t>
            </w:r>
          </w:p>
        </w:tc>
      </w:tr>
      <w:tr w:rsidR="001912B8" w:rsidRPr="0023461C" w14:paraId="27A399A3"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3A8E092D"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Jalapa</w:t>
            </w:r>
          </w:p>
        </w:tc>
        <w:tc>
          <w:tcPr>
            <w:tcW w:w="594" w:type="pct"/>
            <w:tcBorders>
              <w:top w:val="nil"/>
              <w:left w:val="nil"/>
              <w:bottom w:val="single" w:sz="8" w:space="0" w:color="auto"/>
              <w:right w:val="single" w:sz="8" w:space="0" w:color="auto"/>
            </w:tcBorders>
            <w:shd w:val="clear" w:color="auto" w:fill="auto"/>
            <w:noWrap/>
            <w:vAlign w:val="center"/>
            <w:hideMark/>
          </w:tcPr>
          <w:p w14:paraId="7602DD6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101</w:t>
            </w:r>
          </w:p>
        </w:tc>
        <w:tc>
          <w:tcPr>
            <w:tcW w:w="542" w:type="pct"/>
            <w:tcBorders>
              <w:top w:val="nil"/>
              <w:left w:val="nil"/>
              <w:bottom w:val="single" w:sz="8" w:space="0" w:color="auto"/>
              <w:right w:val="single" w:sz="8" w:space="0" w:color="auto"/>
            </w:tcBorders>
            <w:shd w:val="clear" w:color="auto" w:fill="auto"/>
            <w:noWrap/>
            <w:vAlign w:val="center"/>
            <w:hideMark/>
          </w:tcPr>
          <w:p w14:paraId="66F4EBB8"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131.66</w:t>
            </w:r>
          </w:p>
        </w:tc>
        <w:tc>
          <w:tcPr>
            <w:tcW w:w="643" w:type="pct"/>
            <w:tcBorders>
              <w:top w:val="nil"/>
              <w:left w:val="nil"/>
              <w:bottom w:val="single" w:sz="8" w:space="0" w:color="auto"/>
              <w:right w:val="single" w:sz="8" w:space="0" w:color="auto"/>
            </w:tcBorders>
            <w:shd w:val="clear" w:color="auto" w:fill="auto"/>
            <w:noWrap/>
            <w:vAlign w:val="center"/>
            <w:hideMark/>
          </w:tcPr>
          <w:p w14:paraId="5D03E54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1.24</w:t>
            </w:r>
          </w:p>
        </w:tc>
        <w:tc>
          <w:tcPr>
            <w:tcW w:w="563" w:type="pct"/>
            <w:tcBorders>
              <w:top w:val="nil"/>
              <w:left w:val="nil"/>
              <w:bottom w:val="single" w:sz="8" w:space="0" w:color="auto"/>
              <w:right w:val="single" w:sz="8" w:space="0" w:color="auto"/>
            </w:tcBorders>
            <w:shd w:val="clear" w:color="auto" w:fill="auto"/>
            <w:noWrap/>
            <w:vAlign w:val="center"/>
            <w:hideMark/>
          </w:tcPr>
          <w:p w14:paraId="7980DE03"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87</w:t>
            </w:r>
          </w:p>
        </w:tc>
        <w:tc>
          <w:tcPr>
            <w:tcW w:w="562" w:type="pct"/>
            <w:tcBorders>
              <w:top w:val="nil"/>
              <w:left w:val="nil"/>
              <w:bottom w:val="single" w:sz="8" w:space="0" w:color="auto"/>
              <w:right w:val="single" w:sz="8" w:space="0" w:color="auto"/>
            </w:tcBorders>
            <w:shd w:val="clear" w:color="auto" w:fill="auto"/>
            <w:noWrap/>
            <w:vAlign w:val="center"/>
            <w:hideMark/>
          </w:tcPr>
          <w:p w14:paraId="5FD222E2"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43.60</w:t>
            </w:r>
          </w:p>
        </w:tc>
        <w:tc>
          <w:tcPr>
            <w:tcW w:w="666" w:type="pct"/>
            <w:tcBorders>
              <w:top w:val="nil"/>
              <w:left w:val="nil"/>
              <w:bottom w:val="single" w:sz="8" w:space="0" w:color="auto"/>
              <w:right w:val="single" w:sz="8" w:space="0" w:color="auto"/>
            </w:tcBorders>
            <w:shd w:val="clear" w:color="auto" w:fill="auto"/>
            <w:noWrap/>
            <w:vAlign w:val="center"/>
            <w:hideMark/>
          </w:tcPr>
          <w:p w14:paraId="1B911371"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33.12</w:t>
            </w:r>
          </w:p>
        </w:tc>
      </w:tr>
      <w:tr w:rsidR="001912B8" w:rsidRPr="0023461C" w14:paraId="652892C0"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A49D5E9"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Jutiapa</w:t>
            </w:r>
          </w:p>
        </w:tc>
        <w:tc>
          <w:tcPr>
            <w:tcW w:w="594" w:type="pct"/>
            <w:tcBorders>
              <w:top w:val="nil"/>
              <w:left w:val="nil"/>
              <w:bottom w:val="single" w:sz="8" w:space="0" w:color="auto"/>
              <w:right w:val="single" w:sz="8" w:space="0" w:color="auto"/>
            </w:tcBorders>
            <w:shd w:val="clear" w:color="auto" w:fill="auto"/>
            <w:noWrap/>
            <w:vAlign w:val="center"/>
            <w:hideMark/>
          </w:tcPr>
          <w:p w14:paraId="0DA0215E"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259</w:t>
            </w:r>
          </w:p>
        </w:tc>
        <w:tc>
          <w:tcPr>
            <w:tcW w:w="542" w:type="pct"/>
            <w:tcBorders>
              <w:top w:val="nil"/>
              <w:left w:val="nil"/>
              <w:bottom w:val="single" w:sz="8" w:space="0" w:color="auto"/>
              <w:right w:val="single" w:sz="8" w:space="0" w:color="auto"/>
            </w:tcBorders>
            <w:shd w:val="clear" w:color="auto" w:fill="auto"/>
            <w:noWrap/>
            <w:vAlign w:val="center"/>
            <w:hideMark/>
          </w:tcPr>
          <w:p w14:paraId="532CBED5"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429.89</w:t>
            </w:r>
          </w:p>
        </w:tc>
        <w:tc>
          <w:tcPr>
            <w:tcW w:w="643" w:type="pct"/>
            <w:tcBorders>
              <w:top w:val="nil"/>
              <w:left w:val="nil"/>
              <w:bottom w:val="single" w:sz="8" w:space="0" w:color="auto"/>
              <w:right w:val="single" w:sz="8" w:space="0" w:color="auto"/>
            </w:tcBorders>
            <w:shd w:val="clear" w:color="auto" w:fill="auto"/>
            <w:noWrap/>
            <w:vAlign w:val="center"/>
            <w:hideMark/>
          </w:tcPr>
          <w:p w14:paraId="76A1C73E"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4.06</w:t>
            </w:r>
          </w:p>
        </w:tc>
        <w:tc>
          <w:tcPr>
            <w:tcW w:w="563" w:type="pct"/>
            <w:tcBorders>
              <w:top w:val="nil"/>
              <w:left w:val="nil"/>
              <w:bottom w:val="single" w:sz="8" w:space="0" w:color="auto"/>
              <w:right w:val="single" w:sz="8" w:space="0" w:color="auto"/>
            </w:tcBorders>
            <w:shd w:val="clear" w:color="auto" w:fill="auto"/>
            <w:noWrap/>
            <w:vAlign w:val="center"/>
            <w:hideMark/>
          </w:tcPr>
          <w:p w14:paraId="37659BD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236</w:t>
            </w:r>
          </w:p>
        </w:tc>
        <w:tc>
          <w:tcPr>
            <w:tcW w:w="562" w:type="pct"/>
            <w:tcBorders>
              <w:top w:val="nil"/>
              <w:left w:val="nil"/>
              <w:bottom w:val="single" w:sz="8" w:space="0" w:color="auto"/>
              <w:right w:val="single" w:sz="8" w:space="0" w:color="auto"/>
            </w:tcBorders>
            <w:shd w:val="clear" w:color="auto" w:fill="auto"/>
            <w:noWrap/>
            <w:vAlign w:val="center"/>
            <w:hideMark/>
          </w:tcPr>
          <w:p w14:paraId="501987B6"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349.18</w:t>
            </w:r>
          </w:p>
        </w:tc>
        <w:tc>
          <w:tcPr>
            <w:tcW w:w="666" w:type="pct"/>
            <w:tcBorders>
              <w:top w:val="nil"/>
              <w:left w:val="nil"/>
              <w:bottom w:val="single" w:sz="8" w:space="0" w:color="auto"/>
              <w:right w:val="single" w:sz="8" w:space="0" w:color="auto"/>
            </w:tcBorders>
            <w:shd w:val="clear" w:color="auto" w:fill="auto"/>
            <w:noWrap/>
            <w:vAlign w:val="center"/>
            <w:hideMark/>
          </w:tcPr>
          <w:p w14:paraId="7E7838D1"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81.23</w:t>
            </w:r>
          </w:p>
        </w:tc>
      </w:tr>
      <w:tr w:rsidR="001912B8" w:rsidRPr="0023461C" w14:paraId="211B0EB3"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6092AE15"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bookmarkStart w:id="114" w:name="RANGE!I15"/>
            <w:r w:rsidRPr="00CE3D5C">
              <w:rPr>
                <w:rFonts w:ascii="Helvetica" w:eastAsia="Times New Roman" w:hAnsi="Helvetica" w:cs="Helvetica"/>
                <w:color w:val="000000"/>
                <w:sz w:val="18"/>
                <w:szCs w:val="18"/>
                <w:lang w:eastAsia="es-GT"/>
              </w:rPr>
              <w:t>Multidepartamental Región IV</w:t>
            </w:r>
            <w:bookmarkEnd w:id="114"/>
          </w:p>
        </w:tc>
        <w:tc>
          <w:tcPr>
            <w:tcW w:w="594" w:type="pct"/>
            <w:tcBorders>
              <w:top w:val="nil"/>
              <w:left w:val="nil"/>
              <w:bottom w:val="single" w:sz="8" w:space="0" w:color="auto"/>
              <w:right w:val="single" w:sz="8" w:space="0" w:color="auto"/>
            </w:tcBorders>
            <w:shd w:val="clear" w:color="auto" w:fill="auto"/>
            <w:noWrap/>
            <w:vAlign w:val="center"/>
            <w:hideMark/>
          </w:tcPr>
          <w:p w14:paraId="762D4FC4"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w:t>
            </w:r>
          </w:p>
        </w:tc>
        <w:tc>
          <w:tcPr>
            <w:tcW w:w="542" w:type="pct"/>
            <w:tcBorders>
              <w:top w:val="nil"/>
              <w:left w:val="nil"/>
              <w:bottom w:val="single" w:sz="8" w:space="0" w:color="auto"/>
              <w:right w:val="single" w:sz="8" w:space="0" w:color="auto"/>
            </w:tcBorders>
            <w:shd w:val="clear" w:color="auto" w:fill="auto"/>
            <w:noWrap/>
            <w:vAlign w:val="center"/>
            <w:hideMark/>
          </w:tcPr>
          <w:p w14:paraId="435A00DF"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5.95</w:t>
            </w:r>
          </w:p>
        </w:tc>
        <w:tc>
          <w:tcPr>
            <w:tcW w:w="643" w:type="pct"/>
            <w:tcBorders>
              <w:top w:val="nil"/>
              <w:left w:val="nil"/>
              <w:bottom w:val="single" w:sz="8" w:space="0" w:color="auto"/>
              <w:right w:val="single" w:sz="8" w:space="0" w:color="auto"/>
            </w:tcBorders>
            <w:shd w:val="clear" w:color="auto" w:fill="auto"/>
            <w:noWrap/>
            <w:vAlign w:val="center"/>
            <w:hideMark/>
          </w:tcPr>
          <w:p w14:paraId="6EE04FC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0.06</w:t>
            </w:r>
          </w:p>
        </w:tc>
        <w:tc>
          <w:tcPr>
            <w:tcW w:w="563" w:type="pct"/>
            <w:tcBorders>
              <w:top w:val="nil"/>
              <w:left w:val="nil"/>
              <w:bottom w:val="single" w:sz="8" w:space="0" w:color="auto"/>
              <w:right w:val="single" w:sz="8" w:space="0" w:color="auto"/>
            </w:tcBorders>
            <w:shd w:val="clear" w:color="auto" w:fill="auto"/>
            <w:noWrap/>
            <w:vAlign w:val="center"/>
            <w:hideMark/>
          </w:tcPr>
          <w:p w14:paraId="2E61DDF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w:t>
            </w:r>
          </w:p>
        </w:tc>
        <w:tc>
          <w:tcPr>
            <w:tcW w:w="562" w:type="pct"/>
            <w:tcBorders>
              <w:top w:val="nil"/>
              <w:left w:val="nil"/>
              <w:bottom w:val="single" w:sz="8" w:space="0" w:color="auto"/>
              <w:right w:val="single" w:sz="8" w:space="0" w:color="auto"/>
            </w:tcBorders>
            <w:shd w:val="clear" w:color="auto" w:fill="auto"/>
            <w:noWrap/>
            <w:vAlign w:val="center"/>
            <w:hideMark/>
          </w:tcPr>
          <w:p w14:paraId="7B8DF212"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5.95</w:t>
            </w:r>
          </w:p>
        </w:tc>
        <w:tc>
          <w:tcPr>
            <w:tcW w:w="666" w:type="pct"/>
            <w:tcBorders>
              <w:top w:val="nil"/>
              <w:left w:val="nil"/>
              <w:bottom w:val="single" w:sz="8" w:space="0" w:color="auto"/>
              <w:right w:val="single" w:sz="8" w:space="0" w:color="auto"/>
            </w:tcBorders>
            <w:shd w:val="clear" w:color="auto" w:fill="auto"/>
            <w:noWrap/>
            <w:vAlign w:val="center"/>
            <w:hideMark/>
          </w:tcPr>
          <w:p w14:paraId="0F8CA177"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100.00</w:t>
            </w:r>
          </w:p>
        </w:tc>
      </w:tr>
      <w:tr w:rsidR="001912B8" w:rsidRPr="0023461C" w14:paraId="5F52CAFF"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260FB2E9"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Multidepartamental Región V</w:t>
            </w:r>
          </w:p>
        </w:tc>
        <w:tc>
          <w:tcPr>
            <w:tcW w:w="594" w:type="pct"/>
            <w:tcBorders>
              <w:top w:val="nil"/>
              <w:left w:val="nil"/>
              <w:bottom w:val="single" w:sz="8" w:space="0" w:color="auto"/>
              <w:right w:val="single" w:sz="8" w:space="0" w:color="auto"/>
            </w:tcBorders>
            <w:shd w:val="clear" w:color="auto" w:fill="auto"/>
            <w:noWrap/>
            <w:vAlign w:val="center"/>
            <w:hideMark/>
          </w:tcPr>
          <w:p w14:paraId="434F4BDE"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w:t>
            </w:r>
          </w:p>
        </w:tc>
        <w:tc>
          <w:tcPr>
            <w:tcW w:w="542" w:type="pct"/>
            <w:tcBorders>
              <w:top w:val="nil"/>
              <w:left w:val="nil"/>
              <w:bottom w:val="single" w:sz="8" w:space="0" w:color="auto"/>
              <w:right w:val="single" w:sz="8" w:space="0" w:color="auto"/>
            </w:tcBorders>
            <w:shd w:val="clear" w:color="auto" w:fill="auto"/>
            <w:noWrap/>
            <w:vAlign w:val="center"/>
            <w:hideMark/>
          </w:tcPr>
          <w:p w14:paraId="541E5877"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7.22</w:t>
            </w:r>
          </w:p>
        </w:tc>
        <w:tc>
          <w:tcPr>
            <w:tcW w:w="643" w:type="pct"/>
            <w:tcBorders>
              <w:top w:val="nil"/>
              <w:left w:val="nil"/>
              <w:bottom w:val="single" w:sz="8" w:space="0" w:color="auto"/>
              <w:right w:val="single" w:sz="8" w:space="0" w:color="auto"/>
            </w:tcBorders>
            <w:shd w:val="clear" w:color="auto" w:fill="auto"/>
            <w:noWrap/>
            <w:vAlign w:val="center"/>
            <w:hideMark/>
          </w:tcPr>
          <w:p w14:paraId="2B34BEC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0.07</w:t>
            </w:r>
          </w:p>
        </w:tc>
        <w:tc>
          <w:tcPr>
            <w:tcW w:w="563" w:type="pct"/>
            <w:tcBorders>
              <w:top w:val="nil"/>
              <w:left w:val="nil"/>
              <w:bottom w:val="single" w:sz="8" w:space="0" w:color="auto"/>
              <w:right w:val="single" w:sz="8" w:space="0" w:color="auto"/>
            </w:tcBorders>
            <w:shd w:val="clear" w:color="auto" w:fill="auto"/>
            <w:noWrap/>
            <w:vAlign w:val="center"/>
            <w:hideMark/>
          </w:tcPr>
          <w:p w14:paraId="2186865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w:t>
            </w:r>
          </w:p>
        </w:tc>
        <w:tc>
          <w:tcPr>
            <w:tcW w:w="562" w:type="pct"/>
            <w:tcBorders>
              <w:top w:val="nil"/>
              <w:left w:val="nil"/>
              <w:bottom w:val="single" w:sz="8" w:space="0" w:color="auto"/>
              <w:right w:val="single" w:sz="8" w:space="0" w:color="auto"/>
            </w:tcBorders>
            <w:shd w:val="clear" w:color="auto" w:fill="auto"/>
            <w:noWrap/>
            <w:vAlign w:val="center"/>
            <w:hideMark/>
          </w:tcPr>
          <w:p w14:paraId="40DCB975"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4.63</w:t>
            </w:r>
          </w:p>
        </w:tc>
        <w:tc>
          <w:tcPr>
            <w:tcW w:w="666" w:type="pct"/>
            <w:tcBorders>
              <w:top w:val="nil"/>
              <w:left w:val="nil"/>
              <w:bottom w:val="single" w:sz="8" w:space="0" w:color="auto"/>
              <w:right w:val="single" w:sz="8" w:space="0" w:color="auto"/>
            </w:tcBorders>
            <w:shd w:val="clear" w:color="auto" w:fill="auto"/>
            <w:noWrap/>
            <w:vAlign w:val="center"/>
            <w:hideMark/>
          </w:tcPr>
          <w:p w14:paraId="6EC38F06"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64.08</w:t>
            </w:r>
          </w:p>
        </w:tc>
      </w:tr>
      <w:tr w:rsidR="001912B8" w:rsidRPr="0023461C" w14:paraId="3F057ECC"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06426F2F"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Multidepartamental Región VI</w:t>
            </w:r>
          </w:p>
        </w:tc>
        <w:tc>
          <w:tcPr>
            <w:tcW w:w="594" w:type="pct"/>
            <w:tcBorders>
              <w:top w:val="nil"/>
              <w:left w:val="nil"/>
              <w:bottom w:val="single" w:sz="8" w:space="0" w:color="auto"/>
              <w:right w:val="single" w:sz="8" w:space="0" w:color="auto"/>
            </w:tcBorders>
            <w:shd w:val="clear" w:color="auto" w:fill="auto"/>
            <w:noWrap/>
            <w:vAlign w:val="center"/>
            <w:hideMark/>
          </w:tcPr>
          <w:p w14:paraId="3DB009A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8</w:t>
            </w:r>
          </w:p>
        </w:tc>
        <w:tc>
          <w:tcPr>
            <w:tcW w:w="542" w:type="pct"/>
            <w:tcBorders>
              <w:top w:val="nil"/>
              <w:left w:val="nil"/>
              <w:bottom w:val="single" w:sz="8" w:space="0" w:color="auto"/>
              <w:right w:val="single" w:sz="8" w:space="0" w:color="auto"/>
            </w:tcBorders>
            <w:shd w:val="clear" w:color="auto" w:fill="auto"/>
            <w:noWrap/>
            <w:vAlign w:val="center"/>
            <w:hideMark/>
          </w:tcPr>
          <w:p w14:paraId="25704D7A"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148.77</w:t>
            </w:r>
          </w:p>
        </w:tc>
        <w:tc>
          <w:tcPr>
            <w:tcW w:w="643" w:type="pct"/>
            <w:tcBorders>
              <w:top w:val="nil"/>
              <w:left w:val="nil"/>
              <w:bottom w:val="single" w:sz="8" w:space="0" w:color="auto"/>
              <w:right w:val="single" w:sz="8" w:space="0" w:color="auto"/>
            </w:tcBorders>
            <w:shd w:val="clear" w:color="auto" w:fill="auto"/>
            <w:noWrap/>
            <w:vAlign w:val="center"/>
            <w:hideMark/>
          </w:tcPr>
          <w:p w14:paraId="6058FF0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1.41</w:t>
            </w:r>
          </w:p>
        </w:tc>
        <w:tc>
          <w:tcPr>
            <w:tcW w:w="563" w:type="pct"/>
            <w:tcBorders>
              <w:top w:val="nil"/>
              <w:left w:val="nil"/>
              <w:bottom w:val="single" w:sz="8" w:space="0" w:color="auto"/>
              <w:right w:val="single" w:sz="8" w:space="0" w:color="auto"/>
            </w:tcBorders>
            <w:shd w:val="clear" w:color="auto" w:fill="auto"/>
            <w:noWrap/>
            <w:vAlign w:val="center"/>
            <w:hideMark/>
          </w:tcPr>
          <w:p w14:paraId="513DD61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w:t>
            </w:r>
          </w:p>
        </w:tc>
        <w:tc>
          <w:tcPr>
            <w:tcW w:w="562" w:type="pct"/>
            <w:tcBorders>
              <w:top w:val="nil"/>
              <w:left w:val="nil"/>
              <w:bottom w:val="single" w:sz="8" w:space="0" w:color="auto"/>
              <w:right w:val="single" w:sz="8" w:space="0" w:color="auto"/>
            </w:tcBorders>
            <w:shd w:val="clear" w:color="auto" w:fill="auto"/>
            <w:noWrap/>
            <w:vAlign w:val="center"/>
            <w:hideMark/>
          </w:tcPr>
          <w:p w14:paraId="4C4A0811"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107.74</w:t>
            </w:r>
          </w:p>
        </w:tc>
        <w:tc>
          <w:tcPr>
            <w:tcW w:w="666" w:type="pct"/>
            <w:tcBorders>
              <w:top w:val="nil"/>
              <w:left w:val="nil"/>
              <w:bottom w:val="single" w:sz="8" w:space="0" w:color="auto"/>
              <w:right w:val="single" w:sz="8" w:space="0" w:color="auto"/>
            </w:tcBorders>
            <w:shd w:val="clear" w:color="auto" w:fill="auto"/>
            <w:noWrap/>
            <w:vAlign w:val="center"/>
            <w:hideMark/>
          </w:tcPr>
          <w:p w14:paraId="4F244F5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72.42</w:t>
            </w:r>
          </w:p>
        </w:tc>
      </w:tr>
      <w:tr w:rsidR="001912B8" w:rsidRPr="0023461C" w14:paraId="1FFEBEA7"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50DE340C"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proofErr w:type="spellStart"/>
            <w:r w:rsidRPr="00CE3D5C">
              <w:rPr>
                <w:rFonts w:ascii="Helvetica" w:eastAsia="Times New Roman" w:hAnsi="Helvetica" w:cs="Helvetica"/>
                <w:color w:val="000000"/>
                <w:sz w:val="18"/>
                <w:szCs w:val="18"/>
                <w:lang w:eastAsia="es-GT"/>
              </w:rPr>
              <w:t>Multiregional</w:t>
            </w:r>
            <w:proofErr w:type="spellEnd"/>
            <w:r w:rsidRPr="00CE3D5C">
              <w:rPr>
                <w:rFonts w:ascii="Helvetica" w:eastAsia="Times New Roman" w:hAnsi="Helvetica" w:cs="Helvetica"/>
                <w:color w:val="000000"/>
                <w:sz w:val="18"/>
                <w:szCs w:val="18"/>
                <w:lang w:eastAsia="es-GT"/>
              </w:rPr>
              <w:t xml:space="preserve"> - Nacional</w:t>
            </w:r>
          </w:p>
        </w:tc>
        <w:tc>
          <w:tcPr>
            <w:tcW w:w="594" w:type="pct"/>
            <w:tcBorders>
              <w:top w:val="nil"/>
              <w:left w:val="nil"/>
              <w:bottom w:val="single" w:sz="8" w:space="0" w:color="auto"/>
              <w:right w:val="single" w:sz="8" w:space="0" w:color="auto"/>
            </w:tcBorders>
            <w:shd w:val="clear" w:color="auto" w:fill="auto"/>
            <w:noWrap/>
            <w:vAlign w:val="center"/>
            <w:hideMark/>
          </w:tcPr>
          <w:p w14:paraId="777F8553"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14</w:t>
            </w:r>
          </w:p>
        </w:tc>
        <w:tc>
          <w:tcPr>
            <w:tcW w:w="542" w:type="pct"/>
            <w:tcBorders>
              <w:top w:val="nil"/>
              <w:left w:val="nil"/>
              <w:bottom w:val="single" w:sz="8" w:space="0" w:color="auto"/>
              <w:right w:val="single" w:sz="8" w:space="0" w:color="auto"/>
            </w:tcBorders>
            <w:shd w:val="clear" w:color="auto" w:fill="auto"/>
            <w:noWrap/>
            <w:vAlign w:val="center"/>
            <w:hideMark/>
          </w:tcPr>
          <w:p w14:paraId="722AC09A"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357.89</w:t>
            </w:r>
          </w:p>
        </w:tc>
        <w:tc>
          <w:tcPr>
            <w:tcW w:w="643" w:type="pct"/>
            <w:tcBorders>
              <w:top w:val="nil"/>
              <w:left w:val="nil"/>
              <w:bottom w:val="single" w:sz="8" w:space="0" w:color="auto"/>
              <w:right w:val="single" w:sz="8" w:space="0" w:color="auto"/>
            </w:tcBorders>
            <w:shd w:val="clear" w:color="auto" w:fill="auto"/>
            <w:noWrap/>
            <w:vAlign w:val="center"/>
            <w:hideMark/>
          </w:tcPr>
          <w:p w14:paraId="6D2BD31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3.38</w:t>
            </w:r>
          </w:p>
        </w:tc>
        <w:tc>
          <w:tcPr>
            <w:tcW w:w="563" w:type="pct"/>
            <w:tcBorders>
              <w:top w:val="nil"/>
              <w:left w:val="nil"/>
              <w:bottom w:val="single" w:sz="8" w:space="0" w:color="auto"/>
              <w:right w:val="single" w:sz="8" w:space="0" w:color="auto"/>
            </w:tcBorders>
            <w:shd w:val="clear" w:color="auto" w:fill="auto"/>
            <w:noWrap/>
            <w:vAlign w:val="center"/>
            <w:hideMark/>
          </w:tcPr>
          <w:p w14:paraId="454E495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12</w:t>
            </w:r>
          </w:p>
        </w:tc>
        <w:tc>
          <w:tcPr>
            <w:tcW w:w="562" w:type="pct"/>
            <w:tcBorders>
              <w:top w:val="nil"/>
              <w:left w:val="nil"/>
              <w:bottom w:val="single" w:sz="8" w:space="0" w:color="auto"/>
              <w:right w:val="single" w:sz="8" w:space="0" w:color="auto"/>
            </w:tcBorders>
            <w:shd w:val="clear" w:color="auto" w:fill="auto"/>
            <w:noWrap/>
            <w:vAlign w:val="center"/>
            <w:hideMark/>
          </w:tcPr>
          <w:p w14:paraId="6761422F"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281.01</w:t>
            </w:r>
          </w:p>
        </w:tc>
        <w:tc>
          <w:tcPr>
            <w:tcW w:w="666" w:type="pct"/>
            <w:tcBorders>
              <w:top w:val="nil"/>
              <w:left w:val="nil"/>
              <w:bottom w:val="single" w:sz="8" w:space="0" w:color="auto"/>
              <w:right w:val="single" w:sz="8" w:space="0" w:color="auto"/>
            </w:tcBorders>
            <w:shd w:val="clear" w:color="auto" w:fill="auto"/>
            <w:noWrap/>
            <w:vAlign w:val="center"/>
            <w:hideMark/>
          </w:tcPr>
          <w:p w14:paraId="1934F745"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78.52</w:t>
            </w:r>
          </w:p>
        </w:tc>
      </w:tr>
      <w:tr w:rsidR="001912B8" w:rsidRPr="0023461C" w14:paraId="44E2B371"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0AE4C312"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Petén</w:t>
            </w:r>
          </w:p>
        </w:tc>
        <w:tc>
          <w:tcPr>
            <w:tcW w:w="594" w:type="pct"/>
            <w:tcBorders>
              <w:top w:val="nil"/>
              <w:left w:val="nil"/>
              <w:bottom w:val="single" w:sz="8" w:space="0" w:color="auto"/>
              <w:right w:val="single" w:sz="8" w:space="0" w:color="auto"/>
            </w:tcBorders>
            <w:shd w:val="clear" w:color="auto" w:fill="auto"/>
            <w:noWrap/>
            <w:vAlign w:val="center"/>
            <w:hideMark/>
          </w:tcPr>
          <w:p w14:paraId="051C3813"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420</w:t>
            </w:r>
          </w:p>
        </w:tc>
        <w:tc>
          <w:tcPr>
            <w:tcW w:w="542" w:type="pct"/>
            <w:tcBorders>
              <w:top w:val="nil"/>
              <w:left w:val="nil"/>
              <w:bottom w:val="single" w:sz="8" w:space="0" w:color="auto"/>
              <w:right w:val="single" w:sz="8" w:space="0" w:color="auto"/>
            </w:tcBorders>
            <w:shd w:val="clear" w:color="auto" w:fill="auto"/>
            <w:noWrap/>
            <w:vAlign w:val="center"/>
            <w:hideMark/>
          </w:tcPr>
          <w:p w14:paraId="269FDCAA"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473.06</w:t>
            </w:r>
          </w:p>
        </w:tc>
        <w:tc>
          <w:tcPr>
            <w:tcW w:w="643" w:type="pct"/>
            <w:tcBorders>
              <w:top w:val="nil"/>
              <w:left w:val="nil"/>
              <w:bottom w:val="single" w:sz="8" w:space="0" w:color="auto"/>
              <w:right w:val="single" w:sz="8" w:space="0" w:color="auto"/>
            </w:tcBorders>
            <w:shd w:val="clear" w:color="auto" w:fill="auto"/>
            <w:noWrap/>
            <w:vAlign w:val="center"/>
            <w:hideMark/>
          </w:tcPr>
          <w:p w14:paraId="5DE11C3B"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4.47</w:t>
            </w:r>
          </w:p>
        </w:tc>
        <w:tc>
          <w:tcPr>
            <w:tcW w:w="563" w:type="pct"/>
            <w:tcBorders>
              <w:top w:val="nil"/>
              <w:left w:val="nil"/>
              <w:bottom w:val="single" w:sz="8" w:space="0" w:color="auto"/>
              <w:right w:val="single" w:sz="8" w:space="0" w:color="auto"/>
            </w:tcBorders>
            <w:shd w:val="clear" w:color="auto" w:fill="auto"/>
            <w:noWrap/>
            <w:vAlign w:val="center"/>
            <w:hideMark/>
          </w:tcPr>
          <w:p w14:paraId="2004DF4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377</w:t>
            </w:r>
          </w:p>
        </w:tc>
        <w:tc>
          <w:tcPr>
            <w:tcW w:w="562" w:type="pct"/>
            <w:tcBorders>
              <w:top w:val="nil"/>
              <w:left w:val="nil"/>
              <w:bottom w:val="single" w:sz="8" w:space="0" w:color="auto"/>
              <w:right w:val="single" w:sz="8" w:space="0" w:color="auto"/>
            </w:tcBorders>
            <w:shd w:val="clear" w:color="auto" w:fill="auto"/>
            <w:noWrap/>
            <w:vAlign w:val="center"/>
            <w:hideMark/>
          </w:tcPr>
          <w:p w14:paraId="75F7349B"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281.57</w:t>
            </w:r>
          </w:p>
        </w:tc>
        <w:tc>
          <w:tcPr>
            <w:tcW w:w="666" w:type="pct"/>
            <w:tcBorders>
              <w:top w:val="nil"/>
              <w:left w:val="nil"/>
              <w:bottom w:val="single" w:sz="8" w:space="0" w:color="auto"/>
              <w:right w:val="single" w:sz="8" w:space="0" w:color="auto"/>
            </w:tcBorders>
            <w:shd w:val="clear" w:color="auto" w:fill="auto"/>
            <w:noWrap/>
            <w:vAlign w:val="center"/>
            <w:hideMark/>
          </w:tcPr>
          <w:p w14:paraId="27AA21E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59.52</w:t>
            </w:r>
          </w:p>
        </w:tc>
      </w:tr>
      <w:tr w:rsidR="001912B8" w:rsidRPr="0023461C" w14:paraId="3C1D443D"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80AD5CF"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Quetzaltenango</w:t>
            </w:r>
          </w:p>
        </w:tc>
        <w:tc>
          <w:tcPr>
            <w:tcW w:w="594" w:type="pct"/>
            <w:tcBorders>
              <w:top w:val="nil"/>
              <w:left w:val="nil"/>
              <w:bottom w:val="single" w:sz="8" w:space="0" w:color="auto"/>
              <w:right w:val="single" w:sz="8" w:space="0" w:color="auto"/>
            </w:tcBorders>
            <w:shd w:val="clear" w:color="auto" w:fill="auto"/>
            <w:noWrap/>
            <w:vAlign w:val="center"/>
            <w:hideMark/>
          </w:tcPr>
          <w:p w14:paraId="62B94548"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426</w:t>
            </w:r>
          </w:p>
        </w:tc>
        <w:tc>
          <w:tcPr>
            <w:tcW w:w="542" w:type="pct"/>
            <w:tcBorders>
              <w:top w:val="nil"/>
              <w:left w:val="nil"/>
              <w:bottom w:val="single" w:sz="8" w:space="0" w:color="auto"/>
              <w:right w:val="single" w:sz="8" w:space="0" w:color="auto"/>
            </w:tcBorders>
            <w:shd w:val="clear" w:color="auto" w:fill="auto"/>
            <w:noWrap/>
            <w:vAlign w:val="center"/>
            <w:hideMark/>
          </w:tcPr>
          <w:p w14:paraId="78A3C840"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516.93</w:t>
            </w:r>
          </w:p>
        </w:tc>
        <w:tc>
          <w:tcPr>
            <w:tcW w:w="643" w:type="pct"/>
            <w:tcBorders>
              <w:top w:val="nil"/>
              <w:left w:val="nil"/>
              <w:bottom w:val="single" w:sz="8" w:space="0" w:color="auto"/>
              <w:right w:val="single" w:sz="8" w:space="0" w:color="auto"/>
            </w:tcBorders>
            <w:shd w:val="clear" w:color="auto" w:fill="auto"/>
            <w:noWrap/>
            <w:vAlign w:val="center"/>
            <w:hideMark/>
          </w:tcPr>
          <w:p w14:paraId="3E462B1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4.89</w:t>
            </w:r>
          </w:p>
        </w:tc>
        <w:tc>
          <w:tcPr>
            <w:tcW w:w="563" w:type="pct"/>
            <w:tcBorders>
              <w:top w:val="nil"/>
              <w:left w:val="nil"/>
              <w:bottom w:val="single" w:sz="8" w:space="0" w:color="auto"/>
              <w:right w:val="single" w:sz="8" w:space="0" w:color="auto"/>
            </w:tcBorders>
            <w:shd w:val="clear" w:color="auto" w:fill="auto"/>
            <w:noWrap/>
            <w:vAlign w:val="center"/>
            <w:hideMark/>
          </w:tcPr>
          <w:p w14:paraId="24EF3A11"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366</w:t>
            </w:r>
          </w:p>
        </w:tc>
        <w:tc>
          <w:tcPr>
            <w:tcW w:w="562" w:type="pct"/>
            <w:tcBorders>
              <w:top w:val="nil"/>
              <w:left w:val="nil"/>
              <w:bottom w:val="single" w:sz="8" w:space="0" w:color="auto"/>
              <w:right w:val="single" w:sz="8" w:space="0" w:color="auto"/>
            </w:tcBorders>
            <w:shd w:val="clear" w:color="auto" w:fill="auto"/>
            <w:noWrap/>
            <w:vAlign w:val="center"/>
            <w:hideMark/>
          </w:tcPr>
          <w:p w14:paraId="08936091"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273.25</w:t>
            </w:r>
          </w:p>
        </w:tc>
        <w:tc>
          <w:tcPr>
            <w:tcW w:w="666" w:type="pct"/>
            <w:tcBorders>
              <w:top w:val="nil"/>
              <w:left w:val="nil"/>
              <w:bottom w:val="single" w:sz="8" w:space="0" w:color="auto"/>
              <w:right w:val="single" w:sz="8" w:space="0" w:color="auto"/>
            </w:tcBorders>
            <w:shd w:val="clear" w:color="auto" w:fill="auto"/>
            <w:noWrap/>
            <w:vAlign w:val="center"/>
            <w:hideMark/>
          </w:tcPr>
          <w:p w14:paraId="18EC4B9B"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52.86</w:t>
            </w:r>
          </w:p>
        </w:tc>
      </w:tr>
      <w:tr w:rsidR="001912B8" w:rsidRPr="0023461C" w14:paraId="0CA93D4D"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9CFA436"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Quiché</w:t>
            </w:r>
          </w:p>
        </w:tc>
        <w:tc>
          <w:tcPr>
            <w:tcW w:w="594" w:type="pct"/>
            <w:tcBorders>
              <w:top w:val="nil"/>
              <w:left w:val="nil"/>
              <w:bottom w:val="single" w:sz="8" w:space="0" w:color="auto"/>
              <w:right w:val="single" w:sz="8" w:space="0" w:color="auto"/>
            </w:tcBorders>
            <w:shd w:val="clear" w:color="auto" w:fill="auto"/>
            <w:noWrap/>
            <w:vAlign w:val="center"/>
            <w:hideMark/>
          </w:tcPr>
          <w:p w14:paraId="3DDB9378"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448</w:t>
            </w:r>
          </w:p>
        </w:tc>
        <w:tc>
          <w:tcPr>
            <w:tcW w:w="542" w:type="pct"/>
            <w:tcBorders>
              <w:top w:val="nil"/>
              <w:left w:val="nil"/>
              <w:bottom w:val="single" w:sz="8" w:space="0" w:color="auto"/>
              <w:right w:val="single" w:sz="8" w:space="0" w:color="auto"/>
            </w:tcBorders>
            <w:shd w:val="clear" w:color="auto" w:fill="auto"/>
            <w:noWrap/>
            <w:vAlign w:val="center"/>
            <w:hideMark/>
          </w:tcPr>
          <w:p w14:paraId="2BB532FE"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842.93</w:t>
            </w:r>
          </w:p>
        </w:tc>
        <w:tc>
          <w:tcPr>
            <w:tcW w:w="643" w:type="pct"/>
            <w:tcBorders>
              <w:top w:val="nil"/>
              <w:left w:val="nil"/>
              <w:bottom w:val="single" w:sz="8" w:space="0" w:color="auto"/>
              <w:right w:val="single" w:sz="8" w:space="0" w:color="auto"/>
            </w:tcBorders>
            <w:shd w:val="clear" w:color="auto" w:fill="auto"/>
            <w:noWrap/>
            <w:vAlign w:val="center"/>
            <w:hideMark/>
          </w:tcPr>
          <w:p w14:paraId="6172104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7.97</w:t>
            </w:r>
          </w:p>
        </w:tc>
        <w:tc>
          <w:tcPr>
            <w:tcW w:w="563" w:type="pct"/>
            <w:tcBorders>
              <w:top w:val="nil"/>
              <w:left w:val="nil"/>
              <w:bottom w:val="single" w:sz="8" w:space="0" w:color="auto"/>
              <w:right w:val="single" w:sz="8" w:space="0" w:color="auto"/>
            </w:tcBorders>
            <w:shd w:val="clear" w:color="auto" w:fill="auto"/>
            <w:noWrap/>
            <w:vAlign w:val="center"/>
            <w:hideMark/>
          </w:tcPr>
          <w:p w14:paraId="6FE7D4C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358</w:t>
            </w:r>
          </w:p>
        </w:tc>
        <w:tc>
          <w:tcPr>
            <w:tcW w:w="562" w:type="pct"/>
            <w:tcBorders>
              <w:top w:val="nil"/>
              <w:left w:val="nil"/>
              <w:bottom w:val="single" w:sz="8" w:space="0" w:color="auto"/>
              <w:right w:val="single" w:sz="8" w:space="0" w:color="auto"/>
            </w:tcBorders>
            <w:shd w:val="clear" w:color="auto" w:fill="auto"/>
            <w:noWrap/>
            <w:vAlign w:val="center"/>
            <w:hideMark/>
          </w:tcPr>
          <w:p w14:paraId="2BDBA839"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622.57</w:t>
            </w:r>
          </w:p>
        </w:tc>
        <w:tc>
          <w:tcPr>
            <w:tcW w:w="666" w:type="pct"/>
            <w:tcBorders>
              <w:top w:val="nil"/>
              <w:left w:val="nil"/>
              <w:bottom w:val="single" w:sz="8" w:space="0" w:color="auto"/>
              <w:right w:val="single" w:sz="8" w:space="0" w:color="auto"/>
            </w:tcBorders>
            <w:shd w:val="clear" w:color="auto" w:fill="auto"/>
            <w:noWrap/>
            <w:vAlign w:val="center"/>
            <w:hideMark/>
          </w:tcPr>
          <w:p w14:paraId="24D14DF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73.86</w:t>
            </w:r>
          </w:p>
        </w:tc>
      </w:tr>
      <w:tr w:rsidR="001912B8" w:rsidRPr="0023461C" w14:paraId="202A6A70"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53A15F67"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Retalhuleu</w:t>
            </w:r>
          </w:p>
        </w:tc>
        <w:tc>
          <w:tcPr>
            <w:tcW w:w="594" w:type="pct"/>
            <w:tcBorders>
              <w:top w:val="nil"/>
              <w:left w:val="nil"/>
              <w:bottom w:val="single" w:sz="8" w:space="0" w:color="auto"/>
              <w:right w:val="single" w:sz="8" w:space="0" w:color="auto"/>
            </w:tcBorders>
            <w:shd w:val="clear" w:color="auto" w:fill="auto"/>
            <w:noWrap/>
            <w:vAlign w:val="center"/>
            <w:hideMark/>
          </w:tcPr>
          <w:p w14:paraId="70D5E79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234</w:t>
            </w:r>
          </w:p>
        </w:tc>
        <w:tc>
          <w:tcPr>
            <w:tcW w:w="542" w:type="pct"/>
            <w:tcBorders>
              <w:top w:val="nil"/>
              <w:left w:val="nil"/>
              <w:bottom w:val="single" w:sz="8" w:space="0" w:color="auto"/>
              <w:right w:val="single" w:sz="8" w:space="0" w:color="auto"/>
            </w:tcBorders>
            <w:shd w:val="clear" w:color="auto" w:fill="auto"/>
            <w:noWrap/>
            <w:vAlign w:val="center"/>
            <w:hideMark/>
          </w:tcPr>
          <w:p w14:paraId="59230271"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231.01</w:t>
            </w:r>
          </w:p>
        </w:tc>
        <w:tc>
          <w:tcPr>
            <w:tcW w:w="643" w:type="pct"/>
            <w:tcBorders>
              <w:top w:val="nil"/>
              <w:left w:val="nil"/>
              <w:bottom w:val="single" w:sz="8" w:space="0" w:color="auto"/>
              <w:right w:val="single" w:sz="8" w:space="0" w:color="auto"/>
            </w:tcBorders>
            <w:shd w:val="clear" w:color="auto" w:fill="auto"/>
            <w:noWrap/>
            <w:vAlign w:val="center"/>
            <w:hideMark/>
          </w:tcPr>
          <w:p w14:paraId="2F21A0D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2.18</w:t>
            </w:r>
          </w:p>
        </w:tc>
        <w:tc>
          <w:tcPr>
            <w:tcW w:w="563" w:type="pct"/>
            <w:tcBorders>
              <w:top w:val="nil"/>
              <w:left w:val="nil"/>
              <w:bottom w:val="single" w:sz="8" w:space="0" w:color="auto"/>
              <w:right w:val="single" w:sz="8" w:space="0" w:color="auto"/>
            </w:tcBorders>
            <w:shd w:val="clear" w:color="auto" w:fill="auto"/>
            <w:noWrap/>
            <w:vAlign w:val="center"/>
            <w:hideMark/>
          </w:tcPr>
          <w:p w14:paraId="382502C5"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219</w:t>
            </w:r>
          </w:p>
        </w:tc>
        <w:tc>
          <w:tcPr>
            <w:tcW w:w="562" w:type="pct"/>
            <w:tcBorders>
              <w:top w:val="nil"/>
              <w:left w:val="nil"/>
              <w:bottom w:val="single" w:sz="8" w:space="0" w:color="auto"/>
              <w:right w:val="single" w:sz="8" w:space="0" w:color="auto"/>
            </w:tcBorders>
            <w:shd w:val="clear" w:color="auto" w:fill="auto"/>
            <w:noWrap/>
            <w:vAlign w:val="center"/>
            <w:hideMark/>
          </w:tcPr>
          <w:p w14:paraId="7EE81A27"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123.16</w:t>
            </w:r>
          </w:p>
        </w:tc>
        <w:tc>
          <w:tcPr>
            <w:tcW w:w="666" w:type="pct"/>
            <w:tcBorders>
              <w:top w:val="nil"/>
              <w:left w:val="nil"/>
              <w:bottom w:val="single" w:sz="8" w:space="0" w:color="auto"/>
              <w:right w:val="single" w:sz="8" w:space="0" w:color="auto"/>
            </w:tcBorders>
            <w:shd w:val="clear" w:color="auto" w:fill="auto"/>
            <w:noWrap/>
            <w:vAlign w:val="center"/>
            <w:hideMark/>
          </w:tcPr>
          <w:p w14:paraId="29403B2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53.32</w:t>
            </w:r>
          </w:p>
        </w:tc>
      </w:tr>
      <w:tr w:rsidR="001912B8" w:rsidRPr="0023461C" w14:paraId="2850D7A7"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16421CA9"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Sacatepéquez</w:t>
            </w:r>
          </w:p>
        </w:tc>
        <w:tc>
          <w:tcPr>
            <w:tcW w:w="594" w:type="pct"/>
            <w:tcBorders>
              <w:top w:val="nil"/>
              <w:left w:val="nil"/>
              <w:bottom w:val="single" w:sz="8" w:space="0" w:color="auto"/>
              <w:right w:val="single" w:sz="8" w:space="0" w:color="auto"/>
            </w:tcBorders>
            <w:shd w:val="clear" w:color="auto" w:fill="auto"/>
            <w:noWrap/>
            <w:vAlign w:val="center"/>
            <w:hideMark/>
          </w:tcPr>
          <w:p w14:paraId="01524E4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215</w:t>
            </w:r>
          </w:p>
        </w:tc>
        <w:tc>
          <w:tcPr>
            <w:tcW w:w="542" w:type="pct"/>
            <w:tcBorders>
              <w:top w:val="nil"/>
              <w:left w:val="nil"/>
              <w:bottom w:val="single" w:sz="8" w:space="0" w:color="auto"/>
              <w:right w:val="single" w:sz="8" w:space="0" w:color="auto"/>
            </w:tcBorders>
            <w:shd w:val="clear" w:color="auto" w:fill="auto"/>
            <w:noWrap/>
            <w:vAlign w:val="center"/>
            <w:hideMark/>
          </w:tcPr>
          <w:p w14:paraId="4D92775A"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265.86</w:t>
            </w:r>
          </w:p>
        </w:tc>
        <w:tc>
          <w:tcPr>
            <w:tcW w:w="643" w:type="pct"/>
            <w:tcBorders>
              <w:top w:val="nil"/>
              <w:left w:val="nil"/>
              <w:bottom w:val="single" w:sz="8" w:space="0" w:color="auto"/>
              <w:right w:val="single" w:sz="8" w:space="0" w:color="auto"/>
            </w:tcBorders>
            <w:shd w:val="clear" w:color="auto" w:fill="auto"/>
            <w:noWrap/>
            <w:vAlign w:val="center"/>
            <w:hideMark/>
          </w:tcPr>
          <w:p w14:paraId="06F984F4"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2.51</w:t>
            </w:r>
          </w:p>
        </w:tc>
        <w:tc>
          <w:tcPr>
            <w:tcW w:w="563" w:type="pct"/>
            <w:tcBorders>
              <w:top w:val="nil"/>
              <w:left w:val="nil"/>
              <w:bottom w:val="single" w:sz="8" w:space="0" w:color="auto"/>
              <w:right w:val="single" w:sz="8" w:space="0" w:color="auto"/>
            </w:tcBorders>
            <w:shd w:val="clear" w:color="auto" w:fill="auto"/>
            <w:noWrap/>
            <w:vAlign w:val="center"/>
            <w:hideMark/>
          </w:tcPr>
          <w:p w14:paraId="2D6E27A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202</w:t>
            </w:r>
          </w:p>
        </w:tc>
        <w:tc>
          <w:tcPr>
            <w:tcW w:w="562" w:type="pct"/>
            <w:tcBorders>
              <w:top w:val="nil"/>
              <w:left w:val="nil"/>
              <w:bottom w:val="single" w:sz="8" w:space="0" w:color="auto"/>
              <w:right w:val="single" w:sz="8" w:space="0" w:color="auto"/>
            </w:tcBorders>
            <w:shd w:val="clear" w:color="auto" w:fill="auto"/>
            <w:noWrap/>
            <w:vAlign w:val="center"/>
            <w:hideMark/>
          </w:tcPr>
          <w:p w14:paraId="75F34505"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128.32</w:t>
            </w:r>
          </w:p>
        </w:tc>
        <w:tc>
          <w:tcPr>
            <w:tcW w:w="666" w:type="pct"/>
            <w:tcBorders>
              <w:top w:val="nil"/>
              <w:left w:val="nil"/>
              <w:bottom w:val="single" w:sz="8" w:space="0" w:color="auto"/>
              <w:right w:val="single" w:sz="8" w:space="0" w:color="auto"/>
            </w:tcBorders>
            <w:shd w:val="clear" w:color="auto" w:fill="auto"/>
            <w:noWrap/>
            <w:vAlign w:val="center"/>
            <w:hideMark/>
          </w:tcPr>
          <w:p w14:paraId="10ABC27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48.26</w:t>
            </w:r>
          </w:p>
        </w:tc>
      </w:tr>
      <w:tr w:rsidR="001912B8" w:rsidRPr="0023461C" w14:paraId="0F76E7A7"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06DFBE2"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San Marcos</w:t>
            </w:r>
          </w:p>
        </w:tc>
        <w:tc>
          <w:tcPr>
            <w:tcW w:w="594" w:type="pct"/>
            <w:tcBorders>
              <w:top w:val="nil"/>
              <w:left w:val="nil"/>
              <w:bottom w:val="single" w:sz="8" w:space="0" w:color="auto"/>
              <w:right w:val="single" w:sz="8" w:space="0" w:color="auto"/>
            </w:tcBorders>
            <w:shd w:val="clear" w:color="auto" w:fill="auto"/>
            <w:noWrap/>
            <w:vAlign w:val="center"/>
            <w:hideMark/>
          </w:tcPr>
          <w:p w14:paraId="5664DB4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553</w:t>
            </w:r>
          </w:p>
        </w:tc>
        <w:tc>
          <w:tcPr>
            <w:tcW w:w="542" w:type="pct"/>
            <w:tcBorders>
              <w:top w:val="nil"/>
              <w:left w:val="nil"/>
              <w:bottom w:val="single" w:sz="8" w:space="0" w:color="auto"/>
              <w:right w:val="single" w:sz="8" w:space="0" w:color="auto"/>
            </w:tcBorders>
            <w:shd w:val="clear" w:color="auto" w:fill="auto"/>
            <w:noWrap/>
            <w:vAlign w:val="center"/>
            <w:hideMark/>
          </w:tcPr>
          <w:p w14:paraId="763C1165"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778.49</w:t>
            </w:r>
          </w:p>
        </w:tc>
        <w:tc>
          <w:tcPr>
            <w:tcW w:w="643" w:type="pct"/>
            <w:tcBorders>
              <w:top w:val="nil"/>
              <w:left w:val="nil"/>
              <w:bottom w:val="single" w:sz="8" w:space="0" w:color="auto"/>
              <w:right w:val="single" w:sz="8" w:space="0" w:color="auto"/>
            </w:tcBorders>
            <w:shd w:val="clear" w:color="auto" w:fill="auto"/>
            <w:noWrap/>
            <w:vAlign w:val="center"/>
            <w:hideMark/>
          </w:tcPr>
          <w:p w14:paraId="79744626"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7.36</w:t>
            </w:r>
          </w:p>
        </w:tc>
        <w:tc>
          <w:tcPr>
            <w:tcW w:w="563" w:type="pct"/>
            <w:tcBorders>
              <w:top w:val="nil"/>
              <w:left w:val="nil"/>
              <w:bottom w:val="single" w:sz="8" w:space="0" w:color="auto"/>
              <w:right w:val="single" w:sz="8" w:space="0" w:color="auto"/>
            </w:tcBorders>
            <w:shd w:val="clear" w:color="auto" w:fill="auto"/>
            <w:noWrap/>
            <w:vAlign w:val="center"/>
            <w:hideMark/>
          </w:tcPr>
          <w:p w14:paraId="7CB426B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466</w:t>
            </w:r>
          </w:p>
        </w:tc>
        <w:tc>
          <w:tcPr>
            <w:tcW w:w="562" w:type="pct"/>
            <w:tcBorders>
              <w:top w:val="nil"/>
              <w:left w:val="nil"/>
              <w:bottom w:val="single" w:sz="8" w:space="0" w:color="auto"/>
              <w:right w:val="single" w:sz="8" w:space="0" w:color="auto"/>
            </w:tcBorders>
            <w:shd w:val="clear" w:color="auto" w:fill="auto"/>
            <w:noWrap/>
            <w:vAlign w:val="center"/>
            <w:hideMark/>
          </w:tcPr>
          <w:p w14:paraId="263F72D6"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498.51</w:t>
            </w:r>
          </w:p>
        </w:tc>
        <w:tc>
          <w:tcPr>
            <w:tcW w:w="666" w:type="pct"/>
            <w:tcBorders>
              <w:top w:val="nil"/>
              <w:left w:val="nil"/>
              <w:bottom w:val="single" w:sz="8" w:space="0" w:color="auto"/>
              <w:right w:val="single" w:sz="8" w:space="0" w:color="auto"/>
            </w:tcBorders>
            <w:shd w:val="clear" w:color="auto" w:fill="auto"/>
            <w:noWrap/>
            <w:vAlign w:val="center"/>
            <w:hideMark/>
          </w:tcPr>
          <w:p w14:paraId="6B25428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64.04</w:t>
            </w:r>
          </w:p>
        </w:tc>
      </w:tr>
      <w:tr w:rsidR="001912B8" w:rsidRPr="0023461C" w14:paraId="3F7433EE"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5FA1AFA2"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Santa Rosa</w:t>
            </w:r>
          </w:p>
        </w:tc>
        <w:tc>
          <w:tcPr>
            <w:tcW w:w="594" w:type="pct"/>
            <w:tcBorders>
              <w:top w:val="nil"/>
              <w:left w:val="nil"/>
              <w:bottom w:val="single" w:sz="8" w:space="0" w:color="auto"/>
              <w:right w:val="single" w:sz="8" w:space="0" w:color="auto"/>
            </w:tcBorders>
            <w:shd w:val="clear" w:color="auto" w:fill="auto"/>
            <w:noWrap/>
            <w:vAlign w:val="center"/>
            <w:hideMark/>
          </w:tcPr>
          <w:p w14:paraId="58DBBC0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202</w:t>
            </w:r>
          </w:p>
        </w:tc>
        <w:tc>
          <w:tcPr>
            <w:tcW w:w="542" w:type="pct"/>
            <w:tcBorders>
              <w:top w:val="nil"/>
              <w:left w:val="nil"/>
              <w:bottom w:val="single" w:sz="8" w:space="0" w:color="auto"/>
              <w:right w:val="single" w:sz="8" w:space="0" w:color="auto"/>
            </w:tcBorders>
            <w:shd w:val="clear" w:color="auto" w:fill="auto"/>
            <w:noWrap/>
            <w:vAlign w:val="center"/>
            <w:hideMark/>
          </w:tcPr>
          <w:p w14:paraId="00C8709F"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216.53</w:t>
            </w:r>
          </w:p>
        </w:tc>
        <w:tc>
          <w:tcPr>
            <w:tcW w:w="643" w:type="pct"/>
            <w:tcBorders>
              <w:top w:val="nil"/>
              <w:left w:val="nil"/>
              <w:bottom w:val="single" w:sz="8" w:space="0" w:color="auto"/>
              <w:right w:val="single" w:sz="8" w:space="0" w:color="auto"/>
            </w:tcBorders>
            <w:shd w:val="clear" w:color="auto" w:fill="auto"/>
            <w:noWrap/>
            <w:vAlign w:val="center"/>
            <w:hideMark/>
          </w:tcPr>
          <w:p w14:paraId="249539B6"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2.05</w:t>
            </w:r>
          </w:p>
        </w:tc>
        <w:tc>
          <w:tcPr>
            <w:tcW w:w="563" w:type="pct"/>
            <w:tcBorders>
              <w:top w:val="nil"/>
              <w:left w:val="nil"/>
              <w:bottom w:val="single" w:sz="8" w:space="0" w:color="auto"/>
              <w:right w:val="single" w:sz="8" w:space="0" w:color="auto"/>
            </w:tcBorders>
            <w:shd w:val="clear" w:color="auto" w:fill="auto"/>
            <w:noWrap/>
            <w:vAlign w:val="center"/>
            <w:hideMark/>
          </w:tcPr>
          <w:p w14:paraId="0BD3CC9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188</w:t>
            </w:r>
          </w:p>
        </w:tc>
        <w:tc>
          <w:tcPr>
            <w:tcW w:w="562" w:type="pct"/>
            <w:tcBorders>
              <w:top w:val="nil"/>
              <w:left w:val="nil"/>
              <w:bottom w:val="single" w:sz="8" w:space="0" w:color="auto"/>
              <w:right w:val="single" w:sz="8" w:space="0" w:color="auto"/>
            </w:tcBorders>
            <w:shd w:val="clear" w:color="auto" w:fill="auto"/>
            <w:noWrap/>
            <w:vAlign w:val="center"/>
            <w:hideMark/>
          </w:tcPr>
          <w:p w14:paraId="575BA6A9"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137.51</w:t>
            </w:r>
          </w:p>
        </w:tc>
        <w:tc>
          <w:tcPr>
            <w:tcW w:w="666" w:type="pct"/>
            <w:tcBorders>
              <w:top w:val="nil"/>
              <w:left w:val="nil"/>
              <w:bottom w:val="single" w:sz="8" w:space="0" w:color="auto"/>
              <w:right w:val="single" w:sz="8" w:space="0" w:color="auto"/>
            </w:tcBorders>
            <w:shd w:val="clear" w:color="auto" w:fill="auto"/>
            <w:noWrap/>
            <w:vAlign w:val="center"/>
            <w:hideMark/>
          </w:tcPr>
          <w:p w14:paraId="72158AA1"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63.50</w:t>
            </w:r>
          </w:p>
        </w:tc>
      </w:tr>
      <w:tr w:rsidR="001912B8" w:rsidRPr="0023461C" w14:paraId="6399916A"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67F90B99"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Servicios en el exterior</w:t>
            </w:r>
          </w:p>
        </w:tc>
        <w:tc>
          <w:tcPr>
            <w:tcW w:w="594" w:type="pct"/>
            <w:tcBorders>
              <w:top w:val="nil"/>
              <w:left w:val="nil"/>
              <w:bottom w:val="single" w:sz="8" w:space="0" w:color="auto"/>
              <w:right w:val="single" w:sz="8" w:space="0" w:color="auto"/>
            </w:tcBorders>
            <w:shd w:val="clear" w:color="auto" w:fill="auto"/>
            <w:noWrap/>
            <w:vAlign w:val="center"/>
            <w:hideMark/>
          </w:tcPr>
          <w:p w14:paraId="583EDA2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w:t>
            </w:r>
          </w:p>
        </w:tc>
        <w:tc>
          <w:tcPr>
            <w:tcW w:w="542" w:type="pct"/>
            <w:tcBorders>
              <w:top w:val="nil"/>
              <w:left w:val="nil"/>
              <w:bottom w:val="single" w:sz="8" w:space="0" w:color="auto"/>
              <w:right w:val="single" w:sz="8" w:space="0" w:color="auto"/>
            </w:tcBorders>
            <w:shd w:val="clear" w:color="auto" w:fill="auto"/>
            <w:noWrap/>
            <w:vAlign w:val="center"/>
            <w:hideMark/>
          </w:tcPr>
          <w:p w14:paraId="7E42ECE4"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0.73</w:t>
            </w:r>
          </w:p>
        </w:tc>
        <w:tc>
          <w:tcPr>
            <w:tcW w:w="643" w:type="pct"/>
            <w:tcBorders>
              <w:top w:val="nil"/>
              <w:left w:val="nil"/>
              <w:bottom w:val="single" w:sz="8" w:space="0" w:color="auto"/>
              <w:right w:val="single" w:sz="8" w:space="0" w:color="auto"/>
            </w:tcBorders>
            <w:shd w:val="clear" w:color="auto" w:fill="auto"/>
            <w:noWrap/>
            <w:vAlign w:val="center"/>
            <w:hideMark/>
          </w:tcPr>
          <w:p w14:paraId="6886DCE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0.01</w:t>
            </w:r>
          </w:p>
        </w:tc>
        <w:tc>
          <w:tcPr>
            <w:tcW w:w="563" w:type="pct"/>
            <w:tcBorders>
              <w:top w:val="nil"/>
              <w:left w:val="nil"/>
              <w:bottom w:val="single" w:sz="8" w:space="0" w:color="auto"/>
              <w:right w:val="single" w:sz="8" w:space="0" w:color="auto"/>
            </w:tcBorders>
            <w:shd w:val="clear" w:color="auto" w:fill="auto"/>
            <w:noWrap/>
            <w:vAlign w:val="center"/>
            <w:hideMark/>
          </w:tcPr>
          <w:p w14:paraId="18D5E10A"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w:t>
            </w:r>
          </w:p>
        </w:tc>
        <w:tc>
          <w:tcPr>
            <w:tcW w:w="562" w:type="pct"/>
            <w:tcBorders>
              <w:top w:val="nil"/>
              <w:left w:val="nil"/>
              <w:bottom w:val="single" w:sz="8" w:space="0" w:color="auto"/>
              <w:right w:val="single" w:sz="8" w:space="0" w:color="auto"/>
            </w:tcBorders>
            <w:shd w:val="clear" w:color="auto" w:fill="auto"/>
            <w:noWrap/>
            <w:vAlign w:val="center"/>
            <w:hideMark/>
          </w:tcPr>
          <w:p w14:paraId="602702EA"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0.73</w:t>
            </w:r>
          </w:p>
        </w:tc>
        <w:tc>
          <w:tcPr>
            <w:tcW w:w="666" w:type="pct"/>
            <w:tcBorders>
              <w:top w:val="nil"/>
              <w:left w:val="nil"/>
              <w:bottom w:val="single" w:sz="8" w:space="0" w:color="auto"/>
              <w:right w:val="single" w:sz="8" w:space="0" w:color="auto"/>
            </w:tcBorders>
            <w:shd w:val="clear" w:color="auto" w:fill="auto"/>
            <w:noWrap/>
            <w:vAlign w:val="center"/>
            <w:hideMark/>
          </w:tcPr>
          <w:p w14:paraId="53A7B36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100.00</w:t>
            </w:r>
          </w:p>
        </w:tc>
      </w:tr>
      <w:tr w:rsidR="001912B8" w:rsidRPr="0023461C" w14:paraId="4D1F7661"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156C6F0B"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Sololá</w:t>
            </w:r>
          </w:p>
        </w:tc>
        <w:tc>
          <w:tcPr>
            <w:tcW w:w="594" w:type="pct"/>
            <w:tcBorders>
              <w:top w:val="nil"/>
              <w:left w:val="nil"/>
              <w:bottom w:val="single" w:sz="8" w:space="0" w:color="auto"/>
              <w:right w:val="single" w:sz="8" w:space="0" w:color="auto"/>
            </w:tcBorders>
            <w:shd w:val="clear" w:color="auto" w:fill="auto"/>
            <w:noWrap/>
            <w:vAlign w:val="center"/>
            <w:hideMark/>
          </w:tcPr>
          <w:p w14:paraId="7BECC32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254</w:t>
            </w:r>
          </w:p>
        </w:tc>
        <w:tc>
          <w:tcPr>
            <w:tcW w:w="542" w:type="pct"/>
            <w:tcBorders>
              <w:top w:val="nil"/>
              <w:left w:val="nil"/>
              <w:bottom w:val="single" w:sz="8" w:space="0" w:color="auto"/>
              <w:right w:val="single" w:sz="8" w:space="0" w:color="auto"/>
            </w:tcBorders>
            <w:shd w:val="clear" w:color="auto" w:fill="auto"/>
            <w:noWrap/>
            <w:vAlign w:val="center"/>
            <w:hideMark/>
          </w:tcPr>
          <w:p w14:paraId="45086871"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199.05</w:t>
            </w:r>
          </w:p>
        </w:tc>
        <w:tc>
          <w:tcPr>
            <w:tcW w:w="643" w:type="pct"/>
            <w:tcBorders>
              <w:top w:val="nil"/>
              <w:left w:val="nil"/>
              <w:bottom w:val="single" w:sz="8" w:space="0" w:color="auto"/>
              <w:right w:val="single" w:sz="8" w:space="0" w:color="auto"/>
            </w:tcBorders>
            <w:shd w:val="clear" w:color="auto" w:fill="auto"/>
            <w:noWrap/>
            <w:vAlign w:val="center"/>
            <w:hideMark/>
          </w:tcPr>
          <w:p w14:paraId="6E9BA1D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1.88</w:t>
            </w:r>
          </w:p>
        </w:tc>
        <w:tc>
          <w:tcPr>
            <w:tcW w:w="563" w:type="pct"/>
            <w:tcBorders>
              <w:top w:val="nil"/>
              <w:left w:val="nil"/>
              <w:bottom w:val="single" w:sz="8" w:space="0" w:color="auto"/>
              <w:right w:val="single" w:sz="8" w:space="0" w:color="auto"/>
            </w:tcBorders>
            <w:shd w:val="clear" w:color="auto" w:fill="auto"/>
            <w:noWrap/>
            <w:vAlign w:val="center"/>
            <w:hideMark/>
          </w:tcPr>
          <w:p w14:paraId="639BEF45"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225</w:t>
            </w:r>
          </w:p>
        </w:tc>
        <w:tc>
          <w:tcPr>
            <w:tcW w:w="562" w:type="pct"/>
            <w:tcBorders>
              <w:top w:val="nil"/>
              <w:left w:val="nil"/>
              <w:bottom w:val="single" w:sz="8" w:space="0" w:color="auto"/>
              <w:right w:val="single" w:sz="8" w:space="0" w:color="auto"/>
            </w:tcBorders>
            <w:shd w:val="clear" w:color="auto" w:fill="auto"/>
            <w:noWrap/>
            <w:vAlign w:val="center"/>
            <w:hideMark/>
          </w:tcPr>
          <w:p w14:paraId="70371F2D"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152.99</w:t>
            </w:r>
          </w:p>
        </w:tc>
        <w:tc>
          <w:tcPr>
            <w:tcW w:w="666" w:type="pct"/>
            <w:tcBorders>
              <w:top w:val="nil"/>
              <w:left w:val="nil"/>
              <w:bottom w:val="single" w:sz="8" w:space="0" w:color="auto"/>
              <w:right w:val="single" w:sz="8" w:space="0" w:color="auto"/>
            </w:tcBorders>
            <w:shd w:val="clear" w:color="auto" w:fill="auto"/>
            <w:noWrap/>
            <w:vAlign w:val="center"/>
            <w:hideMark/>
          </w:tcPr>
          <w:p w14:paraId="0DB3FDE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76.86</w:t>
            </w:r>
          </w:p>
        </w:tc>
      </w:tr>
      <w:tr w:rsidR="001912B8" w:rsidRPr="0023461C" w14:paraId="336856C5" w14:textId="77777777" w:rsidTr="000810BD">
        <w:trPr>
          <w:trHeight w:val="229"/>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B0D58AE"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Suchitepéquez</w:t>
            </w:r>
          </w:p>
        </w:tc>
        <w:tc>
          <w:tcPr>
            <w:tcW w:w="594" w:type="pct"/>
            <w:tcBorders>
              <w:top w:val="nil"/>
              <w:left w:val="nil"/>
              <w:bottom w:val="single" w:sz="8" w:space="0" w:color="auto"/>
              <w:right w:val="single" w:sz="8" w:space="0" w:color="auto"/>
            </w:tcBorders>
            <w:shd w:val="clear" w:color="auto" w:fill="auto"/>
            <w:noWrap/>
            <w:vAlign w:val="center"/>
            <w:hideMark/>
          </w:tcPr>
          <w:p w14:paraId="5A0FE533"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316</w:t>
            </w:r>
          </w:p>
        </w:tc>
        <w:tc>
          <w:tcPr>
            <w:tcW w:w="542" w:type="pct"/>
            <w:tcBorders>
              <w:top w:val="nil"/>
              <w:left w:val="nil"/>
              <w:bottom w:val="single" w:sz="8" w:space="0" w:color="auto"/>
              <w:right w:val="single" w:sz="8" w:space="0" w:color="auto"/>
            </w:tcBorders>
            <w:shd w:val="clear" w:color="auto" w:fill="auto"/>
            <w:noWrap/>
            <w:vAlign w:val="center"/>
            <w:hideMark/>
          </w:tcPr>
          <w:p w14:paraId="2ED8B523"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279.44</w:t>
            </w:r>
          </w:p>
        </w:tc>
        <w:tc>
          <w:tcPr>
            <w:tcW w:w="643" w:type="pct"/>
            <w:tcBorders>
              <w:top w:val="nil"/>
              <w:left w:val="nil"/>
              <w:bottom w:val="single" w:sz="8" w:space="0" w:color="auto"/>
              <w:right w:val="single" w:sz="8" w:space="0" w:color="auto"/>
            </w:tcBorders>
            <w:shd w:val="clear" w:color="auto" w:fill="auto"/>
            <w:noWrap/>
            <w:vAlign w:val="center"/>
            <w:hideMark/>
          </w:tcPr>
          <w:p w14:paraId="4AA9D0D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2.64</w:t>
            </w:r>
          </w:p>
        </w:tc>
        <w:tc>
          <w:tcPr>
            <w:tcW w:w="563" w:type="pct"/>
            <w:tcBorders>
              <w:top w:val="nil"/>
              <w:left w:val="nil"/>
              <w:bottom w:val="single" w:sz="8" w:space="0" w:color="auto"/>
              <w:right w:val="single" w:sz="8" w:space="0" w:color="auto"/>
            </w:tcBorders>
            <w:shd w:val="clear" w:color="auto" w:fill="auto"/>
            <w:noWrap/>
            <w:vAlign w:val="center"/>
            <w:hideMark/>
          </w:tcPr>
          <w:p w14:paraId="6FBE7D4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282</w:t>
            </w:r>
          </w:p>
        </w:tc>
        <w:tc>
          <w:tcPr>
            <w:tcW w:w="562" w:type="pct"/>
            <w:tcBorders>
              <w:top w:val="nil"/>
              <w:left w:val="nil"/>
              <w:bottom w:val="single" w:sz="8" w:space="0" w:color="auto"/>
              <w:right w:val="single" w:sz="8" w:space="0" w:color="auto"/>
            </w:tcBorders>
            <w:shd w:val="clear" w:color="auto" w:fill="auto"/>
            <w:noWrap/>
            <w:vAlign w:val="center"/>
            <w:hideMark/>
          </w:tcPr>
          <w:p w14:paraId="79D8380C"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168.23</w:t>
            </w:r>
          </w:p>
        </w:tc>
        <w:tc>
          <w:tcPr>
            <w:tcW w:w="666" w:type="pct"/>
            <w:tcBorders>
              <w:top w:val="nil"/>
              <w:left w:val="nil"/>
              <w:bottom w:val="single" w:sz="8" w:space="0" w:color="auto"/>
              <w:right w:val="single" w:sz="8" w:space="0" w:color="auto"/>
            </w:tcBorders>
            <w:shd w:val="clear" w:color="auto" w:fill="auto"/>
            <w:noWrap/>
            <w:vAlign w:val="center"/>
            <w:hideMark/>
          </w:tcPr>
          <w:p w14:paraId="76EB13ED"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60.20</w:t>
            </w:r>
          </w:p>
        </w:tc>
      </w:tr>
      <w:tr w:rsidR="001912B8" w:rsidRPr="0023461C" w14:paraId="35A5F02B" w14:textId="77777777" w:rsidTr="00403F9C">
        <w:trPr>
          <w:trHeight w:val="315"/>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44D59E28"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Totonicapán</w:t>
            </w:r>
          </w:p>
        </w:tc>
        <w:tc>
          <w:tcPr>
            <w:tcW w:w="594" w:type="pct"/>
            <w:tcBorders>
              <w:top w:val="nil"/>
              <w:left w:val="nil"/>
              <w:bottom w:val="single" w:sz="8" w:space="0" w:color="auto"/>
              <w:right w:val="single" w:sz="8" w:space="0" w:color="auto"/>
            </w:tcBorders>
            <w:shd w:val="clear" w:color="auto" w:fill="auto"/>
            <w:noWrap/>
            <w:vAlign w:val="center"/>
            <w:hideMark/>
          </w:tcPr>
          <w:p w14:paraId="52212F2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261</w:t>
            </w:r>
          </w:p>
        </w:tc>
        <w:tc>
          <w:tcPr>
            <w:tcW w:w="542" w:type="pct"/>
            <w:tcBorders>
              <w:top w:val="nil"/>
              <w:left w:val="nil"/>
              <w:bottom w:val="single" w:sz="8" w:space="0" w:color="auto"/>
              <w:right w:val="single" w:sz="8" w:space="0" w:color="auto"/>
            </w:tcBorders>
            <w:shd w:val="clear" w:color="auto" w:fill="auto"/>
            <w:noWrap/>
            <w:vAlign w:val="center"/>
            <w:hideMark/>
          </w:tcPr>
          <w:p w14:paraId="5E1B0E6F"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232.24</w:t>
            </w:r>
          </w:p>
        </w:tc>
        <w:tc>
          <w:tcPr>
            <w:tcW w:w="643" w:type="pct"/>
            <w:tcBorders>
              <w:top w:val="nil"/>
              <w:left w:val="nil"/>
              <w:bottom w:val="single" w:sz="8" w:space="0" w:color="auto"/>
              <w:right w:val="single" w:sz="8" w:space="0" w:color="auto"/>
            </w:tcBorders>
            <w:shd w:val="clear" w:color="auto" w:fill="auto"/>
            <w:noWrap/>
            <w:vAlign w:val="center"/>
            <w:hideMark/>
          </w:tcPr>
          <w:p w14:paraId="4F05B0A9"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2.20</w:t>
            </w:r>
          </w:p>
        </w:tc>
        <w:tc>
          <w:tcPr>
            <w:tcW w:w="563" w:type="pct"/>
            <w:tcBorders>
              <w:top w:val="nil"/>
              <w:left w:val="nil"/>
              <w:bottom w:val="single" w:sz="8" w:space="0" w:color="auto"/>
              <w:right w:val="single" w:sz="8" w:space="0" w:color="auto"/>
            </w:tcBorders>
            <w:shd w:val="clear" w:color="auto" w:fill="auto"/>
            <w:noWrap/>
            <w:vAlign w:val="center"/>
            <w:hideMark/>
          </w:tcPr>
          <w:p w14:paraId="2857124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233</w:t>
            </w:r>
          </w:p>
        </w:tc>
        <w:tc>
          <w:tcPr>
            <w:tcW w:w="562" w:type="pct"/>
            <w:tcBorders>
              <w:top w:val="nil"/>
              <w:left w:val="nil"/>
              <w:bottom w:val="single" w:sz="8" w:space="0" w:color="auto"/>
              <w:right w:val="single" w:sz="8" w:space="0" w:color="auto"/>
            </w:tcBorders>
            <w:shd w:val="clear" w:color="auto" w:fill="auto"/>
            <w:noWrap/>
            <w:vAlign w:val="center"/>
            <w:hideMark/>
          </w:tcPr>
          <w:p w14:paraId="2F65AB5A"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104.47</w:t>
            </w:r>
          </w:p>
        </w:tc>
        <w:tc>
          <w:tcPr>
            <w:tcW w:w="666" w:type="pct"/>
            <w:tcBorders>
              <w:top w:val="nil"/>
              <w:left w:val="nil"/>
              <w:bottom w:val="single" w:sz="8" w:space="0" w:color="auto"/>
              <w:right w:val="single" w:sz="8" w:space="0" w:color="auto"/>
            </w:tcBorders>
            <w:shd w:val="clear" w:color="auto" w:fill="auto"/>
            <w:noWrap/>
            <w:vAlign w:val="center"/>
            <w:hideMark/>
          </w:tcPr>
          <w:p w14:paraId="6A6B68F2"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44.98</w:t>
            </w:r>
          </w:p>
        </w:tc>
      </w:tr>
      <w:tr w:rsidR="001912B8" w:rsidRPr="0023461C" w14:paraId="01F28BDB" w14:textId="77777777" w:rsidTr="000810BD">
        <w:trPr>
          <w:trHeight w:val="267"/>
        </w:trPr>
        <w:tc>
          <w:tcPr>
            <w:tcW w:w="1430" w:type="pct"/>
            <w:tcBorders>
              <w:top w:val="nil"/>
              <w:left w:val="single" w:sz="8" w:space="0" w:color="auto"/>
              <w:bottom w:val="single" w:sz="8" w:space="0" w:color="auto"/>
              <w:right w:val="single" w:sz="8" w:space="0" w:color="auto"/>
            </w:tcBorders>
            <w:shd w:val="clear" w:color="auto" w:fill="auto"/>
            <w:noWrap/>
            <w:vAlign w:val="center"/>
            <w:hideMark/>
          </w:tcPr>
          <w:p w14:paraId="39FB7CCF" w14:textId="77777777" w:rsidR="001912B8" w:rsidRPr="00CE3D5C" w:rsidRDefault="001912B8" w:rsidP="001912B8">
            <w:pPr>
              <w:spacing w:after="0" w:line="240" w:lineRule="auto"/>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Zacapa</w:t>
            </w:r>
          </w:p>
        </w:tc>
        <w:tc>
          <w:tcPr>
            <w:tcW w:w="594" w:type="pct"/>
            <w:tcBorders>
              <w:top w:val="nil"/>
              <w:left w:val="nil"/>
              <w:bottom w:val="single" w:sz="8" w:space="0" w:color="auto"/>
              <w:right w:val="single" w:sz="8" w:space="0" w:color="auto"/>
            </w:tcBorders>
            <w:shd w:val="clear" w:color="auto" w:fill="auto"/>
            <w:noWrap/>
            <w:vAlign w:val="center"/>
            <w:hideMark/>
          </w:tcPr>
          <w:p w14:paraId="7FEFED35"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242</w:t>
            </w:r>
          </w:p>
        </w:tc>
        <w:tc>
          <w:tcPr>
            <w:tcW w:w="542" w:type="pct"/>
            <w:tcBorders>
              <w:top w:val="nil"/>
              <w:left w:val="nil"/>
              <w:bottom w:val="single" w:sz="8" w:space="0" w:color="auto"/>
              <w:right w:val="single" w:sz="8" w:space="0" w:color="auto"/>
            </w:tcBorders>
            <w:shd w:val="clear" w:color="auto" w:fill="auto"/>
            <w:noWrap/>
            <w:vAlign w:val="center"/>
            <w:hideMark/>
          </w:tcPr>
          <w:p w14:paraId="326C0C8E"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311.10</w:t>
            </w:r>
          </w:p>
        </w:tc>
        <w:tc>
          <w:tcPr>
            <w:tcW w:w="643" w:type="pct"/>
            <w:tcBorders>
              <w:top w:val="nil"/>
              <w:left w:val="nil"/>
              <w:bottom w:val="single" w:sz="8" w:space="0" w:color="auto"/>
              <w:right w:val="single" w:sz="8" w:space="0" w:color="auto"/>
            </w:tcBorders>
            <w:shd w:val="clear" w:color="auto" w:fill="auto"/>
            <w:noWrap/>
            <w:vAlign w:val="center"/>
            <w:hideMark/>
          </w:tcPr>
          <w:p w14:paraId="762A78A0"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2.94</w:t>
            </w:r>
          </w:p>
        </w:tc>
        <w:tc>
          <w:tcPr>
            <w:tcW w:w="563" w:type="pct"/>
            <w:tcBorders>
              <w:top w:val="nil"/>
              <w:left w:val="nil"/>
              <w:bottom w:val="single" w:sz="8" w:space="0" w:color="auto"/>
              <w:right w:val="single" w:sz="8" w:space="0" w:color="auto"/>
            </w:tcBorders>
            <w:shd w:val="clear" w:color="auto" w:fill="auto"/>
            <w:noWrap/>
            <w:vAlign w:val="center"/>
            <w:hideMark/>
          </w:tcPr>
          <w:p w14:paraId="5662988C"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216</w:t>
            </w:r>
          </w:p>
        </w:tc>
        <w:tc>
          <w:tcPr>
            <w:tcW w:w="562" w:type="pct"/>
            <w:tcBorders>
              <w:top w:val="nil"/>
              <w:left w:val="nil"/>
              <w:bottom w:val="single" w:sz="8" w:space="0" w:color="auto"/>
              <w:right w:val="single" w:sz="8" w:space="0" w:color="auto"/>
            </w:tcBorders>
            <w:shd w:val="clear" w:color="auto" w:fill="auto"/>
            <w:noWrap/>
            <w:vAlign w:val="center"/>
            <w:hideMark/>
          </w:tcPr>
          <w:p w14:paraId="1F83079B" w14:textId="77777777" w:rsidR="001912B8" w:rsidRPr="00CE3D5C" w:rsidRDefault="001912B8" w:rsidP="001912B8">
            <w:pPr>
              <w:spacing w:after="0" w:line="240" w:lineRule="auto"/>
              <w:jc w:val="right"/>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151.13</w:t>
            </w:r>
          </w:p>
        </w:tc>
        <w:tc>
          <w:tcPr>
            <w:tcW w:w="666" w:type="pct"/>
            <w:tcBorders>
              <w:top w:val="nil"/>
              <w:left w:val="nil"/>
              <w:bottom w:val="single" w:sz="8" w:space="0" w:color="auto"/>
              <w:right w:val="single" w:sz="8" w:space="0" w:color="auto"/>
            </w:tcBorders>
            <w:shd w:val="clear" w:color="auto" w:fill="auto"/>
            <w:noWrap/>
            <w:vAlign w:val="center"/>
            <w:hideMark/>
          </w:tcPr>
          <w:p w14:paraId="00C7897F" w14:textId="77777777" w:rsidR="001912B8" w:rsidRPr="00CE3D5C" w:rsidRDefault="001912B8" w:rsidP="001912B8">
            <w:pPr>
              <w:spacing w:after="0" w:line="240" w:lineRule="auto"/>
              <w:jc w:val="center"/>
              <w:rPr>
                <w:rFonts w:ascii="Helvetica" w:eastAsia="Times New Roman" w:hAnsi="Helvetica" w:cs="Helvetica"/>
                <w:color w:val="000000"/>
                <w:sz w:val="18"/>
                <w:szCs w:val="18"/>
                <w:lang w:eastAsia="es-GT"/>
              </w:rPr>
            </w:pPr>
            <w:r w:rsidRPr="00CE3D5C">
              <w:rPr>
                <w:rFonts w:ascii="Helvetica" w:eastAsia="Times New Roman" w:hAnsi="Helvetica" w:cs="Helvetica"/>
                <w:color w:val="000000"/>
                <w:sz w:val="18"/>
                <w:szCs w:val="18"/>
                <w:lang w:eastAsia="es-GT"/>
              </w:rPr>
              <w:t>48.58</w:t>
            </w:r>
          </w:p>
        </w:tc>
      </w:tr>
      <w:tr w:rsidR="001912B8" w:rsidRPr="0023461C" w14:paraId="6297E1B8" w14:textId="77777777" w:rsidTr="007879C1">
        <w:trPr>
          <w:trHeight w:val="73"/>
        </w:trPr>
        <w:tc>
          <w:tcPr>
            <w:tcW w:w="1430" w:type="pct"/>
            <w:tcBorders>
              <w:top w:val="nil"/>
              <w:left w:val="single" w:sz="8" w:space="0" w:color="auto"/>
              <w:bottom w:val="single" w:sz="8" w:space="0" w:color="auto"/>
              <w:right w:val="single" w:sz="8" w:space="0" w:color="auto"/>
            </w:tcBorders>
            <w:shd w:val="clear" w:color="auto" w:fill="D9E2F3" w:themeFill="accent1" w:themeFillTint="33"/>
            <w:noWrap/>
            <w:vAlign w:val="center"/>
            <w:hideMark/>
          </w:tcPr>
          <w:p w14:paraId="50EC054F" w14:textId="4E43BA50" w:rsidR="001912B8" w:rsidRPr="00CE3D5C" w:rsidRDefault="00CE3D5C" w:rsidP="001912B8">
            <w:pPr>
              <w:spacing w:after="0" w:line="240" w:lineRule="auto"/>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Total</w:t>
            </w:r>
          </w:p>
        </w:tc>
        <w:tc>
          <w:tcPr>
            <w:tcW w:w="594" w:type="pct"/>
            <w:tcBorders>
              <w:top w:val="nil"/>
              <w:left w:val="nil"/>
              <w:bottom w:val="single" w:sz="8" w:space="0" w:color="auto"/>
              <w:right w:val="single" w:sz="8" w:space="0" w:color="auto"/>
            </w:tcBorders>
            <w:shd w:val="clear" w:color="auto" w:fill="D9E2F3" w:themeFill="accent1" w:themeFillTint="33"/>
            <w:noWrap/>
            <w:vAlign w:val="center"/>
            <w:hideMark/>
          </w:tcPr>
          <w:p w14:paraId="0994883F" w14:textId="77777777" w:rsidR="001912B8" w:rsidRPr="00CE3D5C" w:rsidRDefault="001912B8" w:rsidP="001912B8">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6515</w:t>
            </w:r>
          </w:p>
        </w:tc>
        <w:tc>
          <w:tcPr>
            <w:tcW w:w="542" w:type="pct"/>
            <w:tcBorders>
              <w:top w:val="nil"/>
              <w:left w:val="nil"/>
              <w:bottom w:val="single" w:sz="8" w:space="0" w:color="auto"/>
              <w:right w:val="single" w:sz="8" w:space="0" w:color="auto"/>
            </w:tcBorders>
            <w:shd w:val="clear" w:color="auto" w:fill="D9E2F3" w:themeFill="accent1" w:themeFillTint="33"/>
            <w:noWrap/>
            <w:vAlign w:val="center"/>
            <w:hideMark/>
          </w:tcPr>
          <w:p w14:paraId="223B8A44" w14:textId="77777777" w:rsidR="001912B8" w:rsidRPr="00CE3D5C" w:rsidRDefault="001912B8" w:rsidP="001912B8">
            <w:pPr>
              <w:spacing w:after="0" w:line="240" w:lineRule="auto"/>
              <w:jc w:val="right"/>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10,577.89</w:t>
            </w:r>
          </w:p>
        </w:tc>
        <w:tc>
          <w:tcPr>
            <w:tcW w:w="643" w:type="pct"/>
            <w:tcBorders>
              <w:top w:val="nil"/>
              <w:left w:val="nil"/>
              <w:bottom w:val="single" w:sz="8" w:space="0" w:color="auto"/>
              <w:right w:val="single" w:sz="8" w:space="0" w:color="auto"/>
            </w:tcBorders>
            <w:shd w:val="clear" w:color="auto" w:fill="D9E2F3" w:themeFill="accent1" w:themeFillTint="33"/>
            <w:noWrap/>
            <w:vAlign w:val="center"/>
            <w:hideMark/>
          </w:tcPr>
          <w:p w14:paraId="61342114" w14:textId="77777777" w:rsidR="001912B8" w:rsidRPr="00CE3D5C" w:rsidRDefault="001912B8" w:rsidP="001912B8">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100.00</w:t>
            </w:r>
          </w:p>
        </w:tc>
        <w:tc>
          <w:tcPr>
            <w:tcW w:w="563" w:type="pct"/>
            <w:tcBorders>
              <w:top w:val="nil"/>
              <w:left w:val="nil"/>
              <w:bottom w:val="single" w:sz="8" w:space="0" w:color="auto"/>
              <w:right w:val="single" w:sz="8" w:space="0" w:color="auto"/>
            </w:tcBorders>
            <w:shd w:val="clear" w:color="auto" w:fill="D9E2F3" w:themeFill="accent1" w:themeFillTint="33"/>
            <w:noWrap/>
            <w:vAlign w:val="center"/>
            <w:hideMark/>
          </w:tcPr>
          <w:p w14:paraId="27E5D5F5" w14:textId="77777777" w:rsidR="001912B8" w:rsidRPr="00CE3D5C" w:rsidRDefault="001912B8" w:rsidP="001912B8">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5638</w:t>
            </w:r>
          </w:p>
        </w:tc>
        <w:tc>
          <w:tcPr>
            <w:tcW w:w="562" w:type="pct"/>
            <w:tcBorders>
              <w:top w:val="nil"/>
              <w:left w:val="nil"/>
              <w:bottom w:val="single" w:sz="8" w:space="0" w:color="auto"/>
              <w:right w:val="single" w:sz="8" w:space="0" w:color="auto"/>
            </w:tcBorders>
            <w:shd w:val="clear" w:color="auto" w:fill="D9E2F3" w:themeFill="accent1" w:themeFillTint="33"/>
            <w:noWrap/>
            <w:vAlign w:val="center"/>
            <w:hideMark/>
          </w:tcPr>
          <w:p w14:paraId="374DDBBD" w14:textId="77777777" w:rsidR="001912B8" w:rsidRPr="00CE3D5C" w:rsidRDefault="001912B8" w:rsidP="001912B8">
            <w:pPr>
              <w:spacing w:after="0" w:line="240" w:lineRule="auto"/>
              <w:jc w:val="right"/>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5,905.60</w:t>
            </w:r>
          </w:p>
        </w:tc>
        <w:tc>
          <w:tcPr>
            <w:tcW w:w="666" w:type="pct"/>
            <w:tcBorders>
              <w:top w:val="nil"/>
              <w:left w:val="nil"/>
              <w:bottom w:val="single" w:sz="8" w:space="0" w:color="auto"/>
              <w:right w:val="single" w:sz="8" w:space="0" w:color="auto"/>
            </w:tcBorders>
            <w:shd w:val="clear" w:color="auto" w:fill="D9E2F3" w:themeFill="accent1" w:themeFillTint="33"/>
            <w:noWrap/>
            <w:vAlign w:val="center"/>
            <w:hideMark/>
          </w:tcPr>
          <w:p w14:paraId="40F3C34B" w14:textId="77777777" w:rsidR="001912B8" w:rsidRPr="00CE3D5C" w:rsidRDefault="001912B8" w:rsidP="001912B8">
            <w:pPr>
              <w:spacing w:after="0" w:line="240" w:lineRule="auto"/>
              <w:jc w:val="center"/>
              <w:rPr>
                <w:rFonts w:ascii="Helvetica" w:eastAsia="Times New Roman" w:hAnsi="Helvetica" w:cs="Helvetica"/>
                <w:b/>
                <w:bCs/>
                <w:color w:val="000000"/>
                <w:sz w:val="18"/>
                <w:szCs w:val="18"/>
                <w:lang w:eastAsia="es-GT"/>
              </w:rPr>
            </w:pPr>
            <w:r w:rsidRPr="00CE3D5C">
              <w:rPr>
                <w:rFonts w:ascii="Helvetica" w:eastAsia="Times New Roman" w:hAnsi="Helvetica" w:cs="Helvetica"/>
                <w:b/>
                <w:bCs/>
                <w:color w:val="000000"/>
                <w:sz w:val="18"/>
                <w:szCs w:val="18"/>
                <w:lang w:eastAsia="es-GT"/>
              </w:rPr>
              <w:t>55.83</w:t>
            </w:r>
          </w:p>
        </w:tc>
      </w:tr>
    </w:tbl>
    <w:p w14:paraId="77BB4900" w14:textId="77777777" w:rsidR="001912B8" w:rsidRDefault="001912B8" w:rsidP="001912B8">
      <w:pPr>
        <w:rPr>
          <w:rFonts w:ascii="Times New Roman" w:hAnsi="Times New Roman" w:cs="Times New Roman"/>
          <w:sz w:val="16"/>
          <w:szCs w:val="16"/>
        </w:rPr>
      </w:pPr>
      <w:r w:rsidRPr="00906050">
        <w:rPr>
          <w:rFonts w:ascii="Times New Roman" w:hAnsi="Times New Roman" w:cs="Times New Roman"/>
          <w:sz w:val="16"/>
          <w:szCs w:val="16"/>
        </w:rPr>
        <w:t>Fuente: elaboración SEGEPLAN con información del SNIP</w:t>
      </w:r>
    </w:p>
    <w:p w14:paraId="54F7A557" w14:textId="5D4114D8" w:rsidR="00F85BD4" w:rsidRPr="008D1CB6" w:rsidRDefault="00F85BD4" w:rsidP="005E02B9">
      <w:pPr>
        <w:pStyle w:val="Ttulo1"/>
        <w:numPr>
          <w:ilvl w:val="0"/>
          <w:numId w:val="11"/>
        </w:numPr>
      </w:pPr>
      <w:bookmarkStart w:id="115" w:name="_Toc66379897"/>
      <w:bookmarkStart w:id="116" w:name="_Toc67589096"/>
      <w:bookmarkEnd w:id="110"/>
      <w:r>
        <w:t xml:space="preserve">Avance de metas y cumplimiento de la calidad del </w:t>
      </w:r>
      <w:r w:rsidRPr="008D1CB6">
        <w:t>gasto</w:t>
      </w:r>
      <w:r>
        <w:t xml:space="preserve"> de la cooperación internacional no reembolsable</w:t>
      </w:r>
      <w:bookmarkEnd w:id="115"/>
      <w:bookmarkEnd w:id="116"/>
    </w:p>
    <w:p w14:paraId="3B8EDB1D" w14:textId="77777777" w:rsidR="00F85BD4" w:rsidRDefault="00F85BD4" w:rsidP="00F85BD4">
      <w:pPr>
        <w:rPr>
          <w:rFonts w:ascii="Candara" w:hAnsi="Candara"/>
        </w:rPr>
      </w:pPr>
      <w:bookmarkStart w:id="117" w:name="_Toc17812378"/>
      <w:bookmarkStart w:id="118" w:name="_Toc17877697"/>
      <w:bookmarkStart w:id="119" w:name="_Toc17878275"/>
      <w:bookmarkStart w:id="120" w:name="_Toc17878411"/>
      <w:bookmarkStart w:id="121" w:name="_Toc17878462"/>
      <w:bookmarkStart w:id="122" w:name="_Toc17882702"/>
      <w:bookmarkStart w:id="123" w:name="_Toc19519203"/>
      <w:bookmarkEnd w:id="117"/>
      <w:bookmarkEnd w:id="118"/>
      <w:bookmarkEnd w:id="119"/>
      <w:bookmarkEnd w:id="120"/>
      <w:bookmarkEnd w:id="121"/>
      <w:bookmarkEnd w:id="122"/>
      <w:bookmarkEnd w:id="123"/>
    </w:p>
    <w:p w14:paraId="157DACB3" w14:textId="77777777" w:rsidR="00CE3D5C" w:rsidRPr="007879C1" w:rsidRDefault="00CE3D5C" w:rsidP="00CE3D5C">
      <w:pPr>
        <w:spacing w:after="0" w:line="240" w:lineRule="auto"/>
        <w:jc w:val="both"/>
        <w:rPr>
          <w:rFonts w:ascii="Helvetica" w:hAnsi="Helvetica" w:cs="Helvetica"/>
          <w:sz w:val="24"/>
          <w:szCs w:val="24"/>
        </w:rPr>
      </w:pPr>
      <w:bookmarkStart w:id="124" w:name="_Toc66379898"/>
      <w:r w:rsidRPr="007879C1">
        <w:rPr>
          <w:rFonts w:ascii="Helvetica" w:hAnsi="Helvetica" w:cs="Helvetica"/>
          <w:sz w:val="24"/>
          <w:szCs w:val="24"/>
        </w:rPr>
        <w:t xml:space="preserve">La asignación presupuestaria aprobada para las donaciones externas para el año 2020 correspondiente a instituciones de gobierno central es de Q.254.47 millones y Q.148.17 millones para entidades descentralizadas, para un total de Q.402.64 millones. Al cierre del mes de </w:t>
      </w:r>
      <w:r w:rsidRPr="007879C1">
        <w:rPr>
          <w:rFonts w:ascii="Helvetica" w:hAnsi="Helvetica" w:cs="Helvetica"/>
          <w:bCs/>
          <w:sz w:val="24"/>
          <w:szCs w:val="24"/>
        </w:rPr>
        <w:t>diciembre</w:t>
      </w:r>
      <w:r w:rsidRPr="007879C1">
        <w:rPr>
          <w:rFonts w:ascii="Helvetica" w:hAnsi="Helvetica" w:cs="Helvetica"/>
          <w:sz w:val="24"/>
          <w:szCs w:val="24"/>
        </w:rPr>
        <w:t xml:space="preserve">, las modificaciones presupuestarias a dicho presupuesto lo disminuyen en </w:t>
      </w:r>
      <w:r w:rsidRPr="007879C1">
        <w:rPr>
          <w:rFonts w:ascii="Helvetica" w:hAnsi="Helvetica" w:cs="Helvetica"/>
          <w:bCs/>
          <w:sz w:val="24"/>
          <w:szCs w:val="24"/>
        </w:rPr>
        <w:t>Q.90.63</w:t>
      </w:r>
      <w:r w:rsidRPr="007879C1">
        <w:rPr>
          <w:rFonts w:ascii="Helvetica" w:hAnsi="Helvetica" w:cs="Helvetica"/>
          <w:sz w:val="24"/>
          <w:szCs w:val="24"/>
        </w:rPr>
        <w:t xml:space="preserve"> millones para las entidades de Gobierno Central, y lo disminuyen en </w:t>
      </w:r>
      <w:r w:rsidRPr="007879C1">
        <w:rPr>
          <w:rFonts w:ascii="Helvetica" w:hAnsi="Helvetica" w:cs="Helvetica"/>
          <w:bCs/>
          <w:sz w:val="24"/>
          <w:szCs w:val="24"/>
        </w:rPr>
        <w:t>Q.4.12</w:t>
      </w:r>
      <w:r w:rsidRPr="007879C1">
        <w:rPr>
          <w:rFonts w:ascii="Helvetica" w:hAnsi="Helvetica" w:cs="Helvetica"/>
          <w:sz w:val="24"/>
          <w:szCs w:val="24"/>
        </w:rPr>
        <w:t xml:space="preserve"> millones para las entidades descentralizadas.  Estas modificaciones dejan un presupuesto vigente de </w:t>
      </w:r>
      <w:r w:rsidRPr="007879C1">
        <w:rPr>
          <w:rFonts w:ascii="Helvetica" w:hAnsi="Helvetica" w:cs="Helvetica"/>
          <w:bCs/>
          <w:sz w:val="24"/>
          <w:szCs w:val="24"/>
        </w:rPr>
        <w:t>Q.163.84</w:t>
      </w:r>
      <w:r w:rsidRPr="007879C1">
        <w:rPr>
          <w:rFonts w:ascii="Helvetica" w:hAnsi="Helvetica" w:cs="Helvetica"/>
          <w:sz w:val="24"/>
          <w:szCs w:val="24"/>
        </w:rPr>
        <w:t xml:space="preserve"> millones para gobierno central y de </w:t>
      </w:r>
      <w:r w:rsidRPr="007879C1">
        <w:rPr>
          <w:rFonts w:ascii="Helvetica" w:hAnsi="Helvetica" w:cs="Helvetica"/>
          <w:bCs/>
          <w:sz w:val="24"/>
          <w:szCs w:val="24"/>
        </w:rPr>
        <w:t>Q.144.05</w:t>
      </w:r>
      <w:r w:rsidRPr="007879C1">
        <w:rPr>
          <w:rFonts w:ascii="Helvetica" w:hAnsi="Helvetica" w:cs="Helvetica"/>
          <w:sz w:val="24"/>
          <w:szCs w:val="24"/>
        </w:rPr>
        <w:t xml:space="preserve"> millones para entidades descentralizadas.</w:t>
      </w:r>
    </w:p>
    <w:p w14:paraId="11570428" w14:textId="77777777" w:rsidR="00CE3D5C" w:rsidRPr="00CE3D5C" w:rsidRDefault="00CE3D5C" w:rsidP="00CE3D5C">
      <w:pPr>
        <w:spacing w:after="0" w:line="240" w:lineRule="auto"/>
        <w:jc w:val="both"/>
        <w:rPr>
          <w:rFonts w:ascii="Helvetica" w:hAnsi="Helvetica" w:cs="Helvetica"/>
          <w:sz w:val="24"/>
          <w:szCs w:val="24"/>
        </w:rPr>
      </w:pPr>
    </w:p>
    <w:p w14:paraId="52471DB0" w14:textId="77777777" w:rsidR="00CE3D5C" w:rsidRPr="007879C1" w:rsidRDefault="00CE3D5C" w:rsidP="00CE3D5C">
      <w:pPr>
        <w:jc w:val="both"/>
        <w:rPr>
          <w:rFonts w:ascii="Helvetica" w:hAnsi="Helvetica" w:cs="Helvetica"/>
          <w:sz w:val="24"/>
          <w:szCs w:val="24"/>
        </w:rPr>
      </w:pPr>
      <w:r w:rsidRPr="007879C1">
        <w:rPr>
          <w:rFonts w:ascii="Helvetica" w:hAnsi="Helvetica" w:cs="Helvetica"/>
          <w:sz w:val="24"/>
          <w:szCs w:val="24"/>
        </w:rPr>
        <w:t>La ejecución acumulada al 31 de diciembre del presente año asciende a Q.</w:t>
      </w:r>
      <w:r w:rsidRPr="007879C1">
        <w:rPr>
          <w:rFonts w:ascii="Helvetica" w:hAnsi="Helvetica" w:cs="Helvetica"/>
          <w:sz w:val="24"/>
          <w:szCs w:val="24"/>
        </w:rPr>
        <w:fldChar w:fldCharType="begin"/>
      </w:r>
      <w:r w:rsidRPr="007879C1">
        <w:rPr>
          <w:rFonts w:ascii="Helvetica" w:hAnsi="Helvetica" w:cs="Helvetica"/>
          <w:sz w:val="24"/>
          <w:szCs w:val="24"/>
        </w:rPr>
        <w:instrText xml:space="preserve"> LINK Excel.Sheet.12 "M:\\Jairon Garcia\\Escritorio\\INFORME DEL CONGRESO\\05 Mayo\\190301 Cuadros para informe abril 2019.xlsx" "Consolidado !F13C4" \a \f 5 \h  \* MERGEFORMAT </w:instrText>
      </w:r>
      <w:r w:rsidRPr="007879C1">
        <w:rPr>
          <w:rFonts w:ascii="Helvetica" w:hAnsi="Helvetica" w:cs="Helvetica"/>
          <w:sz w:val="24"/>
          <w:szCs w:val="24"/>
        </w:rPr>
        <w:fldChar w:fldCharType="separate"/>
      </w:r>
      <w:r w:rsidRPr="007879C1">
        <w:rPr>
          <w:rFonts w:ascii="Helvetica" w:hAnsi="Helvetica" w:cs="Helvetica"/>
          <w:sz w:val="24"/>
          <w:szCs w:val="24"/>
        </w:rPr>
        <w:t xml:space="preserve"> 154.63 </w:t>
      </w:r>
      <w:r w:rsidRPr="007879C1">
        <w:rPr>
          <w:rFonts w:ascii="Helvetica" w:hAnsi="Helvetica" w:cs="Helvetica"/>
          <w:sz w:val="24"/>
          <w:szCs w:val="24"/>
        </w:rPr>
        <w:fldChar w:fldCharType="end"/>
      </w:r>
      <w:r w:rsidRPr="007879C1">
        <w:rPr>
          <w:rFonts w:ascii="Helvetica" w:hAnsi="Helvetica" w:cs="Helvetica"/>
          <w:sz w:val="24"/>
          <w:szCs w:val="24"/>
        </w:rPr>
        <w:t xml:space="preserve">millones, equivalentes a un 50.22% promedio respecto al presupuesto vigente (Gobierno Central y Descentralizadas).  La ejecución acumulada de las instituciones de gobierno central asciende a Q.74.31 millones equivalentes a un </w:t>
      </w:r>
      <w:r w:rsidRPr="007879C1">
        <w:rPr>
          <w:rFonts w:ascii="Helvetica" w:eastAsia="Times New Roman" w:hAnsi="Helvetica" w:cs="Helvetica"/>
          <w:sz w:val="24"/>
          <w:szCs w:val="24"/>
        </w:rPr>
        <w:t xml:space="preserve">45.36% </w:t>
      </w:r>
      <w:r w:rsidRPr="007879C1">
        <w:rPr>
          <w:rFonts w:ascii="Helvetica" w:hAnsi="Helvetica" w:cs="Helvetica"/>
          <w:sz w:val="24"/>
          <w:szCs w:val="24"/>
        </w:rPr>
        <w:t>de su presupuesto vigente.  Asimismo, el presupuesto para entidades descentralizadas reporta una ejecución acumulada al 31 de diciembre de 2020 de Q.80.32</w:t>
      </w:r>
      <w:r w:rsidRPr="007879C1">
        <w:rPr>
          <w:rFonts w:ascii="Helvetica" w:eastAsia="Times New Roman" w:hAnsi="Helvetica" w:cs="Helvetica"/>
          <w:sz w:val="24"/>
          <w:szCs w:val="24"/>
        </w:rPr>
        <w:t xml:space="preserve"> </w:t>
      </w:r>
      <w:r w:rsidRPr="007879C1">
        <w:rPr>
          <w:rFonts w:ascii="Helvetica" w:hAnsi="Helvetica" w:cs="Helvetica"/>
          <w:sz w:val="24"/>
          <w:szCs w:val="24"/>
        </w:rPr>
        <w:t>millones, equivalentes a un 55.762</w:t>
      </w:r>
      <w:r w:rsidRPr="007879C1">
        <w:rPr>
          <w:rFonts w:ascii="Helvetica" w:eastAsia="Times New Roman" w:hAnsi="Helvetica" w:cs="Helvetica"/>
          <w:sz w:val="24"/>
          <w:szCs w:val="24"/>
        </w:rPr>
        <w:t xml:space="preserve">% </w:t>
      </w:r>
      <w:r w:rsidRPr="007879C1">
        <w:rPr>
          <w:rFonts w:ascii="Helvetica" w:hAnsi="Helvetica" w:cs="Helvetica"/>
          <w:sz w:val="24"/>
          <w:szCs w:val="24"/>
        </w:rPr>
        <w:t>de su presupuesto vigente.</w:t>
      </w:r>
    </w:p>
    <w:p w14:paraId="13A1CF55" w14:textId="3950D797" w:rsidR="00CE3D5C" w:rsidRPr="003B1BD8" w:rsidRDefault="00CE3D5C" w:rsidP="00CE3D5C">
      <w:pPr>
        <w:tabs>
          <w:tab w:val="num" w:pos="360"/>
        </w:tabs>
        <w:rPr>
          <w:rFonts w:ascii="Helvetica" w:eastAsiaTheme="majorEastAsia" w:hAnsi="Helvetica" w:cstheme="majorBidi"/>
          <w:b/>
          <w:color w:val="002060"/>
          <w:sz w:val="28"/>
          <w:szCs w:val="28"/>
        </w:rPr>
      </w:pPr>
      <w:bookmarkStart w:id="125" w:name="_Toc31818086"/>
      <w:bookmarkEnd w:id="124"/>
      <w:r w:rsidRPr="003B1BD8">
        <w:rPr>
          <w:rFonts w:ascii="Helvetica" w:eastAsiaTheme="majorEastAsia" w:hAnsi="Helvetica" w:cstheme="majorBidi"/>
          <w:b/>
          <w:color w:val="002060"/>
          <w:sz w:val="28"/>
          <w:szCs w:val="28"/>
        </w:rPr>
        <w:t>Presupuesto Donaciones Externas</w:t>
      </w:r>
      <w:bookmarkEnd w:id="125"/>
    </w:p>
    <w:p w14:paraId="0C6359E3" w14:textId="0453C252" w:rsidR="00CE3D5C" w:rsidRPr="007D4C7A" w:rsidRDefault="00CE3D5C" w:rsidP="00CE3D5C">
      <w:pPr>
        <w:spacing w:after="0" w:line="240" w:lineRule="auto"/>
        <w:jc w:val="both"/>
        <w:rPr>
          <w:rFonts w:ascii="Helvetica" w:eastAsia="MS PGothic" w:hAnsi="Helvetica" w:cs="Helvetica"/>
          <w:sz w:val="24"/>
          <w:szCs w:val="24"/>
          <w:lang w:eastAsia="es-GT"/>
        </w:rPr>
      </w:pPr>
      <w:r w:rsidRPr="007D4C7A">
        <w:rPr>
          <w:rFonts w:ascii="Helvetica" w:eastAsia="MS PGothic" w:hAnsi="Helvetica" w:cs="Helvetica"/>
          <w:sz w:val="24"/>
          <w:szCs w:val="24"/>
          <w:lang w:eastAsia="es-GT"/>
        </w:rPr>
        <w:t xml:space="preserve">La asignación global para la fuente 61 “Donaciones Externas” asciende a Q.402.64 millones.  Al 31 de diciembre de 2020, se han realizado modificaciones presupuestarias por Q.94.75 millones para contar con un presupuesto vigente de Q.307.89 millones, y una ejecución acumulada promedio de 50.22%, como se observa en </w:t>
      </w:r>
      <w:r w:rsidR="00FC7FBF" w:rsidRPr="007D4C7A">
        <w:rPr>
          <w:rFonts w:ascii="Helvetica" w:eastAsia="MS PGothic" w:hAnsi="Helvetica" w:cs="Helvetica"/>
          <w:sz w:val="24"/>
          <w:szCs w:val="24"/>
          <w:lang w:eastAsia="es-GT"/>
        </w:rPr>
        <w:t>la tabla 42.</w:t>
      </w:r>
      <w:r w:rsidRPr="007D4C7A">
        <w:rPr>
          <w:rFonts w:ascii="Helvetica" w:eastAsia="MS PGothic" w:hAnsi="Helvetica" w:cs="Helvetica"/>
          <w:sz w:val="24"/>
          <w:szCs w:val="24"/>
          <w:lang w:eastAsia="es-GT"/>
        </w:rPr>
        <w:t xml:space="preserve"> </w:t>
      </w:r>
    </w:p>
    <w:p w14:paraId="5A7C133C" w14:textId="00F8A487" w:rsidR="00CE3D5C" w:rsidRDefault="00CE3D5C" w:rsidP="00CE3D5C">
      <w:pPr>
        <w:spacing w:after="0" w:line="240" w:lineRule="auto"/>
        <w:jc w:val="center"/>
        <w:rPr>
          <w:rFonts w:ascii="Candara" w:eastAsia="MS PGothic" w:hAnsi="Candara" w:cs="Times New Roman"/>
          <w:b/>
          <w:bCs/>
          <w:i/>
          <w:iCs/>
          <w:sz w:val="20"/>
          <w:szCs w:val="20"/>
          <w:lang w:eastAsia="es-GT"/>
        </w:rPr>
      </w:pPr>
      <w:bookmarkStart w:id="126" w:name="_Hlk31806518"/>
    </w:p>
    <w:p w14:paraId="1632F0DC" w14:textId="356381F9" w:rsidR="003562C1" w:rsidRPr="0059105E" w:rsidRDefault="002C1F2D" w:rsidP="00CE3D5C">
      <w:pPr>
        <w:pStyle w:val="ttulosgrficas"/>
        <w:rPr>
          <w:color w:val="4472C4" w:themeColor="accent1"/>
          <w:lang w:eastAsia="es-GT"/>
        </w:rPr>
      </w:pPr>
      <w:bookmarkStart w:id="127" w:name="_Toc67589155"/>
      <w:r w:rsidRPr="0059105E">
        <w:rPr>
          <w:color w:val="4472C4" w:themeColor="accent1"/>
          <w:lang w:eastAsia="es-GT"/>
        </w:rPr>
        <w:t xml:space="preserve">Tabla </w:t>
      </w:r>
      <w:r w:rsidR="007F134F" w:rsidRPr="0059105E">
        <w:rPr>
          <w:color w:val="4472C4" w:themeColor="accent1"/>
          <w:lang w:eastAsia="es-GT"/>
        </w:rPr>
        <w:fldChar w:fldCharType="begin"/>
      </w:r>
      <w:r w:rsidR="007F134F" w:rsidRPr="0059105E">
        <w:rPr>
          <w:color w:val="4472C4" w:themeColor="accent1"/>
          <w:lang w:eastAsia="es-GT"/>
        </w:rPr>
        <w:instrText xml:space="preserve"> SEQ Tabla \* ARABIC </w:instrText>
      </w:r>
      <w:r w:rsidR="007F134F" w:rsidRPr="0059105E">
        <w:rPr>
          <w:color w:val="4472C4" w:themeColor="accent1"/>
          <w:lang w:eastAsia="es-GT"/>
        </w:rPr>
        <w:fldChar w:fldCharType="separate"/>
      </w:r>
      <w:r w:rsidR="00AA2593" w:rsidRPr="0059105E">
        <w:rPr>
          <w:color w:val="4472C4" w:themeColor="accent1"/>
          <w:lang w:eastAsia="es-GT"/>
        </w:rPr>
        <w:t>42</w:t>
      </w:r>
      <w:r w:rsidR="007F134F" w:rsidRPr="0059105E">
        <w:rPr>
          <w:color w:val="4472C4" w:themeColor="accent1"/>
          <w:lang w:eastAsia="es-GT"/>
        </w:rPr>
        <w:fldChar w:fldCharType="end"/>
      </w:r>
      <w:r w:rsidR="003562C1" w:rsidRPr="0059105E">
        <w:rPr>
          <w:color w:val="4472C4" w:themeColor="accent1"/>
          <w:lang w:eastAsia="es-GT"/>
        </w:rPr>
        <w:t xml:space="preserve">, </w:t>
      </w:r>
      <w:r w:rsidR="00CE3D5C" w:rsidRPr="0059105E">
        <w:rPr>
          <w:color w:val="4472C4" w:themeColor="accent1"/>
          <w:lang w:eastAsia="es-GT"/>
        </w:rPr>
        <w:t xml:space="preserve">Presupuesto Asignado - Vigente </w:t>
      </w:r>
      <w:r w:rsidR="003562C1" w:rsidRPr="0059105E">
        <w:rPr>
          <w:color w:val="4472C4" w:themeColor="accent1"/>
          <w:lang w:eastAsia="es-GT"/>
        </w:rPr>
        <w:t>–</w:t>
      </w:r>
      <w:bookmarkEnd w:id="127"/>
      <w:r w:rsidR="00CE3D5C" w:rsidRPr="0059105E">
        <w:rPr>
          <w:color w:val="4472C4" w:themeColor="accent1"/>
          <w:lang w:eastAsia="es-GT"/>
        </w:rPr>
        <w:t xml:space="preserve"> </w:t>
      </w:r>
    </w:p>
    <w:p w14:paraId="02B261EB" w14:textId="355EF03C" w:rsidR="00CE3D5C" w:rsidRPr="0059105E" w:rsidRDefault="00CE3D5C" w:rsidP="00CE3D5C">
      <w:pPr>
        <w:pStyle w:val="ttulosgrficas"/>
        <w:rPr>
          <w:color w:val="4472C4" w:themeColor="accent1"/>
          <w:lang w:eastAsia="es-GT"/>
        </w:rPr>
      </w:pPr>
      <w:r w:rsidRPr="0059105E">
        <w:rPr>
          <w:color w:val="4472C4" w:themeColor="accent1"/>
          <w:lang w:eastAsia="es-GT"/>
        </w:rPr>
        <w:t xml:space="preserve">Ejecución </w:t>
      </w:r>
      <w:r w:rsidR="00AE743B" w:rsidRPr="0059105E">
        <w:rPr>
          <w:color w:val="4472C4" w:themeColor="accent1"/>
          <w:lang w:eastAsia="es-GT"/>
        </w:rPr>
        <w:t>a di</w:t>
      </w:r>
      <w:r w:rsidRPr="0059105E">
        <w:rPr>
          <w:color w:val="4472C4" w:themeColor="accent1"/>
          <w:lang w:eastAsia="es-GT"/>
        </w:rPr>
        <w:t>ciembre 2020</w:t>
      </w:r>
    </w:p>
    <w:p w14:paraId="3DB71D70" w14:textId="77777777" w:rsidR="007D4C7A" w:rsidRPr="008F7682" w:rsidRDefault="007D4C7A" w:rsidP="007D4C7A">
      <w:pPr>
        <w:pStyle w:val="ttulosgrficas"/>
        <w:spacing w:line="120" w:lineRule="auto"/>
        <w:rPr>
          <w:lang w:eastAsia="es-GT"/>
        </w:rPr>
      </w:pPr>
    </w:p>
    <w:tbl>
      <w:tblPr>
        <w:tblW w:w="8540" w:type="dxa"/>
        <w:jc w:val="center"/>
        <w:tblCellMar>
          <w:left w:w="70" w:type="dxa"/>
          <w:right w:w="70" w:type="dxa"/>
        </w:tblCellMar>
        <w:tblLook w:val="04A0" w:firstRow="1" w:lastRow="0" w:firstColumn="1" w:lastColumn="0" w:noHBand="0" w:noVBand="1"/>
      </w:tblPr>
      <w:tblGrid>
        <w:gridCol w:w="2660"/>
        <w:gridCol w:w="1960"/>
        <w:gridCol w:w="1060"/>
        <w:gridCol w:w="1720"/>
        <w:gridCol w:w="1140"/>
      </w:tblGrid>
      <w:tr w:rsidR="00CE3D5C" w:rsidRPr="008F7682" w14:paraId="277EFC84" w14:textId="77777777" w:rsidTr="00487598">
        <w:trPr>
          <w:trHeight w:val="510"/>
          <w:jc w:val="center"/>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4368173" w14:textId="77777777" w:rsidR="00CE3D5C" w:rsidRPr="007D4C7A" w:rsidRDefault="00CE3D5C" w:rsidP="00CE3D5C">
            <w:pPr>
              <w:spacing w:after="0" w:line="240" w:lineRule="auto"/>
              <w:jc w:val="center"/>
              <w:rPr>
                <w:rFonts w:ascii="Helvetica" w:eastAsia="Times New Roman" w:hAnsi="Helvetica" w:cs="Helvetica"/>
                <w:b/>
                <w:bCs/>
                <w:iCs/>
                <w:sz w:val="20"/>
                <w:szCs w:val="20"/>
                <w:lang w:eastAsia="es-GT"/>
              </w:rPr>
            </w:pPr>
            <w:r w:rsidRPr="007D4C7A">
              <w:rPr>
                <w:rFonts w:ascii="Helvetica" w:eastAsia="Times New Roman" w:hAnsi="Helvetica" w:cs="Helvetica"/>
                <w:b/>
                <w:bCs/>
                <w:iCs/>
                <w:sz w:val="20"/>
                <w:szCs w:val="20"/>
                <w:lang w:eastAsia="es-GT"/>
              </w:rPr>
              <w:t xml:space="preserve">Tipo de Institución </w:t>
            </w:r>
          </w:p>
        </w:tc>
        <w:tc>
          <w:tcPr>
            <w:tcW w:w="196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A10F742" w14:textId="77777777" w:rsidR="00CE3D5C" w:rsidRPr="007D4C7A" w:rsidRDefault="00CE3D5C" w:rsidP="00CE3D5C">
            <w:pPr>
              <w:spacing w:after="0" w:line="240" w:lineRule="auto"/>
              <w:jc w:val="center"/>
              <w:rPr>
                <w:rFonts w:ascii="Helvetica" w:eastAsia="Times New Roman" w:hAnsi="Helvetica" w:cs="Helvetica"/>
                <w:b/>
                <w:bCs/>
                <w:iCs/>
                <w:sz w:val="20"/>
                <w:szCs w:val="20"/>
                <w:lang w:eastAsia="es-GT"/>
              </w:rPr>
            </w:pPr>
            <w:r w:rsidRPr="007D4C7A">
              <w:rPr>
                <w:rFonts w:ascii="Helvetica" w:eastAsia="Times New Roman" w:hAnsi="Helvetica" w:cs="Helvetica"/>
                <w:b/>
                <w:bCs/>
                <w:iCs/>
                <w:sz w:val="20"/>
                <w:szCs w:val="20"/>
                <w:lang w:eastAsia="es-GT"/>
              </w:rPr>
              <w:t xml:space="preserve"> Asignado    </w:t>
            </w:r>
          </w:p>
        </w:tc>
        <w:tc>
          <w:tcPr>
            <w:tcW w:w="106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7EAA10D" w14:textId="77777777" w:rsidR="00CE3D5C" w:rsidRPr="007D4C7A" w:rsidRDefault="00CE3D5C" w:rsidP="00CE3D5C">
            <w:pPr>
              <w:spacing w:after="0" w:line="240" w:lineRule="auto"/>
              <w:jc w:val="center"/>
              <w:rPr>
                <w:rFonts w:ascii="Helvetica" w:eastAsia="Times New Roman" w:hAnsi="Helvetica" w:cs="Helvetica"/>
                <w:b/>
                <w:bCs/>
                <w:iCs/>
                <w:sz w:val="20"/>
                <w:szCs w:val="20"/>
                <w:lang w:eastAsia="es-GT"/>
              </w:rPr>
            </w:pPr>
            <w:r w:rsidRPr="007D4C7A">
              <w:rPr>
                <w:rFonts w:ascii="Helvetica" w:eastAsia="Times New Roman" w:hAnsi="Helvetica" w:cs="Helvetica"/>
                <w:b/>
                <w:bCs/>
                <w:iCs/>
                <w:sz w:val="20"/>
                <w:szCs w:val="20"/>
                <w:lang w:eastAsia="es-GT"/>
              </w:rPr>
              <w:t xml:space="preserve"> Vigente   </w:t>
            </w:r>
          </w:p>
        </w:tc>
        <w:tc>
          <w:tcPr>
            <w:tcW w:w="172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F315625" w14:textId="77777777" w:rsidR="00CE3D5C" w:rsidRPr="007D4C7A" w:rsidRDefault="00CE3D5C" w:rsidP="00CE3D5C">
            <w:pPr>
              <w:spacing w:after="0" w:line="240" w:lineRule="auto"/>
              <w:jc w:val="center"/>
              <w:rPr>
                <w:rFonts w:ascii="Helvetica" w:eastAsia="Times New Roman" w:hAnsi="Helvetica" w:cs="Helvetica"/>
                <w:b/>
                <w:bCs/>
                <w:iCs/>
                <w:sz w:val="20"/>
                <w:szCs w:val="20"/>
                <w:lang w:eastAsia="es-GT"/>
              </w:rPr>
            </w:pPr>
            <w:r w:rsidRPr="007D4C7A">
              <w:rPr>
                <w:rFonts w:ascii="Helvetica" w:eastAsia="Times New Roman" w:hAnsi="Helvetica" w:cs="Helvetica"/>
                <w:b/>
                <w:bCs/>
                <w:iCs/>
                <w:sz w:val="20"/>
                <w:szCs w:val="20"/>
                <w:lang w:eastAsia="es-GT"/>
              </w:rPr>
              <w:t xml:space="preserve"> Ejecución   </w:t>
            </w:r>
          </w:p>
        </w:tc>
        <w:tc>
          <w:tcPr>
            <w:tcW w:w="11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2C2D556" w14:textId="77777777" w:rsidR="00CE3D5C" w:rsidRPr="007D4C7A" w:rsidRDefault="00CE3D5C" w:rsidP="00CE3D5C">
            <w:pPr>
              <w:spacing w:after="0" w:line="240" w:lineRule="auto"/>
              <w:jc w:val="center"/>
              <w:rPr>
                <w:rFonts w:ascii="Helvetica" w:eastAsia="Times New Roman" w:hAnsi="Helvetica" w:cs="Helvetica"/>
                <w:b/>
                <w:bCs/>
                <w:iCs/>
                <w:sz w:val="20"/>
                <w:szCs w:val="20"/>
                <w:lang w:eastAsia="es-GT"/>
              </w:rPr>
            </w:pPr>
            <w:r w:rsidRPr="007D4C7A">
              <w:rPr>
                <w:rFonts w:ascii="Helvetica" w:eastAsia="Times New Roman" w:hAnsi="Helvetica" w:cs="Helvetica"/>
                <w:b/>
                <w:bCs/>
                <w:iCs/>
                <w:sz w:val="20"/>
                <w:szCs w:val="20"/>
                <w:lang w:eastAsia="es-GT"/>
              </w:rPr>
              <w:t xml:space="preserve"> % de ejecución  </w:t>
            </w:r>
          </w:p>
        </w:tc>
      </w:tr>
      <w:tr w:rsidR="00CE3D5C" w:rsidRPr="008F7682" w14:paraId="4849A2F8" w14:textId="77777777" w:rsidTr="007D4C7A">
        <w:trPr>
          <w:trHeight w:val="255"/>
          <w:jc w:val="center"/>
        </w:trPr>
        <w:tc>
          <w:tcPr>
            <w:tcW w:w="2660" w:type="dxa"/>
            <w:tcBorders>
              <w:top w:val="single" w:sz="4" w:space="0" w:color="auto"/>
              <w:left w:val="single" w:sz="4" w:space="0" w:color="auto"/>
              <w:bottom w:val="dotted" w:sz="4" w:space="0" w:color="auto"/>
              <w:right w:val="dotted" w:sz="4" w:space="0" w:color="auto"/>
            </w:tcBorders>
            <w:shd w:val="clear" w:color="auto" w:fill="auto"/>
            <w:vAlign w:val="bottom"/>
            <w:hideMark/>
          </w:tcPr>
          <w:p w14:paraId="4DAA173D" w14:textId="77777777" w:rsidR="00CE3D5C" w:rsidRPr="007D4C7A" w:rsidRDefault="00CE3D5C" w:rsidP="00CE3D5C">
            <w:pPr>
              <w:spacing w:after="0" w:line="240" w:lineRule="auto"/>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 xml:space="preserve">Gobierno Central </w:t>
            </w:r>
          </w:p>
        </w:tc>
        <w:tc>
          <w:tcPr>
            <w:tcW w:w="1960" w:type="dxa"/>
            <w:tcBorders>
              <w:top w:val="single" w:sz="4" w:space="0" w:color="auto"/>
              <w:left w:val="dotted" w:sz="4" w:space="0" w:color="auto"/>
              <w:bottom w:val="dotted" w:sz="4" w:space="0" w:color="auto"/>
              <w:right w:val="dotted" w:sz="4" w:space="0" w:color="auto"/>
            </w:tcBorders>
            <w:shd w:val="clear" w:color="auto" w:fill="auto"/>
            <w:vAlign w:val="center"/>
            <w:hideMark/>
          </w:tcPr>
          <w:p w14:paraId="114A5D59" w14:textId="0FA94F99"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254.47</w:t>
            </w:r>
          </w:p>
        </w:tc>
        <w:tc>
          <w:tcPr>
            <w:tcW w:w="1060"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6CEBDF2B" w14:textId="7F3F3D10"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163.84</w:t>
            </w:r>
          </w:p>
        </w:tc>
        <w:tc>
          <w:tcPr>
            <w:tcW w:w="1720" w:type="dxa"/>
            <w:tcBorders>
              <w:top w:val="single" w:sz="4" w:space="0" w:color="auto"/>
              <w:left w:val="dotted" w:sz="4" w:space="0" w:color="auto"/>
              <w:bottom w:val="dotted" w:sz="4" w:space="0" w:color="auto"/>
              <w:right w:val="dotted" w:sz="4" w:space="0" w:color="auto"/>
            </w:tcBorders>
            <w:shd w:val="clear" w:color="auto" w:fill="auto"/>
            <w:noWrap/>
            <w:vAlign w:val="center"/>
            <w:hideMark/>
          </w:tcPr>
          <w:p w14:paraId="2FDD6B89" w14:textId="5484DDAF"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74.31</w:t>
            </w:r>
          </w:p>
        </w:tc>
        <w:tc>
          <w:tcPr>
            <w:tcW w:w="1140" w:type="dxa"/>
            <w:tcBorders>
              <w:top w:val="single" w:sz="4" w:space="0" w:color="auto"/>
              <w:left w:val="dotted" w:sz="4" w:space="0" w:color="auto"/>
              <w:bottom w:val="dotted" w:sz="4" w:space="0" w:color="auto"/>
              <w:right w:val="single" w:sz="4" w:space="0" w:color="auto"/>
            </w:tcBorders>
            <w:shd w:val="clear" w:color="auto" w:fill="auto"/>
            <w:noWrap/>
            <w:vAlign w:val="center"/>
            <w:hideMark/>
          </w:tcPr>
          <w:p w14:paraId="5C73246F" w14:textId="77777777"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45.36%</w:t>
            </w:r>
          </w:p>
        </w:tc>
      </w:tr>
      <w:tr w:rsidR="00CE3D5C" w:rsidRPr="008F7682" w14:paraId="0B4EA31F" w14:textId="77777777" w:rsidTr="007D4C7A">
        <w:trPr>
          <w:trHeight w:val="255"/>
          <w:jc w:val="center"/>
        </w:trPr>
        <w:tc>
          <w:tcPr>
            <w:tcW w:w="2660" w:type="dxa"/>
            <w:tcBorders>
              <w:top w:val="dotted" w:sz="4" w:space="0" w:color="auto"/>
              <w:left w:val="single" w:sz="4" w:space="0" w:color="auto"/>
              <w:bottom w:val="dotted" w:sz="4" w:space="0" w:color="auto"/>
              <w:right w:val="dotted" w:sz="4" w:space="0" w:color="auto"/>
            </w:tcBorders>
            <w:shd w:val="clear" w:color="auto" w:fill="auto"/>
            <w:vAlign w:val="bottom"/>
            <w:hideMark/>
          </w:tcPr>
          <w:p w14:paraId="4BFDEC78" w14:textId="77777777" w:rsidR="00CE3D5C" w:rsidRPr="007D4C7A" w:rsidRDefault="00CE3D5C" w:rsidP="00CE3D5C">
            <w:pPr>
              <w:spacing w:after="0" w:line="240" w:lineRule="auto"/>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Descentralizadas</w:t>
            </w:r>
          </w:p>
        </w:tc>
        <w:tc>
          <w:tcPr>
            <w:tcW w:w="1960" w:type="dxa"/>
            <w:tcBorders>
              <w:top w:val="nil"/>
              <w:left w:val="nil"/>
              <w:bottom w:val="dotted" w:sz="4" w:space="0" w:color="auto"/>
              <w:right w:val="dotted" w:sz="4" w:space="0" w:color="auto"/>
            </w:tcBorders>
            <w:shd w:val="clear" w:color="auto" w:fill="auto"/>
            <w:vAlign w:val="center"/>
            <w:hideMark/>
          </w:tcPr>
          <w:p w14:paraId="67659268" w14:textId="1A1CD162"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148.17</w:t>
            </w:r>
          </w:p>
        </w:tc>
        <w:tc>
          <w:tcPr>
            <w:tcW w:w="10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AE7F51" w14:textId="3C372EB4"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144.05</w:t>
            </w:r>
          </w:p>
        </w:tc>
        <w:tc>
          <w:tcPr>
            <w:tcW w:w="172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757109B" w14:textId="373F9895"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80.32</w:t>
            </w:r>
          </w:p>
        </w:tc>
        <w:tc>
          <w:tcPr>
            <w:tcW w:w="1140" w:type="dxa"/>
            <w:tcBorders>
              <w:top w:val="nil"/>
              <w:left w:val="nil"/>
              <w:bottom w:val="dotted" w:sz="4" w:space="0" w:color="auto"/>
              <w:right w:val="single" w:sz="4" w:space="0" w:color="auto"/>
            </w:tcBorders>
            <w:shd w:val="clear" w:color="auto" w:fill="auto"/>
            <w:noWrap/>
            <w:vAlign w:val="center"/>
            <w:hideMark/>
          </w:tcPr>
          <w:p w14:paraId="7224DD67" w14:textId="77777777" w:rsidR="00CE3D5C" w:rsidRPr="007D4C7A" w:rsidRDefault="00CE3D5C" w:rsidP="007D4C7A">
            <w:pPr>
              <w:spacing w:after="0" w:line="240" w:lineRule="auto"/>
              <w:jc w:val="center"/>
              <w:rPr>
                <w:rFonts w:ascii="Helvetica" w:eastAsia="Times New Roman" w:hAnsi="Helvetica" w:cs="Helvetica"/>
                <w:iCs/>
                <w:sz w:val="20"/>
                <w:szCs w:val="20"/>
                <w:lang w:eastAsia="es-GT"/>
              </w:rPr>
            </w:pPr>
            <w:r w:rsidRPr="007D4C7A">
              <w:rPr>
                <w:rFonts w:ascii="Helvetica" w:eastAsia="Times New Roman" w:hAnsi="Helvetica" w:cs="Helvetica"/>
                <w:iCs/>
                <w:sz w:val="20"/>
                <w:szCs w:val="20"/>
                <w:lang w:eastAsia="es-GT"/>
              </w:rPr>
              <w:t>55.76%</w:t>
            </w:r>
          </w:p>
        </w:tc>
      </w:tr>
      <w:tr w:rsidR="00CE3D5C" w:rsidRPr="008F7682" w14:paraId="5EDBD371" w14:textId="77777777" w:rsidTr="007D4C7A">
        <w:trPr>
          <w:trHeight w:val="255"/>
          <w:jc w:val="center"/>
        </w:trPr>
        <w:tc>
          <w:tcPr>
            <w:tcW w:w="2660" w:type="dxa"/>
            <w:tcBorders>
              <w:top w:val="dotted" w:sz="4" w:space="0" w:color="auto"/>
              <w:left w:val="single" w:sz="4" w:space="0" w:color="auto"/>
              <w:bottom w:val="single" w:sz="4" w:space="0" w:color="auto"/>
              <w:right w:val="dotted" w:sz="4" w:space="0" w:color="auto"/>
            </w:tcBorders>
            <w:shd w:val="clear" w:color="auto" w:fill="D9E2F3" w:themeFill="accent1" w:themeFillTint="33"/>
            <w:vAlign w:val="center"/>
            <w:hideMark/>
          </w:tcPr>
          <w:p w14:paraId="62D4828C" w14:textId="77777777" w:rsidR="00CE3D5C" w:rsidRPr="007D4C7A" w:rsidRDefault="00CE3D5C" w:rsidP="007D4C7A">
            <w:pPr>
              <w:spacing w:after="0" w:line="240" w:lineRule="auto"/>
              <w:rPr>
                <w:rFonts w:ascii="Helvetica" w:eastAsia="Times New Roman" w:hAnsi="Helvetica" w:cs="Helvetica"/>
                <w:b/>
                <w:iCs/>
                <w:sz w:val="20"/>
                <w:szCs w:val="20"/>
                <w:lang w:eastAsia="es-GT"/>
              </w:rPr>
            </w:pPr>
            <w:r w:rsidRPr="007D4C7A">
              <w:rPr>
                <w:rFonts w:ascii="Helvetica" w:eastAsia="Times New Roman" w:hAnsi="Helvetica" w:cs="Helvetica"/>
                <w:b/>
                <w:iCs/>
                <w:sz w:val="20"/>
                <w:szCs w:val="20"/>
                <w:lang w:eastAsia="es-GT"/>
              </w:rPr>
              <w:t>Total</w:t>
            </w:r>
          </w:p>
        </w:tc>
        <w:tc>
          <w:tcPr>
            <w:tcW w:w="1960" w:type="dxa"/>
            <w:tcBorders>
              <w:top w:val="nil"/>
              <w:left w:val="nil"/>
              <w:bottom w:val="single" w:sz="4" w:space="0" w:color="auto"/>
              <w:right w:val="dotted" w:sz="4" w:space="0" w:color="auto"/>
            </w:tcBorders>
            <w:shd w:val="clear" w:color="auto" w:fill="D9E2F3" w:themeFill="accent1" w:themeFillTint="33"/>
            <w:vAlign w:val="center"/>
            <w:hideMark/>
          </w:tcPr>
          <w:p w14:paraId="0DA12E19" w14:textId="13BC119C" w:rsidR="00CE3D5C" w:rsidRPr="007D4C7A" w:rsidRDefault="00CE3D5C" w:rsidP="007D4C7A">
            <w:pPr>
              <w:spacing w:after="0" w:line="240" w:lineRule="auto"/>
              <w:jc w:val="center"/>
              <w:rPr>
                <w:rFonts w:ascii="Helvetica" w:eastAsia="Times New Roman" w:hAnsi="Helvetica" w:cs="Helvetica"/>
                <w:b/>
                <w:iCs/>
                <w:sz w:val="20"/>
                <w:szCs w:val="20"/>
                <w:lang w:eastAsia="es-GT"/>
              </w:rPr>
            </w:pPr>
            <w:r w:rsidRPr="007D4C7A">
              <w:rPr>
                <w:rFonts w:ascii="Helvetica" w:eastAsia="Times New Roman" w:hAnsi="Helvetica" w:cs="Helvetica"/>
                <w:b/>
                <w:iCs/>
                <w:sz w:val="20"/>
                <w:szCs w:val="20"/>
                <w:lang w:eastAsia="es-GT"/>
              </w:rPr>
              <w:t>402.64</w:t>
            </w:r>
          </w:p>
        </w:tc>
        <w:tc>
          <w:tcPr>
            <w:tcW w:w="1060" w:type="dxa"/>
            <w:tcBorders>
              <w:top w:val="dotted" w:sz="4" w:space="0" w:color="auto"/>
              <w:left w:val="dotted" w:sz="4" w:space="0" w:color="auto"/>
              <w:bottom w:val="single" w:sz="4" w:space="0" w:color="auto"/>
              <w:right w:val="dotted" w:sz="4" w:space="0" w:color="auto"/>
            </w:tcBorders>
            <w:shd w:val="clear" w:color="auto" w:fill="D9E2F3" w:themeFill="accent1" w:themeFillTint="33"/>
            <w:noWrap/>
            <w:vAlign w:val="center"/>
            <w:hideMark/>
          </w:tcPr>
          <w:p w14:paraId="7B722482" w14:textId="5A788829" w:rsidR="00CE3D5C" w:rsidRPr="007D4C7A" w:rsidRDefault="00CE3D5C" w:rsidP="007D4C7A">
            <w:pPr>
              <w:spacing w:after="0" w:line="240" w:lineRule="auto"/>
              <w:jc w:val="center"/>
              <w:rPr>
                <w:rFonts w:ascii="Helvetica" w:eastAsia="Times New Roman" w:hAnsi="Helvetica" w:cs="Helvetica"/>
                <w:b/>
                <w:iCs/>
                <w:sz w:val="20"/>
                <w:szCs w:val="20"/>
                <w:lang w:eastAsia="es-GT"/>
              </w:rPr>
            </w:pPr>
            <w:r w:rsidRPr="007D4C7A">
              <w:rPr>
                <w:rFonts w:ascii="Helvetica" w:eastAsia="Times New Roman" w:hAnsi="Helvetica" w:cs="Helvetica"/>
                <w:b/>
                <w:iCs/>
                <w:sz w:val="20"/>
                <w:szCs w:val="20"/>
                <w:lang w:eastAsia="es-GT"/>
              </w:rPr>
              <w:t>307.89</w:t>
            </w:r>
          </w:p>
        </w:tc>
        <w:tc>
          <w:tcPr>
            <w:tcW w:w="1720" w:type="dxa"/>
            <w:tcBorders>
              <w:top w:val="dotted" w:sz="4" w:space="0" w:color="auto"/>
              <w:left w:val="dotted" w:sz="4" w:space="0" w:color="auto"/>
              <w:bottom w:val="single" w:sz="4" w:space="0" w:color="auto"/>
              <w:right w:val="dotted" w:sz="4" w:space="0" w:color="auto"/>
            </w:tcBorders>
            <w:shd w:val="clear" w:color="auto" w:fill="D9E2F3" w:themeFill="accent1" w:themeFillTint="33"/>
            <w:noWrap/>
            <w:vAlign w:val="center"/>
            <w:hideMark/>
          </w:tcPr>
          <w:p w14:paraId="64EF8E9A" w14:textId="445D1776" w:rsidR="00CE3D5C" w:rsidRPr="007D4C7A" w:rsidRDefault="00CE3D5C" w:rsidP="007D4C7A">
            <w:pPr>
              <w:spacing w:after="0" w:line="240" w:lineRule="auto"/>
              <w:jc w:val="center"/>
              <w:rPr>
                <w:rFonts w:ascii="Helvetica" w:eastAsia="Times New Roman" w:hAnsi="Helvetica" w:cs="Helvetica"/>
                <w:b/>
                <w:iCs/>
                <w:sz w:val="20"/>
                <w:szCs w:val="20"/>
                <w:lang w:eastAsia="es-GT"/>
              </w:rPr>
            </w:pPr>
            <w:r w:rsidRPr="007D4C7A">
              <w:rPr>
                <w:rFonts w:ascii="Helvetica" w:eastAsia="Times New Roman" w:hAnsi="Helvetica" w:cs="Helvetica"/>
                <w:b/>
                <w:iCs/>
                <w:sz w:val="20"/>
                <w:szCs w:val="20"/>
                <w:lang w:eastAsia="es-GT"/>
              </w:rPr>
              <w:t>154.63</w:t>
            </w:r>
          </w:p>
        </w:tc>
        <w:tc>
          <w:tcPr>
            <w:tcW w:w="1140" w:type="dxa"/>
            <w:tcBorders>
              <w:top w:val="nil"/>
              <w:left w:val="nil"/>
              <w:bottom w:val="single" w:sz="4" w:space="0" w:color="auto"/>
              <w:right w:val="single" w:sz="4" w:space="0" w:color="auto"/>
            </w:tcBorders>
            <w:shd w:val="clear" w:color="auto" w:fill="D9E2F3" w:themeFill="accent1" w:themeFillTint="33"/>
            <w:noWrap/>
            <w:vAlign w:val="center"/>
            <w:hideMark/>
          </w:tcPr>
          <w:p w14:paraId="553EA20E" w14:textId="77777777" w:rsidR="00CE3D5C" w:rsidRPr="007D4C7A" w:rsidRDefault="00CE3D5C" w:rsidP="007D4C7A">
            <w:pPr>
              <w:spacing w:after="0" w:line="240" w:lineRule="auto"/>
              <w:jc w:val="center"/>
              <w:rPr>
                <w:rFonts w:ascii="Helvetica" w:eastAsia="Times New Roman" w:hAnsi="Helvetica" w:cs="Helvetica"/>
                <w:b/>
                <w:iCs/>
                <w:sz w:val="20"/>
                <w:szCs w:val="20"/>
                <w:lang w:eastAsia="es-GT"/>
              </w:rPr>
            </w:pPr>
            <w:r w:rsidRPr="007D4C7A">
              <w:rPr>
                <w:rFonts w:ascii="Helvetica" w:eastAsia="Times New Roman" w:hAnsi="Helvetica" w:cs="Helvetica"/>
                <w:b/>
                <w:iCs/>
                <w:sz w:val="20"/>
                <w:szCs w:val="20"/>
                <w:lang w:eastAsia="es-GT"/>
              </w:rPr>
              <w:t>50.22%</w:t>
            </w:r>
          </w:p>
        </w:tc>
      </w:tr>
    </w:tbl>
    <w:p w14:paraId="7B3F4547" w14:textId="4EBDED7A" w:rsidR="007D4C7A" w:rsidRDefault="007D4C7A" w:rsidP="007D4C7A">
      <w:pPr>
        <w:spacing w:after="0" w:line="240" w:lineRule="auto"/>
        <w:rPr>
          <w:rFonts w:ascii="Helvetica" w:eastAsia="MS PGothic" w:hAnsi="Helvetica" w:cs="Helvetica"/>
          <w:bCs/>
          <w:iCs/>
          <w:sz w:val="16"/>
          <w:szCs w:val="18"/>
          <w:lang w:eastAsia="es-GT"/>
        </w:rPr>
      </w:pPr>
      <w:r>
        <w:rPr>
          <w:rFonts w:ascii="Helvetica" w:eastAsia="MS PGothic" w:hAnsi="Helvetica" w:cs="Helvetica"/>
          <w:bCs/>
          <w:i/>
          <w:iCs/>
          <w:sz w:val="16"/>
          <w:szCs w:val="18"/>
          <w:lang w:eastAsia="es-GT"/>
        </w:rPr>
        <w:t xml:space="preserve">          </w:t>
      </w:r>
      <w:r w:rsidR="00CE3D5C" w:rsidRPr="007D4C7A">
        <w:rPr>
          <w:rFonts w:ascii="Helvetica" w:eastAsia="MS PGothic" w:hAnsi="Helvetica" w:cs="Helvetica"/>
          <w:bCs/>
          <w:iCs/>
          <w:sz w:val="16"/>
          <w:szCs w:val="18"/>
          <w:lang w:eastAsia="es-GT"/>
        </w:rPr>
        <w:t xml:space="preserve">Fuente: Elaboración propia SEGEPLAN con datos del Sistema de Contabilidad integrada -SICOIN- </w:t>
      </w:r>
    </w:p>
    <w:p w14:paraId="324B8685" w14:textId="37CEAFAB" w:rsidR="00CE3D5C" w:rsidRPr="007D4C7A" w:rsidRDefault="007D4C7A" w:rsidP="007D4C7A">
      <w:pPr>
        <w:spacing w:after="0" w:line="240" w:lineRule="auto"/>
        <w:rPr>
          <w:rFonts w:ascii="Helvetica" w:eastAsia="MS PGothic" w:hAnsi="Helvetica" w:cs="Helvetica"/>
          <w:iCs/>
          <w:sz w:val="11"/>
          <w:szCs w:val="13"/>
          <w:lang w:eastAsia="es-GT"/>
        </w:rPr>
      </w:pPr>
      <w:r>
        <w:rPr>
          <w:rFonts w:ascii="Helvetica" w:eastAsia="MS PGothic" w:hAnsi="Helvetica" w:cs="Helvetica"/>
          <w:bCs/>
          <w:iCs/>
          <w:sz w:val="16"/>
          <w:szCs w:val="18"/>
          <w:lang w:eastAsia="es-GT"/>
        </w:rPr>
        <w:t xml:space="preserve">          E</w:t>
      </w:r>
      <w:r w:rsidR="00CE3D5C" w:rsidRPr="007D4C7A">
        <w:rPr>
          <w:rFonts w:ascii="Helvetica" w:eastAsia="MS PGothic" w:hAnsi="Helvetica" w:cs="Helvetica"/>
          <w:bCs/>
          <w:iCs/>
          <w:sz w:val="16"/>
          <w:szCs w:val="18"/>
          <w:lang w:eastAsia="es-GT"/>
        </w:rPr>
        <w:t>jercicio Fiscal 2020.</w:t>
      </w:r>
    </w:p>
    <w:p w14:paraId="16746872" w14:textId="77777777" w:rsidR="00CE3D5C" w:rsidRPr="008F7682" w:rsidRDefault="00CE3D5C" w:rsidP="00CE3D5C">
      <w:pPr>
        <w:spacing w:after="200" w:line="252" w:lineRule="auto"/>
        <w:rPr>
          <w:rFonts w:ascii="Helvetica" w:eastAsia="MS PGothic" w:hAnsi="Helvetica" w:cs="Helvetica"/>
          <w:i/>
          <w:iCs/>
          <w:sz w:val="24"/>
          <w:szCs w:val="24"/>
          <w:lang w:eastAsia="es-GT"/>
        </w:rPr>
      </w:pPr>
      <w:r w:rsidRPr="008F7682">
        <w:rPr>
          <w:rFonts w:ascii="Helvetica" w:eastAsia="MS PGothic" w:hAnsi="Helvetica" w:cs="Helvetica"/>
          <w:i/>
          <w:iCs/>
          <w:sz w:val="24"/>
          <w:szCs w:val="24"/>
          <w:lang w:eastAsia="es-GT"/>
        </w:rPr>
        <w:br w:type="page"/>
      </w:r>
    </w:p>
    <w:bookmarkEnd w:id="126"/>
    <w:p w14:paraId="0AD7A5E0" w14:textId="6DAF2360" w:rsidR="00CE3D5C" w:rsidRDefault="00CE3D5C" w:rsidP="00CE3D5C">
      <w:pPr>
        <w:spacing w:after="0" w:line="240" w:lineRule="auto"/>
        <w:jc w:val="both"/>
        <w:rPr>
          <w:rFonts w:ascii="Helvetica" w:eastAsia="MS PGothic" w:hAnsi="Helvetica" w:cs="Helvetica"/>
          <w:sz w:val="24"/>
          <w:szCs w:val="24"/>
          <w:lang w:eastAsia="es-GT"/>
        </w:rPr>
      </w:pPr>
      <w:r w:rsidRPr="008F7682">
        <w:rPr>
          <w:rFonts w:ascii="Helvetica" w:eastAsia="MS PGothic" w:hAnsi="Helvetica" w:cs="Helvetica"/>
          <w:sz w:val="24"/>
          <w:szCs w:val="24"/>
          <w:lang w:eastAsia="es-GT"/>
        </w:rPr>
        <w:t>En la</w:t>
      </w:r>
      <w:r w:rsidR="00FC7FBF">
        <w:rPr>
          <w:rFonts w:ascii="Helvetica" w:eastAsia="MS PGothic" w:hAnsi="Helvetica" w:cs="Helvetica"/>
          <w:sz w:val="24"/>
          <w:szCs w:val="24"/>
          <w:lang w:eastAsia="es-GT"/>
        </w:rPr>
        <w:t xml:space="preserve"> </w:t>
      </w:r>
      <w:r w:rsidRPr="008F7682">
        <w:rPr>
          <w:rFonts w:ascii="Helvetica" w:eastAsia="MS PGothic" w:hAnsi="Helvetica" w:cs="Helvetica"/>
          <w:sz w:val="24"/>
          <w:szCs w:val="24"/>
          <w:lang w:eastAsia="es-GT"/>
        </w:rPr>
        <w:t>gráfica</w:t>
      </w:r>
      <w:r w:rsidR="00FC7FBF">
        <w:rPr>
          <w:rFonts w:ascii="Helvetica" w:eastAsia="MS PGothic" w:hAnsi="Helvetica" w:cs="Helvetica"/>
          <w:sz w:val="24"/>
          <w:szCs w:val="24"/>
          <w:lang w:eastAsia="es-GT"/>
        </w:rPr>
        <w:t xml:space="preserve"> 9</w:t>
      </w:r>
      <w:r w:rsidRPr="008F7682">
        <w:rPr>
          <w:rFonts w:ascii="Helvetica" w:eastAsia="MS PGothic" w:hAnsi="Helvetica" w:cs="Helvetica"/>
          <w:sz w:val="24"/>
          <w:szCs w:val="24"/>
          <w:lang w:eastAsia="es-GT"/>
        </w:rPr>
        <w:t xml:space="preserve">, se puede observar el comportamiento de los presupuestos para administración central e instituciones descentralizadas: </w:t>
      </w:r>
    </w:p>
    <w:p w14:paraId="7EEC9B3C" w14:textId="77777777" w:rsidR="003E1E24" w:rsidRPr="008F7682" w:rsidRDefault="003E1E24" w:rsidP="00CE3D5C">
      <w:pPr>
        <w:spacing w:after="0" w:line="240" w:lineRule="auto"/>
        <w:jc w:val="both"/>
        <w:rPr>
          <w:rFonts w:ascii="Helvetica" w:eastAsia="MS PGothic" w:hAnsi="Helvetica" w:cs="Helvetica"/>
          <w:sz w:val="24"/>
          <w:szCs w:val="24"/>
          <w:lang w:eastAsia="es-GT"/>
        </w:rPr>
      </w:pPr>
    </w:p>
    <w:p w14:paraId="19CFFBAB" w14:textId="5AF67F4C" w:rsidR="003562C1" w:rsidRPr="0059105E" w:rsidRDefault="003E1E24" w:rsidP="008F7682">
      <w:pPr>
        <w:pStyle w:val="ttulosgrficas"/>
        <w:rPr>
          <w:color w:val="4472C4" w:themeColor="accent1"/>
          <w:lang w:eastAsia="es-GT"/>
        </w:rPr>
      </w:pPr>
      <w:bookmarkStart w:id="128" w:name="_Toc67377816"/>
      <w:bookmarkStart w:id="129" w:name="_Toc67381559"/>
      <w:bookmarkStart w:id="130" w:name="_Toc67589109"/>
      <w:r w:rsidRPr="0059105E">
        <w:rPr>
          <w:color w:val="4472C4" w:themeColor="accent1"/>
          <w:lang w:eastAsia="es-GT"/>
        </w:rPr>
        <w:t xml:space="preserve">Gráfica </w:t>
      </w:r>
      <w:r w:rsidR="007F134F" w:rsidRPr="0059105E">
        <w:rPr>
          <w:color w:val="4472C4" w:themeColor="accent1"/>
          <w:lang w:eastAsia="es-GT"/>
        </w:rPr>
        <w:fldChar w:fldCharType="begin"/>
      </w:r>
      <w:r w:rsidR="007F134F" w:rsidRPr="0059105E">
        <w:rPr>
          <w:color w:val="4472C4" w:themeColor="accent1"/>
          <w:lang w:eastAsia="es-GT"/>
        </w:rPr>
        <w:instrText xml:space="preserve"> SEQ Gráfica \* ARABIC </w:instrText>
      </w:r>
      <w:r w:rsidR="007F134F" w:rsidRPr="0059105E">
        <w:rPr>
          <w:color w:val="4472C4" w:themeColor="accent1"/>
          <w:lang w:eastAsia="es-GT"/>
        </w:rPr>
        <w:fldChar w:fldCharType="separate"/>
      </w:r>
      <w:r w:rsidR="00AA2593" w:rsidRPr="0059105E">
        <w:rPr>
          <w:color w:val="4472C4" w:themeColor="accent1"/>
          <w:lang w:eastAsia="es-GT"/>
        </w:rPr>
        <w:t>9</w:t>
      </w:r>
      <w:bookmarkEnd w:id="128"/>
      <w:bookmarkEnd w:id="129"/>
      <w:r w:rsidR="007F134F" w:rsidRPr="0059105E">
        <w:rPr>
          <w:color w:val="4472C4" w:themeColor="accent1"/>
          <w:lang w:eastAsia="es-GT"/>
        </w:rPr>
        <w:fldChar w:fldCharType="end"/>
      </w:r>
      <w:r w:rsidR="003562C1" w:rsidRPr="0059105E">
        <w:rPr>
          <w:color w:val="4472C4" w:themeColor="accent1"/>
          <w:lang w:eastAsia="es-GT"/>
        </w:rPr>
        <w:t xml:space="preserve">, </w:t>
      </w:r>
      <w:r w:rsidR="00CE3D5C" w:rsidRPr="0059105E">
        <w:rPr>
          <w:color w:val="4472C4" w:themeColor="accent1"/>
          <w:lang w:eastAsia="es-GT"/>
        </w:rPr>
        <w:t>Presupuesto de donaciones</w:t>
      </w:r>
      <w:bookmarkEnd w:id="130"/>
      <w:r w:rsidR="00CE3D5C" w:rsidRPr="0059105E">
        <w:rPr>
          <w:color w:val="4472C4" w:themeColor="accent1"/>
          <w:lang w:eastAsia="es-GT"/>
        </w:rPr>
        <w:t xml:space="preserve"> </w:t>
      </w:r>
    </w:p>
    <w:p w14:paraId="2CF8E8D4" w14:textId="560BB29C" w:rsidR="00CE3D5C" w:rsidRPr="0059105E" w:rsidRDefault="008F7682" w:rsidP="008F7682">
      <w:pPr>
        <w:pStyle w:val="ttulosgrficas"/>
        <w:rPr>
          <w:color w:val="4472C4" w:themeColor="accent1"/>
          <w:lang w:eastAsia="es-GT"/>
        </w:rPr>
      </w:pPr>
      <w:r w:rsidRPr="0059105E">
        <w:rPr>
          <w:color w:val="4472C4" w:themeColor="accent1"/>
          <w:lang w:eastAsia="es-GT"/>
        </w:rPr>
        <w:t>diciembre</w:t>
      </w:r>
      <w:r w:rsidR="00CE3D5C" w:rsidRPr="0059105E">
        <w:rPr>
          <w:color w:val="4472C4" w:themeColor="accent1"/>
          <w:lang w:eastAsia="es-GT"/>
        </w:rPr>
        <w:t xml:space="preserve"> 2020</w:t>
      </w:r>
    </w:p>
    <w:p w14:paraId="0C6F5D6A" w14:textId="77777777" w:rsidR="0056431A" w:rsidRPr="008F7682" w:rsidRDefault="0056431A" w:rsidP="0056431A">
      <w:pPr>
        <w:pStyle w:val="ttulosgrficas"/>
        <w:spacing w:line="120" w:lineRule="auto"/>
        <w:rPr>
          <w:lang w:eastAsia="es-GT"/>
        </w:rPr>
      </w:pPr>
    </w:p>
    <w:p w14:paraId="75BF99C2" w14:textId="77777777" w:rsidR="00CE3D5C" w:rsidRPr="008F7682" w:rsidRDefault="00CE3D5C" w:rsidP="00CE3D5C">
      <w:pPr>
        <w:spacing w:after="0" w:line="240" w:lineRule="auto"/>
        <w:jc w:val="center"/>
        <w:rPr>
          <w:rFonts w:ascii="Helvetica" w:eastAsia="MS PGothic" w:hAnsi="Helvetica" w:cs="Helvetica"/>
          <w:b/>
          <w:bCs/>
          <w:i/>
          <w:iCs/>
          <w:sz w:val="20"/>
          <w:szCs w:val="20"/>
          <w:lang w:eastAsia="es-GT"/>
        </w:rPr>
      </w:pPr>
      <w:r w:rsidRPr="008F7682">
        <w:rPr>
          <w:rFonts w:ascii="Helvetica" w:eastAsia="MS PGothic" w:hAnsi="Helvetica" w:cs="Helvetica"/>
          <w:noProof/>
          <w:lang w:eastAsia="es-GT"/>
        </w:rPr>
        <w:drawing>
          <wp:inline distT="0" distB="0" distL="0" distR="0" wp14:anchorId="495FC81F" wp14:editId="7A8D2380">
            <wp:extent cx="5941060" cy="3310890"/>
            <wp:effectExtent l="0" t="0" r="2540" b="3810"/>
            <wp:docPr id="16" name="Gráfico 1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27A8E94" w14:textId="6CA36CFB" w:rsidR="00CE3D5C" w:rsidRPr="0056431A" w:rsidRDefault="00CE3D5C" w:rsidP="00CE3D5C">
      <w:pPr>
        <w:spacing w:after="0" w:line="240" w:lineRule="auto"/>
        <w:jc w:val="both"/>
        <w:rPr>
          <w:rFonts w:ascii="Helvetica" w:eastAsia="MS PGothic" w:hAnsi="Helvetica" w:cs="Helvetica"/>
          <w:iCs/>
          <w:sz w:val="18"/>
          <w:szCs w:val="18"/>
          <w:lang w:eastAsia="es-GT"/>
        </w:rPr>
      </w:pPr>
      <w:r w:rsidRPr="0056431A">
        <w:rPr>
          <w:rFonts w:ascii="Helvetica" w:eastAsia="MS PGothic" w:hAnsi="Helvetica" w:cs="Helvetica"/>
          <w:bCs/>
          <w:iCs/>
          <w:sz w:val="18"/>
          <w:szCs w:val="18"/>
          <w:lang w:eastAsia="es-GT"/>
        </w:rPr>
        <w:t>Fuente: Elaboración propia SEGEPLAN con datos del Sistema de Contabilidad Integrada –SICOIN y SICOINDES- Ejercicio Fiscal 2020</w:t>
      </w:r>
      <w:r w:rsidRPr="0056431A">
        <w:rPr>
          <w:rFonts w:ascii="Helvetica" w:eastAsia="MS PGothic" w:hAnsi="Helvetica" w:cs="Helvetica"/>
          <w:iCs/>
          <w:sz w:val="18"/>
          <w:szCs w:val="18"/>
          <w:lang w:eastAsia="es-GT"/>
        </w:rPr>
        <w:t xml:space="preserve">. </w:t>
      </w:r>
    </w:p>
    <w:p w14:paraId="42BC9B35" w14:textId="77777777" w:rsidR="00CE3D5C" w:rsidRPr="008F7682" w:rsidRDefault="00CE3D5C" w:rsidP="00CE3D5C">
      <w:pPr>
        <w:spacing w:after="0" w:line="240" w:lineRule="auto"/>
        <w:ind w:left="567"/>
        <w:jc w:val="both"/>
        <w:rPr>
          <w:rFonts w:ascii="Helvetica" w:eastAsia="MS PGothic" w:hAnsi="Helvetica" w:cs="Helvetica"/>
          <w:i/>
          <w:iCs/>
          <w:sz w:val="18"/>
          <w:szCs w:val="18"/>
          <w:lang w:eastAsia="es-GT"/>
        </w:rPr>
      </w:pPr>
    </w:p>
    <w:p w14:paraId="589B191E" w14:textId="77777777" w:rsidR="00CE3D5C" w:rsidRPr="00E158F1" w:rsidRDefault="00CE3D5C" w:rsidP="00CE3D5C">
      <w:pPr>
        <w:spacing w:after="0" w:line="240" w:lineRule="auto"/>
        <w:jc w:val="both"/>
        <w:rPr>
          <w:rFonts w:ascii="Helvetica" w:eastAsia="MS PGothic" w:hAnsi="Helvetica" w:cs="Helvetica"/>
          <w:sz w:val="24"/>
          <w:szCs w:val="24"/>
          <w:lang w:eastAsia="es-GT"/>
        </w:rPr>
      </w:pPr>
      <w:r w:rsidRPr="00E158F1">
        <w:rPr>
          <w:rFonts w:ascii="Helvetica" w:eastAsia="MS PGothic" w:hAnsi="Helvetica" w:cs="Helvetica"/>
          <w:sz w:val="24"/>
          <w:szCs w:val="24"/>
          <w:lang w:eastAsia="es-GT"/>
        </w:rPr>
        <w:t>Como se puede observar, la ejecución acumulada al 31 de diciembre de 2020 para cada una de las asignaciones presupuestarias alcanza el 45.36% para el Gobierno Central, y el 55.76% para entidades descentralizadas, para hacer un promedio ponderado entre ambas de 50.22%, con un monto absoluto de Q. 154.63 millones, incluido el monto de transferencias para Obligaciones del Estado.</w:t>
      </w:r>
    </w:p>
    <w:p w14:paraId="2F313F9D" w14:textId="77777777" w:rsidR="003B1BD8" w:rsidRDefault="003B1BD8" w:rsidP="008F7682">
      <w:pPr>
        <w:tabs>
          <w:tab w:val="num" w:pos="360"/>
        </w:tabs>
        <w:rPr>
          <w:rFonts w:ascii="Helvetica" w:eastAsiaTheme="majorEastAsia" w:hAnsi="Helvetica" w:cstheme="majorBidi"/>
          <w:b/>
          <w:color w:val="002060"/>
          <w:sz w:val="28"/>
          <w:szCs w:val="28"/>
        </w:rPr>
      </w:pPr>
      <w:bookmarkStart w:id="131" w:name="_Toc31818087"/>
    </w:p>
    <w:p w14:paraId="511F7E12" w14:textId="6B838279" w:rsidR="00CE3D5C" w:rsidRPr="003B1BD8" w:rsidRDefault="00CE3D5C" w:rsidP="008F7682">
      <w:pPr>
        <w:tabs>
          <w:tab w:val="num" w:pos="360"/>
        </w:tabs>
        <w:rPr>
          <w:rFonts w:ascii="Helvetica" w:eastAsiaTheme="majorEastAsia" w:hAnsi="Helvetica" w:cstheme="majorBidi"/>
          <w:b/>
          <w:color w:val="002060"/>
          <w:sz w:val="28"/>
          <w:szCs w:val="28"/>
        </w:rPr>
      </w:pPr>
      <w:r w:rsidRPr="003B1BD8">
        <w:rPr>
          <w:rFonts w:ascii="Helvetica" w:eastAsiaTheme="majorEastAsia" w:hAnsi="Helvetica" w:cstheme="majorBidi"/>
          <w:b/>
          <w:color w:val="002060"/>
          <w:sz w:val="28"/>
          <w:szCs w:val="28"/>
        </w:rPr>
        <w:t>Ejecución administración central</w:t>
      </w:r>
      <w:bookmarkEnd w:id="131"/>
    </w:p>
    <w:p w14:paraId="40346124" w14:textId="620EEE1E" w:rsidR="00CE3D5C" w:rsidRPr="00E158F1" w:rsidRDefault="00CE3D5C" w:rsidP="00CE3D5C">
      <w:pPr>
        <w:spacing w:after="200" w:line="252" w:lineRule="auto"/>
        <w:jc w:val="both"/>
        <w:rPr>
          <w:rFonts w:ascii="Helvetica" w:eastAsia="MS PGothic" w:hAnsi="Helvetica" w:cs="Helvetica"/>
          <w:sz w:val="24"/>
          <w:szCs w:val="24"/>
          <w:lang w:eastAsia="es-GT"/>
        </w:rPr>
      </w:pPr>
      <w:r w:rsidRPr="00E158F1">
        <w:rPr>
          <w:rFonts w:ascii="Helvetica" w:eastAsia="MS PGothic" w:hAnsi="Helvetica" w:cs="Helvetica"/>
          <w:sz w:val="24"/>
          <w:szCs w:val="24"/>
          <w:lang w:eastAsia="es-GT"/>
        </w:rPr>
        <w:t xml:space="preserve">La ejecución total acumulada del presupuesto de donaciones asignado a las instituciones de gobierno central al 31 de diciembre de 2020, asciende a Q.74.31 millones.  El porcentaje de ejecución acumulada es de 45.36% y se clasificó según </w:t>
      </w:r>
      <w:r w:rsidR="00FC7FBF" w:rsidRPr="00E158F1">
        <w:rPr>
          <w:rFonts w:ascii="Helvetica" w:eastAsia="MS PGothic" w:hAnsi="Helvetica" w:cs="Helvetica"/>
          <w:sz w:val="24"/>
          <w:szCs w:val="24"/>
          <w:lang w:eastAsia="es-GT"/>
        </w:rPr>
        <w:t>la tabla 43.</w:t>
      </w:r>
      <w:r w:rsidRPr="00E158F1">
        <w:rPr>
          <w:rFonts w:ascii="Helvetica" w:eastAsia="MS PGothic" w:hAnsi="Helvetica" w:cs="Helvetica"/>
          <w:sz w:val="24"/>
          <w:szCs w:val="24"/>
          <w:lang w:eastAsia="es-GT"/>
        </w:rPr>
        <w:t xml:space="preserve"> </w:t>
      </w:r>
    </w:p>
    <w:p w14:paraId="347F6B6F" w14:textId="77777777" w:rsidR="00CE3D5C" w:rsidRPr="008F7682" w:rsidRDefault="00CE3D5C" w:rsidP="00CE3D5C">
      <w:pPr>
        <w:spacing w:after="0" w:line="240" w:lineRule="auto"/>
        <w:jc w:val="both"/>
        <w:rPr>
          <w:rFonts w:ascii="Helvetica" w:eastAsia="Times New Roman" w:hAnsi="Helvetica" w:cs="Helvetica"/>
          <w:i/>
          <w:iCs/>
          <w:sz w:val="24"/>
          <w:szCs w:val="24"/>
          <w:lang w:eastAsia="es-GT"/>
        </w:rPr>
      </w:pPr>
    </w:p>
    <w:p w14:paraId="1749547F" w14:textId="72ED1A86" w:rsidR="00CE3D5C" w:rsidRDefault="00CE3D5C" w:rsidP="00CE3D5C">
      <w:pPr>
        <w:spacing w:after="200" w:line="252" w:lineRule="auto"/>
        <w:rPr>
          <w:rFonts w:ascii="Helvetica" w:eastAsia="MS PGothic" w:hAnsi="Helvetica" w:cs="Helvetica"/>
          <w:b/>
          <w:bCs/>
          <w:i/>
          <w:iCs/>
          <w:sz w:val="20"/>
          <w:szCs w:val="20"/>
          <w:lang w:eastAsia="es-GT"/>
        </w:rPr>
      </w:pPr>
      <w:r w:rsidRPr="008F7682">
        <w:rPr>
          <w:rFonts w:ascii="Helvetica" w:eastAsia="MS PGothic" w:hAnsi="Helvetica" w:cs="Helvetica"/>
          <w:b/>
          <w:bCs/>
          <w:i/>
          <w:iCs/>
          <w:sz w:val="20"/>
          <w:szCs w:val="20"/>
          <w:lang w:eastAsia="es-GT"/>
        </w:rPr>
        <w:br w:type="page"/>
      </w:r>
    </w:p>
    <w:p w14:paraId="38D8D8D0" w14:textId="378ACC3B" w:rsidR="003562C1" w:rsidRDefault="00FC7FBF" w:rsidP="00E158F1">
      <w:pPr>
        <w:pStyle w:val="ttulosgrficas"/>
        <w:rPr>
          <w:lang w:eastAsia="es-GT"/>
        </w:rPr>
      </w:pPr>
      <w:bookmarkStart w:id="132" w:name="_Toc67589156"/>
      <w:r w:rsidRPr="003562C1">
        <w:rPr>
          <w:lang w:eastAsia="es-GT"/>
        </w:rPr>
        <w:t>Tabla</w:t>
      </w:r>
      <w:r>
        <w:rPr>
          <w:lang w:eastAsia="es-GT"/>
        </w:rPr>
        <w:t xml:space="preserve"> </w:t>
      </w:r>
      <w:r w:rsidR="007F134F">
        <w:rPr>
          <w:lang w:eastAsia="es-GT"/>
        </w:rPr>
        <w:fldChar w:fldCharType="begin"/>
      </w:r>
      <w:r w:rsidR="007F134F">
        <w:rPr>
          <w:lang w:eastAsia="es-GT"/>
        </w:rPr>
        <w:instrText xml:space="preserve"> SEQ Tabla \* ARABIC </w:instrText>
      </w:r>
      <w:r w:rsidR="007F134F">
        <w:rPr>
          <w:lang w:eastAsia="es-GT"/>
        </w:rPr>
        <w:fldChar w:fldCharType="separate"/>
      </w:r>
      <w:r w:rsidR="00AA2593">
        <w:rPr>
          <w:lang w:eastAsia="es-GT"/>
        </w:rPr>
        <w:t>43</w:t>
      </w:r>
      <w:r w:rsidR="007F134F">
        <w:rPr>
          <w:lang w:eastAsia="es-GT"/>
        </w:rPr>
        <w:fldChar w:fldCharType="end"/>
      </w:r>
      <w:r w:rsidR="003562C1">
        <w:rPr>
          <w:lang w:eastAsia="es-GT"/>
        </w:rPr>
        <w:t xml:space="preserve">, </w:t>
      </w:r>
      <w:r w:rsidR="00CE3D5C" w:rsidRPr="008F7682">
        <w:rPr>
          <w:lang w:eastAsia="es-GT"/>
        </w:rPr>
        <w:t>Ejecución por tipo de institución</w:t>
      </w:r>
      <w:bookmarkEnd w:id="132"/>
    </w:p>
    <w:p w14:paraId="46965295" w14:textId="3D7E7EF2" w:rsidR="00CE3D5C" w:rsidRDefault="00CE3D5C" w:rsidP="00E158F1">
      <w:pPr>
        <w:pStyle w:val="ttulosgrficas"/>
        <w:rPr>
          <w:lang w:eastAsia="es-GT"/>
        </w:rPr>
      </w:pPr>
      <w:r w:rsidRPr="008F7682">
        <w:rPr>
          <w:lang w:eastAsia="es-GT"/>
        </w:rPr>
        <w:t xml:space="preserve"> al mes de diciembre 2020</w:t>
      </w:r>
    </w:p>
    <w:p w14:paraId="723FC524" w14:textId="77777777" w:rsidR="00E158F1" w:rsidRPr="008F7682" w:rsidRDefault="00E158F1" w:rsidP="00E158F1">
      <w:pPr>
        <w:pStyle w:val="ttulosgrficas"/>
        <w:spacing w:line="120" w:lineRule="auto"/>
        <w:rPr>
          <w:lang w:eastAsia="es-GT"/>
        </w:rPr>
      </w:pPr>
    </w:p>
    <w:tbl>
      <w:tblPr>
        <w:tblW w:w="7260" w:type="dxa"/>
        <w:jc w:val="center"/>
        <w:tblCellMar>
          <w:left w:w="70" w:type="dxa"/>
          <w:right w:w="70" w:type="dxa"/>
        </w:tblCellMar>
        <w:tblLook w:val="04A0" w:firstRow="1" w:lastRow="0" w:firstColumn="1" w:lastColumn="0" w:noHBand="0" w:noVBand="1"/>
      </w:tblPr>
      <w:tblGrid>
        <w:gridCol w:w="2911"/>
        <w:gridCol w:w="1123"/>
        <w:gridCol w:w="921"/>
        <w:gridCol w:w="1170"/>
        <w:gridCol w:w="1135"/>
      </w:tblGrid>
      <w:tr w:rsidR="00CE3D5C" w:rsidRPr="008F7682" w14:paraId="47F4B1DF" w14:textId="77777777" w:rsidTr="00E158F1">
        <w:trPr>
          <w:trHeight w:val="824"/>
          <w:jc w:val="center"/>
        </w:trPr>
        <w:tc>
          <w:tcPr>
            <w:tcW w:w="2911" w:type="dxa"/>
            <w:tcBorders>
              <w:top w:val="single" w:sz="4" w:space="0" w:color="auto"/>
              <w:left w:val="single" w:sz="4" w:space="0" w:color="auto"/>
              <w:bottom w:val="nil"/>
              <w:right w:val="single" w:sz="4" w:space="0" w:color="auto"/>
            </w:tcBorders>
            <w:shd w:val="clear" w:color="auto" w:fill="D9E2F3" w:themeFill="accent1" w:themeFillTint="33"/>
            <w:vAlign w:val="center"/>
            <w:hideMark/>
          </w:tcPr>
          <w:p w14:paraId="433AC225" w14:textId="77777777" w:rsidR="00CE3D5C" w:rsidRPr="008F7682" w:rsidRDefault="00CE3D5C" w:rsidP="00CE3D5C">
            <w:pPr>
              <w:spacing w:after="0" w:line="240" w:lineRule="auto"/>
              <w:jc w:val="center"/>
              <w:rPr>
                <w:rFonts w:ascii="Helvetica" w:eastAsia="Times New Roman" w:hAnsi="Helvetica" w:cs="Helvetica"/>
                <w:b/>
                <w:bCs/>
                <w:i/>
                <w:iCs/>
                <w:sz w:val="18"/>
                <w:szCs w:val="18"/>
                <w:lang w:eastAsia="es-GT"/>
              </w:rPr>
            </w:pPr>
            <w:r w:rsidRPr="008F7682">
              <w:rPr>
                <w:rFonts w:ascii="Helvetica" w:eastAsia="Times New Roman" w:hAnsi="Helvetica" w:cs="Helvetica"/>
                <w:b/>
                <w:bCs/>
                <w:i/>
                <w:iCs/>
                <w:sz w:val="18"/>
                <w:szCs w:val="18"/>
                <w:lang w:eastAsia="es-GT"/>
              </w:rPr>
              <w:t xml:space="preserve">Tipo de Institución </w:t>
            </w:r>
          </w:p>
        </w:tc>
        <w:tc>
          <w:tcPr>
            <w:tcW w:w="1123" w:type="dxa"/>
            <w:tcBorders>
              <w:top w:val="single" w:sz="4" w:space="0" w:color="auto"/>
              <w:left w:val="nil"/>
              <w:bottom w:val="nil"/>
              <w:right w:val="single" w:sz="4" w:space="0" w:color="auto"/>
            </w:tcBorders>
            <w:shd w:val="clear" w:color="auto" w:fill="D9E2F3" w:themeFill="accent1" w:themeFillTint="33"/>
            <w:vAlign w:val="center"/>
            <w:hideMark/>
          </w:tcPr>
          <w:p w14:paraId="4036F037" w14:textId="77777777" w:rsidR="00CE3D5C" w:rsidRPr="008F7682" w:rsidRDefault="00CE3D5C" w:rsidP="00CE3D5C">
            <w:pPr>
              <w:spacing w:after="0" w:line="240" w:lineRule="auto"/>
              <w:jc w:val="center"/>
              <w:rPr>
                <w:rFonts w:ascii="Helvetica" w:eastAsia="Times New Roman" w:hAnsi="Helvetica" w:cs="Helvetica"/>
                <w:b/>
                <w:bCs/>
                <w:i/>
                <w:iCs/>
                <w:sz w:val="18"/>
                <w:szCs w:val="18"/>
                <w:lang w:eastAsia="es-GT"/>
              </w:rPr>
            </w:pPr>
            <w:r w:rsidRPr="008F7682">
              <w:rPr>
                <w:rFonts w:ascii="Helvetica" w:eastAsia="Times New Roman" w:hAnsi="Helvetica" w:cs="Helvetica"/>
                <w:b/>
                <w:bCs/>
                <w:i/>
                <w:iCs/>
                <w:sz w:val="18"/>
                <w:szCs w:val="18"/>
                <w:lang w:eastAsia="es-GT"/>
              </w:rPr>
              <w:t xml:space="preserve"> Asignado  </w:t>
            </w:r>
          </w:p>
        </w:tc>
        <w:tc>
          <w:tcPr>
            <w:tcW w:w="921" w:type="dxa"/>
            <w:tcBorders>
              <w:top w:val="single" w:sz="4" w:space="0" w:color="auto"/>
              <w:left w:val="nil"/>
              <w:bottom w:val="nil"/>
              <w:right w:val="single" w:sz="4" w:space="0" w:color="auto"/>
            </w:tcBorders>
            <w:shd w:val="clear" w:color="auto" w:fill="D9E2F3" w:themeFill="accent1" w:themeFillTint="33"/>
            <w:vAlign w:val="center"/>
            <w:hideMark/>
          </w:tcPr>
          <w:p w14:paraId="16AA419A" w14:textId="77777777" w:rsidR="00CE3D5C" w:rsidRPr="008F7682" w:rsidRDefault="00CE3D5C" w:rsidP="00CE3D5C">
            <w:pPr>
              <w:spacing w:after="0" w:line="240" w:lineRule="auto"/>
              <w:jc w:val="center"/>
              <w:rPr>
                <w:rFonts w:ascii="Helvetica" w:eastAsia="Times New Roman" w:hAnsi="Helvetica" w:cs="Helvetica"/>
                <w:b/>
                <w:bCs/>
                <w:i/>
                <w:iCs/>
                <w:sz w:val="18"/>
                <w:szCs w:val="18"/>
                <w:lang w:eastAsia="es-GT"/>
              </w:rPr>
            </w:pPr>
            <w:r w:rsidRPr="008F7682">
              <w:rPr>
                <w:rFonts w:ascii="Helvetica" w:eastAsia="Times New Roman" w:hAnsi="Helvetica" w:cs="Helvetica"/>
                <w:b/>
                <w:bCs/>
                <w:i/>
                <w:iCs/>
                <w:sz w:val="18"/>
                <w:szCs w:val="18"/>
                <w:lang w:eastAsia="es-GT"/>
              </w:rPr>
              <w:t xml:space="preserve"> Vigente   </w:t>
            </w:r>
          </w:p>
        </w:tc>
        <w:tc>
          <w:tcPr>
            <w:tcW w:w="1170" w:type="dxa"/>
            <w:tcBorders>
              <w:top w:val="single" w:sz="4" w:space="0" w:color="auto"/>
              <w:left w:val="nil"/>
              <w:bottom w:val="nil"/>
              <w:right w:val="single" w:sz="4" w:space="0" w:color="auto"/>
            </w:tcBorders>
            <w:shd w:val="clear" w:color="auto" w:fill="D9E2F3" w:themeFill="accent1" w:themeFillTint="33"/>
            <w:vAlign w:val="center"/>
            <w:hideMark/>
          </w:tcPr>
          <w:p w14:paraId="1CA37FB3" w14:textId="77777777" w:rsidR="00CE3D5C" w:rsidRPr="008F7682" w:rsidRDefault="00CE3D5C" w:rsidP="00CE3D5C">
            <w:pPr>
              <w:spacing w:after="0" w:line="240" w:lineRule="auto"/>
              <w:jc w:val="center"/>
              <w:rPr>
                <w:rFonts w:ascii="Helvetica" w:eastAsia="Times New Roman" w:hAnsi="Helvetica" w:cs="Helvetica"/>
                <w:b/>
                <w:bCs/>
                <w:i/>
                <w:iCs/>
                <w:sz w:val="18"/>
                <w:szCs w:val="18"/>
                <w:lang w:eastAsia="es-GT"/>
              </w:rPr>
            </w:pPr>
            <w:r w:rsidRPr="008F7682">
              <w:rPr>
                <w:rFonts w:ascii="Helvetica" w:eastAsia="Times New Roman" w:hAnsi="Helvetica" w:cs="Helvetica"/>
                <w:b/>
                <w:bCs/>
                <w:i/>
                <w:iCs/>
                <w:sz w:val="18"/>
                <w:szCs w:val="18"/>
                <w:lang w:eastAsia="es-GT"/>
              </w:rPr>
              <w:t xml:space="preserve">Ejecutado </w:t>
            </w:r>
          </w:p>
        </w:tc>
        <w:tc>
          <w:tcPr>
            <w:tcW w:w="1135" w:type="dxa"/>
            <w:tcBorders>
              <w:top w:val="single" w:sz="4" w:space="0" w:color="auto"/>
              <w:left w:val="nil"/>
              <w:bottom w:val="nil"/>
              <w:right w:val="single" w:sz="4" w:space="0" w:color="auto"/>
            </w:tcBorders>
            <w:shd w:val="clear" w:color="auto" w:fill="D9E2F3" w:themeFill="accent1" w:themeFillTint="33"/>
            <w:vAlign w:val="center"/>
            <w:hideMark/>
          </w:tcPr>
          <w:p w14:paraId="4766A5D5" w14:textId="77777777" w:rsidR="00CE3D5C" w:rsidRPr="008F7682" w:rsidRDefault="00CE3D5C" w:rsidP="00CE3D5C">
            <w:pPr>
              <w:spacing w:after="0" w:line="240" w:lineRule="auto"/>
              <w:jc w:val="center"/>
              <w:rPr>
                <w:rFonts w:ascii="Helvetica" w:eastAsia="Times New Roman" w:hAnsi="Helvetica" w:cs="Helvetica"/>
                <w:b/>
                <w:bCs/>
                <w:i/>
                <w:iCs/>
                <w:sz w:val="18"/>
                <w:szCs w:val="18"/>
                <w:lang w:eastAsia="es-GT"/>
              </w:rPr>
            </w:pPr>
            <w:r w:rsidRPr="008F7682">
              <w:rPr>
                <w:rFonts w:ascii="Helvetica" w:eastAsia="Times New Roman" w:hAnsi="Helvetica" w:cs="Helvetica"/>
                <w:b/>
                <w:bCs/>
                <w:i/>
                <w:iCs/>
                <w:sz w:val="18"/>
                <w:szCs w:val="18"/>
                <w:lang w:eastAsia="es-GT"/>
              </w:rPr>
              <w:t xml:space="preserve"> % de ejecución </w:t>
            </w:r>
          </w:p>
        </w:tc>
      </w:tr>
      <w:tr w:rsidR="00CE3D5C" w:rsidRPr="008F7682" w14:paraId="6F2DAAB3" w14:textId="77777777" w:rsidTr="00E158F1">
        <w:trPr>
          <w:trHeight w:val="250"/>
          <w:jc w:val="center"/>
        </w:trPr>
        <w:tc>
          <w:tcPr>
            <w:tcW w:w="2911" w:type="dxa"/>
            <w:tcBorders>
              <w:top w:val="single" w:sz="4" w:space="0" w:color="auto"/>
              <w:left w:val="single" w:sz="4" w:space="0" w:color="auto"/>
              <w:bottom w:val="dotted" w:sz="4" w:space="0" w:color="auto"/>
              <w:right w:val="dotted" w:sz="4" w:space="0" w:color="auto"/>
            </w:tcBorders>
            <w:shd w:val="clear" w:color="auto" w:fill="auto"/>
            <w:vAlign w:val="bottom"/>
            <w:hideMark/>
          </w:tcPr>
          <w:p w14:paraId="11589B85" w14:textId="77777777" w:rsidR="00CE3D5C" w:rsidRPr="008F7682" w:rsidRDefault="00CE3D5C" w:rsidP="00CE3D5C">
            <w:pPr>
              <w:spacing w:after="0" w:line="240" w:lineRule="auto"/>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Ministerios</w:t>
            </w:r>
          </w:p>
        </w:tc>
        <w:tc>
          <w:tcPr>
            <w:tcW w:w="1123" w:type="dxa"/>
            <w:tcBorders>
              <w:top w:val="single" w:sz="4" w:space="0" w:color="auto"/>
              <w:left w:val="nil"/>
              <w:bottom w:val="dotted" w:sz="4" w:space="0" w:color="auto"/>
              <w:right w:val="dotted" w:sz="4" w:space="0" w:color="auto"/>
            </w:tcBorders>
            <w:shd w:val="clear" w:color="auto" w:fill="auto"/>
            <w:vAlign w:val="center"/>
            <w:hideMark/>
          </w:tcPr>
          <w:p w14:paraId="0F52F930" w14:textId="49F71204"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156.60</w:t>
            </w:r>
          </w:p>
        </w:tc>
        <w:tc>
          <w:tcPr>
            <w:tcW w:w="921" w:type="dxa"/>
            <w:tcBorders>
              <w:top w:val="single" w:sz="4" w:space="0" w:color="auto"/>
              <w:left w:val="nil"/>
              <w:bottom w:val="dotted" w:sz="4" w:space="0" w:color="auto"/>
              <w:right w:val="dotted" w:sz="4" w:space="0" w:color="auto"/>
            </w:tcBorders>
            <w:shd w:val="clear" w:color="auto" w:fill="auto"/>
            <w:vAlign w:val="center"/>
            <w:hideMark/>
          </w:tcPr>
          <w:p w14:paraId="7D2E5EEE" w14:textId="5573ED84"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81.87</w:t>
            </w:r>
          </w:p>
        </w:tc>
        <w:tc>
          <w:tcPr>
            <w:tcW w:w="1170" w:type="dxa"/>
            <w:tcBorders>
              <w:top w:val="single" w:sz="4" w:space="0" w:color="auto"/>
              <w:left w:val="nil"/>
              <w:bottom w:val="dotted" w:sz="4" w:space="0" w:color="auto"/>
              <w:right w:val="dotted" w:sz="4" w:space="0" w:color="auto"/>
            </w:tcBorders>
            <w:shd w:val="clear" w:color="auto" w:fill="auto"/>
            <w:vAlign w:val="center"/>
            <w:hideMark/>
          </w:tcPr>
          <w:p w14:paraId="76FCCF03" w14:textId="4E7F7434"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29.49</w:t>
            </w:r>
          </w:p>
        </w:tc>
        <w:tc>
          <w:tcPr>
            <w:tcW w:w="1135" w:type="dxa"/>
            <w:tcBorders>
              <w:top w:val="single" w:sz="4" w:space="0" w:color="auto"/>
              <w:left w:val="nil"/>
              <w:bottom w:val="dotted" w:sz="4" w:space="0" w:color="auto"/>
              <w:right w:val="dotted" w:sz="4" w:space="0" w:color="auto"/>
            </w:tcBorders>
            <w:shd w:val="clear" w:color="auto" w:fill="auto"/>
            <w:noWrap/>
            <w:vAlign w:val="center"/>
            <w:hideMark/>
          </w:tcPr>
          <w:p w14:paraId="5B9E9E59" w14:textId="77777777"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18.00%</w:t>
            </w:r>
          </w:p>
        </w:tc>
      </w:tr>
      <w:tr w:rsidR="00CE3D5C" w:rsidRPr="008F7682" w14:paraId="625EFCBC" w14:textId="77777777" w:rsidTr="00E158F1">
        <w:trPr>
          <w:trHeight w:val="250"/>
          <w:jc w:val="center"/>
        </w:trPr>
        <w:tc>
          <w:tcPr>
            <w:tcW w:w="2911" w:type="dxa"/>
            <w:tcBorders>
              <w:top w:val="nil"/>
              <w:left w:val="single" w:sz="4" w:space="0" w:color="auto"/>
              <w:bottom w:val="dotted" w:sz="4" w:space="0" w:color="auto"/>
              <w:right w:val="dotted" w:sz="4" w:space="0" w:color="auto"/>
            </w:tcBorders>
            <w:shd w:val="clear" w:color="auto" w:fill="auto"/>
            <w:vAlign w:val="bottom"/>
            <w:hideMark/>
          </w:tcPr>
          <w:p w14:paraId="45FA8439" w14:textId="77777777" w:rsidR="00CE3D5C" w:rsidRPr="008F7682" w:rsidRDefault="00CE3D5C" w:rsidP="00CE3D5C">
            <w:pPr>
              <w:spacing w:after="0" w:line="240" w:lineRule="auto"/>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Secretarías y Otras</w:t>
            </w:r>
          </w:p>
        </w:tc>
        <w:tc>
          <w:tcPr>
            <w:tcW w:w="1123" w:type="dxa"/>
            <w:tcBorders>
              <w:top w:val="nil"/>
              <w:left w:val="nil"/>
              <w:bottom w:val="dotted" w:sz="4" w:space="0" w:color="auto"/>
              <w:right w:val="dotted" w:sz="4" w:space="0" w:color="auto"/>
            </w:tcBorders>
            <w:shd w:val="clear" w:color="auto" w:fill="auto"/>
            <w:vAlign w:val="center"/>
            <w:hideMark/>
          </w:tcPr>
          <w:p w14:paraId="36AF4777" w14:textId="487FE210"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27.32</w:t>
            </w:r>
          </w:p>
        </w:tc>
        <w:tc>
          <w:tcPr>
            <w:tcW w:w="921" w:type="dxa"/>
            <w:tcBorders>
              <w:top w:val="nil"/>
              <w:left w:val="nil"/>
              <w:bottom w:val="dotted" w:sz="4" w:space="0" w:color="auto"/>
              <w:right w:val="dotted" w:sz="4" w:space="0" w:color="auto"/>
            </w:tcBorders>
            <w:shd w:val="clear" w:color="auto" w:fill="auto"/>
            <w:vAlign w:val="center"/>
            <w:hideMark/>
          </w:tcPr>
          <w:p w14:paraId="7D556204" w14:textId="27774B67"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21.43</w:t>
            </w:r>
          </w:p>
        </w:tc>
        <w:tc>
          <w:tcPr>
            <w:tcW w:w="1170" w:type="dxa"/>
            <w:tcBorders>
              <w:top w:val="nil"/>
              <w:left w:val="nil"/>
              <w:bottom w:val="dotted" w:sz="4" w:space="0" w:color="auto"/>
              <w:right w:val="dotted" w:sz="4" w:space="0" w:color="auto"/>
            </w:tcBorders>
            <w:shd w:val="clear" w:color="auto" w:fill="auto"/>
            <w:vAlign w:val="center"/>
            <w:hideMark/>
          </w:tcPr>
          <w:p w14:paraId="4F9E1FB9" w14:textId="27AA06C7"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6.81</w:t>
            </w:r>
          </w:p>
        </w:tc>
        <w:tc>
          <w:tcPr>
            <w:tcW w:w="1135" w:type="dxa"/>
            <w:tcBorders>
              <w:top w:val="nil"/>
              <w:left w:val="nil"/>
              <w:bottom w:val="dotted" w:sz="4" w:space="0" w:color="auto"/>
              <w:right w:val="dotted" w:sz="4" w:space="0" w:color="auto"/>
            </w:tcBorders>
            <w:shd w:val="clear" w:color="auto" w:fill="auto"/>
            <w:noWrap/>
            <w:vAlign w:val="center"/>
            <w:hideMark/>
          </w:tcPr>
          <w:p w14:paraId="0033E82F" w14:textId="77777777"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4.16%</w:t>
            </w:r>
          </w:p>
        </w:tc>
      </w:tr>
      <w:tr w:rsidR="00CE3D5C" w:rsidRPr="008F7682" w14:paraId="319078ED" w14:textId="77777777" w:rsidTr="00E158F1">
        <w:trPr>
          <w:trHeight w:val="299"/>
          <w:jc w:val="center"/>
        </w:trPr>
        <w:tc>
          <w:tcPr>
            <w:tcW w:w="2911" w:type="dxa"/>
            <w:tcBorders>
              <w:top w:val="nil"/>
              <w:left w:val="single" w:sz="4" w:space="0" w:color="auto"/>
              <w:bottom w:val="dotted" w:sz="4" w:space="0" w:color="auto"/>
              <w:right w:val="dotted" w:sz="4" w:space="0" w:color="auto"/>
            </w:tcBorders>
            <w:shd w:val="clear" w:color="auto" w:fill="auto"/>
            <w:vAlign w:val="bottom"/>
            <w:hideMark/>
          </w:tcPr>
          <w:p w14:paraId="711291D6" w14:textId="77777777" w:rsidR="00CE3D5C" w:rsidRPr="008F7682" w:rsidRDefault="00CE3D5C" w:rsidP="00CE3D5C">
            <w:pPr>
              <w:spacing w:after="0" w:line="240" w:lineRule="auto"/>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 xml:space="preserve">Obligaciones a Cargo del Tesoro </w:t>
            </w:r>
          </w:p>
        </w:tc>
        <w:tc>
          <w:tcPr>
            <w:tcW w:w="1123" w:type="dxa"/>
            <w:tcBorders>
              <w:top w:val="nil"/>
              <w:left w:val="nil"/>
              <w:bottom w:val="dotted" w:sz="4" w:space="0" w:color="auto"/>
              <w:right w:val="dotted" w:sz="4" w:space="0" w:color="auto"/>
            </w:tcBorders>
            <w:shd w:val="clear" w:color="auto" w:fill="auto"/>
            <w:vAlign w:val="center"/>
            <w:hideMark/>
          </w:tcPr>
          <w:p w14:paraId="7071A94A" w14:textId="6F21D468"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70.55</w:t>
            </w:r>
          </w:p>
        </w:tc>
        <w:tc>
          <w:tcPr>
            <w:tcW w:w="921" w:type="dxa"/>
            <w:tcBorders>
              <w:top w:val="nil"/>
              <w:left w:val="nil"/>
              <w:bottom w:val="dotted" w:sz="4" w:space="0" w:color="auto"/>
              <w:right w:val="dotted" w:sz="4" w:space="0" w:color="auto"/>
            </w:tcBorders>
            <w:shd w:val="clear" w:color="auto" w:fill="auto"/>
            <w:vAlign w:val="center"/>
            <w:hideMark/>
          </w:tcPr>
          <w:p w14:paraId="5378611C" w14:textId="18C375F0"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60.55</w:t>
            </w:r>
          </w:p>
        </w:tc>
        <w:tc>
          <w:tcPr>
            <w:tcW w:w="1170" w:type="dxa"/>
            <w:tcBorders>
              <w:top w:val="nil"/>
              <w:left w:val="nil"/>
              <w:bottom w:val="dotted" w:sz="4" w:space="0" w:color="auto"/>
              <w:right w:val="dotted" w:sz="4" w:space="0" w:color="auto"/>
            </w:tcBorders>
            <w:shd w:val="clear" w:color="auto" w:fill="auto"/>
            <w:vAlign w:val="center"/>
            <w:hideMark/>
          </w:tcPr>
          <w:p w14:paraId="4C32584C" w14:textId="3DFC3509"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38.01</w:t>
            </w:r>
          </w:p>
        </w:tc>
        <w:tc>
          <w:tcPr>
            <w:tcW w:w="1135" w:type="dxa"/>
            <w:tcBorders>
              <w:top w:val="nil"/>
              <w:left w:val="nil"/>
              <w:bottom w:val="dotted" w:sz="4" w:space="0" w:color="auto"/>
              <w:right w:val="dotted" w:sz="4" w:space="0" w:color="auto"/>
            </w:tcBorders>
            <w:shd w:val="clear" w:color="auto" w:fill="auto"/>
            <w:noWrap/>
            <w:vAlign w:val="center"/>
            <w:hideMark/>
          </w:tcPr>
          <w:p w14:paraId="42722F61" w14:textId="77777777"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23.20%</w:t>
            </w:r>
          </w:p>
        </w:tc>
      </w:tr>
      <w:tr w:rsidR="00CE3D5C" w:rsidRPr="008F7682" w14:paraId="70575611" w14:textId="77777777" w:rsidTr="00E158F1">
        <w:trPr>
          <w:trHeight w:val="276"/>
          <w:jc w:val="center"/>
        </w:trPr>
        <w:tc>
          <w:tcPr>
            <w:tcW w:w="2911" w:type="dxa"/>
            <w:tcBorders>
              <w:top w:val="nil"/>
              <w:left w:val="single" w:sz="4" w:space="0" w:color="auto"/>
              <w:bottom w:val="single" w:sz="4" w:space="0" w:color="auto"/>
              <w:right w:val="dotted" w:sz="4" w:space="0" w:color="auto"/>
            </w:tcBorders>
            <w:shd w:val="clear" w:color="auto" w:fill="auto"/>
            <w:vAlign w:val="bottom"/>
            <w:hideMark/>
          </w:tcPr>
          <w:p w14:paraId="0E7BEA07" w14:textId="77777777" w:rsidR="00CE3D5C" w:rsidRPr="008F7682" w:rsidRDefault="00CE3D5C" w:rsidP="00CE3D5C">
            <w:pPr>
              <w:spacing w:after="0" w:line="240" w:lineRule="auto"/>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Servicios de la Deuda Pública</w:t>
            </w:r>
          </w:p>
        </w:tc>
        <w:tc>
          <w:tcPr>
            <w:tcW w:w="1123" w:type="dxa"/>
            <w:tcBorders>
              <w:top w:val="nil"/>
              <w:left w:val="nil"/>
              <w:bottom w:val="single" w:sz="4" w:space="0" w:color="auto"/>
              <w:right w:val="dotted" w:sz="4" w:space="0" w:color="auto"/>
            </w:tcBorders>
            <w:shd w:val="clear" w:color="auto" w:fill="auto"/>
            <w:vAlign w:val="center"/>
            <w:hideMark/>
          </w:tcPr>
          <w:p w14:paraId="42CDBE6C" w14:textId="72C7354A"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w:t>
            </w:r>
          </w:p>
        </w:tc>
        <w:tc>
          <w:tcPr>
            <w:tcW w:w="921" w:type="dxa"/>
            <w:tcBorders>
              <w:top w:val="nil"/>
              <w:left w:val="nil"/>
              <w:bottom w:val="single" w:sz="4" w:space="0" w:color="auto"/>
              <w:right w:val="dotted" w:sz="4" w:space="0" w:color="auto"/>
            </w:tcBorders>
            <w:shd w:val="clear" w:color="auto" w:fill="auto"/>
            <w:vAlign w:val="center"/>
            <w:hideMark/>
          </w:tcPr>
          <w:p w14:paraId="6A0F11B2" w14:textId="42AFCB22"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w:t>
            </w:r>
          </w:p>
        </w:tc>
        <w:tc>
          <w:tcPr>
            <w:tcW w:w="1170" w:type="dxa"/>
            <w:tcBorders>
              <w:top w:val="nil"/>
              <w:left w:val="nil"/>
              <w:bottom w:val="single" w:sz="4" w:space="0" w:color="auto"/>
              <w:right w:val="dotted" w:sz="4" w:space="0" w:color="auto"/>
            </w:tcBorders>
            <w:shd w:val="clear" w:color="auto" w:fill="auto"/>
            <w:vAlign w:val="center"/>
            <w:hideMark/>
          </w:tcPr>
          <w:p w14:paraId="5F26B90C" w14:textId="367E3E8C"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w:t>
            </w:r>
          </w:p>
        </w:tc>
        <w:tc>
          <w:tcPr>
            <w:tcW w:w="1135" w:type="dxa"/>
            <w:tcBorders>
              <w:top w:val="nil"/>
              <w:left w:val="nil"/>
              <w:bottom w:val="single" w:sz="4" w:space="0" w:color="auto"/>
              <w:right w:val="dotted" w:sz="4" w:space="0" w:color="auto"/>
            </w:tcBorders>
            <w:shd w:val="clear" w:color="auto" w:fill="auto"/>
            <w:noWrap/>
            <w:vAlign w:val="center"/>
            <w:hideMark/>
          </w:tcPr>
          <w:p w14:paraId="6B95E3F6" w14:textId="77777777" w:rsidR="00CE3D5C" w:rsidRPr="008F7682" w:rsidRDefault="00CE3D5C" w:rsidP="00E158F1">
            <w:pPr>
              <w:spacing w:after="0" w:line="240" w:lineRule="auto"/>
              <w:jc w:val="center"/>
              <w:rPr>
                <w:rFonts w:ascii="Helvetica" w:eastAsia="Times New Roman" w:hAnsi="Helvetica" w:cs="Helvetica"/>
                <w:sz w:val="18"/>
                <w:szCs w:val="18"/>
                <w:lang w:eastAsia="es-GT"/>
              </w:rPr>
            </w:pPr>
            <w:r w:rsidRPr="008F7682">
              <w:rPr>
                <w:rFonts w:ascii="Helvetica" w:eastAsia="Times New Roman" w:hAnsi="Helvetica" w:cs="Helvetica"/>
                <w:sz w:val="18"/>
                <w:szCs w:val="18"/>
                <w:lang w:eastAsia="es-GT"/>
              </w:rPr>
              <w:t>0.00%</w:t>
            </w:r>
          </w:p>
        </w:tc>
      </w:tr>
      <w:tr w:rsidR="00CE3D5C" w:rsidRPr="008F7682" w14:paraId="4D93E7D0" w14:textId="77777777" w:rsidTr="00E158F1">
        <w:trPr>
          <w:trHeight w:val="236"/>
          <w:jc w:val="center"/>
        </w:trPr>
        <w:tc>
          <w:tcPr>
            <w:tcW w:w="2911" w:type="dxa"/>
            <w:tcBorders>
              <w:top w:val="nil"/>
              <w:left w:val="single" w:sz="4" w:space="0" w:color="auto"/>
              <w:bottom w:val="single" w:sz="4" w:space="0" w:color="auto"/>
              <w:right w:val="single" w:sz="4" w:space="0" w:color="auto"/>
            </w:tcBorders>
            <w:shd w:val="clear" w:color="auto" w:fill="D9E2F3" w:themeFill="accent1" w:themeFillTint="33"/>
            <w:vAlign w:val="center"/>
            <w:hideMark/>
          </w:tcPr>
          <w:p w14:paraId="618DB433" w14:textId="70E18B89" w:rsidR="00CE3D5C" w:rsidRPr="008F7682" w:rsidRDefault="00CE3D5C" w:rsidP="00E158F1">
            <w:pPr>
              <w:spacing w:after="0" w:line="240" w:lineRule="auto"/>
              <w:rPr>
                <w:rFonts w:ascii="Helvetica" w:eastAsia="Times New Roman" w:hAnsi="Helvetica" w:cs="Helvetica"/>
                <w:b/>
                <w:bCs/>
                <w:sz w:val="18"/>
                <w:szCs w:val="18"/>
                <w:lang w:eastAsia="es-GT"/>
              </w:rPr>
            </w:pPr>
            <w:r w:rsidRPr="008F7682">
              <w:rPr>
                <w:rFonts w:ascii="Helvetica" w:eastAsia="Times New Roman" w:hAnsi="Helvetica" w:cs="Helvetica"/>
                <w:b/>
                <w:bCs/>
                <w:sz w:val="18"/>
                <w:szCs w:val="18"/>
                <w:lang w:eastAsia="es-GT"/>
              </w:rPr>
              <w:t xml:space="preserve">Total </w:t>
            </w:r>
          </w:p>
        </w:tc>
        <w:tc>
          <w:tcPr>
            <w:tcW w:w="1123" w:type="dxa"/>
            <w:tcBorders>
              <w:top w:val="nil"/>
              <w:left w:val="nil"/>
              <w:bottom w:val="single" w:sz="4" w:space="0" w:color="auto"/>
              <w:right w:val="single" w:sz="4" w:space="0" w:color="auto"/>
            </w:tcBorders>
            <w:shd w:val="clear" w:color="auto" w:fill="D9E2F3" w:themeFill="accent1" w:themeFillTint="33"/>
            <w:noWrap/>
            <w:vAlign w:val="bottom"/>
            <w:hideMark/>
          </w:tcPr>
          <w:p w14:paraId="1446E345" w14:textId="77777777" w:rsidR="00CE3D5C" w:rsidRPr="00E158F1" w:rsidRDefault="00CE3D5C" w:rsidP="00CE3D5C">
            <w:pPr>
              <w:spacing w:after="0" w:line="240" w:lineRule="auto"/>
              <w:jc w:val="center"/>
              <w:rPr>
                <w:rFonts w:ascii="Helvetica" w:eastAsia="Times New Roman" w:hAnsi="Helvetica" w:cs="Helvetica"/>
                <w:b/>
                <w:sz w:val="18"/>
                <w:szCs w:val="18"/>
                <w:lang w:eastAsia="es-GT"/>
              </w:rPr>
            </w:pPr>
            <w:r w:rsidRPr="00E158F1">
              <w:rPr>
                <w:rFonts w:ascii="Helvetica" w:eastAsia="Times New Roman" w:hAnsi="Helvetica" w:cs="Helvetica"/>
                <w:b/>
                <w:sz w:val="18"/>
                <w:szCs w:val="18"/>
                <w:lang w:eastAsia="es-GT"/>
              </w:rPr>
              <w:t xml:space="preserve">      254.47 </w:t>
            </w:r>
          </w:p>
        </w:tc>
        <w:tc>
          <w:tcPr>
            <w:tcW w:w="921" w:type="dxa"/>
            <w:tcBorders>
              <w:top w:val="nil"/>
              <w:left w:val="nil"/>
              <w:bottom w:val="single" w:sz="4" w:space="0" w:color="auto"/>
              <w:right w:val="single" w:sz="4" w:space="0" w:color="auto"/>
            </w:tcBorders>
            <w:shd w:val="clear" w:color="auto" w:fill="D9E2F3" w:themeFill="accent1" w:themeFillTint="33"/>
            <w:noWrap/>
            <w:vAlign w:val="bottom"/>
            <w:hideMark/>
          </w:tcPr>
          <w:p w14:paraId="7E898044" w14:textId="77777777" w:rsidR="00CE3D5C" w:rsidRPr="00E158F1" w:rsidRDefault="00CE3D5C" w:rsidP="00CE3D5C">
            <w:pPr>
              <w:spacing w:after="0" w:line="240" w:lineRule="auto"/>
              <w:jc w:val="center"/>
              <w:rPr>
                <w:rFonts w:ascii="Helvetica" w:eastAsia="Times New Roman" w:hAnsi="Helvetica" w:cs="Helvetica"/>
                <w:b/>
                <w:sz w:val="18"/>
                <w:szCs w:val="18"/>
                <w:lang w:eastAsia="es-GT"/>
              </w:rPr>
            </w:pPr>
            <w:r w:rsidRPr="00E158F1">
              <w:rPr>
                <w:rFonts w:ascii="Helvetica" w:eastAsia="Times New Roman" w:hAnsi="Helvetica" w:cs="Helvetica"/>
                <w:b/>
                <w:sz w:val="18"/>
                <w:szCs w:val="18"/>
                <w:lang w:eastAsia="es-GT"/>
              </w:rPr>
              <w:t xml:space="preserve">   163.84 </w:t>
            </w:r>
          </w:p>
        </w:tc>
        <w:tc>
          <w:tcPr>
            <w:tcW w:w="1170" w:type="dxa"/>
            <w:tcBorders>
              <w:top w:val="nil"/>
              <w:left w:val="nil"/>
              <w:bottom w:val="single" w:sz="4" w:space="0" w:color="auto"/>
              <w:right w:val="single" w:sz="4" w:space="0" w:color="auto"/>
            </w:tcBorders>
            <w:shd w:val="clear" w:color="auto" w:fill="D9E2F3" w:themeFill="accent1" w:themeFillTint="33"/>
            <w:noWrap/>
            <w:vAlign w:val="bottom"/>
            <w:hideMark/>
          </w:tcPr>
          <w:p w14:paraId="7C0AA55D" w14:textId="77777777" w:rsidR="00CE3D5C" w:rsidRPr="00E158F1" w:rsidRDefault="00CE3D5C" w:rsidP="00CE3D5C">
            <w:pPr>
              <w:spacing w:after="0" w:line="240" w:lineRule="auto"/>
              <w:jc w:val="center"/>
              <w:rPr>
                <w:rFonts w:ascii="Helvetica" w:eastAsia="Times New Roman" w:hAnsi="Helvetica" w:cs="Helvetica"/>
                <w:b/>
                <w:sz w:val="18"/>
                <w:szCs w:val="18"/>
                <w:lang w:eastAsia="es-GT"/>
              </w:rPr>
            </w:pPr>
            <w:r w:rsidRPr="00E158F1">
              <w:rPr>
                <w:rFonts w:ascii="Helvetica" w:eastAsia="Times New Roman" w:hAnsi="Helvetica" w:cs="Helvetica"/>
                <w:b/>
                <w:sz w:val="18"/>
                <w:szCs w:val="18"/>
                <w:lang w:eastAsia="es-GT"/>
              </w:rPr>
              <w:t xml:space="preserve">         74.31 </w:t>
            </w:r>
          </w:p>
        </w:tc>
        <w:tc>
          <w:tcPr>
            <w:tcW w:w="1135" w:type="dxa"/>
            <w:tcBorders>
              <w:top w:val="nil"/>
              <w:left w:val="nil"/>
              <w:bottom w:val="single" w:sz="4" w:space="0" w:color="auto"/>
              <w:right w:val="single" w:sz="4" w:space="0" w:color="auto"/>
            </w:tcBorders>
            <w:shd w:val="clear" w:color="auto" w:fill="D9E2F3" w:themeFill="accent1" w:themeFillTint="33"/>
            <w:noWrap/>
            <w:vAlign w:val="bottom"/>
            <w:hideMark/>
          </w:tcPr>
          <w:p w14:paraId="3F76D9F2" w14:textId="77777777" w:rsidR="00CE3D5C" w:rsidRPr="00E158F1" w:rsidRDefault="00CE3D5C" w:rsidP="00CE3D5C">
            <w:pPr>
              <w:spacing w:after="0" w:line="240" w:lineRule="auto"/>
              <w:jc w:val="center"/>
              <w:rPr>
                <w:rFonts w:ascii="Helvetica" w:eastAsia="Times New Roman" w:hAnsi="Helvetica" w:cs="Helvetica"/>
                <w:b/>
                <w:sz w:val="18"/>
                <w:szCs w:val="18"/>
                <w:lang w:eastAsia="es-GT"/>
              </w:rPr>
            </w:pPr>
            <w:r w:rsidRPr="00E158F1">
              <w:rPr>
                <w:rFonts w:ascii="Helvetica" w:eastAsia="Times New Roman" w:hAnsi="Helvetica" w:cs="Helvetica"/>
                <w:b/>
                <w:sz w:val="18"/>
                <w:szCs w:val="18"/>
                <w:lang w:eastAsia="es-GT"/>
              </w:rPr>
              <w:t>45.36%</w:t>
            </w:r>
          </w:p>
        </w:tc>
      </w:tr>
    </w:tbl>
    <w:p w14:paraId="1B412827" w14:textId="535BFBA3" w:rsidR="00E158F1" w:rsidRDefault="000810BD" w:rsidP="00E158F1">
      <w:pPr>
        <w:spacing w:after="0" w:line="240" w:lineRule="auto"/>
        <w:ind w:left="708"/>
        <w:rPr>
          <w:rFonts w:ascii="Helvetica" w:eastAsia="MS PGothic" w:hAnsi="Helvetica" w:cs="Helvetica"/>
          <w:bCs/>
          <w:iCs/>
          <w:sz w:val="16"/>
          <w:szCs w:val="18"/>
          <w:lang w:eastAsia="es-GT"/>
        </w:rPr>
      </w:pPr>
      <w:r w:rsidRPr="00E158F1">
        <w:rPr>
          <w:rFonts w:ascii="Helvetica" w:eastAsia="MS PGothic" w:hAnsi="Helvetica" w:cs="Helvetica"/>
          <w:bCs/>
          <w:i/>
          <w:iCs/>
          <w:sz w:val="16"/>
          <w:szCs w:val="18"/>
          <w:lang w:eastAsia="es-GT"/>
        </w:rPr>
        <w:t xml:space="preserve">      </w:t>
      </w:r>
      <w:r w:rsidR="00E158F1">
        <w:rPr>
          <w:rFonts w:ascii="Helvetica" w:eastAsia="MS PGothic" w:hAnsi="Helvetica" w:cs="Helvetica"/>
          <w:bCs/>
          <w:i/>
          <w:iCs/>
          <w:sz w:val="16"/>
          <w:szCs w:val="18"/>
          <w:lang w:eastAsia="es-GT"/>
        </w:rPr>
        <w:t xml:space="preserve">  </w:t>
      </w:r>
      <w:r w:rsidR="00CE3D5C" w:rsidRPr="00E158F1">
        <w:rPr>
          <w:rFonts w:ascii="Helvetica" w:eastAsia="MS PGothic" w:hAnsi="Helvetica" w:cs="Helvetica"/>
          <w:bCs/>
          <w:iCs/>
          <w:sz w:val="16"/>
          <w:szCs w:val="18"/>
          <w:lang w:eastAsia="es-GT"/>
        </w:rPr>
        <w:t xml:space="preserve">Fuente: Elaboración propia SEGEPLAN </w:t>
      </w:r>
      <w:r w:rsidR="00691B67">
        <w:rPr>
          <w:rFonts w:ascii="Helvetica" w:eastAsia="MS PGothic" w:hAnsi="Helvetica" w:cs="Helvetica"/>
          <w:bCs/>
          <w:iCs/>
          <w:sz w:val="16"/>
          <w:szCs w:val="18"/>
          <w:lang w:eastAsia="es-GT"/>
        </w:rPr>
        <w:t xml:space="preserve">con </w:t>
      </w:r>
      <w:r w:rsidR="00CE3D5C" w:rsidRPr="00E158F1">
        <w:rPr>
          <w:rFonts w:ascii="Helvetica" w:eastAsia="MS PGothic" w:hAnsi="Helvetica" w:cs="Helvetica"/>
          <w:bCs/>
          <w:iCs/>
          <w:sz w:val="16"/>
          <w:szCs w:val="18"/>
          <w:lang w:eastAsia="es-GT"/>
        </w:rPr>
        <w:t xml:space="preserve">datos del Sistema de Contabilidad </w:t>
      </w:r>
      <w:r w:rsidR="00691B67">
        <w:rPr>
          <w:rFonts w:ascii="Helvetica" w:eastAsia="MS PGothic" w:hAnsi="Helvetica" w:cs="Helvetica"/>
          <w:bCs/>
          <w:iCs/>
          <w:sz w:val="16"/>
          <w:szCs w:val="18"/>
          <w:lang w:eastAsia="es-GT"/>
        </w:rPr>
        <w:t>I</w:t>
      </w:r>
      <w:r w:rsidR="00CE3D5C" w:rsidRPr="00E158F1">
        <w:rPr>
          <w:rFonts w:ascii="Helvetica" w:eastAsia="MS PGothic" w:hAnsi="Helvetica" w:cs="Helvetica"/>
          <w:bCs/>
          <w:iCs/>
          <w:sz w:val="16"/>
          <w:szCs w:val="18"/>
          <w:lang w:eastAsia="es-GT"/>
        </w:rPr>
        <w:t>ntegrada</w:t>
      </w:r>
      <w:r w:rsidRPr="00E158F1">
        <w:rPr>
          <w:rFonts w:ascii="Helvetica" w:eastAsia="MS PGothic" w:hAnsi="Helvetica" w:cs="Helvetica"/>
          <w:bCs/>
          <w:iCs/>
          <w:sz w:val="16"/>
          <w:szCs w:val="18"/>
          <w:lang w:eastAsia="es-GT"/>
        </w:rPr>
        <w:t xml:space="preserve"> </w:t>
      </w:r>
    </w:p>
    <w:p w14:paraId="780D3F5E" w14:textId="21503A8C" w:rsidR="00CE3D5C" w:rsidRPr="00E158F1" w:rsidRDefault="00E158F1" w:rsidP="00E158F1">
      <w:pPr>
        <w:spacing w:after="0" w:line="240" w:lineRule="auto"/>
        <w:ind w:left="708"/>
        <w:rPr>
          <w:rFonts w:ascii="Helvetica" w:eastAsia="MS PGothic" w:hAnsi="Helvetica" w:cs="Helvetica"/>
          <w:bCs/>
          <w:iCs/>
          <w:sz w:val="16"/>
          <w:szCs w:val="18"/>
          <w:lang w:eastAsia="es-GT"/>
        </w:rPr>
      </w:pPr>
      <w:r>
        <w:rPr>
          <w:rFonts w:ascii="Helvetica" w:eastAsia="MS PGothic" w:hAnsi="Helvetica" w:cs="Helvetica"/>
          <w:bCs/>
          <w:iCs/>
          <w:sz w:val="16"/>
          <w:szCs w:val="18"/>
          <w:lang w:eastAsia="es-GT"/>
        </w:rPr>
        <w:t xml:space="preserve">        -</w:t>
      </w:r>
      <w:r w:rsidR="00CE3D5C" w:rsidRPr="00E158F1">
        <w:rPr>
          <w:rFonts w:ascii="Helvetica" w:eastAsia="MS PGothic" w:hAnsi="Helvetica" w:cs="Helvetica"/>
          <w:bCs/>
          <w:iCs/>
          <w:sz w:val="16"/>
          <w:szCs w:val="18"/>
          <w:lang w:eastAsia="es-GT"/>
        </w:rPr>
        <w:t>SICOIN- Ejercicio Fiscal 2020</w:t>
      </w:r>
      <w:r>
        <w:rPr>
          <w:rFonts w:ascii="Helvetica" w:eastAsia="MS PGothic" w:hAnsi="Helvetica" w:cs="Helvetica"/>
          <w:bCs/>
          <w:iCs/>
          <w:sz w:val="16"/>
          <w:szCs w:val="18"/>
          <w:lang w:eastAsia="es-GT"/>
        </w:rPr>
        <w:t>.</w:t>
      </w:r>
    </w:p>
    <w:p w14:paraId="7717E030" w14:textId="77777777" w:rsidR="000810BD" w:rsidRPr="008F7682" w:rsidRDefault="000810BD" w:rsidP="00CE3D5C">
      <w:pPr>
        <w:spacing w:after="0" w:line="240" w:lineRule="auto"/>
        <w:jc w:val="both"/>
        <w:rPr>
          <w:rFonts w:ascii="Helvetica" w:eastAsia="Times New Roman" w:hAnsi="Helvetica" w:cs="Helvetica"/>
          <w:i/>
          <w:iCs/>
          <w:sz w:val="24"/>
          <w:szCs w:val="24"/>
          <w:lang w:eastAsia="es-GT"/>
        </w:rPr>
      </w:pPr>
    </w:p>
    <w:p w14:paraId="05AE518B" w14:textId="2C3EB63E" w:rsidR="00CE3D5C" w:rsidRPr="008F7682" w:rsidRDefault="00CE3D5C" w:rsidP="00CE3D5C">
      <w:pPr>
        <w:spacing w:after="0" w:line="240" w:lineRule="auto"/>
        <w:jc w:val="both"/>
        <w:rPr>
          <w:rFonts w:ascii="Helvetica" w:eastAsia="MS PGothic" w:hAnsi="Helvetica" w:cs="Helvetica"/>
          <w:sz w:val="24"/>
          <w:szCs w:val="24"/>
          <w:lang w:eastAsia="es-GT"/>
        </w:rPr>
      </w:pPr>
      <w:r w:rsidRPr="008F7682">
        <w:rPr>
          <w:rFonts w:ascii="Helvetica" w:eastAsia="MS PGothic" w:hAnsi="Helvetica" w:cs="Helvetica"/>
          <w:sz w:val="24"/>
          <w:szCs w:val="24"/>
          <w:lang w:eastAsia="es-GT"/>
        </w:rPr>
        <w:t xml:space="preserve">La ejecución detallada por institución se puede observar en </w:t>
      </w:r>
      <w:r w:rsidR="00FC7FBF">
        <w:rPr>
          <w:rFonts w:ascii="Helvetica" w:eastAsia="MS PGothic" w:hAnsi="Helvetica" w:cs="Helvetica"/>
          <w:sz w:val="24"/>
          <w:szCs w:val="24"/>
          <w:lang w:eastAsia="es-GT"/>
        </w:rPr>
        <w:t>la tabla 44.</w:t>
      </w:r>
    </w:p>
    <w:p w14:paraId="0B7B0516" w14:textId="6A009935" w:rsidR="00CE3D5C" w:rsidRDefault="00CE3D5C" w:rsidP="00CE3D5C">
      <w:pPr>
        <w:spacing w:after="0" w:line="240" w:lineRule="auto"/>
        <w:jc w:val="center"/>
        <w:rPr>
          <w:rFonts w:ascii="Helvetica" w:eastAsia="MS PGothic" w:hAnsi="Helvetica" w:cs="Helvetica"/>
          <w:b/>
          <w:bCs/>
          <w:i/>
          <w:iCs/>
          <w:sz w:val="20"/>
          <w:szCs w:val="20"/>
          <w:lang w:eastAsia="es-GT"/>
        </w:rPr>
      </w:pPr>
    </w:p>
    <w:p w14:paraId="7CFB5D50" w14:textId="35CB8944" w:rsidR="00CE3D5C" w:rsidRDefault="00FC7FBF" w:rsidP="008F7682">
      <w:pPr>
        <w:pStyle w:val="ttulosgrficas"/>
        <w:rPr>
          <w:lang w:eastAsia="es-GT"/>
        </w:rPr>
      </w:pPr>
      <w:bookmarkStart w:id="133" w:name="_Toc67589157"/>
      <w:r w:rsidRPr="003562C1">
        <w:rPr>
          <w:lang w:eastAsia="es-GT"/>
        </w:rPr>
        <w:t>Tabla</w:t>
      </w:r>
      <w:r>
        <w:rPr>
          <w:lang w:eastAsia="es-GT"/>
        </w:rPr>
        <w:t xml:space="preserve"> </w:t>
      </w:r>
      <w:r w:rsidR="007F134F">
        <w:rPr>
          <w:lang w:eastAsia="es-GT"/>
        </w:rPr>
        <w:fldChar w:fldCharType="begin"/>
      </w:r>
      <w:r w:rsidR="007F134F">
        <w:rPr>
          <w:lang w:eastAsia="es-GT"/>
        </w:rPr>
        <w:instrText xml:space="preserve"> SEQ Tabla \* ARABIC </w:instrText>
      </w:r>
      <w:r w:rsidR="007F134F">
        <w:rPr>
          <w:lang w:eastAsia="es-GT"/>
        </w:rPr>
        <w:fldChar w:fldCharType="separate"/>
      </w:r>
      <w:r w:rsidR="00AA2593">
        <w:rPr>
          <w:lang w:eastAsia="es-GT"/>
        </w:rPr>
        <w:t>44</w:t>
      </w:r>
      <w:r w:rsidR="007F134F">
        <w:rPr>
          <w:lang w:eastAsia="es-GT"/>
        </w:rPr>
        <w:fldChar w:fldCharType="end"/>
      </w:r>
      <w:r w:rsidR="003562C1">
        <w:rPr>
          <w:lang w:eastAsia="es-GT"/>
        </w:rPr>
        <w:t xml:space="preserve">, </w:t>
      </w:r>
      <w:r w:rsidR="00CE3D5C" w:rsidRPr="008F7682">
        <w:rPr>
          <w:lang w:eastAsia="es-GT"/>
        </w:rPr>
        <w:t>Ejecución de donaciones</w:t>
      </w:r>
      <w:bookmarkEnd w:id="133"/>
      <w:r w:rsidR="00CE3D5C" w:rsidRPr="008F7682">
        <w:rPr>
          <w:lang w:eastAsia="es-GT"/>
        </w:rPr>
        <w:t xml:space="preserve"> </w:t>
      </w:r>
    </w:p>
    <w:p w14:paraId="2041262C" w14:textId="77777777" w:rsidR="00E158F1" w:rsidRPr="008F7682" w:rsidRDefault="00E158F1" w:rsidP="00E158F1">
      <w:pPr>
        <w:pStyle w:val="ttulosgrficas"/>
        <w:spacing w:line="120" w:lineRule="auto"/>
        <w:rPr>
          <w:lang w:eastAsia="es-GT"/>
        </w:rPr>
      </w:pPr>
    </w:p>
    <w:tbl>
      <w:tblPr>
        <w:tblW w:w="8300" w:type="dxa"/>
        <w:jc w:val="center"/>
        <w:tblCellMar>
          <w:left w:w="70" w:type="dxa"/>
          <w:right w:w="70" w:type="dxa"/>
        </w:tblCellMar>
        <w:tblLook w:val="04A0" w:firstRow="1" w:lastRow="0" w:firstColumn="1" w:lastColumn="0" w:noHBand="0" w:noVBand="1"/>
      </w:tblPr>
      <w:tblGrid>
        <w:gridCol w:w="520"/>
        <w:gridCol w:w="2736"/>
        <w:gridCol w:w="1134"/>
        <w:gridCol w:w="1275"/>
        <w:gridCol w:w="1418"/>
        <w:gridCol w:w="1217"/>
      </w:tblGrid>
      <w:tr w:rsidR="00CE3D5C" w:rsidRPr="008F7682" w14:paraId="629F30EA" w14:textId="77777777" w:rsidTr="00E158F1">
        <w:trPr>
          <w:trHeight w:val="766"/>
          <w:jc w:val="center"/>
        </w:trPr>
        <w:tc>
          <w:tcPr>
            <w:tcW w:w="52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237CC8F" w14:textId="77777777" w:rsidR="00CE3D5C" w:rsidRPr="00E158F1" w:rsidRDefault="00CE3D5C" w:rsidP="00CE3D5C">
            <w:pPr>
              <w:spacing w:after="0" w:line="240" w:lineRule="auto"/>
              <w:jc w:val="center"/>
              <w:rPr>
                <w:rFonts w:ascii="Helvetica" w:eastAsia="Times New Roman" w:hAnsi="Helvetica" w:cs="Helvetica"/>
                <w:b/>
                <w:bCs/>
                <w:iCs/>
                <w:color w:val="000000"/>
                <w:sz w:val="18"/>
                <w:szCs w:val="18"/>
                <w:lang w:eastAsia="es-GT"/>
              </w:rPr>
            </w:pPr>
            <w:r w:rsidRPr="00E158F1">
              <w:rPr>
                <w:rFonts w:ascii="Helvetica" w:eastAsia="Times New Roman" w:hAnsi="Helvetica" w:cs="Helvetica"/>
                <w:b/>
                <w:bCs/>
                <w:iCs/>
                <w:color w:val="000000"/>
                <w:sz w:val="18"/>
                <w:szCs w:val="18"/>
                <w:lang w:eastAsia="es-GT"/>
              </w:rPr>
              <w:t xml:space="preserve">No.  </w:t>
            </w:r>
          </w:p>
        </w:tc>
        <w:tc>
          <w:tcPr>
            <w:tcW w:w="27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1AF6596" w14:textId="77777777" w:rsidR="00CE3D5C" w:rsidRPr="00E158F1" w:rsidRDefault="00CE3D5C" w:rsidP="00CE3D5C">
            <w:pPr>
              <w:spacing w:after="0" w:line="240" w:lineRule="auto"/>
              <w:jc w:val="center"/>
              <w:rPr>
                <w:rFonts w:ascii="Helvetica" w:eastAsia="Times New Roman" w:hAnsi="Helvetica" w:cs="Helvetica"/>
                <w:b/>
                <w:bCs/>
                <w:iCs/>
                <w:color w:val="000000"/>
                <w:sz w:val="18"/>
                <w:szCs w:val="18"/>
                <w:lang w:eastAsia="es-GT"/>
              </w:rPr>
            </w:pPr>
            <w:r w:rsidRPr="00E158F1">
              <w:rPr>
                <w:rFonts w:ascii="Helvetica" w:eastAsia="Times New Roman" w:hAnsi="Helvetica" w:cs="Helvetica"/>
                <w:b/>
                <w:bCs/>
                <w:iCs/>
                <w:color w:val="000000"/>
                <w:sz w:val="18"/>
                <w:szCs w:val="18"/>
                <w:lang w:eastAsia="es-GT"/>
              </w:rPr>
              <w:t xml:space="preserve"> Institución </w:t>
            </w:r>
          </w:p>
        </w:tc>
        <w:tc>
          <w:tcPr>
            <w:tcW w:w="113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0D90AF4" w14:textId="73B6162E" w:rsidR="00CE3D5C" w:rsidRPr="00E158F1" w:rsidRDefault="00CE3D5C" w:rsidP="00CE3D5C">
            <w:pPr>
              <w:spacing w:after="0" w:line="240" w:lineRule="auto"/>
              <w:jc w:val="center"/>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Asignado 2020</w:t>
            </w:r>
          </w:p>
        </w:tc>
        <w:tc>
          <w:tcPr>
            <w:tcW w:w="12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185F5DA" w14:textId="77777777" w:rsidR="00CE3D5C" w:rsidRPr="00E158F1" w:rsidRDefault="00CE3D5C" w:rsidP="00CE3D5C">
            <w:pPr>
              <w:spacing w:after="0" w:line="240" w:lineRule="auto"/>
              <w:jc w:val="center"/>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Vigente Dic. 2020</w:t>
            </w:r>
          </w:p>
        </w:tc>
        <w:tc>
          <w:tcPr>
            <w:tcW w:w="1418" w:type="dxa"/>
            <w:tcBorders>
              <w:top w:val="single" w:sz="4" w:space="0" w:color="auto"/>
              <w:left w:val="single" w:sz="4" w:space="0" w:color="auto"/>
              <w:bottom w:val="single" w:sz="4" w:space="0" w:color="auto"/>
              <w:right w:val="single" w:sz="4" w:space="0" w:color="FFFFFF"/>
            </w:tcBorders>
            <w:shd w:val="clear" w:color="auto" w:fill="D9E2F3" w:themeFill="accent1" w:themeFillTint="33"/>
            <w:vAlign w:val="center"/>
            <w:hideMark/>
          </w:tcPr>
          <w:p w14:paraId="2B35836A" w14:textId="0BE7DDF3" w:rsidR="00CE3D5C" w:rsidRPr="00E158F1" w:rsidRDefault="00CE3D5C" w:rsidP="00CE3D5C">
            <w:pPr>
              <w:spacing w:after="0" w:line="240" w:lineRule="auto"/>
              <w:jc w:val="center"/>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 xml:space="preserve">Ejecución a </w:t>
            </w:r>
            <w:r w:rsidR="00691B67" w:rsidRPr="00E158F1">
              <w:rPr>
                <w:rFonts w:ascii="Helvetica" w:eastAsia="Times New Roman" w:hAnsi="Helvetica" w:cs="Helvetica"/>
                <w:b/>
                <w:bCs/>
                <w:iCs/>
                <w:sz w:val="18"/>
                <w:szCs w:val="18"/>
                <w:lang w:eastAsia="es-GT"/>
              </w:rPr>
              <w:t>diciembre</w:t>
            </w:r>
            <w:r w:rsidR="00E158F1">
              <w:rPr>
                <w:rFonts w:ascii="Helvetica" w:eastAsia="Times New Roman" w:hAnsi="Helvetica" w:cs="Helvetica"/>
                <w:b/>
                <w:bCs/>
                <w:iCs/>
                <w:sz w:val="18"/>
                <w:szCs w:val="18"/>
                <w:lang w:eastAsia="es-GT"/>
              </w:rPr>
              <w:t xml:space="preserve"> </w:t>
            </w:r>
            <w:r w:rsidRPr="00E158F1">
              <w:rPr>
                <w:rFonts w:ascii="Helvetica" w:eastAsia="Times New Roman" w:hAnsi="Helvetica" w:cs="Helvetica"/>
                <w:b/>
                <w:bCs/>
                <w:iCs/>
                <w:sz w:val="18"/>
                <w:szCs w:val="18"/>
                <w:lang w:eastAsia="es-GT"/>
              </w:rPr>
              <w:t>2020</w:t>
            </w:r>
          </w:p>
        </w:tc>
        <w:tc>
          <w:tcPr>
            <w:tcW w:w="121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9FDB1E8" w14:textId="2FFAD1FE" w:rsidR="00E158F1" w:rsidRDefault="00CE3D5C" w:rsidP="00CE3D5C">
            <w:pPr>
              <w:spacing w:after="0" w:line="240" w:lineRule="auto"/>
              <w:jc w:val="center"/>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 xml:space="preserve">% Ejecución a </w:t>
            </w:r>
            <w:r w:rsidR="00691B67" w:rsidRPr="00E158F1">
              <w:rPr>
                <w:rFonts w:ascii="Helvetica" w:eastAsia="Times New Roman" w:hAnsi="Helvetica" w:cs="Helvetica"/>
                <w:b/>
                <w:bCs/>
                <w:iCs/>
                <w:sz w:val="18"/>
                <w:szCs w:val="18"/>
                <w:lang w:eastAsia="es-GT"/>
              </w:rPr>
              <w:t>diciembre</w:t>
            </w:r>
          </w:p>
          <w:p w14:paraId="3EFF48F8" w14:textId="23F0DA91" w:rsidR="00CE3D5C" w:rsidRPr="00E158F1" w:rsidRDefault="00CE3D5C" w:rsidP="00CE3D5C">
            <w:pPr>
              <w:spacing w:after="0" w:line="240" w:lineRule="auto"/>
              <w:jc w:val="center"/>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2020</w:t>
            </w:r>
          </w:p>
        </w:tc>
      </w:tr>
      <w:tr w:rsidR="00CE3D5C" w:rsidRPr="008F7682" w14:paraId="3E5BFE36"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102468DD"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w:t>
            </w:r>
          </w:p>
        </w:tc>
        <w:tc>
          <w:tcPr>
            <w:tcW w:w="273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FD79051"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MINEX</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BC86FCE"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3761FC3"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65AD1AEF"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CEF2B46"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0.00%</w:t>
            </w:r>
          </w:p>
        </w:tc>
      </w:tr>
      <w:tr w:rsidR="00CE3D5C" w:rsidRPr="008F7682" w14:paraId="11575037"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6A343907"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2</w:t>
            </w:r>
          </w:p>
        </w:tc>
        <w:tc>
          <w:tcPr>
            <w:tcW w:w="273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07CB275"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MINGOB</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AD72870"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B374D4B"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039D12C9"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BE66902"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0.00%</w:t>
            </w:r>
          </w:p>
        </w:tc>
      </w:tr>
      <w:tr w:rsidR="00CE3D5C" w:rsidRPr="008F7682" w14:paraId="65B70088"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5DAD0354"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3</w:t>
            </w:r>
          </w:p>
        </w:tc>
        <w:tc>
          <w:tcPr>
            <w:tcW w:w="273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16593F1"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MINFIN</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0E96A01"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3.15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5947FF4"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3.15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3CFD9A71"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0.62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81AC2FB"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19.68%</w:t>
            </w:r>
          </w:p>
        </w:tc>
      </w:tr>
      <w:tr w:rsidR="00CE3D5C" w:rsidRPr="008F7682" w14:paraId="50FF9FFB"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389C4A15"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4</w:t>
            </w:r>
          </w:p>
        </w:tc>
        <w:tc>
          <w:tcPr>
            <w:tcW w:w="273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ED2D7F3"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MINEDUC</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9B37AB0"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13.13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576A3FA"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3.61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437D9931"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0.63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46AD1CE"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17.45%</w:t>
            </w:r>
          </w:p>
        </w:tc>
      </w:tr>
      <w:tr w:rsidR="00CE3D5C" w:rsidRPr="008F7682" w14:paraId="2FCEF904"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79A93958"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5</w:t>
            </w:r>
          </w:p>
        </w:tc>
        <w:tc>
          <w:tcPr>
            <w:tcW w:w="273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C09EB03"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MSPAS</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389D0A5"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30.08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9161BD6"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37.78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1036CF0A"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12.89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1B1747F"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34.12%</w:t>
            </w:r>
          </w:p>
        </w:tc>
      </w:tr>
      <w:tr w:rsidR="00CE3D5C" w:rsidRPr="008F7682" w14:paraId="52B8C8FF"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3233CFDE"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6</w:t>
            </w:r>
          </w:p>
        </w:tc>
        <w:tc>
          <w:tcPr>
            <w:tcW w:w="2736"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8BA4115"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MINTRAB</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C5F7667"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54E3AF7"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1.68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4538DEC9"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1.58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1C7A2AE"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94.05%</w:t>
            </w:r>
          </w:p>
        </w:tc>
      </w:tr>
      <w:tr w:rsidR="00CE3D5C" w:rsidRPr="008F7682" w14:paraId="639D1479"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1603CC09"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7</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AB7303D"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MINECO</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0C26C20"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3.19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DBAEAE8"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7.71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16D2939C"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4.34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7758C88"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56.29%</w:t>
            </w:r>
          </w:p>
        </w:tc>
      </w:tr>
      <w:tr w:rsidR="00CE3D5C" w:rsidRPr="008F7682" w14:paraId="5D3B886B"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1C274259"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8</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9290263"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MAGA</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54D5055"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37.70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20F817B"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7.89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47E712CA"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0.83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6C8B7B0"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10.52%</w:t>
            </w:r>
          </w:p>
        </w:tc>
      </w:tr>
      <w:tr w:rsidR="00CE3D5C" w:rsidRPr="008F7682" w14:paraId="1C98C468"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4FED5486"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9</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ED088D9"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CIV</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11EC374"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66.01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3CEBB8"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3.86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002BBCA1"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0.90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8F00FBE"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23.32%</w:t>
            </w:r>
          </w:p>
        </w:tc>
      </w:tr>
      <w:tr w:rsidR="00CE3D5C" w:rsidRPr="008F7682" w14:paraId="4BC2D83F"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2BB381DE"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10</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089E6B2"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MEM</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5640FF8"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3.34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AC5825C"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3.34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1626DCBD"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BEF05EA"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0.00%</w:t>
            </w:r>
          </w:p>
        </w:tc>
      </w:tr>
      <w:tr w:rsidR="00CE3D5C" w:rsidRPr="008F7682" w14:paraId="6CC00F5F"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0CEEB4A5"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11</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C94C38E"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MICUDE</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21EFF78"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A3B731C"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05BBF52F"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6B9B0CB"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w:t>
            </w:r>
          </w:p>
        </w:tc>
      </w:tr>
      <w:tr w:rsidR="00CE3D5C" w:rsidRPr="008F7682" w14:paraId="5E035E00"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1F1A8F1F"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12</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8F16968"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MARN</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065B01F"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82259F9"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12.85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78E26E95"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7.70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1B95520"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59.95%</w:t>
            </w:r>
          </w:p>
        </w:tc>
      </w:tr>
      <w:tr w:rsidR="00CE3D5C" w:rsidRPr="008F7682" w14:paraId="1C282BB2"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423A1ABD"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13</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A209E59"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MIDES</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067A66E"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368AB99"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618BB3B1"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7798676"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w:t>
            </w:r>
          </w:p>
        </w:tc>
      </w:tr>
      <w:tr w:rsidR="00CE3D5C" w:rsidRPr="008F7682" w14:paraId="4F9E398F" w14:textId="77777777" w:rsidTr="00403F9C">
        <w:trPr>
          <w:trHeight w:val="472"/>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4C210270"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14</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9675410"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OBLIGACIONES DEL ESTADO  A CARGO DEL TESORO</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C10A753"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70.55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5F0203A"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60.55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08111B54"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38.01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3521938"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62.78%</w:t>
            </w:r>
          </w:p>
        </w:tc>
      </w:tr>
      <w:tr w:rsidR="00CE3D5C" w:rsidRPr="008F7682" w14:paraId="036DE774" w14:textId="77777777" w:rsidTr="00403F9C">
        <w:trPr>
          <w:trHeight w:val="27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0412EFFB"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15</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58D192B"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SERVICIOS DE LA DEUDA PÚBLICA</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10B6E2B"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E8E68DF"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185A1997"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39482E2"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w:t>
            </w:r>
          </w:p>
        </w:tc>
      </w:tr>
      <w:tr w:rsidR="00CE3D5C" w:rsidRPr="008F7682" w14:paraId="148BD3F2"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2A550E54"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16</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C138768"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SECRETARÍA PRIVADA </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43E60EC"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81903CB"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52B35637"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4FF6328"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w:t>
            </w:r>
          </w:p>
        </w:tc>
      </w:tr>
      <w:tr w:rsidR="00CE3D5C" w:rsidRPr="008F7682" w14:paraId="77A2B581"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534E994B"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17</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95BBCCC"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CONAP</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F669CD4"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13.56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9B25C4"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13.56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6104A53F"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5.94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A4441F3"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43.81%</w:t>
            </w:r>
          </w:p>
        </w:tc>
      </w:tr>
      <w:tr w:rsidR="00CE3D5C" w:rsidRPr="008F7682" w14:paraId="2521C59F"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381A18D7"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18</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C37B710"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SEGEPLAN</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076BB2D"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0.50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5F7896F"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0.61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44604A3B"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0.54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D0C8A48"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88.52%</w:t>
            </w:r>
          </w:p>
        </w:tc>
      </w:tr>
      <w:tr w:rsidR="00CE3D5C" w:rsidRPr="008F7682" w14:paraId="344D0BFD" w14:textId="77777777" w:rsidTr="00403F9C">
        <w:trPr>
          <w:trHeight w:val="240"/>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1BA739F5"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19</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96733A2"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SEPREM</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734C092"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2.56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DCC581D"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2.56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735D176A"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0.33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5583744"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12.92%</w:t>
            </w:r>
          </w:p>
        </w:tc>
      </w:tr>
      <w:tr w:rsidR="00CE3D5C" w:rsidRPr="008F7682" w14:paraId="28BB9E32"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0AD1AC0D"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20</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8C2189C"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SESAN</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936E0C1"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10.71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9591BEA"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4.71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3A90A4A5"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A09101A"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0.00%</w:t>
            </w:r>
          </w:p>
        </w:tc>
      </w:tr>
      <w:tr w:rsidR="00CE3D5C" w:rsidRPr="008F7682" w14:paraId="4139E118" w14:textId="77777777" w:rsidTr="00403F9C">
        <w:trPr>
          <w:trHeight w:val="255"/>
          <w:jc w:val="center"/>
        </w:trPr>
        <w:tc>
          <w:tcPr>
            <w:tcW w:w="520" w:type="dxa"/>
            <w:tcBorders>
              <w:top w:val="dotted" w:sz="4" w:space="0" w:color="auto"/>
              <w:left w:val="single" w:sz="4" w:space="0" w:color="auto"/>
              <w:bottom w:val="dotted" w:sz="4" w:space="0" w:color="auto"/>
              <w:right w:val="dotted" w:sz="4" w:space="0" w:color="auto"/>
            </w:tcBorders>
            <w:shd w:val="clear" w:color="auto" w:fill="auto"/>
            <w:noWrap/>
            <w:vAlign w:val="center"/>
            <w:hideMark/>
          </w:tcPr>
          <w:p w14:paraId="40B0BB75" w14:textId="77777777" w:rsidR="00CE3D5C" w:rsidRPr="00E158F1" w:rsidRDefault="00CE3D5C" w:rsidP="00CE3D5C">
            <w:pPr>
              <w:spacing w:after="0" w:line="240" w:lineRule="auto"/>
              <w:jc w:val="center"/>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21</w:t>
            </w:r>
          </w:p>
        </w:tc>
        <w:tc>
          <w:tcPr>
            <w:tcW w:w="2736"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714426E" w14:textId="77777777" w:rsidR="00CE3D5C" w:rsidRPr="00E158F1" w:rsidRDefault="00CE3D5C" w:rsidP="00CE3D5C">
            <w:pPr>
              <w:spacing w:after="0" w:line="240" w:lineRule="auto"/>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DEMI</w:t>
            </w:r>
          </w:p>
        </w:tc>
        <w:tc>
          <w:tcPr>
            <w:tcW w:w="1134"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F456860"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xml:space="preserve">                -   </w:t>
            </w:r>
          </w:p>
        </w:tc>
        <w:tc>
          <w:tcPr>
            <w:tcW w:w="1275"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C212B9"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418" w:type="dxa"/>
            <w:tcBorders>
              <w:top w:val="dotted" w:sz="4" w:space="0" w:color="auto"/>
              <w:left w:val="dotted" w:sz="4" w:space="0" w:color="auto"/>
              <w:bottom w:val="dotted" w:sz="4" w:space="0" w:color="auto"/>
              <w:right w:val="single" w:sz="4" w:space="0" w:color="FFFFFF"/>
            </w:tcBorders>
            <w:shd w:val="clear" w:color="auto" w:fill="auto"/>
            <w:noWrap/>
            <w:vAlign w:val="center"/>
            <w:hideMark/>
          </w:tcPr>
          <w:p w14:paraId="045539F9" w14:textId="77777777" w:rsidR="00CE3D5C" w:rsidRPr="00E158F1" w:rsidRDefault="00CE3D5C" w:rsidP="00CE3D5C">
            <w:pPr>
              <w:spacing w:after="0" w:line="240" w:lineRule="auto"/>
              <w:jc w:val="right"/>
              <w:rPr>
                <w:rFonts w:ascii="Helvetica" w:eastAsia="Times New Roman" w:hAnsi="Helvetica" w:cs="Helvetica"/>
                <w:iCs/>
                <w:color w:val="000000"/>
                <w:sz w:val="18"/>
                <w:szCs w:val="18"/>
                <w:lang w:eastAsia="es-GT"/>
              </w:rPr>
            </w:pPr>
            <w:r w:rsidRPr="00E158F1">
              <w:rPr>
                <w:rFonts w:ascii="Helvetica" w:eastAsia="Times New Roman" w:hAnsi="Helvetica" w:cs="Helvetica"/>
                <w:iCs/>
                <w:color w:val="000000"/>
                <w:sz w:val="18"/>
                <w:szCs w:val="18"/>
                <w:lang w:eastAsia="es-GT"/>
              </w:rPr>
              <w:t xml:space="preserve">                -   </w:t>
            </w:r>
          </w:p>
        </w:tc>
        <w:tc>
          <w:tcPr>
            <w:tcW w:w="121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49DB51C" w14:textId="77777777" w:rsidR="00CE3D5C" w:rsidRPr="00E158F1" w:rsidRDefault="00CE3D5C" w:rsidP="00CE3D5C">
            <w:pPr>
              <w:spacing w:after="0" w:line="240" w:lineRule="auto"/>
              <w:jc w:val="right"/>
              <w:rPr>
                <w:rFonts w:ascii="Helvetica" w:eastAsia="Times New Roman" w:hAnsi="Helvetica" w:cs="Helvetica"/>
                <w:iCs/>
                <w:sz w:val="18"/>
                <w:szCs w:val="18"/>
                <w:lang w:eastAsia="es-GT"/>
              </w:rPr>
            </w:pPr>
            <w:r w:rsidRPr="00E158F1">
              <w:rPr>
                <w:rFonts w:ascii="Helvetica" w:eastAsia="Times New Roman" w:hAnsi="Helvetica" w:cs="Helvetica"/>
                <w:iCs/>
                <w:sz w:val="18"/>
                <w:szCs w:val="18"/>
                <w:lang w:eastAsia="es-GT"/>
              </w:rPr>
              <w:t> </w:t>
            </w:r>
          </w:p>
        </w:tc>
      </w:tr>
      <w:tr w:rsidR="00CE3D5C" w:rsidRPr="008F7682" w14:paraId="1AE0B2CA" w14:textId="77777777" w:rsidTr="00487598">
        <w:trPr>
          <w:trHeight w:val="255"/>
          <w:jc w:val="center"/>
        </w:trPr>
        <w:tc>
          <w:tcPr>
            <w:tcW w:w="52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47D1B1A" w14:textId="77777777" w:rsidR="00CE3D5C" w:rsidRPr="00E158F1" w:rsidRDefault="00CE3D5C" w:rsidP="00CE3D5C">
            <w:pPr>
              <w:spacing w:after="0" w:line="240" w:lineRule="auto"/>
              <w:jc w:val="center"/>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 xml:space="preserve">   </w:t>
            </w:r>
          </w:p>
        </w:tc>
        <w:tc>
          <w:tcPr>
            <w:tcW w:w="27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E8595EE" w14:textId="77777777" w:rsidR="00CE3D5C" w:rsidRPr="00E158F1" w:rsidRDefault="00CE3D5C" w:rsidP="00CE3D5C">
            <w:pPr>
              <w:spacing w:after="0" w:line="240" w:lineRule="auto"/>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 xml:space="preserve"> TOTAL </w:t>
            </w:r>
          </w:p>
        </w:tc>
        <w:tc>
          <w:tcPr>
            <w:tcW w:w="113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5D58B00" w14:textId="77777777" w:rsidR="00CE3D5C" w:rsidRPr="00E158F1" w:rsidRDefault="00CE3D5C" w:rsidP="00CE3D5C">
            <w:pPr>
              <w:spacing w:after="0" w:line="240" w:lineRule="auto"/>
              <w:jc w:val="right"/>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 xml:space="preserve">        254.47 </w:t>
            </w:r>
          </w:p>
        </w:tc>
        <w:tc>
          <w:tcPr>
            <w:tcW w:w="12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C425A09" w14:textId="77777777" w:rsidR="00CE3D5C" w:rsidRPr="00E158F1" w:rsidRDefault="00CE3D5C" w:rsidP="00CE3D5C">
            <w:pPr>
              <w:spacing w:after="0" w:line="240" w:lineRule="auto"/>
              <w:jc w:val="right"/>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 xml:space="preserve">        163.84 </w:t>
            </w:r>
          </w:p>
        </w:tc>
        <w:tc>
          <w:tcPr>
            <w:tcW w:w="141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884FFB6" w14:textId="77777777" w:rsidR="00CE3D5C" w:rsidRPr="00E158F1" w:rsidRDefault="00CE3D5C" w:rsidP="00CE3D5C">
            <w:pPr>
              <w:spacing w:after="0" w:line="240" w:lineRule="auto"/>
              <w:jc w:val="right"/>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 xml:space="preserve">          74.31 </w:t>
            </w:r>
          </w:p>
        </w:tc>
        <w:tc>
          <w:tcPr>
            <w:tcW w:w="1217"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4152A715" w14:textId="77777777" w:rsidR="00CE3D5C" w:rsidRPr="00E158F1" w:rsidRDefault="00CE3D5C" w:rsidP="00CE3D5C">
            <w:pPr>
              <w:spacing w:after="0" w:line="240" w:lineRule="auto"/>
              <w:jc w:val="right"/>
              <w:rPr>
                <w:rFonts w:ascii="Helvetica" w:eastAsia="Times New Roman" w:hAnsi="Helvetica" w:cs="Helvetica"/>
                <w:b/>
                <w:bCs/>
                <w:iCs/>
                <w:sz w:val="18"/>
                <w:szCs w:val="18"/>
                <w:lang w:eastAsia="es-GT"/>
              </w:rPr>
            </w:pPr>
            <w:r w:rsidRPr="00E158F1">
              <w:rPr>
                <w:rFonts w:ascii="Helvetica" w:eastAsia="Times New Roman" w:hAnsi="Helvetica" w:cs="Helvetica"/>
                <w:b/>
                <w:bCs/>
                <w:iCs/>
                <w:sz w:val="18"/>
                <w:szCs w:val="18"/>
                <w:lang w:eastAsia="es-GT"/>
              </w:rPr>
              <w:t>45.36%</w:t>
            </w:r>
          </w:p>
        </w:tc>
      </w:tr>
    </w:tbl>
    <w:p w14:paraId="21F272C5" w14:textId="4EDD0283" w:rsidR="00E158F1" w:rsidRDefault="00CE3D5C" w:rsidP="00CE3D5C">
      <w:pPr>
        <w:spacing w:after="0" w:line="240" w:lineRule="auto"/>
        <w:jc w:val="center"/>
        <w:rPr>
          <w:rFonts w:ascii="Helvetica" w:eastAsia="MS PGothic" w:hAnsi="Helvetica" w:cs="Helvetica"/>
          <w:bCs/>
          <w:iCs/>
          <w:sz w:val="16"/>
          <w:szCs w:val="20"/>
          <w:lang w:eastAsia="es-GT"/>
        </w:rPr>
      </w:pPr>
      <w:r w:rsidRPr="00E158F1">
        <w:rPr>
          <w:rFonts w:ascii="Helvetica" w:eastAsia="MS PGothic" w:hAnsi="Helvetica" w:cs="Helvetica"/>
          <w:bCs/>
          <w:iCs/>
          <w:sz w:val="16"/>
          <w:szCs w:val="20"/>
          <w:lang w:eastAsia="es-GT"/>
        </w:rPr>
        <w:t xml:space="preserve">Fuente: Elaboración propia SEGEPLAN con base a datos del Sistema de Contabilidad Integrada -SICOIN- </w:t>
      </w:r>
    </w:p>
    <w:p w14:paraId="3937A0E9" w14:textId="7C75377A" w:rsidR="00CE3D5C" w:rsidRPr="000810BD" w:rsidRDefault="00E158F1" w:rsidP="00E158F1">
      <w:pPr>
        <w:spacing w:after="0" w:line="240" w:lineRule="auto"/>
        <w:rPr>
          <w:rFonts w:ascii="Helvetica" w:eastAsia="MS PGothic" w:hAnsi="Helvetica" w:cs="Helvetica"/>
          <w:bCs/>
          <w:iCs/>
          <w:sz w:val="18"/>
          <w:szCs w:val="20"/>
          <w:lang w:eastAsia="es-GT"/>
        </w:rPr>
      </w:pPr>
      <w:r>
        <w:rPr>
          <w:rFonts w:ascii="Helvetica" w:eastAsia="MS PGothic" w:hAnsi="Helvetica" w:cs="Helvetica"/>
          <w:bCs/>
          <w:iCs/>
          <w:sz w:val="16"/>
          <w:szCs w:val="20"/>
          <w:lang w:eastAsia="es-GT"/>
        </w:rPr>
        <w:tab/>
        <w:t xml:space="preserve">    </w:t>
      </w:r>
      <w:r w:rsidR="00CE3D5C" w:rsidRPr="00E158F1">
        <w:rPr>
          <w:rFonts w:ascii="Helvetica" w:eastAsia="MS PGothic" w:hAnsi="Helvetica" w:cs="Helvetica"/>
          <w:bCs/>
          <w:iCs/>
          <w:sz w:val="16"/>
          <w:szCs w:val="20"/>
          <w:lang w:eastAsia="es-GT"/>
        </w:rPr>
        <w:t>Ejercicio Fiscal 2020.</w:t>
      </w:r>
    </w:p>
    <w:p w14:paraId="70BD1673" w14:textId="180D77E5" w:rsidR="00CE3D5C" w:rsidRDefault="00CE3D5C" w:rsidP="00CE3D5C">
      <w:pPr>
        <w:spacing w:after="0" w:line="240" w:lineRule="auto"/>
        <w:jc w:val="both"/>
        <w:rPr>
          <w:rFonts w:ascii="Helvetica" w:eastAsia="MS PGothic" w:hAnsi="Helvetica" w:cs="Helvetica"/>
          <w:sz w:val="24"/>
          <w:szCs w:val="24"/>
          <w:lang w:eastAsia="es-GT"/>
        </w:rPr>
      </w:pPr>
      <w:r w:rsidRPr="008F7682">
        <w:rPr>
          <w:rFonts w:ascii="Helvetica" w:eastAsia="MS PGothic" w:hAnsi="Helvetica" w:cs="Helvetica"/>
          <w:sz w:val="24"/>
          <w:szCs w:val="24"/>
          <w:lang w:eastAsia="es-GT"/>
        </w:rPr>
        <w:t xml:space="preserve">El detalle de la ejecución por programa o proyecto es el siguiente: </w:t>
      </w:r>
      <w:r w:rsidR="00FC7FBF">
        <w:rPr>
          <w:rFonts w:ascii="Helvetica" w:eastAsia="MS PGothic" w:hAnsi="Helvetica" w:cs="Helvetica"/>
          <w:sz w:val="24"/>
          <w:szCs w:val="24"/>
          <w:lang w:eastAsia="es-GT"/>
        </w:rPr>
        <w:t>Ver tabla 45.</w:t>
      </w:r>
    </w:p>
    <w:p w14:paraId="0CCE55D8" w14:textId="77777777" w:rsidR="00FC7FBF" w:rsidRPr="008F7682" w:rsidRDefault="00FC7FBF" w:rsidP="00CE3D5C">
      <w:pPr>
        <w:spacing w:after="0" w:line="240" w:lineRule="auto"/>
        <w:jc w:val="both"/>
        <w:rPr>
          <w:rFonts w:ascii="Helvetica" w:eastAsia="MS PGothic" w:hAnsi="Helvetica" w:cs="Helvetica"/>
          <w:sz w:val="24"/>
          <w:szCs w:val="24"/>
          <w:lang w:eastAsia="es-GT"/>
        </w:rPr>
      </w:pPr>
    </w:p>
    <w:p w14:paraId="65191A1E" w14:textId="5AB36DAE" w:rsidR="00E158F1" w:rsidRDefault="00FC7FBF" w:rsidP="008F7682">
      <w:pPr>
        <w:pStyle w:val="ttulosgrficas"/>
        <w:rPr>
          <w:lang w:eastAsia="es-GT"/>
        </w:rPr>
      </w:pPr>
      <w:bookmarkStart w:id="134" w:name="_Toc67589158"/>
      <w:r w:rsidRPr="003562C1">
        <w:rPr>
          <w:lang w:eastAsia="es-GT"/>
        </w:rPr>
        <w:t>Tabla</w:t>
      </w:r>
      <w:r>
        <w:rPr>
          <w:lang w:eastAsia="es-GT"/>
        </w:rPr>
        <w:t xml:space="preserve"> </w:t>
      </w:r>
      <w:r w:rsidR="007F134F">
        <w:rPr>
          <w:lang w:eastAsia="es-GT"/>
        </w:rPr>
        <w:fldChar w:fldCharType="begin"/>
      </w:r>
      <w:r w:rsidR="007F134F">
        <w:rPr>
          <w:lang w:eastAsia="es-GT"/>
        </w:rPr>
        <w:instrText xml:space="preserve"> SEQ Tabla \* ARABIC </w:instrText>
      </w:r>
      <w:r w:rsidR="007F134F">
        <w:rPr>
          <w:lang w:eastAsia="es-GT"/>
        </w:rPr>
        <w:fldChar w:fldCharType="separate"/>
      </w:r>
      <w:r w:rsidR="00AA2593">
        <w:rPr>
          <w:lang w:eastAsia="es-GT"/>
        </w:rPr>
        <w:t>45</w:t>
      </w:r>
      <w:r w:rsidR="007F134F">
        <w:rPr>
          <w:lang w:eastAsia="es-GT"/>
        </w:rPr>
        <w:fldChar w:fldCharType="end"/>
      </w:r>
      <w:r w:rsidR="003562C1">
        <w:rPr>
          <w:lang w:eastAsia="es-GT"/>
        </w:rPr>
        <w:t xml:space="preserve">,  </w:t>
      </w:r>
      <w:r w:rsidR="00CE3D5C" w:rsidRPr="008F7682">
        <w:rPr>
          <w:lang w:eastAsia="es-GT"/>
        </w:rPr>
        <w:t>Ejecución por programa o proyecto</w:t>
      </w:r>
      <w:bookmarkEnd w:id="134"/>
    </w:p>
    <w:p w14:paraId="64A23ED9" w14:textId="37DE4566" w:rsidR="00CE3D5C" w:rsidRPr="008F7682" w:rsidRDefault="00CE3D5C" w:rsidP="00E158F1">
      <w:pPr>
        <w:pStyle w:val="ttulosgrficas"/>
        <w:spacing w:line="120" w:lineRule="auto"/>
        <w:rPr>
          <w:lang w:eastAsia="es-GT"/>
        </w:rPr>
      </w:pPr>
      <w:r w:rsidRPr="008F7682">
        <w:rPr>
          <w:lang w:eastAsia="es-GT"/>
        </w:rPr>
        <w:t xml:space="preserve"> </w:t>
      </w:r>
    </w:p>
    <w:tbl>
      <w:tblPr>
        <w:tblW w:w="9432" w:type="dxa"/>
        <w:jc w:val="center"/>
        <w:tblCellMar>
          <w:left w:w="70" w:type="dxa"/>
          <w:right w:w="70" w:type="dxa"/>
        </w:tblCellMar>
        <w:tblLook w:val="04A0" w:firstRow="1" w:lastRow="0" w:firstColumn="1" w:lastColumn="0" w:noHBand="0" w:noVBand="1"/>
      </w:tblPr>
      <w:tblGrid>
        <w:gridCol w:w="460"/>
        <w:gridCol w:w="1403"/>
        <w:gridCol w:w="496"/>
        <w:gridCol w:w="523"/>
        <w:gridCol w:w="2849"/>
        <w:gridCol w:w="1377"/>
        <w:gridCol w:w="1304"/>
        <w:gridCol w:w="1020"/>
      </w:tblGrid>
      <w:tr w:rsidR="00CE3D5C" w:rsidRPr="008F7682" w14:paraId="465CA7CF" w14:textId="77777777" w:rsidTr="00487598">
        <w:trPr>
          <w:trHeight w:val="600"/>
          <w:tblHeader/>
          <w:jc w:val="center"/>
        </w:trPr>
        <w:tc>
          <w:tcPr>
            <w:tcW w:w="460" w:type="dxa"/>
            <w:tcBorders>
              <w:top w:val="single" w:sz="4" w:space="0" w:color="auto"/>
              <w:left w:val="single" w:sz="4" w:space="0" w:color="auto"/>
              <w:bottom w:val="nil"/>
              <w:right w:val="single" w:sz="4" w:space="0" w:color="auto"/>
            </w:tcBorders>
            <w:shd w:val="clear" w:color="auto" w:fill="D9E2F3" w:themeFill="accent1" w:themeFillTint="33"/>
            <w:vAlign w:val="center"/>
            <w:hideMark/>
          </w:tcPr>
          <w:p w14:paraId="47C93D99" w14:textId="513AE1F3" w:rsidR="00CE3D5C" w:rsidRPr="008F7682" w:rsidRDefault="00403F9C" w:rsidP="00CE3D5C">
            <w:pPr>
              <w:spacing w:after="0" w:line="240" w:lineRule="auto"/>
              <w:jc w:val="center"/>
              <w:rPr>
                <w:rFonts w:ascii="Helvetica" w:eastAsia="Times New Roman" w:hAnsi="Helvetica" w:cs="Helvetica"/>
                <w:b/>
                <w:bCs/>
                <w:sz w:val="16"/>
                <w:szCs w:val="16"/>
                <w:lang w:eastAsia="es-GT"/>
              </w:rPr>
            </w:pPr>
            <w:r>
              <w:rPr>
                <w:rFonts w:ascii="Helvetica" w:eastAsia="Times New Roman" w:hAnsi="Helvetica" w:cs="Helvetica"/>
                <w:b/>
                <w:bCs/>
                <w:sz w:val="16"/>
                <w:szCs w:val="16"/>
                <w:lang w:eastAsia="es-GT"/>
              </w:rPr>
              <w:t>N</w:t>
            </w:r>
            <w:r w:rsidR="00CE3D5C" w:rsidRPr="008F7682">
              <w:rPr>
                <w:rFonts w:ascii="Helvetica" w:eastAsia="Times New Roman" w:hAnsi="Helvetica" w:cs="Helvetica"/>
                <w:b/>
                <w:bCs/>
                <w:sz w:val="16"/>
                <w:szCs w:val="16"/>
                <w:lang w:eastAsia="es-GT"/>
              </w:rPr>
              <w:t xml:space="preserve">o. </w:t>
            </w:r>
          </w:p>
        </w:tc>
        <w:tc>
          <w:tcPr>
            <w:tcW w:w="1403" w:type="dxa"/>
            <w:tcBorders>
              <w:top w:val="single" w:sz="4" w:space="0" w:color="auto"/>
              <w:left w:val="nil"/>
              <w:bottom w:val="nil"/>
              <w:right w:val="single" w:sz="4" w:space="0" w:color="auto"/>
            </w:tcBorders>
            <w:shd w:val="clear" w:color="auto" w:fill="D9E2F3" w:themeFill="accent1" w:themeFillTint="33"/>
            <w:vAlign w:val="center"/>
            <w:hideMark/>
          </w:tcPr>
          <w:p w14:paraId="0E4CFC90" w14:textId="77777777" w:rsidR="00CE3D5C" w:rsidRPr="008F7682" w:rsidRDefault="00CE3D5C" w:rsidP="00CE3D5C">
            <w:pPr>
              <w:spacing w:after="0" w:line="240" w:lineRule="auto"/>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Unidad Ejecutora</w:t>
            </w:r>
          </w:p>
        </w:tc>
        <w:tc>
          <w:tcPr>
            <w:tcW w:w="496" w:type="dxa"/>
            <w:tcBorders>
              <w:top w:val="single" w:sz="4" w:space="0" w:color="auto"/>
              <w:left w:val="nil"/>
              <w:bottom w:val="nil"/>
              <w:right w:val="single" w:sz="4" w:space="0" w:color="auto"/>
            </w:tcBorders>
            <w:shd w:val="clear" w:color="auto" w:fill="D9E2F3" w:themeFill="accent1" w:themeFillTint="33"/>
            <w:vAlign w:val="center"/>
            <w:hideMark/>
          </w:tcPr>
          <w:p w14:paraId="3A81DBF5" w14:textId="77777777" w:rsidR="00CE3D5C" w:rsidRPr="008F7682" w:rsidRDefault="00CE3D5C" w:rsidP="00CE3D5C">
            <w:pPr>
              <w:spacing w:after="0" w:line="240" w:lineRule="auto"/>
              <w:jc w:val="center"/>
              <w:rPr>
                <w:rFonts w:ascii="Helvetica" w:eastAsia="Times New Roman" w:hAnsi="Helvetica" w:cs="Helvetica"/>
                <w:b/>
                <w:bCs/>
                <w:sz w:val="16"/>
                <w:szCs w:val="16"/>
                <w:lang w:eastAsia="es-GT"/>
              </w:rPr>
            </w:pPr>
            <w:proofErr w:type="spellStart"/>
            <w:r w:rsidRPr="008F7682">
              <w:rPr>
                <w:rFonts w:ascii="Helvetica" w:eastAsia="Times New Roman" w:hAnsi="Helvetica" w:cs="Helvetica"/>
                <w:b/>
                <w:bCs/>
                <w:sz w:val="16"/>
                <w:szCs w:val="16"/>
                <w:lang w:eastAsia="es-GT"/>
              </w:rPr>
              <w:t>Org</w:t>
            </w:r>
            <w:proofErr w:type="spellEnd"/>
          </w:p>
        </w:tc>
        <w:tc>
          <w:tcPr>
            <w:tcW w:w="523" w:type="dxa"/>
            <w:tcBorders>
              <w:top w:val="single" w:sz="4" w:space="0" w:color="auto"/>
              <w:left w:val="nil"/>
              <w:bottom w:val="nil"/>
              <w:right w:val="single" w:sz="4" w:space="0" w:color="auto"/>
            </w:tcBorders>
            <w:shd w:val="clear" w:color="auto" w:fill="D9E2F3" w:themeFill="accent1" w:themeFillTint="33"/>
            <w:vAlign w:val="center"/>
            <w:hideMark/>
          </w:tcPr>
          <w:p w14:paraId="22E00FF6" w14:textId="77777777" w:rsidR="00CE3D5C" w:rsidRPr="008F7682" w:rsidRDefault="00CE3D5C" w:rsidP="00CE3D5C">
            <w:pPr>
              <w:spacing w:after="0" w:line="240" w:lineRule="auto"/>
              <w:jc w:val="center"/>
              <w:rPr>
                <w:rFonts w:ascii="Helvetica" w:eastAsia="Times New Roman" w:hAnsi="Helvetica" w:cs="Helvetica"/>
                <w:b/>
                <w:bCs/>
                <w:sz w:val="16"/>
                <w:szCs w:val="16"/>
                <w:lang w:eastAsia="es-GT"/>
              </w:rPr>
            </w:pPr>
            <w:proofErr w:type="spellStart"/>
            <w:r w:rsidRPr="008F7682">
              <w:rPr>
                <w:rFonts w:ascii="Helvetica" w:eastAsia="Times New Roman" w:hAnsi="Helvetica" w:cs="Helvetica"/>
                <w:b/>
                <w:bCs/>
                <w:sz w:val="16"/>
                <w:szCs w:val="16"/>
                <w:lang w:eastAsia="es-GT"/>
              </w:rPr>
              <w:t>Corr</w:t>
            </w:r>
            <w:proofErr w:type="spellEnd"/>
            <w:r w:rsidRPr="008F7682">
              <w:rPr>
                <w:rFonts w:ascii="Helvetica" w:eastAsia="Times New Roman" w:hAnsi="Helvetica" w:cs="Helvetica"/>
                <w:b/>
                <w:bCs/>
                <w:sz w:val="16"/>
                <w:szCs w:val="16"/>
                <w:lang w:eastAsia="es-GT"/>
              </w:rPr>
              <w:t>.</w:t>
            </w:r>
          </w:p>
        </w:tc>
        <w:tc>
          <w:tcPr>
            <w:tcW w:w="2849" w:type="dxa"/>
            <w:tcBorders>
              <w:top w:val="single" w:sz="4" w:space="0" w:color="auto"/>
              <w:left w:val="nil"/>
              <w:bottom w:val="nil"/>
              <w:right w:val="single" w:sz="4" w:space="0" w:color="auto"/>
            </w:tcBorders>
            <w:shd w:val="clear" w:color="auto" w:fill="D9E2F3" w:themeFill="accent1" w:themeFillTint="33"/>
            <w:vAlign w:val="center"/>
            <w:hideMark/>
          </w:tcPr>
          <w:p w14:paraId="08D10E90" w14:textId="77777777" w:rsidR="00CE3D5C" w:rsidRPr="008F7682" w:rsidRDefault="00CE3D5C" w:rsidP="00CE3D5C">
            <w:pPr>
              <w:spacing w:after="0" w:line="240" w:lineRule="auto"/>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Nombre del Programa / Proyecto</w:t>
            </w:r>
          </w:p>
        </w:tc>
        <w:tc>
          <w:tcPr>
            <w:tcW w:w="1377" w:type="dxa"/>
            <w:tcBorders>
              <w:top w:val="single" w:sz="4" w:space="0" w:color="auto"/>
              <w:left w:val="nil"/>
              <w:bottom w:val="nil"/>
              <w:right w:val="single" w:sz="4" w:space="0" w:color="auto"/>
            </w:tcBorders>
            <w:shd w:val="clear" w:color="auto" w:fill="D9E2F3" w:themeFill="accent1" w:themeFillTint="33"/>
            <w:vAlign w:val="center"/>
            <w:hideMark/>
          </w:tcPr>
          <w:p w14:paraId="572854A5" w14:textId="77777777" w:rsidR="00CE3D5C" w:rsidRPr="008F7682" w:rsidRDefault="00CE3D5C" w:rsidP="00CE3D5C">
            <w:pPr>
              <w:spacing w:after="0" w:line="240" w:lineRule="auto"/>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Presupuesto Vigente</w:t>
            </w:r>
          </w:p>
        </w:tc>
        <w:tc>
          <w:tcPr>
            <w:tcW w:w="1304" w:type="dxa"/>
            <w:tcBorders>
              <w:top w:val="single" w:sz="4" w:space="0" w:color="auto"/>
              <w:left w:val="nil"/>
              <w:bottom w:val="nil"/>
              <w:right w:val="single" w:sz="4" w:space="0" w:color="auto"/>
            </w:tcBorders>
            <w:shd w:val="clear" w:color="auto" w:fill="D9E2F3" w:themeFill="accent1" w:themeFillTint="33"/>
            <w:vAlign w:val="center"/>
            <w:hideMark/>
          </w:tcPr>
          <w:p w14:paraId="41442FD5" w14:textId="77777777" w:rsidR="00CE3D5C" w:rsidRPr="008F7682" w:rsidRDefault="00CE3D5C" w:rsidP="00CE3D5C">
            <w:pPr>
              <w:spacing w:after="0" w:line="240" w:lineRule="auto"/>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Ejecución al 31/12/2020</w:t>
            </w:r>
          </w:p>
        </w:tc>
        <w:tc>
          <w:tcPr>
            <w:tcW w:w="1020" w:type="dxa"/>
            <w:tcBorders>
              <w:top w:val="single" w:sz="4" w:space="0" w:color="auto"/>
              <w:left w:val="nil"/>
              <w:bottom w:val="nil"/>
              <w:right w:val="single" w:sz="4" w:space="0" w:color="auto"/>
            </w:tcBorders>
            <w:shd w:val="clear" w:color="auto" w:fill="D9E2F3" w:themeFill="accent1" w:themeFillTint="33"/>
            <w:vAlign w:val="center"/>
            <w:hideMark/>
          </w:tcPr>
          <w:p w14:paraId="6FEBDBD0" w14:textId="77777777" w:rsidR="00CE3D5C" w:rsidRPr="008F7682" w:rsidRDefault="00CE3D5C" w:rsidP="00CE3D5C">
            <w:pPr>
              <w:spacing w:after="0" w:line="240" w:lineRule="auto"/>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 xml:space="preserve">% de Ejecución </w:t>
            </w:r>
          </w:p>
        </w:tc>
      </w:tr>
      <w:tr w:rsidR="00CE3D5C" w:rsidRPr="008F7682" w14:paraId="0FAC6E36" w14:textId="77777777" w:rsidTr="00403F9C">
        <w:trPr>
          <w:trHeight w:val="5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E83B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w:t>
            </w:r>
          </w:p>
        </w:tc>
        <w:tc>
          <w:tcPr>
            <w:tcW w:w="140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B30FE2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MINFIN</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6193920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401</w:t>
            </w:r>
          </w:p>
        </w:tc>
        <w:tc>
          <w:tcPr>
            <w:tcW w:w="523" w:type="dxa"/>
            <w:tcBorders>
              <w:top w:val="single" w:sz="4" w:space="0" w:color="auto"/>
              <w:left w:val="nil"/>
              <w:bottom w:val="single" w:sz="4" w:space="0" w:color="auto"/>
              <w:right w:val="single" w:sz="4" w:space="0" w:color="auto"/>
            </w:tcBorders>
            <w:shd w:val="clear" w:color="auto" w:fill="auto"/>
            <w:noWrap/>
            <w:vAlign w:val="center"/>
            <w:hideMark/>
          </w:tcPr>
          <w:p w14:paraId="75572C8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30</w:t>
            </w:r>
          </w:p>
        </w:tc>
        <w:tc>
          <w:tcPr>
            <w:tcW w:w="2849" w:type="dxa"/>
            <w:tcBorders>
              <w:top w:val="single" w:sz="4" w:space="0" w:color="auto"/>
              <w:left w:val="nil"/>
              <w:bottom w:val="single" w:sz="4" w:space="0" w:color="auto"/>
              <w:right w:val="single" w:sz="4" w:space="0" w:color="auto"/>
            </w:tcBorders>
            <w:shd w:val="clear" w:color="auto" w:fill="auto"/>
            <w:vAlign w:val="center"/>
            <w:hideMark/>
          </w:tcPr>
          <w:p w14:paraId="2C532FA6"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Programa de apoyo a las acciones del Ministerio de Finanzas Públicas</w:t>
            </w:r>
          </w:p>
        </w:tc>
        <w:tc>
          <w:tcPr>
            <w:tcW w:w="1377" w:type="dxa"/>
            <w:tcBorders>
              <w:top w:val="single" w:sz="4" w:space="0" w:color="auto"/>
              <w:left w:val="nil"/>
              <w:bottom w:val="single" w:sz="4" w:space="0" w:color="auto"/>
              <w:right w:val="single" w:sz="4" w:space="0" w:color="auto"/>
            </w:tcBorders>
            <w:shd w:val="clear" w:color="auto" w:fill="auto"/>
            <w:noWrap/>
            <w:vAlign w:val="center"/>
            <w:hideMark/>
          </w:tcPr>
          <w:p w14:paraId="0E57C49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Q1,890,000.00</w:t>
            </w:r>
          </w:p>
        </w:tc>
        <w:tc>
          <w:tcPr>
            <w:tcW w:w="1304" w:type="dxa"/>
            <w:tcBorders>
              <w:top w:val="single" w:sz="4" w:space="0" w:color="auto"/>
              <w:left w:val="nil"/>
              <w:bottom w:val="single" w:sz="4" w:space="0" w:color="auto"/>
              <w:right w:val="single" w:sz="4" w:space="0" w:color="auto"/>
            </w:tcBorders>
            <w:shd w:val="clear" w:color="auto" w:fill="auto"/>
            <w:noWrap/>
            <w:vAlign w:val="center"/>
            <w:hideMark/>
          </w:tcPr>
          <w:p w14:paraId="581E24D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Q623,193.93</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1778C86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32.97%</w:t>
            </w:r>
          </w:p>
        </w:tc>
      </w:tr>
      <w:tr w:rsidR="00CE3D5C" w:rsidRPr="008F7682" w14:paraId="0979566A"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50CC4D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w:t>
            </w:r>
          </w:p>
        </w:tc>
        <w:tc>
          <w:tcPr>
            <w:tcW w:w="140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5E840ED"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2A0F8F4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403</w:t>
            </w:r>
          </w:p>
        </w:tc>
        <w:tc>
          <w:tcPr>
            <w:tcW w:w="523" w:type="dxa"/>
            <w:tcBorders>
              <w:top w:val="nil"/>
              <w:left w:val="nil"/>
              <w:bottom w:val="single" w:sz="4" w:space="0" w:color="auto"/>
              <w:right w:val="single" w:sz="4" w:space="0" w:color="auto"/>
            </w:tcBorders>
            <w:shd w:val="clear" w:color="auto" w:fill="auto"/>
            <w:noWrap/>
            <w:vAlign w:val="center"/>
            <w:hideMark/>
          </w:tcPr>
          <w:p w14:paraId="31F76B3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w:t>
            </w:r>
          </w:p>
        </w:tc>
        <w:tc>
          <w:tcPr>
            <w:tcW w:w="2849" w:type="dxa"/>
            <w:tcBorders>
              <w:top w:val="nil"/>
              <w:left w:val="nil"/>
              <w:bottom w:val="single" w:sz="4" w:space="0" w:color="auto"/>
              <w:right w:val="single" w:sz="4" w:space="0" w:color="auto"/>
            </w:tcBorders>
            <w:shd w:val="clear" w:color="auto" w:fill="auto"/>
            <w:vAlign w:val="center"/>
            <w:hideMark/>
          </w:tcPr>
          <w:p w14:paraId="7BD8ABBD" w14:textId="20E4462C"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Proyecto de apoyo para la implementación de la iniciativa para la transparencia de las industrias </w:t>
            </w:r>
            <w:r w:rsidR="00691B67">
              <w:rPr>
                <w:rFonts w:ascii="Helvetica" w:eastAsia="Times New Roman" w:hAnsi="Helvetica" w:cs="Helvetica"/>
                <w:sz w:val="16"/>
                <w:szCs w:val="16"/>
                <w:lang w:eastAsia="es-GT"/>
              </w:rPr>
              <w:t>e</w:t>
            </w:r>
            <w:r w:rsidRPr="008F7682">
              <w:rPr>
                <w:rFonts w:ascii="Helvetica" w:eastAsia="Times New Roman" w:hAnsi="Helvetica" w:cs="Helvetica"/>
                <w:sz w:val="16"/>
                <w:szCs w:val="16"/>
                <w:lang w:eastAsia="es-GT"/>
              </w:rPr>
              <w:t xml:space="preserve">xtractivas EITI fase II </w:t>
            </w:r>
          </w:p>
        </w:tc>
        <w:tc>
          <w:tcPr>
            <w:tcW w:w="1377" w:type="dxa"/>
            <w:tcBorders>
              <w:top w:val="nil"/>
              <w:left w:val="nil"/>
              <w:bottom w:val="single" w:sz="4" w:space="0" w:color="auto"/>
              <w:right w:val="single" w:sz="4" w:space="0" w:color="auto"/>
            </w:tcBorders>
            <w:shd w:val="clear" w:color="auto" w:fill="auto"/>
            <w:noWrap/>
            <w:vAlign w:val="center"/>
            <w:hideMark/>
          </w:tcPr>
          <w:p w14:paraId="4241698C"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Q1,261,000.00</w:t>
            </w:r>
          </w:p>
        </w:tc>
        <w:tc>
          <w:tcPr>
            <w:tcW w:w="1304" w:type="dxa"/>
            <w:tcBorders>
              <w:top w:val="nil"/>
              <w:left w:val="nil"/>
              <w:bottom w:val="single" w:sz="4" w:space="0" w:color="auto"/>
              <w:right w:val="single" w:sz="4" w:space="0" w:color="auto"/>
            </w:tcBorders>
            <w:shd w:val="clear" w:color="auto" w:fill="auto"/>
            <w:noWrap/>
            <w:vAlign w:val="center"/>
            <w:hideMark/>
          </w:tcPr>
          <w:p w14:paraId="627AEB4F"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20A2328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7677064E"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EF4CD2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w:t>
            </w:r>
          </w:p>
        </w:tc>
        <w:tc>
          <w:tcPr>
            <w:tcW w:w="140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6FA7F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MINEDUC</w:t>
            </w:r>
          </w:p>
        </w:tc>
        <w:tc>
          <w:tcPr>
            <w:tcW w:w="496" w:type="dxa"/>
            <w:tcBorders>
              <w:top w:val="nil"/>
              <w:left w:val="nil"/>
              <w:bottom w:val="single" w:sz="4" w:space="0" w:color="auto"/>
              <w:right w:val="single" w:sz="4" w:space="0" w:color="auto"/>
            </w:tcBorders>
            <w:shd w:val="clear" w:color="auto" w:fill="auto"/>
            <w:noWrap/>
            <w:vAlign w:val="center"/>
            <w:hideMark/>
          </w:tcPr>
          <w:p w14:paraId="368C65A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403</w:t>
            </w:r>
          </w:p>
        </w:tc>
        <w:tc>
          <w:tcPr>
            <w:tcW w:w="523" w:type="dxa"/>
            <w:tcBorders>
              <w:top w:val="nil"/>
              <w:left w:val="nil"/>
              <w:bottom w:val="single" w:sz="4" w:space="0" w:color="auto"/>
              <w:right w:val="single" w:sz="4" w:space="0" w:color="auto"/>
            </w:tcBorders>
            <w:shd w:val="clear" w:color="auto" w:fill="auto"/>
            <w:noWrap/>
            <w:vAlign w:val="center"/>
            <w:hideMark/>
          </w:tcPr>
          <w:p w14:paraId="4325BD1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34</w:t>
            </w:r>
          </w:p>
        </w:tc>
        <w:tc>
          <w:tcPr>
            <w:tcW w:w="2849" w:type="dxa"/>
            <w:tcBorders>
              <w:top w:val="nil"/>
              <w:left w:val="nil"/>
              <w:bottom w:val="single" w:sz="4" w:space="0" w:color="auto"/>
              <w:right w:val="single" w:sz="4" w:space="0" w:color="auto"/>
            </w:tcBorders>
            <w:shd w:val="clear" w:color="auto" w:fill="auto"/>
            <w:vAlign w:val="center"/>
            <w:hideMark/>
          </w:tcPr>
          <w:p w14:paraId="19D334DB"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Generación de Capacidades Estadísticas del Ministerio de Educación en Guatemala</w:t>
            </w:r>
          </w:p>
        </w:tc>
        <w:tc>
          <w:tcPr>
            <w:tcW w:w="1377" w:type="dxa"/>
            <w:tcBorders>
              <w:top w:val="nil"/>
              <w:left w:val="nil"/>
              <w:bottom w:val="single" w:sz="4" w:space="0" w:color="auto"/>
              <w:right w:val="single" w:sz="4" w:space="0" w:color="auto"/>
            </w:tcBorders>
            <w:shd w:val="clear" w:color="auto" w:fill="auto"/>
            <w:noWrap/>
            <w:vAlign w:val="center"/>
            <w:hideMark/>
          </w:tcPr>
          <w:p w14:paraId="569F7CD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Q1,660,164.00</w:t>
            </w:r>
          </w:p>
        </w:tc>
        <w:tc>
          <w:tcPr>
            <w:tcW w:w="1304" w:type="dxa"/>
            <w:tcBorders>
              <w:top w:val="nil"/>
              <w:left w:val="nil"/>
              <w:bottom w:val="single" w:sz="4" w:space="0" w:color="auto"/>
              <w:right w:val="single" w:sz="4" w:space="0" w:color="auto"/>
            </w:tcBorders>
            <w:shd w:val="clear" w:color="auto" w:fill="auto"/>
            <w:noWrap/>
            <w:vAlign w:val="center"/>
            <w:hideMark/>
          </w:tcPr>
          <w:p w14:paraId="3F842DCD"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Q283,068.46</w:t>
            </w:r>
          </w:p>
        </w:tc>
        <w:tc>
          <w:tcPr>
            <w:tcW w:w="1020" w:type="dxa"/>
            <w:tcBorders>
              <w:top w:val="nil"/>
              <w:left w:val="nil"/>
              <w:bottom w:val="single" w:sz="4" w:space="0" w:color="auto"/>
              <w:right w:val="single" w:sz="4" w:space="0" w:color="auto"/>
            </w:tcBorders>
            <w:shd w:val="clear" w:color="auto" w:fill="auto"/>
            <w:noWrap/>
            <w:vAlign w:val="center"/>
            <w:hideMark/>
          </w:tcPr>
          <w:p w14:paraId="4CDDDD1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17.05%</w:t>
            </w:r>
          </w:p>
        </w:tc>
      </w:tr>
      <w:tr w:rsidR="00CE3D5C" w:rsidRPr="008F7682" w14:paraId="3BDE82A0"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F39C77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w:t>
            </w:r>
          </w:p>
        </w:tc>
        <w:tc>
          <w:tcPr>
            <w:tcW w:w="1403" w:type="dxa"/>
            <w:vMerge/>
            <w:tcBorders>
              <w:top w:val="nil"/>
              <w:left w:val="single" w:sz="4" w:space="0" w:color="auto"/>
              <w:bottom w:val="single" w:sz="4" w:space="0" w:color="000000"/>
              <w:right w:val="single" w:sz="4" w:space="0" w:color="auto"/>
            </w:tcBorders>
            <w:shd w:val="clear" w:color="auto" w:fill="auto"/>
            <w:vAlign w:val="center"/>
            <w:hideMark/>
          </w:tcPr>
          <w:p w14:paraId="76A5CDB5"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51D1A2C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505</w:t>
            </w:r>
          </w:p>
        </w:tc>
        <w:tc>
          <w:tcPr>
            <w:tcW w:w="523" w:type="dxa"/>
            <w:tcBorders>
              <w:top w:val="nil"/>
              <w:left w:val="nil"/>
              <w:bottom w:val="single" w:sz="4" w:space="0" w:color="auto"/>
              <w:right w:val="single" w:sz="4" w:space="0" w:color="auto"/>
            </w:tcBorders>
            <w:shd w:val="clear" w:color="auto" w:fill="auto"/>
            <w:noWrap/>
            <w:vAlign w:val="center"/>
            <w:hideMark/>
          </w:tcPr>
          <w:p w14:paraId="725E4FE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18</w:t>
            </w:r>
          </w:p>
        </w:tc>
        <w:tc>
          <w:tcPr>
            <w:tcW w:w="2849" w:type="dxa"/>
            <w:tcBorders>
              <w:top w:val="nil"/>
              <w:left w:val="nil"/>
              <w:bottom w:val="single" w:sz="4" w:space="0" w:color="auto"/>
              <w:right w:val="single" w:sz="4" w:space="0" w:color="auto"/>
            </w:tcBorders>
            <w:shd w:val="clear" w:color="auto" w:fill="auto"/>
            <w:vAlign w:val="center"/>
            <w:hideMark/>
          </w:tcPr>
          <w:p w14:paraId="272B75A8"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KFW 2009 669 45 Programa de Educación Rural en Guatemala (PROEDUC IV) </w:t>
            </w:r>
          </w:p>
        </w:tc>
        <w:tc>
          <w:tcPr>
            <w:tcW w:w="1377" w:type="dxa"/>
            <w:tcBorders>
              <w:top w:val="nil"/>
              <w:left w:val="nil"/>
              <w:bottom w:val="single" w:sz="4" w:space="0" w:color="auto"/>
              <w:right w:val="single" w:sz="4" w:space="0" w:color="auto"/>
            </w:tcBorders>
            <w:shd w:val="clear" w:color="auto" w:fill="auto"/>
            <w:noWrap/>
            <w:vAlign w:val="center"/>
            <w:hideMark/>
          </w:tcPr>
          <w:p w14:paraId="494D7EE1"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Q1,946,938.00</w:t>
            </w:r>
          </w:p>
        </w:tc>
        <w:tc>
          <w:tcPr>
            <w:tcW w:w="1304" w:type="dxa"/>
            <w:tcBorders>
              <w:top w:val="nil"/>
              <w:left w:val="nil"/>
              <w:bottom w:val="single" w:sz="4" w:space="0" w:color="auto"/>
              <w:right w:val="single" w:sz="4" w:space="0" w:color="auto"/>
            </w:tcBorders>
            <w:shd w:val="clear" w:color="auto" w:fill="auto"/>
            <w:noWrap/>
            <w:vAlign w:val="center"/>
            <w:hideMark/>
          </w:tcPr>
          <w:p w14:paraId="3D095734"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Q346,279.36</w:t>
            </w:r>
          </w:p>
        </w:tc>
        <w:tc>
          <w:tcPr>
            <w:tcW w:w="1020" w:type="dxa"/>
            <w:tcBorders>
              <w:top w:val="nil"/>
              <w:left w:val="nil"/>
              <w:bottom w:val="single" w:sz="4" w:space="0" w:color="auto"/>
              <w:right w:val="single" w:sz="4" w:space="0" w:color="auto"/>
            </w:tcBorders>
            <w:shd w:val="clear" w:color="auto" w:fill="auto"/>
            <w:noWrap/>
            <w:vAlign w:val="center"/>
            <w:hideMark/>
          </w:tcPr>
          <w:p w14:paraId="2A633B1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17.79%</w:t>
            </w:r>
          </w:p>
        </w:tc>
      </w:tr>
      <w:tr w:rsidR="00CE3D5C" w:rsidRPr="008F7682" w14:paraId="7A6F6127"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246007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w:t>
            </w:r>
          </w:p>
        </w:tc>
        <w:tc>
          <w:tcPr>
            <w:tcW w:w="1403" w:type="dxa"/>
            <w:tcBorders>
              <w:top w:val="nil"/>
              <w:left w:val="nil"/>
              <w:bottom w:val="nil"/>
              <w:right w:val="single" w:sz="4" w:space="0" w:color="auto"/>
            </w:tcBorders>
            <w:shd w:val="clear" w:color="auto" w:fill="auto"/>
            <w:noWrap/>
            <w:vAlign w:val="center"/>
            <w:hideMark/>
          </w:tcPr>
          <w:p w14:paraId="328D25A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w:t>
            </w:r>
          </w:p>
        </w:tc>
        <w:tc>
          <w:tcPr>
            <w:tcW w:w="496" w:type="dxa"/>
            <w:tcBorders>
              <w:top w:val="nil"/>
              <w:left w:val="nil"/>
              <w:bottom w:val="single" w:sz="4" w:space="0" w:color="auto"/>
              <w:right w:val="single" w:sz="4" w:space="0" w:color="auto"/>
            </w:tcBorders>
            <w:shd w:val="clear" w:color="auto" w:fill="auto"/>
            <w:noWrap/>
            <w:vAlign w:val="center"/>
            <w:hideMark/>
          </w:tcPr>
          <w:p w14:paraId="6BEB6A7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401</w:t>
            </w:r>
          </w:p>
        </w:tc>
        <w:tc>
          <w:tcPr>
            <w:tcW w:w="523" w:type="dxa"/>
            <w:tcBorders>
              <w:top w:val="nil"/>
              <w:left w:val="nil"/>
              <w:bottom w:val="single" w:sz="4" w:space="0" w:color="auto"/>
              <w:right w:val="single" w:sz="4" w:space="0" w:color="auto"/>
            </w:tcBorders>
            <w:shd w:val="clear" w:color="auto" w:fill="auto"/>
            <w:noWrap/>
            <w:vAlign w:val="center"/>
            <w:hideMark/>
          </w:tcPr>
          <w:p w14:paraId="416114ED"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33</w:t>
            </w:r>
          </w:p>
        </w:tc>
        <w:tc>
          <w:tcPr>
            <w:tcW w:w="2849" w:type="dxa"/>
            <w:tcBorders>
              <w:top w:val="nil"/>
              <w:left w:val="nil"/>
              <w:bottom w:val="single" w:sz="4" w:space="0" w:color="auto"/>
              <w:right w:val="single" w:sz="4" w:space="0" w:color="auto"/>
            </w:tcBorders>
            <w:shd w:val="clear" w:color="auto" w:fill="auto"/>
            <w:vAlign w:val="center"/>
            <w:hideMark/>
          </w:tcPr>
          <w:p w14:paraId="446CA7EE" w14:textId="67FFBDED"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Ayuda de emergencia para enfrentar la expansión de </w:t>
            </w:r>
            <w:r w:rsidR="00691B67">
              <w:rPr>
                <w:rFonts w:ascii="Helvetica" w:eastAsia="Times New Roman" w:hAnsi="Helvetica" w:cs="Helvetica"/>
                <w:sz w:val="16"/>
                <w:szCs w:val="16"/>
                <w:lang w:eastAsia="es-GT"/>
              </w:rPr>
              <w:t>v</w:t>
            </w:r>
            <w:r w:rsidRPr="008F7682">
              <w:rPr>
                <w:rFonts w:ascii="Helvetica" w:eastAsia="Times New Roman" w:hAnsi="Helvetica" w:cs="Helvetica"/>
                <w:sz w:val="16"/>
                <w:szCs w:val="16"/>
                <w:lang w:eastAsia="es-GT"/>
              </w:rPr>
              <w:t>irus COVID-19 (Decreto Número 12-2020)</w:t>
            </w:r>
          </w:p>
        </w:tc>
        <w:tc>
          <w:tcPr>
            <w:tcW w:w="1377" w:type="dxa"/>
            <w:tcBorders>
              <w:top w:val="nil"/>
              <w:left w:val="nil"/>
              <w:bottom w:val="single" w:sz="4" w:space="0" w:color="auto"/>
              <w:right w:val="single" w:sz="4" w:space="0" w:color="auto"/>
            </w:tcBorders>
            <w:shd w:val="clear" w:color="auto" w:fill="auto"/>
            <w:noWrap/>
            <w:vAlign w:val="center"/>
            <w:hideMark/>
          </w:tcPr>
          <w:p w14:paraId="17733B84"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Q7,707,790.00</w:t>
            </w:r>
          </w:p>
        </w:tc>
        <w:tc>
          <w:tcPr>
            <w:tcW w:w="1304" w:type="dxa"/>
            <w:tcBorders>
              <w:top w:val="nil"/>
              <w:left w:val="nil"/>
              <w:bottom w:val="single" w:sz="4" w:space="0" w:color="auto"/>
              <w:right w:val="single" w:sz="4" w:space="0" w:color="auto"/>
            </w:tcBorders>
            <w:shd w:val="clear" w:color="auto" w:fill="auto"/>
            <w:noWrap/>
            <w:vAlign w:val="center"/>
            <w:hideMark/>
          </w:tcPr>
          <w:p w14:paraId="3ABEF991"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Q7,707,789.20</w:t>
            </w:r>
          </w:p>
        </w:tc>
        <w:tc>
          <w:tcPr>
            <w:tcW w:w="1020" w:type="dxa"/>
            <w:tcBorders>
              <w:top w:val="nil"/>
              <w:left w:val="nil"/>
              <w:bottom w:val="single" w:sz="4" w:space="0" w:color="auto"/>
              <w:right w:val="single" w:sz="4" w:space="0" w:color="auto"/>
            </w:tcBorders>
            <w:shd w:val="clear" w:color="auto" w:fill="auto"/>
            <w:noWrap/>
            <w:vAlign w:val="center"/>
            <w:hideMark/>
          </w:tcPr>
          <w:p w14:paraId="4B78F58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100.00%</w:t>
            </w:r>
          </w:p>
        </w:tc>
      </w:tr>
      <w:tr w:rsidR="00CE3D5C" w:rsidRPr="008F7682" w14:paraId="02ACE939"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DEF08B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w:t>
            </w:r>
          </w:p>
        </w:tc>
        <w:tc>
          <w:tcPr>
            <w:tcW w:w="1403" w:type="dxa"/>
            <w:tcBorders>
              <w:top w:val="nil"/>
              <w:left w:val="nil"/>
              <w:bottom w:val="nil"/>
              <w:right w:val="single" w:sz="4" w:space="0" w:color="auto"/>
            </w:tcBorders>
            <w:shd w:val="clear" w:color="auto" w:fill="auto"/>
            <w:noWrap/>
            <w:vAlign w:val="center"/>
            <w:hideMark/>
          </w:tcPr>
          <w:p w14:paraId="762DE53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w:t>
            </w:r>
          </w:p>
        </w:tc>
        <w:tc>
          <w:tcPr>
            <w:tcW w:w="496" w:type="dxa"/>
            <w:tcBorders>
              <w:top w:val="nil"/>
              <w:left w:val="nil"/>
              <w:bottom w:val="single" w:sz="4" w:space="0" w:color="auto"/>
              <w:right w:val="single" w:sz="4" w:space="0" w:color="auto"/>
            </w:tcBorders>
            <w:shd w:val="clear" w:color="auto" w:fill="auto"/>
            <w:noWrap/>
            <w:vAlign w:val="center"/>
            <w:hideMark/>
          </w:tcPr>
          <w:p w14:paraId="59BE4FA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402</w:t>
            </w:r>
          </w:p>
        </w:tc>
        <w:tc>
          <w:tcPr>
            <w:tcW w:w="523" w:type="dxa"/>
            <w:tcBorders>
              <w:top w:val="nil"/>
              <w:left w:val="nil"/>
              <w:bottom w:val="single" w:sz="4" w:space="0" w:color="auto"/>
              <w:right w:val="single" w:sz="4" w:space="0" w:color="auto"/>
            </w:tcBorders>
            <w:shd w:val="clear" w:color="auto" w:fill="auto"/>
            <w:noWrap/>
            <w:vAlign w:val="center"/>
            <w:hideMark/>
          </w:tcPr>
          <w:p w14:paraId="7503C01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186</w:t>
            </w:r>
          </w:p>
        </w:tc>
        <w:tc>
          <w:tcPr>
            <w:tcW w:w="2849" w:type="dxa"/>
            <w:tcBorders>
              <w:top w:val="nil"/>
              <w:left w:val="nil"/>
              <w:bottom w:val="single" w:sz="4" w:space="0" w:color="auto"/>
              <w:right w:val="single" w:sz="4" w:space="0" w:color="auto"/>
            </w:tcBorders>
            <w:shd w:val="clear" w:color="auto" w:fill="auto"/>
            <w:vAlign w:val="center"/>
            <w:hideMark/>
          </w:tcPr>
          <w:p w14:paraId="2BEE2D0B"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Iniciativa regional para la eliminación de la Malaria  (IREM) en Mesoamérica y República Dominicana (GRT/MM-17900-GU y GRT/MM-17901-GU)</w:t>
            </w:r>
          </w:p>
        </w:tc>
        <w:tc>
          <w:tcPr>
            <w:tcW w:w="1377" w:type="dxa"/>
            <w:tcBorders>
              <w:top w:val="nil"/>
              <w:left w:val="nil"/>
              <w:bottom w:val="single" w:sz="4" w:space="0" w:color="auto"/>
              <w:right w:val="single" w:sz="4" w:space="0" w:color="auto"/>
            </w:tcBorders>
            <w:shd w:val="clear" w:color="auto" w:fill="auto"/>
            <w:noWrap/>
            <w:vAlign w:val="center"/>
            <w:hideMark/>
          </w:tcPr>
          <w:p w14:paraId="6B42D96F"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Q322,000.00</w:t>
            </w:r>
          </w:p>
        </w:tc>
        <w:tc>
          <w:tcPr>
            <w:tcW w:w="1304" w:type="dxa"/>
            <w:tcBorders>
              <w:top w:val="nil"/>
              <w:left w:val="nil"/>
              <w:bottom w:val="single" w:sz="4" w:space="0" w:color="auto"/>
              <w:right w:val="single" w:sz="4" w:space="0" w:color="auto"/>
            </w:tcBorders>
            <w:shd w:val="clear" w:color="auto" w:fill="auto"/>
            <w:noWrap/>
            <w:vAlign w:val="center"/>
            <w:hideMark/>
          </w:tcPr>
          <w:p w14:paraId="7E9C5A6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4F441A2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7A201C8D"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E7BDE0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7</w:t>
            </w:r>
          </w:p>
        </w:tc>
        <w:tc>
          <w:tcPr>
            <w:tcW w:w="140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00FCA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MSPAS</w:t>
            </w:r>
          </w:p>
        </w:tc>
        <w:tc>
          <w:tcPr>
            <w:tcW w:w="496" w:type="dxa"/>
            <w:tcBorders>
              <w:top w:val="nil"/>
              <w:left w:val="nil"/>
              <w:bottom w:val="single" w:sz="4" w:space="0" w:color="auto"/>
              <w:right w:val="single" w:sz="4" w:space="0" w:color="auto"/>
            </w:tcBorders>
            <w:shd w:val="clear" w:color="auto" w:fill="auto"/>
            <w:noWrap/>
            <w:vAlign w:val="center"/>
            <w:hideMark/>
          </w:tcPr>
          <w:p w14:paraId="0DEA2C5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425</w:t>
            </w:r>
          </w:p>
        </w:tc>
        <w:tc>
          <w:tcPr>
            <w:tcW w:w="523" w:type="dxa"/>
            <w:tcBorders>
              <w:top w:val="nil"/>
              <w:left w:val="nil"/>
              <w:bottom w:val="single" w:sz="4" w:space="0" w:color="auto"/>
              <w:right w:val="single" w:sz="4" w:space="0" w:color="auto"/>
            </w:tcBorders>
            <w:shd w:val="clear" w:color="auto" w:fill="auto"/>
            <w:noWrap/>
            <w:vAlign w:val="center"/>
            <w:hideMark/>
          </w:tcPr>
          <w:p w14:paraId="6BB33DD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w:t>
            </w:r>
          </w:p>
        </w:tc>
        <w:tc>
          <w:tcPr>
            <w:tcW w:w="2849" w:type="dxa"/>
            <w:tcBorders>
              <w:top w:val="nil"/>
              <w:left w:val="nil"/>
              <w:bottom w:val="single" w:sz="4" w:space="0" w:color="auto"/>
              <w:right w:val="single" w:sz="4" w:space="0" w:color="auto"/>
            </w:tcBorders>
            <w:shd w:val="clear" w:color="auto" w:fill="auto"/>
            <w:vAlign w:val="center"/>
            <w:hideMark/>
          </w:tcPr>
          <w:p w14:paraId="5657A10A"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Iniciativa Multisectorial para implementar y consolidar las estrategias de Prevención y Control para la pre eliminación de Malaria en Guatemala</w:t>
            </w:r>
          </w:p>
        </w:tc>
        <w:tc>
          <w:tcPr>
            <w:tcW w:w="1377" w:type="dxa"/>
            <w:tcBorders>
              <w:top w:val="nil"/>
              <w:left w:val="nil"/>
              <w:bottom w:val="single" w:sz="4" w:space="0" w:color="auto"/>
              <w:right w:val="single" w:sz="4" w:space="0" w:color="auto"/>
            </w:tcBorders>
            <w:shd w:val="clear" w:color="auto" w:fill="auto"/>
            <w:noWrap/>
            <w:vAlign w:val="center"/>
            <w:hideMark/>
          </w:tcPr>
          <w:p w14:paraId="7AC9F14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Q42,000.00</w:t>
            </w:r>
          </w:p>
        </w:tc>
        <w:tc>
          <w:tcPr>
            <w:tcW w:w="1304" w:type="dxa"/>
            <w:tcBorders>
              <w:top w:val="nil"/>
              <w:left w:val="nil"/>
              <w:bottom w:val="single" w:sz="4" w:space="0" w:color="auto"/>
              <w:right w:val="single" w:sz="4" w:space="0" w:color="auto"/>
            </w:tcBorders>
            <w:shd w:val="clear" w:color="auto" w:fill="auto"/>
            <w:noWrap/>
            <w:vAlign w:val="center"/>
            <w:hideMark/>
          </w:tcPr>
          <w:p w14:paraId="303AC355"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59645BB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06087531"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CF4449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8</w:t>
            </w:r>
          </w:p>
        </w:tc>
        <w:tc>
          <w:tcPr>
            <w:tcW w:w="1403" w:type="dxa"/>
            <w:vMerge/>
            <w:tcBorders>
              <w:top w:val="nil"/>
              <w:left w:val="single" w:sz="4" w:space="0" w:color="auto"/>
              <w:bottom w:val="single" w:sz="4" w:space="0" w:color="000000"/>
              <w:right w:val="single" w:sz="4" w:space="0" w:color="auto"/>
            </w:tcBorders>
            <w:shd w:val="clear" w:color="auto" w:fill="auto"/>
            <w:vAlign w:val="center"/>
            <w:hideMark/>
          </w:tcPr>
          <w:p w14:paraId="01F7EF9C"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1FAFE13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425</w:t>
            </w:r>
          </w:p>
        </w:tc>
        <w:tc>
          <w:tcPr>
            <w:tcW w:w="523" w:type="dxa"/>
            <w:tcBorders>
              <w:top w:val="nil"/>
              <w:left w:val="nil"/>
              <w:bottom w:val="single" w:sz="4" w:space="0" w:color="auto"/>
              <w:right w:val="single" w:sz="4" w:space="0" w:color="auto"/>
            </w:tcBorders>
            <w:shd w:val="clear" w:color="auto" w:fill="auto"/>
            <w:noWrap/>
            <w:vAlign w:val="center"/>
            <w:hideMark/>
          </w:tcPr>
          <w:p w14:paraId="396058B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w:t>
            </w:r>
          </w:p>
        </w:tc>
        <w:tc>
          <w:tcPr>
            <w:tcW w:w="2849" w:type="dxa"/>
            <w:tcBorders>
              <w:top w:val="nil"/>
              <w:left w:val="nil"/>
              <w:bottom w:val="single" w:sz="4" w:space="0" w:color="auto"/>
              <w:right w:val="single" w:sz="4" w:space="0" w:color="auto"/>
            </w:tcBorders>
            <w:shd w:val="clear" w:color="auto" w:fill="auto"/>
            <w:vAlign w:val="center"/>
            <w:hideMark/>
          </w:tcPr>
          <w:p w14:paraId="4037815A" w14:textId="57BD45CF"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Fortalecimiento de la Estrategia TAES dentro del marco de la nueva estrategia ALTO a la tuberculosis   </w:t>
            </w:r>
          </w:p>
        </w:tc>
        <w:tc>
          <w:tcPr>
            <w:tcW w:w="1377" w:type="dxa"/>
            <w:tcBorders>
              <w:top w:val="nil"/>
              <w:left w:val="nil"/>
              <w:bottom w:val="single" w:sz="4" w:space="0" w:color="auto"/>
              <w:right w:val="single" w:sz="4" w:space="0" w:color="auto"/>
            </w:tcBorders>
            <w:shd w:val="clear" w:color="auto" w:fill="auto"/>
            <w:noWrap/>
            <w:vAlign w:val="center"/>
            <w:hideMark/>
          </w:tcPr>
          <w:p w14:paraId="2C6A279F"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Q415,000.00</w:t>
            </w:r>
          </w:p>
        </w:tc>
        <w:tc>
          <w:tcPr>
            <w:tcW w:w="1304" w:type="dxa"/>
            <w:tcBorders>
              <w:top w:val="nil"/>
              <w:left w:val="nil"/>
              <w:bottom w:val="single" w:sz="4" w:space="0" w:color="auto"/>
              <w:right w:val="single" w:sz="4" w:space="0" w:color="auto"/>
            </w:tcBorders>
            <w:shd w:val="clear" w:color="auto" w:fill="auto"/>
            <w:noWrap/>
            <w:vAlign w:val="center"/>
            <w:hideMark/>
          </w:tcPr>
          <w:p w14:paraId="7F7ED50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3FBE63D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3E9A4955"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D847C9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w:t>
            </w:r>
          </w:p>
        </w:tc>
        <w:tc>
          <w:tcPr>
            <w:tcW w:w="1403" w:type="dxa"/>
            <w:vMerge/>
            <w:tcBorders>
              <w:top w:val="nil"/>
              <w:left w:val="single" w:sz="4" w:space="0" w:color="auto"/>
              <w:bottom w:val="single" w:sz="4" w:space="0" w:color="000000"/>
              <w:right w:val="single" w:sz="4" w:space="0" w:color="auto"/>
            </w:tcBorders>
            <w:shd w:val="clear" w:color="auto" w:fill="auto"/>
            <w:vAlign w:val="center"/>
            <w:hideMark/>
          </w:tcPr>
          <w:p w14:paraId="2EAD8C7F"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52F3A87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425</w:t>
            </w:r>
          </w:p>
        </w:tc>
        <w:tc>
          <w:tcPr>
            <w:tcW w:w="523" w:type="dxa"/>
            <w:tcBorders>
              <w:top w:val="nil"/>
              <w:left w:val="nil"/>
              <w:bottom w:val="single" w:sz="4" w:space="0" w:color="auto"/>
              <w:right w:val="single" w:sz="4" w:space="0" w:color="auto"/>
            </w:tcBorders>
            <w:shd w:val="clear" w:color="auto" w:fill="auto"/>
            <w:noWrap/>
            <w:vAlign w:val="center"/>
            <w:hideMark/>
          </w:tcPr>
          <w:p w14:paraId="6892F69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w:t>
            </w:r>
          </w:p>
        </w:tc>
        <w:tc>
          <w:tcPr>
            <w:tcW w:w="2849" w:type="dxa"/>
            <w:tcBorders>
              <w:top w:val="nil"/>
              <w:left w:val="nil"/>
              <w:bottom w:val="single" w:sz="4" w:space="0" w:color="auto"/>
              <w:right w:val="single" w:sz="4" w:space="0" w:color="auto"/>
            </w:tcBorders>
            <w:shd w:val="clear" w:color="auto" w:fill="auto"/>
            <w:vAlign w:val="center"/>
            <w:hideMark/>
          </w:tcPr>
          <w:p w14:paraId="690B918A"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Un enfoque de múltiples partes interesadas para apoyar la implementación de estrategias nacionales para lograr la eliminación de la malaria en Guatemala para el 2022 (</w:t>
            </w:r>
            <w:proofErr w:type="spellStart"/>
            <w:r w:rsidRPr="008F7682">
              <w:rPr>
                <w:rFonts w:ascii="Helvetica" w:eastAsia="Times New Roman" w:hAnsi="Helvetica" w:cs="Helvetica"/>
                <w:sz w:val="16"/>
                <w:szCs w:val="16"/>
                <w:lang w:eastAsia="es-GT"/>
              </w:rPr>
              <w:t>Acdo</w:t>
            </w:r>
            <w:proofErr w:type="spellEnd"/>
            <w:r w:rsidRPr="008F7682">
              <w:rPr>
                <w:rFonts w:ascii="Helvetica" w:eastAsia="Times New Roman" w:hAnsi="Helvetica" w:cs="Helvetica"/>
                <w:sz w:val="16"/>
                <w:szCs w:val="16"/>
                <w:lang w:eastAsia="es-GT"/>
              </w:rPr>
              <w:t>. Min 137-2019)</w:t>
            </w:r>
          </w:p>
        </w:tc>
        <w:tc>
          <w:tcPr>
            <w:tcW w:w="1377" w:type="dxa"/>
            <w:tcBorders>
              <w:top w:val="nil"/>
              <w:left w:val="single" w:sz="4" w:space="0" w:color="auto"/>
              <w:bottom w:val="single" w:sz="4" w:space="0" w:color="auto"/>
              <w:right w:val="single" w:sz="4" w:space="0" w:color="auto"/>
            </w:tcBorders>
            <w:shd w:val="clear" w:color="auto" w:fill="auto"/>
            <w:noWrap/>
            <w:vAlign w:val="center"/>
            <w:hideMark/>
          </w:tcPr>
          <w:p w14:paraId="7BDB5749"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Q14,592,000.00</w:t>
            </w:r>
          </w:p>
        </w:tc>
        <w:tc>
          <w:tcPr>
            <w:tcW w:w="1304" w:type="dxa"/>
            <w:tcBorders>
              <w:top w:val="nil"/>
              <w:left w:val="nil"/>
              <w:bottom w:val="single" w:sz="4" w:space="0" w:color="auto"/>
              <w:right w:val="single" w:sz="4" w:space="0" w:color="auto"/>
            </w:tcBorders>
            <w:shd w:val="clear" w:color="auto" w:fill="auto"/>
            <w:noWrap/>
            <w:vAlign w:val="center"/>
            <w:hideMark/>
          </w:tcPr>
          <w:p w14:paraId="28B08AE6"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Q2,422,236.21</w:t>
            </w:r>
          </w:p>
        </w:tc>
        <w:tc>
          <w:tcPr>
            <w:tcW w:w="1020" w:type="dxa"/>
            <w:tcBorders>
              <w:top w:val="nil"/>
              <w:left w:val="nil"/>
              <w:bottom w:val="single" w:sz="4" w:space="0" w:color="auto"/>
              <w:right w:val="single" w:sz="4" w:space="0" w:color="auto"/>
            </w:tcBorders>
            <w:shd w:val="clear" w:color="auto" w:fill="auto"/>
            <w:noWrap/>
            <w:vAlign w:val="center"/>
            <w:hideMark/>
          </w:tcPr>
          <w:p w14:paraId="17CD6B4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16.60%</w:t>
            </w:r>
          </w:p>
        </w:tc>
      </w:tr>
      <w:tr w:rsidR="00CE3D5C" w:rsidRPr="008F7682" w14:paraId="51BEF199"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FFC0BF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w:t>
            </w:r>
          </w:p>
        </w:tc>
        <w:tc>
          <w:tcPr>
            <w:tcW w:w="1403" w:type="dxa"/>
            <w:vMerge/>
            <w:tcBorders>
              <w:top w:val="nil"/>
              <w:left w:val="single" w:sz="4" w:space="0" w:color="auto"/>
              <w:bottom w:val="single" w:sz="4" w:space="0" w:color="000000"/>
              <w:right w:val="single" w:sz="4" w:space="0" w:color="auto"/>
            </w:tcBorders>
            <w:shd w:val="clear" w:color="auto" w:fill="auto"/>
            <w:vAlign w:val="center"/>
            <w:hideMark/>
          </w:tcPr>
          <w:p w14:paraId="43648EAD"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03C24B4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425</w:t>
            </w:r>
          </w:p>
        </w:tc>
        <w:tc>
          <w:tcPr>
            <w:tcW w:w="523" w:type="dxa"/>
            <w:tcBorders>
              <w:top w:val="nil"/>
              <w:left w:val="nil"/>
              <w:bottom w:val="single" w:sz="4" w:space="0" w:color="auto"/>
              <w:right w:val="single" w:sz="4" w:space="0" w:color="auto"/>
            </w:tcBorders>
            <w:shd w:val="clear" w:color="auto" w:fill="auto"/>
            <w:noWrap/>
            <w:vAlign w:val="center"/>
            <w:hideMark/>
          </w:tcPr>
          <w:p w14:paraId="4FCFBB9D"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w:t>
            </w:r>
          </w:p>
        </w:tc>
        <w:tc>
          <w:tcPr>
            <w:tcW w:w="2849" w:type="dxa"/>
            <w:tcBorders>
              <w:top w:val="nil"/>
              <w:left w:val="nil"/>
              <w:bottom w:val="single" w:sz="4" w:space="0" w:color="auto"/>
              <w:right w:val="single" w:sz="4" w:space="0" w:color="auto"/>
            </w:tcBorders>
            <w:shd w:val="clear" w:color="auto" w:fill="auto"/>
            <w:vAlign w:val="center"/>
            <w:hideMark/>
          </w:tcPr>
          <w:p w14:paraId="6F5D4C6D" w14:textId="59262582"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Fortalecer la Estrategia TAES en el marco de la nueva estrategia Alta la Tuberculosis, GTM-MSPA (ADO. Min. Número 156-2019)</w:t>
            </w:r>
          </w:p>
        </w:tc>
        <w:tc>
          <w:tcPr>
            <w:tcW w:w="1377" w:type="dxa"/>
            <w:tcBorders>
              <w:top w:val="nil"/>
              <w:left w:val="nil"/>
              <w:bottom w:val="single" w:sz="4" w:space="0" w:color="auto"/>
              <w:right w:val="single" w:sz="4" w:space="0" w:color="auto"/>
            </w:tcBorders>
            <w:shd w:val="clear" w:color="auto" w:fill="auto"/>
            <w:noWrap/>
            <w:vAlign w:val="center"/>
            <w:hideMark/>
          </w:tcPr>
          <w:p w14:paraId="6949DBFE"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Q14,706,000.00</w:t>
            </w:r>
          </w:p>
        </w:tc>
        <w:tc>
          <w:tcPr>
            <w:tcW w:w="1304" w:type="dxa"/>
            <w:tcBorders>
              <w:top w:val="nil"/>
              <w:left w:val="nil"/>
              <w:bottom w:val="single" w:sz="4" w:space="0" w:color="auto"/>
              <w:right w:val="single" w:sz="4" w:space="0" w:color="auto"/>
            </w:tcBorders>
            <w:shd w:val="clear" w:color="auto" w:fill="auto"/>
            <w:noWrap/>
            <w:vAlign w:val="center"/>
            <w:hideMark/>
          </w:tcPr>
          <w:p w14:paraId="51899CC7"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Q2,762,955.81</w:t>
            </w:r>
          </w:p>
        </w:tc>
        <w:tc>
          <w:tcPr>
            <w:tcW w:w="1020" w:type="dxa"/>
            <w:tcBorders>
              <w:top w:val="nil"/>
              <w:left w:val="nil"/>
              <w:bottom w:val="single" w:sz="4" w:space="0" w:color="auto"/>
              <w:right w:val="single" w:sz="4" w:space="0" w:color="auto"/>
            </w:tcBorders>
            <w:shd w:val="clear" w:color="auto" w:fill="auto"/>
            <w:noWrap/>
            <w:vAlign w:val="center"/>
            <w:hideMark/>
          </w:tcPr>
          <w:p w14:paraId="275061A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18.79%</w:t>
            </w:r>
          </w:p>
        </w:tc>
      </w:tr>
      <w:tr w:rsidR="00CE3D5C" w:rsidRPr="008F7682" w14:paraId="54E8DE90"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54761A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w:t>
            </w:r>
          </w:p>
        </w:tc>
        <w:tc>
          <w:tcPr>
            <w:tcW w:w="140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E7B4E0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MINTRAB</w:t>
            </w:r>
          </w:p>
        </w:tc>
        <w:tc>
          <w:tcPr>
            <w:tcW w:w="496" w:type="dxa"/>
            <w:tcBorders>
              <w:top w:val="nil"/>
              <w:left w:val="nil"/>
              <w:bottom w:val="single" w:sz="4" w:space="0" w:color="auto"/>
              <w:right w:val="single" w:sz="4" w:space="0" w:color="auto"/>
            </w:tcBorders>
            <w:shd w:val="clear" w:color="auto" w:fill="auto"/>
            <w:noWrap/>
            <w:vAlign w:val="center"/>
            <w:hideMark/>
          </w:tcPr>
          <w:p w14:paraId="1B6CC85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noWrap/>
            <w:vAlign w:val="center"/>
            <w:hideMark/>
          </w:tcPr>
          <w:p w14:paraId="374DB59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105</w:t>
            </w:r>
          </w:p>
        </w:tc>
        <w:tc>
          <w:tcPr>
            <w:tcW w:w="2849" w:type="dxa"/>
            <w:tcBorders>
              <w:top w:val="nil"/>
              <w:left w:val="nil"/>
              <w:bottom w:val="single" w:sz="4" w:space="0" w:color="auto"/>
              <w:right w:val="single" w:sz="4" w:space="0" w:color="auto"/>
            </w:tcBorders>
            <w:shd w:val="clear" w:color="auto" w:fill="auto"/>
            <w:vAlign w:val="center"/>
            <w:hideMark/>
          </w:tcPr>
          <w:p w14:paraId="3B3C972F" w14:textId="0517F2B5"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Puesta en </w:t>
            </w:r>
            <w:r w:rsidR="00691B67">
              <w:rPr>
                <w:rFonts w:ascii="Helvetica" w:eastAsia="Times New Roman" w:hAnsi="Helvetica" w:cs="Helvetica"/>
                <w:sz w:val="16"/>
                <w:szCs w:val="16"/>
                <w:lang w:eastAsia="es-GT"/>
              </w:rPr>
              <w:t>m</w:t>
            </w:r>
            <w:r w:rsidRPr="008F7682">
              <w:rPr>
                <w:rFonts w:ascii="Helvetica" w:eastAsia="Times New Roman" w:hAnsi="Helvetica" w:cs="Helvetica"/>
                <w:sz w:val="16"/>
                <w:szCs w:val="16"/>
                <w:lang w:eastAsia="es-GT"/>
              </w:rPr>
              <w:t>archa del Programa Nacional de Escuelas Taller de Guatemala</w:t>
            </w:r>
          </w:p>
        </w:tc>
        <w:tc>
          <w:tcPr>
            <w:tcW w:w="1377" w:type="dxa"/>
            <w:tcBorders>
              <w:top w:val="nil"/>
              <w:left w:val="nil"/>
              <w:bottom w:val="single" w:sz="4" w:space="0" w:color="auto"/>
              <w:right w:val="single" w:sz="4" w:space="0" w:color="auto"/>
            </w:tcBorders>
            <w:shd w:val="clear" w:color="auto" w:fill="auto"/>
            <w:noWrap/>
            <w:vAlign w:val="center"/>
            <w:hideMark/>
          </w:tcPr>
          <w:p w14:paraId="1E80AF6E"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Q307,309.00</w:t>
            </w:r>
          </w:p>
        </w:tc>
        <w:tc>
          <w:tcPr>
            <w:tcW w:w="1304" w:type="dxa"/>
            <w:tcBorders>
              <w:top w:val="nil"/>
              <w:left w:val="nil"/>
              <w:bottom w:val="single" w:sz="4" w:space="0" w:color="auto"/>
              <w:right w:val="single" w:sz="4" w:space="0" w:color="auto"/>
            </w:tcBorders>
            <w:shd w:val="clear" w:color="auto" w:fill="auto"/>
            <w:noWrap/>
            <w:vAlign w:val="center"/>
            <w:hideMark/>
          </w:tcPr>
          <w:p w14:paraId="49D6E222"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Q307,308.62</w:t>
            </w:r>
          </w:p>
        </w:tc>
        <w:tc>
          <w:tcPr>
            <w:tcW w:w="1020" w:type="dxa"/>
            <w:tcBorders>
              <w:top w:val="nil"/>
              <w:left w:val="nil"/>
              <w:bottom w:val="single" w:sz="4" w:space="0" w:color="auto"/>
              <w:right w:val="single" w:sz="4" w:space="0" w:color="auto"/>
            </w:tcBorders>
            <w:shd w:val="clear" w:color="auto" w:fill="auto"/>
            <w:noWrap/>
            <w:vAlign w:val="center"/>
            <w:hideMark/>
          </w:tcPr>
          <w:p w14:paraId="53ADFDA7"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100.00%</w:t>
            </w:r>
          </w:p>
        </w:tc>
      </w:tr>
      <w:tr w:rsidR="00CE3D5C" w:rsidRPr="008F7682" w14:paraId="3238572D"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4AF0D9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12</w:t>
            </w:r>
          </w:p>
        </w:tc>
        <w:tc>
          <w:tcPr>
            <w:tcW w:w="1403" w:type="dxa"/>
            <w:vMerge/>
            <w:tcBorders>
              <w:top w:val="nil"/>
              <w:left w:val="single" w:sz="4" w:space="0" w:color="auto"/>
              <w:bottom w:val="single" w:sz="4" w:space="0" w:color="000000"/>
              <w:right w:val="single" w:sz="4" w:space="0" w:color="auto"/>
            </w:tcBorders>
            <w:shd w:val="clear" w:color="auto" w:fill="auto"/>
            <w:vAlign w:val="center"/>
            <w:hideMark/>
          </w:tcPr>
          <w:p w14:paraId="4AA7F938"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2910C41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noWrap/>
            <w:vAlign w:val="center"/>
            <w:hideMark/>
          </w:tcPr>
          <w:p w14:paraId="0340868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109</w:t>
            </w:r>
          </w:p>
        </w:tc>
        <w:tc>
          <w:tcPr>
            <w:tcW w:w="2849" w:type="dxa"/>
            <w:tcBorders>
              <w:top w:val="nil"/>
              <w:left w:val="nil"/>
              <w:bottom w:val="single" w:sz="4" w:space="0" w:color="auto"/>
              <w:right w:val="single" w:sz="4" w:space="0" w:color="auto"/>
            </w:tcBorders>
            <w:shd w:val="clear" w:color="auto" w:fill="auto"/>
            <w:vAlign w:val="center"/>
            <w:hideMark/>
          </w:tcPr>
          <w:p w14:paraId="5D756B11"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Programa Nacional de Escuelas Taller de Guatemala</w:t>
            </w:r>
          </w:p>
        </w:tc>
        <w:tc>
          <w:tcPr>
            <w:tcW w:w="1377" w:type="dxa"/>
            <w:tcBorders>
              <w:top w:val="nil"/>
              <w:left w:val="nil"/>
              <w:bottom w:val="single" w:sz="4" w:space="0" w:color="auto"/>
              <w:right w:val="single" w:sz="4" w:space="0" w:color="auto"/>
            </w:tcBorders>
            <w:shd w:val="clear" w:color="auto" w:fill="auto"/>
            <w:noWrap/>
            <w:vAlign w:val="center"/>
            <w:hideMark/>
          </w:tcPr>
          <w:p w14:paraId="7C994158"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Q69,621.00</w:t>
            </w:r>
          </w:p>
        </w:tc>
        <w:tc>
          <w:tcPr>
            <w:tcW w:w="1304" w:type="dxa"/>
            <w:tcBorders>
              <w:top w:val="nil"/>
              <w:left w:val="nil"/>
              <w:bottom w:val="single" w:sz="4" w:space="0" w:color="auto"/>
              <w:right w:val="single" w:sz="4" w:space="0" w:color="auto"/>
            </w:tcBorders>
            <w:shd w:val="clear" w:color="auto" w:fill="auto"/>
            <w:noWrap/>
            <w:vAlign w:val="center"/>
            <w:hideMark/>
          </w:tcPr>
          <w:p w14:paraId="1E6CB978"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Q69,620.23</w:t>
            </w:r>
          </w:p>
        </w:tc>
        <w:tc>
          <w:tcPr>
            <w:tcW w:w="1020" w:type="dxa"/>
            <w:tcBorders>
              <w:top w:val="nil"/>
              <w:left w:val="nil"/>
              <w:bottom w:val="single" w:sz="4" w:space="0" w:color="auto"/>
              <w:right w:val="single" w:sz="4" w:space="0" w:color="auto"/>
            </w:tcBorders>
            <w:shd w:val="clear" w:color="auto" w:fill="auto"/>
            <w:noWrap/>
            <w:vAlign w:val="center"/>
            <w:hideMark/>
          </w:tcPr>
          <w:p w14:paraId="4C13E4A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100.00%</w:t>
            </w:r>
          </w:p>
        </w:tc>
      </w:tr>
      <w:tr w:rsidR="00CE3D5C" w:rsidRPr="008F7682" w14:paraId="74969423"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675382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13</w:t>
            </w:r>
          </w:p>
        </w:tc>
        <w:tc>
          <w:tcPr>
            <w:tcW w:w="1403" w:type="dxa"/>
            <w:vMerge/>
            <w:tcBorders>
              <w:top w:val="nil"/>
              <w:left w:val="single" w:sz="4" w:space="0" w:color="auto"/>
              <w:bottom w:val="single" w:sz="4" w:space="0" w:color="000000"/>
              <w:right w:val="single" w:sz="4" w:space="0" w:color="auto"/>
            </w:tcBorders>
            <w:shd w:val="clear" w:color="auto" w:fill="auto"/>
            <w:vAlign w:val="center"/>
            <w:hideMark/>
          </w:tcPr>
          <w:p w14:paraId="49F74193"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2D9B7A5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noWrap/>
            <w:vAlign w:val="center"/>
            <w:hideMark/>
          </w:tcPr>
          <w:p w14:paraId="40B168E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116</w:t>
            </w:r>
          </w:p>
        </w:tc>
        <w:tc>
          <w:tcPr>
            <w:tcW w:w="2849" w:type="dxa"/>
            <w:tcBorders>
              <w:top w:val="nil"/>
              <w:left w:val="nil"/>
              <w:bottom w:val="single" w:sz="4" w:space="0" w:color="auto"/>
              <w:right w:val="single" w:sz="4" w:space="0" w:color="auto"/>
            </w:tcBorders>
            <w:shd w:val="clear" w:color="auto" w:fill="auto"/>
            <w:vAlign w:val="center"/>
            <w:hideMark/>
          </w:tcPr>
          <w:p w14:paraId="7112EF3D"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Programa Nacional de Escuelas Taller de Guatemala </w:t>
            </w:r>
            <w:proofErr w:type="spellStart"/>
            <w:r w:rsidRPr="008F7682">
              <w:rPr>
                <w:rFonts w:ascii="Helvetica" w:eastAsia="Times New Roman" w:hAnsi="Helvetica" w:cs="Helvetica"/>
                <w:sz w:val="16"/>
                <w:szCs w:val="16"/>
                <w:lang w:eastAsia="es-GT"/>
              </w:rPr>
              <w:t>Ref</w:t>
            </w:r>
            <w:proofErr w:type="spellEnd"/>
            <w:r w:rsidRPr="008F7682">
              <w:rPr>
                <w:rFonts w:ascii="Helvetica" w:eastAsia="Times New Roman" w:hAnsi="Helvetica" w:cs="Helvetica"/>
                <w:sz w:val="16"/>
                <w:szCs w:val="16"/>
                <w:lang w:eastAsia="es-GT"/>
              </w:rPr>
              <w:t>- 2018-SPE-0000400234 (ACD. MIN.74-2019)</w:t>
            </w:r>
          </w:p>
        </w:tc>
        <w:tc>
          <w:tcPr>
            <w:tcW w:w="1377" w:type="dxa"/>
            <w:tcBorders>
              <w:top w:val="nil"/>
              <w:left w:val="nil"/>
              <w:bottom w:val="single" w:sz="4" w:space="0" w:color="auto"/>
              <w:right w:val="single" w:sz="4" w:space="0" w:color="auto"/>
            </w:tcBorders>
            <w:shd w:val="clear" w:color="auto" w:fill="auto"/>
            <w:noWrap/>
            <w:vAlign w:val="center"/>
            <w:hideMark/>
          </w:tcPr>
          <w:p w14:paraId="7E70D844"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Q1,302,724.00</w:t>
            </w:r>
          </w:p>
        </w:tc>
        <w:tc>
          <w:tcPr>
            <w:tcW w:w="1304" w:type="dxa"/>
            <w:tcBorders>
              <w:top w:val="nil"/>
              <w:left w:val="nil"/>
              <w:bottom w:val="single" w:sz="4" w:space="0" w:color="auto"/>
              <w:right w:val="single" w:sz="4" w:space="0" w:color="auto"/>
            </w:tcBorders>
            <w:shd w:val="clear" w:color="auto" w:fill="auto"/>
            <w:noWrap/>
            <w:vAlign w:val="center"/>
            <w:hideMark/>
          </w:tcPr>
          <w:p w14:paraId="4A25922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Q1,201,888.05</w:t>
            </w:r>
          </w:p>
        </w:tc>
        <w:tc>
          <w:tcPr>
            <w:tcW w:w="1020" w:type="dxa"/>
            <w:tcBorders>
              <w:top w:val="nil"/>
              <w:left w:val="nil"/>
              <w:bottom w:val="single" w:sz="4" w:space="0" w:color="auto"/>
              <w:right w:val="single" w:sz="4" w:space="0" w:color="auto"/>
            </w:tcBorders>
            <w:shd w:val="clear" w:color="auto" w:fill="auto"/>
            <w:noWrap/>
            <w:vAlign w:val="center"/>
            <w:hideMark/>
          </w:tcPr>
          <w:p w14:paraId="1E63C55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92.26%</w:t>
            </w:r>
          </w:p>
        </w:tc>
      </w:tr>
      <w:tr w:rsidR="00CE3D5C" w:rsidRPr="008F7682" w14:paraId="3AFE41BB" w14:textId="77777777" w:rsidTr="00691B67">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FBDF46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14</w:t>
            </w:r>
          </w:p>
        </w:tc>
        <w:tc>
          <w:tcPr>
            <w:tcW w:w="1403" w:type="dxa"/>
            <w:tcBorders>
              <w:top w:val="nil"/>
              <w:left w:val="nil"/>
              <w:bottom w:val="single" w:sz="4" w:space="0" w:color="auto"/>
              <w:right w:val="single" w:sz="4" w:space="0" w:color="auto"/>
            </w:tcBorders>
            <w:shd w:val="clear" w:color="auto" w:fill="auto"/>
            <w:noWrap/>
            <w:vAlign w:val="center"/>
            <w:hideMark/>
          </w:tcPr>
          <w:p w14:paraId="45551C3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MINECO</w:t>
            </w:r>
          </w:p>
        </w:tc>
        <w:tc>
          <w:tcPr>
            <w:tcW w:w="496" w:type="dxa"/>
            <w:tcBorders>
              <w:top w:val="nil"/>
              <w:left w:val="nil"/>
              <w:bottom w:val="single" w:sz="4" w:space="0" w:color="auto"/>
              <w:right w:val="single" w:sz="4" w:space="0" w:color="auto"/>
            </w:tcBorders>
            <w:shd w:val="clear" w:color="auto" w:fill="auto"/>
            <w:noWrap/>
            <w:vAlign w:val="center"/>
            <w:hideMark/>
          </w:tcPr>
          <w:p w14:paraId="6D27F777"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409</w:t>
            </w:r>
          </w:p>
        </w:tc>
        <w:tc>
          <w:tcPr>
            <w:tcW w:w="523" w:type="dxa"/>
            <w:tcBorders>
              <w:top w:val="nil"/>
              <w:left w:val="nil"/>
              <w:bottom w:val="single" w:sz="4" w:space="0" w:color="auto"/>
              <w:right w:val="single" w:sz="4" w:space="0" w:color="auto"/>
            </w:tcBorders>
            <w:shd w:val="clear" w:color="auto" w:fill="auto"/>
            <w:noWrap/>
            <w:vAlign w:val="center"/>
            <w:hideMark/>
          </w:tcPr>
          <w:p w14:paraId="314D84B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42</w:t>
            </w:r>
          </w:p>
        </w:tc>
        <w:tc>
          <w:tcPr>
            <w:tcW w:w="2849" w:type="dxa"/>
            <w:tcBorders>
              <w:top w:val="nil"/>
              <w:left w:val="nil"/>
              <w:bottom w:val="single" w:sz="4" w:space="0" w:color="auto"/>
              <w:right w:val="single" w:sz="4" w:space="0" w:color="auto"/>
            </w:tcBorders>
            <w:shd w:val="clear" w:color="auto" w:fill="auto"/>
            <w:vAlign w:val="center"/>
            <w:hideMark/>
          </w:tcPr>
          <w:p w14:paraId="05EA5840"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Apoyo a la mejora de la competitividad y capacidad comercial de </w:t>
            </w:r>
            <w:proofErr w:type="spellStart"/>
            <w:r w:rsidRPr="008F7682">
              <w:rPr>
                <w:rFonts w:ascii="Helvetica" w:eastAsia="Times New Roman" w:hAnsi="Helvetica" w:cs="Helvetica"/>
                <w:sz w:val="16"/>
                <w:szCs w:val="16"/>
                <w:lang w:eastAsia="es-GT"/>
              </w:rPr>
              <w:t>Mipymes</w:t>
            </w:r>
            <w:proofErr w:type="spellEnd"/>
            <w:r w:rsidRPr="008F7682">
              <w:rPr>
                <w:rFonts w:ascii="Helvetica" w:eastAsia="Times New Roman" w:hAnsi="Helvetica" w:cs="Helvetica"/>
                <w:sz w:val="16"/>
                <w:szCs w:val="16"/>
                <w:lang w:eastAsia="es-GT"/>
              </w:rPr>
              <w:t xml:space="preserve"> y cooperativas</w:t>
            </w:r>
          </w:p>
        </w:tc>
        <w:tc>
          <w:tcPr>
            <w:tcW w:w="1377" w:type="dxa"/>
            <w:tcBorders>
              <w:top w:val="nil"/>
              <w:left w:val="nil"/>
              <w:bottom w:val="single" w:sz="4" w:space="0" w:color="auto"/>
              <w:right w:val="single" w:sz="4" w:space="0" w:color="auto"/>
            </w:tcBorders>
            <w:shd w:val="clear" w:color="auto" w:fill="auto"/>
            <w:noWrap/>
            <w:vAlign w:val="center"/>
            <w:hideMark/>
          </w:tcPr>
          <w:p w14:paraId="0A483FF5"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Q7,709,000.00</w:t>
            </w:r>
          </w:p>
        </w:tc>
        <w:tc>
          <w:tcPr>
            <w:tcW w:w="1304" w:type="dxa"/>
            <w:tcBorders>
              <w:top w:val="nil"/>
              <w:left w:val="nil"/>
              <w:bottom w:val="single" w:sz="4" w:space="0" w:color="auto"/>
              <w:right w:val="single" w:sz="4" w:space="0" w:color="auto"/>
            </w:tcBorders>
            <w:shd w:val="clear" w:color="auto" w:fill="auto"/>
            <w:noWrap/>
            <w:vAlign w:val="center"/>
            <w:hideMark/>
          </w:tcPr>
          <w:p w14:paraId="10CA5008"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Q4,336,841.90</w:t>
            </w:r>
          </w:p>
        </w:tc>
        <w:tc>
          <w:tcPr>
            <w:tcW w:w="1020" w:type="dxa"/>
            <w:tcBorders>
              <w:top w:val="nil"/>
              <w:left w:val="nil"/>
              <w:bottom w:val="single" w:sz="4" w:space="0" w:color="auto"/>
              <w:right w:val="single" w:sz="4" w:space="0" w:color="auto"/>
            </w:tcBorders>
            <w:shd w:val="clear" w:color="auto" w:fill="auto"/>
            <w:noWrap/>
            <w:vAlign w:val="center"/>
            <w:hideMark/>
          </w:tcPr>
          <w:p w14:paraId="3C6CF4F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56.26%</w:t>
            </w:r>
          </w:p>
        </w:tc>
      </w:tr>
      <w:tr w:rsidR="00CE3D5C" w:rsidRPr="008F7682" w14:paraId="09349B4A" w14:textId="77777777" w:rsidTr="00691B67">
        <w:trPr>
          <w:trHeight w:val="5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C7DE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15</w:t>
            </w:r>
          </w:p>
        </w:tc>
        <w:tc>
          <w:tcPr>
            <w:tcW w:w="14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6A7A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MAGA</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7BBAE6B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405</w:t>
            </w:r>
          </w:p>
        </w:tc>
        <w:tc>
          <w:tcPr>
            <w:tcW w:w="523" w:type="dxa"/>
            <w:tcBorders>
              <w:top w:val="nil"/>
              <w:left w:val="nil"/>
              <w:bottom w:val="single" w:sz="4" w:space="0" w:color="auto"/>
              <w:right w:val="single" w:sz="4" w:space="0" w:color="auto"/>
            </w:tcBorders>
            <w:shd w:val="clear" w:color="auto" w:fill="auto"/>
            <w:noWrap/>
            <w:vAlign w:val="center"/>
            <w:hideMark/>
          </w:tcPr>
          <w:p w14:paraId="4C310E8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w:t>
            </w:r>
          </w:p>
        </w:tc>
        <w:tc>
          <w:tcPr>
            <w:tcW w:w="2849" w:type="dxa"/>
            <w:tcBorders>
              <w:top w:val="nil"/>
              <w:left w:val="nil"/>
              <w:bottom w:val="single" w:sz="4" w:space="0" w:color="auto"/>
              <w:right w:val="single" w:sz="4" w:space="0" w:color="auto"/>
            </w:tcBorders>
            <w:shd w:val="clear" w:color="auto" w:fill="auto"/>
            <w:vAlign w:val="center"/>
            <w:hideMark/>
          </w:tcPr>
          <w:p w14:paraId="110674F6"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Programa de desarrollo rural sustentable para la región norte -PRODENORTE-</w:t>
            </w:r>
          </w:p>
        </w:tc>
        <w:tc>
          <w:tcPr>
            <w:tcW w:w="1377" w:type="dxa"/>
            <w:tcBorders>
              <w:top w:val="nil"/>
              <w:left w:val="nil"/>
              <w:bottom w:val="single" w:sz="4" w:space="0" w:color="auto"/>
              <w:right w:val="single" w:sz="4" w:space="0" w:color="auto"/>
            </w:tcBorders>
            <w:shd w:val="clear" w:color="auto" w:fill="auto"/>
            <w:noWrap/>
            <w:vAlign w:val="center"/>
            <w:hideMark/>
          </w:tcPr>
          <w:p w14:paraId="3FC1ABC7"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Q20,000.00</w:t>
            </w:r>
          </w:p>
        </w:tc>
        <w:tc>
          <w:tcPr>
            <w:tcW w:w="1304" w:type="dxa"/>
            <w:tcBorders>
              <w:top w:val="nil"/>
              <w:left w:val="nil"/>
              <w:bottom w:val="single" w:sz="4" w:space="0" w:color="auto"/>
              <w:right w:val="single" w:sz="4" w:space="0" w:color="auto"/>
            </w:tcBorders>
            <w:shd w:val="clear" w:color="auto" w:fill="auto"/>
            <w:noWrap/>
            <w:vAlign w:val="center"/>
            <w:hideMark/>
          </w:tcPr>
          <w:p w14:paraId="03E7C3C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6D4EF5B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1E45161F" w14:textId="77777777" w:rsidTr="00691B67">
        <w:trPr>
          <w:trHeight w:val="5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60F7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16</w:t>
            </w:r>
          </w:p>
        </w:tc>
        <w:tc>
          <w:tcPr>
            <w:tcW w:w="14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EFC412B"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1E5CC88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409</w:t>
            </w:r>
          </w:p>
        </w:tc>
        <w:tc>
          <w:tcPr>
            <w:tcW w:w="523" w:type="dxa"/>
            <w:tcBorders>
              <w:top w:val="nil"/>
              <w:left w:val="nil"/>
              <w:bottom w:val="single" w:sz="4" w:space="0" w:color="auto"/>
              <w:right w:val="single" w:sz="4" w:space="0" w:color="auto"/>
            </w:tcBorders>
            <w:shd w:val="clear" w:color="auto" w:fill="auto"/>
            <w:noWrap/>
            <w:vAlign w:val="center"/>
            <w:hideMark/>
          </w:tcPr>
          <w:p w14:paraId="68863FA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w:t>
            </w:r>
          </w:p>
        </w:tc>
        <w:tc>
          <w:tcPr>
            <w:tcW w:w="2849" w:type="dxa"/>
            <w:tcBorders>
              <w:top w:val="nil"/>
              <w:left w:val="nil"/>
              <w:bottom w:val="single" w:sz="4" w:space="0" w:color="auto"/>
              <w:right w:val="single" w:sz="4" w:space="0" w:color="auto"/>
            </w:tcBorders>
            <w:shd w:val="clear" w:color="auto" w:fill="auto"/>
            <w:vAlign w:val="center"/>
            <w:hideMark/>
          </w:tcPr>
          <w:p w14:paraId="0143FA1B"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"apoyo presupuestario al programa de agricultura familiar para el fortalecimiento de la economía campesina (AP-PAFFEC)"</w:t>
            </w:r>
          </w:p>
        </w:tc>
        <w:tc>
          <w:tcPr>
            <w:tcW w:w="1377" w:type="dxa"/>
            <w:tcBorders>
              <w:top w:val="nil"/>
              <w:left w:val="nil"/>
              <w:bottom w:val="single" w:sz="4" w:space="0" w:color="auto"/>
              <w:right w:val="single" w:sz="4" w:space="0" w:color="auto"/>
            </w:tcBorders>
            <w:shd w:val="clear" w:color="auto" w:fill="auto"/>
            <w:noWrap/>
            <w:vAlign w:val="center"/>
            <w:hideMark/>
          </w:tcPr>
          <w:p w14:paraId="27DE7F87"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Q1,583,600.00</w:t>
            </w:r>
          </w:p>
        </w:tc>
        <w:tc>
          <w:tcPr>
            <w:tcW w:w="1304" w:type="dxa"/>
            <w:tcBorders>
              <w:top w:val="nil"/>
              <w:left w:val="nil"/>
              <w:bottom w:val="single" w:sz="4" w:space="0" w:color="auto"/>
              <w:right w:val="single" w:sz="4" w:space="0" w:color="auto"/>
            </w:tcBorders>
            <w:shd w:val="clear" w:color="auto" w:fill="auto"/>
            <w:noWrap/>
            <w:vAlign w:val="center"/>
            <w:hideMark/>
          </w:tcPr>
          <w:p w14:paraId="1DCF2DD8"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301E879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4613BB05" w14:textId="77777777" w:rsidTr="00691B67">
        <w:trPr>
          <w:trHeight w:val="5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E660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17</w:t>
            </w:r>
          </w:p>
        </w:tc>
        <w:tc>
          <w:tcPr>
            <w:tcW w:w="14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4E37E3"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14C2C6F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509</w:t>
            </w:r>
          </w:p>
        </w:tc>
        <w:tc>
          <w:tcPr>
            <w:tcW w:w="523" w:type="dxa"/>
            <w:tcBorders>
              <w:top w:val="nil"/>
              <w:left w:val="nil"/>
              <w:bottom w:val="single" w:sz="4" w:space="0" w:color="auto"/>
              <w:right w:val="single" w:sz="4" w:space="0" w:color="auto"/>
            </w:tcBorders>
            <w:shd w:val="clear" w:color="auto" w:fill="auto"/>
            <w:noWrap/>
            <w:vAlign w:val="center"/>
            <w:hideMark/>
          </w:tcPr>
          <w:p w14:paraId="0F5716B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7</w:t>
            </w:r>
          </w:p>
        </w:tc>
        <w:tc>
          <w:tcPr>
            <w:tcW w:w="2849" w:type="dxa"/>
            <w:tcBorders>
              <w:top w:val="nil"/>
              <w:left w:val="nil"/>
              <w:bottom w:val="single" w:sz="4" w:space="0" w:color="auto"/>
              <w:right w:val="single" w:sz="4" w:space="0" w:color="auto"/>
            </w:tcBorders>
            <w:shd w:val="clear" w:color="auto" w:fill="auto"/>
            <w:vAlign w:val="center"/>
            <w:hideMark/>
          </w:tcPr>
          <w:p w14:paraId="1B0E69E8"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Aumento de la Producción de Alimentos</w:t>
            </w:r>
          </w:p>
        </w:tc>
        <w:tc>
          <w:tcPr>
            <w:tcW w:w="1377" w:type="dxa"/>
            <w:tcBorders>
              <w:top w:val="nil"/>
              <w:left w:val="nil"/>
              <w:bottom w:val="single" w:sz="4" w:space="0" w:color="auto"/>
              <w:right w:val="single" w:sz="4" w:space="0" w:color="auto"/>
            </w:tcBorders>
            <w:shd w:val="clear" w:color="auto" w:fill="auto"/>
            <w:noWrap/>
            <w:vAlign w:val="center"/>
            <w:hideMark/>
          </w:tcPr>
          <w:p w14:paraId="1301A873"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Q95,000.00</w:t>
            </w:r>
          </w:p>
        </w:tc>
        <w:tc>
          <w:tcPr>
            <w:tcW w:w="1304" w:type="dxa"/>
            <w:tcBorders>
              <w:top w:val="nil"/>
              <w:left w:val="nil"/>
              <w:bottom w:val="single" w:sz="4" w:space="0" w:color="auto"/>
              <w:right w:val="single" w:sz="4" w:space="0" w:color="auto"/>
            </w:tcBorders>
            <w:shd w:val="clear" w:color="auto" w:fill="auto"/>
            <w:noWrap/>
            <w:vAlign w:val="center"/>
            <w:hideMark/>
          </w:tcPr>
          <w:p w14:paraId="41A7FBF9"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647A622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1689960B" w14:textId="77777777" w:rsidTr="00691B67">
        <w:trPr>
          <w:trHeight w:val="5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A94A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18</w:t>
            </w:r>
          </w:p>
        </w:tc>
        <w:tc>
          <w:tcPr>
            <w:tcW w:w="1403" w:type="dxa"/>
            <w:vMerge/>
            <w:tcBorders>
              <w:top w:val="single" w:sz="4" w:space="0" w:color="auto"/>
              <w:left w:val="single" w:sz="4" w:space="0" w:color="auto"/>
              <w:bottom w:val="nil"/>
              <w:right w:val="single" w:sz="4" w:space="0" w:color="auto"/>
            </w:tcBorders>
            <w:shd w:val="clear" w:color="auto" w:fill="auto"/>
            <w:vAlign w:val="center"/>
            <w:hideMark/>
          </w:tcPr>
          <w:p w14:paraId="11255204"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5FC80F6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509</w:t>
            </w:r>
          </w:p>
        </w:tc>
        <w:tc>
          <w:tcPr>
            <w:tcW w:w="523" w:type="dxa"/>
            <w:tcBorders>
              <w:top w:val="nil"/>
              <w:left w:val="nil"/>
              <w:bottom w:val="single" w:sz="4" w:space="0" w:color="auto"/>
              <w:right w:val="single" w:sz="4" w:space="0" w:color="auto"/>
            </w:tcBorders>
            <w:shd w:val="clear" w:color="auto" w:fill="auto"/>
            <w:noWrap/>
            <w:vAlign w:val="center"/>
            <w:hideMark/>
          </w:tcPr>
          <w:p w14:paraId="1905071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16</w:t>
            </w:r>
          </w:p>
        </w:tc>
        <w:tc>
          <w:tcPr>
            <w:tcW w:w="2849" w:type="dxa"/>
            <w:tcBorders>
              <w:top w:val="nil"/>
              <w:left w:val="nil"/>
              <w:bottom w:val="single" w:sz="4" w:space="0" w:color="auto"/>
              <w:right w:val="single" w:sz="4" w:space="0" w:color="auto"/>
            </w:tcBorders>
            <w:shd w:val="clear" w:color="auto" w:fill="auto"/>
            <w:vAlign w:val="center"/>
            <w:hideMark/>
          </w:tcPr>
          <w:p w14:paraId="70ECE6AC" w14:textId="769270E8"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Programa de </w:t>
            </w:r>
            <w:r w:rsidR="00691B67">
              <w:rPr>
                <w:rFonts w:ascii="Helvetica" w:eastAsia="Times New Roman" w:hAnsi="Helvetica" w:cs="Helvetica"/>
                <w:sz w:val="16"/>
                <w:szCs w:val="16"/>
                <w:lang w:eastAsia="es-GT"/>
              </w:rPr>
              <w:t>a</w:t>
            </w:r>
            <w:r w:rsidRPr="008F7682">
              <w:rPr>
                <w:rFonts w:ascii="Helvetica" w:eastAsia="Times New Roman" w:hAnsi="Helvetica" w:cs="Helvetica"/>
                <w:sz w:val="16"/>
                <w:szCs w:val="16"/>
                <w:lang w:eastAsia="es-GT"/>
              </w:rPr>
              <w:t xml:space="preserve">umento de la producción de </w:t>
            </w:r>
            <w:r w:rsidR="00691B67">
              <w:rPr>
                <w:rFonts w:ascii="Helvetica" w:eastAsia="Times New Roman" w:hAnsi="Helvetica" w:cs="Helvetica"/>
                <w:sz w:val="16"/>
                <w:szCs w:val="16"/>
                <w:lang w:eastAsia="es-GT"/>
              </w:rPr>
              <w:t>a</w:t>
            </w:r>
            <w:r w:rsidRPr="008F7682">
              <w:rPr>
                <w:rFonts w:ascii="Helvetica" w:eastAsia="Times New Roman" w:hAnsi="Helvetica" w:cs="Helvetica"/>
                <w:sz w:val="16"/>
                <w:szCs w:val="16"/>
                <w:lang w:eastAsia="es-GT"/>
              </w:rPr>
              <w:t>limentos</w:t>
            </w:r>
          </w:p>
        </w:tc>
        <w:tc>
          <w:tcPr>
            <w:tcW w:w="1377" w:type="dxa"/>
            <w:tcBorders>
              <w:top w:val="nil"/>
              <w:left w:val="nil"/>
              <w:bottom w:val="single" w:sz="4" w:space="0" w:color="auto"/>
              <w:right w:val="single" w:sz="4" w:space="0" w:color="auto"/>
            </w:tcBorders>
            <w:shd w:val="clear" w:color="auto" w:fill="auto"/>
            <w:noWrap/>
            <w:vAlign w:val="center"/>
            <w:hideMark/>
          </w:tcPr>
          <w:p w14:paraId="4B5A49F9"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Q37,000.00</w:t>
            </w:r>
          </w:p>
        </w:tc>
        <w:tc>
          <w:tcPr>
            <w:tcW w:w="1304" w:type="dxa"/>
            <w:tcBorders>
              <w:top w:val="nil"/>
              <w:left w:val="nil"/>
              <w:bottom w:val="single" w:sz="4" w:space="0" w:color="auto"/>
              <w:right w:val="single" w:sz="4" w:space="0" w:color="auto"/>
            </w:tcBorders>
            <w:shd w:val="clear" w:color="auto" w:fill="auto"/>
            <w:noWrap/>
            <w:vAlign w:val="center"/>
            <w:hideMark/>
          </w:tcPr>
          <w:p w14:paraId="61D4A81A"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3641D4B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3E1F226C"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74DF49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19</w:t>
            </w:r>
          </w:p>
        </w:tc>
        <w:tc>
          <w:tcPr>
            <w:tcW w:w="1403" w:type="dxa"/>
            <w:vMerge/>
            <w:tcBorders>
              <w:top w:val="nil"/>
              <w:left w:val="single" w:sz="4" w:space="0" w:color="auto"/>
              <w:bottom w:val="nil"/>
              <w:right w:val="single" w:sz="4" w:space="0" w:color="auto"/>
            </w:tcBorders>
            <w:shd w:val="clear" w:color="auto" w:fill="auto"/>
            <w:vAlign w:val="center"/>
            <w:hideMark/>
          </w:tcPr>
          <w:p w14:paraId="44AE3C52"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6B4CF75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509</w:t>
            </w:r>
          </w:p>
        </w:tc>
        <w:tc>
          <w:tcPr>
            <w:tcW w:w="523" w:type="dxa"/>
            <w:tcBorders>
              <w:top w:val="nil"/>
              <w:left w:val="nil"/>
              <w:bottom w:val="single" w:sz="4" w:space="0" w:color="auto"/>
              <w:right w:val="single" w:sz="4" w:space="0" w:color="auto"/>
            </w:tcBorders>
            <w:shd w:val="clear" w:color="auto" w:fill="auto"/>
            <w:noWrap/>
            <w:vAlign w:val="center"/>
            <w:hideMark/>
          </w:tcPr>
          <w:p w14:paraId="02B9D7D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24</w:t>
            </w:r>
          </w:p>
        </w:tc>
        <w:tc>
          <w:tcPr>
            <w:tcW w:w="2849" w:type="dxa"/>
            <w:tcBorders>
              <w:top w:val="nil"/>
              <w:left w:val="nil"/>
              <w:bottom w:val="single" w:sz="4" w:space="0" w:color="auto"/>
              <w:right w:val="single" w:sz="4" w:space="0" w:color="auto"/>
            </w:tcBorders>
            <w:shd w:val="clear" w:color="auto" w:fill="auto"/>
            <w:vAlign w:val="center"/>
            <w:hideMark/>
          </w:tcPr>
          <w:p w14:paraId="2E9A2A19" w14:textId="17773BF8"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Aumento de la </w:t>
            </w:r>
            <w:r w:rsidR="00691B67">
              <w:rPr>
                <w:rFonts w:ascii="Helvetica" w:eastAsia="Times New Roman" w:hAnsi="Helvetica" w:cs="Helvetica"/>
                <w:sz w:val="16"/>
                <w:szCs w:val="16"/>
                <w:lang w:eastAsia="es-GT"/>
              </w:rPr>
              <w:t>p</w:t>
            </w:r>
            <w:r w:rsidRPr="008F7682">
              <w:rPr>
                <w:rFonts w:ascii="Helvetica" w:eastAsia="Times New Roman" w:hAnsi="Helvetica" w:cs="Helvetica"/>
                <w:sz w:val="16"/>
                <w:szCs w:val="16"/>
                <w:lang w:eastAsia="es-GT"/>
              </w:rPr>
              <w:t xml:space="preserve">roducción de </w:t>
            </w:r>
            <w:r w:rsidR="00691B67">
              <w:rPr>
                <w:rFonts w:ascii="Helvetica" w:eastAsia="Times New Roman" w:hAnsi="Helvetica" w:cs="Helvetica"/>
                <w:sz w:val="16"/>
                <w:szCs w:val="16"/>
                <w:lang w:eastAsia="es-GT"/>
              </w:rPr>
              <w:t>a</w:t>
            </w:r>
            <w:r w:rsidRPr="008F7682">
              <w:rPr>
                <w:rFonts w:ascii="Helvetica" w:eastAsia="Times New Roman" w:hAnsi="Helvetica" w:cs="Helvetica"/>
                <w:sz w:val="16"/>
                <w:szCs w:val="16"/>
                <w:lang w:eastAsia="es-GT"/>
              </w:rPr>
              <w:t>limentos</w:t>
            </w:r>
          </w:p>
        </w:tc>
        <w:tc>
          <w:tcPr>
            <w:tcW w:w="1377" w:type="dxa"/>
            <w:tcBorders>
              <w:top w:val="nil"/>
              <w:left w:val="nil"/>
              <w:bottom w:val="single" w:sz="4" w:space="0" w:color="auto"/>
              <w:right w:val="single" w:sz="4" w:space="0" w:color="auto"/>
            </w:tcBorders>
            <w:shd w:val="clear" w:color="auto" w:fill="auto"/>
            <w:noWrap/>
            <w:vAlign w:val="center"/>
            <w:hideMark/>
          </w:tcPr>
          <w:p w14:paraId="6B4DD68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Q805,000.00</w:t>
            </w:r>
          </w:p>
        </w:tc>
        <w:tc>
          <w:tcPr>
            <w:tcW w:w="1304" w:type="dxa"/>
            <w:tcBorders>
              <w:top w:val="nil"/>
              <w:left w:val="nil"/>
              <w:bottom w:val="single" w:sz="4" w:space="0" w:color="auto"/>
              <w:right w:val="single" w:sz="4" w:space="0" w:color="auto"/>
            </w:tcBorders>
            <w:shd w:val="clear" w:color="auto" w:fill="auto"/>
            <w:noWrap/>
            <w:vAlign w:val="center"/>
            <w:hideMark/>
          </w:tcPr>
          <w:p w14:paraId="242AE00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1BE1BD1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07C1C8A2"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B785CA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20</w:t>
            </w:r>
          </w:p>
        </w:tc>
        <w:tc>
          <w:tcPr>
            <w:tcW w:w="1403" w:type="dxa"/>
            <w:vMerge/>
            <w:tcBorders>
              <w:top w:val="nil"/>
              <w:left w:val="single" w:sz="4" w:space="0" w:color="auto"/>
              <w:bottom w:val="nil"/>
              <w:right w:val="single" w:sz="4" w:space="0" w:color="auto"/>
            </w:tcBorders>
            <w:shd w:val="clear" w:color="auto" w:fill="auto"/>
            <w:vAlign w:val="center"/>
            <w:hideMark/>
          </w:tcPr>
          <w:p w14:paraId="63866CB2"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3704CB3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509</w:t>
            </w:r>
          </w:p>
        </w:tc>
        <w:tc>
          <w:tcPr>
            <w:tcW w:w="523" w:type="dxa"/>
            <w:tcBorders>
              <w:top w:val="nil"/>
              <w:left w:val="nil"/>
              <w:bottom w:val="single" w:sz="4" w:space="0" w:color="auto"/>
              <w:right w:val="single" w:sz="4" w:space="0" w:color="auto"/>
            </w:tcBorders>
            <w:shd w:val="clear" w:color="auto" w:fill="auto"/>
            <w:noWrap/>
            <w:vAlign w:val="center"/>
            <w:hideMark/>
          </w:tcPr>
          <w:p w14:paraId="4DF4118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25</w:t>
            </w:r>
          </w:p>
        </w:tc>
        <w:tc>
          <w:tcPr>
            <w:tcW w:w="2849" w:type="dxa"/>
            <w:tcBorders>
              <w:top w:val="nil"/>
              <w:left w:val="nil"/>
              <w:bottom w:val="single" w:sz="4" w:space="0" w:color="auto"/>
              <w:right w:val="single" w:sz="4" w:space="0" w:color="auto"/>
            </w:tcBorders>
            <w:shd w:val="clear" w:color="auto" w:fill="auto"/>
            <w:vAlign w:val="center"/>
            <w:hideMark/>
          </w:tcPr>
          <w:p w14:paraId="27517C7A" w14:textId="61CA52A3"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Aumento de la </w:t>
            </w:r>
            <w:r w:rsidR="00691B67">
              <w:rPr>
                <w:rFonts w:ascii="Helvetica" w:eastAsia="Times New Roman" w:hAnsi="Helvetica" w:cs="Helvetica"/>
                <w:sz w:val="16"/>
                <w:szCs w:val="16"/>
                <w:lang w:eastAsia="es-GT"/>
              </w:rPr>
              <w:t>p</w:t>
            </w:r>
            <w:r w:rsidRPr="008F7682">
              <w:rPr>
                <w:rFonts w:ascii="Helvetica" w:eastAsia="Times New Roman" w:hAnsi="Helvetica" w:cs="Helvetica"/>
                <w:sz w:val="16"/>
                <w:szCs w:val="16"/>
                <w:lang w:eastAsia="es-GT"/>
              </w:rPr>
              <w:t xml:space="preserve">roducción de </w:t>
            </w:r>
            <w:r w:rsidR="00691B67">
              <w:rPr>
                <w:rFonts w:ascii="Helvetica" w:eastAsia="Times New Roman" w:hAnsi="Helvetica" w:cs="Helvetica"/>
                <w:sz w:val="16"/>
                <w:szCs w:val="16"/>
                <w:lang w:eastAsia="es-GT"/>
              </w:rPr>
              <w:t>a</w:t>
            </w:r>
            <w:r w:rsidRPr="008F7682">
              <w:rPr>
                <w:rFonts w:ascii="Helvetica" w:eastAsia="Times New Roman" w:hAnsi="Helvetica" w:cs="Helvetica"/>
                <w:sz w:val="16"/>
                <w:szCs w:val="16"/>
                <w:lang w:eastAsia="es-GT"/>
              </w:rPr>
              <w:t>limentos</w:t>
            </w:r>
          </w:p>
        </w:tc>
        <w:tc>
          <w:tcPr>
            <w:tcW w:w="1377" w:type="dxa"/>
            <w:tcBorders>
              <w:top w:val="nil"/>
              <w:left w:val="nil"/>
              <w:bottom w:val="single" w:sz="4" w:space="0" w:color="auto"/>
              <w:right w:val="single" w:sz="4" w:space="0" w:color="auto"/>
            </w:tcBorders>
            <w:shd w:val="clear" w:color="auto" w:fill="auto"/>
            <w:noWrap/>
            <w:vAlign w:val="center"/>
            <w:hideMark/>
          </w:tcPr>
          <w:p w14:paraId="7C2127A3"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Q123,000.00</w:t>
            </w:r>
          </w:p>
        </w:tc>
        <w:tc>
          <w:tcPr>
            <w:tcW w:w="1304" w:type="dxa"/>
            <w:tcBorders>
              <w:top w:val="nil"/>
              <w:left w:val="nil"/>
              <w:bottom w:val="single" w:sz="4" w:space="0" w:color="auto"/>
              <w:right w:val="single" w:sz="4" w:space="0" w:color="auto"/>
            </w:tcBorders>
            <w:shd w:val="clear" w:color="auto" w:fill="auto"/>
            <w:noWrap/>
            <w:vAlign w:val="center"/>
            <w:hideMark/>
          </w:tcPr>
          <w:p w14:paraId="1EFA97D2"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0E9F13A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4628EA49"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03AB5F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w:t>
            </w:r>
          </w:p>
        </w:tc>
        <w:tc>
          <w:tcPr>
            <w:tcW w:w="1403" w:type="dxa"/>
            <w:vMerge/>
            <w:tcBorders>
              <w:top w:val="nil"/>
              <w:left w:val="single" w:sz="4" w:space="0" w:color="auto"/>
              <w:bottom w:val="nil"/>
              <w:right w:val="single" w:sz="4" w:space="0" w:color="auto"/>
            </w:tcBorders>
            <w:shd w:val="clear" w:color="auto" w:fill="auto"/>
            <w:vAlign w:val="center"/>
            <w:hideMark/>
          </w:tcPr>
          <w:p w14:paraId="5763604E"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1A72642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509</w:t>
            </w:r>
          </w:p>
        </w:tc>
        <w:tc>
          <w:tcPr>
            <w:tcW w:w="523" w:type="dxa"/>
            <w:tcBorders>
              <w:top w:val="nil"/>
              <w:left w:val="nil"/>
              <w:bottom w:val="single" w:sz="4" w:space="0" w:color="auto"/>
              <w:right w:val="single" w:sz="4" w:space="0" w:color="auto"/>
            </w:tcBorders>
            <w:shd w:val="clear" w:color="auto" w:fill="auto"/>
            <w:noWrap/>
            <w:vAlign w:val="center"/>
            <w:hideMark/>
          </w:tcPr>
          <w:p w14:paraId="317A1C5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26</w:t>
            </w:r>
          </w:p>
        </w:tc>
        <w:tc>
          <w:tcPr>
            <w:tcW w:w="2849" w:type="dxa"/>
            <w:tcBorders>
              <w:top w:val="nil"/>
              <w:left w:val="nil"/>
              <w:bottom w:val="single" w:sz="4" w:space="0" w:color="auto"/>
              <w:right w:val="single" w:sz="4" w:space="0" w:color="auto"/>
            </w:tcBorders>
            <w:shd w:val="clear" w:color="auto" w:fill="auto"/>
            <w:vAlign w:val="center"/>
            <w:hideMark/>
          </w:tcPr>
          <w:p w14:paraId="349F0BF4" w14:textId="63F7FC01"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Aumento de la </w:t>
            </w:r>
            <w:r w:rsidR="00691B67">
              <w:rPr>
                <w:rFonts w:ascii="Helvetica" w:eastAsia="Times New Roman" w:hAnsi="Helvetica" w:cs="Helvetica"/>
                <w:sz w:val="16"/>
                <w:szCs w:val="16"/>
                <w:lang w:eastAsia="es-GT"/>
              </w:rPr>
              <w:t>p</w:t>
            </w:r>
            <w:r w:rsidRPr="008F7682">
              <w:rPr>
                <w:rFonts w:ascii="Helvetica" w:eastAsia="Times New Roman" w:hAnsi="Helvetica" w:cs="Helvetica"/>
                <w:sz w:val="16"/>
                <w:szCs w:val="16"/>
                <w:lang w:eastAsia="es-GT"/>
              </w:rPr>
              <w:t xml:space="preserve">roducción de </w:t>
            </w:r>
            <w:r w:rsidR="00691B67">
              <w:rPr>
                <w:rFonts w:ascii="Helvetica" w:eastAsia="Times New Roman" w:hAnsi="Helvetica" w:cs="Helvetica"/>
                <w:sz w:val="16"/>
                <w:szCs w:val="16"/>
                <w:lang w:eastAsia="es-GT"/>
              </w:rPr>
              <w:t>a</w:t>
            </w:r>
            <w:r w:rsidRPr="008F7682">
              <w:rPr>
                <w:rFonts w:ascii="Helvetica" w:eastAsia="Times New Roman" w:hAnsi="Helvetica" w:cs="Helvetica"/>
                <w:sz w:val="16"/>
                <w:szCs w:val="16"/>
                <w:lang w:eastAsia="es-GT"/>
              </w:rPr>
              <w:t>limentos</w:t>
            </w:r>
          </w:p>
        </w:tc>
        <w:tc>
          <w:tcPr>
            <w:tcW w:w="1377" w:type="dxa"/>
            <w:tcBorders>
              <w:top w:val="nil"/>
              <w:left w:val="nil"/>
              <w:bottom w:val="single" w:sz="4" w:space="0" w:color="auto"/>
              <w:right w:val="single" w:sz="4" w:space="0" w:color="auto"/>
            </w:tcBorders>
            <w:shd w:val="clear" w:color="auto" w:fill="auto"/>
            <w:noWrap/>
            <w:vAlign w:val="center"/>
            <w:hideMark/>
          </w:tcPr>
          <w:p w14:paraId="549A6642"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Q537,000.00</w:t>
            </w:r>
          </w:p>
        </w:tc>
        <w:tc>
          <w:tcPr>
            <w:tcW w:w="1304" w:type="dxa"/>
            <w:tcBorders>
              <w:top w:val="nil"/>
              <w:left w:val="nil"/>
              <w:bottom w:val="single" w:sz="4" w:space="0" w:color="auto"/>
              <w:right w:val="single" w:sz="4" w:space="0" w:color="auto"/>
            </w:tcBorders>
            <w:shd w:val="clear" w:color="auto" w:fill="auto"/>
            <w:noWrap/>
            <w:vAlign w:val="center"/>
            <w:hideMark/>
          </w:tcPr>
          <w:p w14:paraId="4251CAE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Q84,210.00</w:t>
            </w:r>
          </w:p>
        </w:tc>
        <w:tc>
          <w:tcPr>
            <w:tcW w:w="1020" w:type="dxa"/>
            <w:tcBorders>
              <w:top w:val="nil"/>
              <w:left w:val="nil"/>
              <w:bottom w:val="single" w:sz="4" w:space="0" w:color="auto"/>
              <w:right w:val="single" w:sz="4" w:space="0" w:color="auto"/>
            </w:tcBorders>
            <w:shd w:val="clear" w:color="auto" w:fill="auto"/>
            <w:noWrap/>
            <w:vAlign w:val="center"/>
            <w:hideMark/>
          </w:tcPr>
          <w:p w14:paraId="56E2642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15.68%</w:t>
            </w:r>
          </w:p>
        </w:tc>
      </w:tr>
      <w:tr w:rsidR="00CE3D5C" w:rsidRPr="008F7682" w14:paraId="2D9FEBC0"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AB0BC4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22</w:t>
            </w:r>
          </w:p>
        </w:tc>
        <w:tc>
          <w:tcPr>
            <w:tcW w:w="1403" w:type="dxa"/>
            <w:vMerge/>
            <w:tcBorders>
              <w:top w:val="nil"/>
              <w:left w:val="single" w:sz="4" w:space="0" w:color="auto"/>
              <w:bottom w:val="nil"/>
              <w:right w:val="single" w:sz="4" w:space="0" w:color="auto"/>
            </w:tcBorders>
            <w:shd w:val="clear" w:color="auto" w:fill="auto"/>
            <w:vAlign w:val="center"/>
            <w:hideMark/>
          </w:tcPr>
          <w:p w14:paraId="5932B2E6"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0905FE9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509</w:t>
            </w:r>
          </w:p>
        </w:tc>
        <w:tc>
          <w:tcPr>
            <w:tcW w:w="523" w:type="dxa"/>
            <w:tcBorders>
              <w:top w:val="nil"/>
              <w:left w:val="nil"/>
              <w:bottom w:val="single" w:sz="4" w:space="0" w:color="auto"/>
              <w:right w:val="single" w:sz="4" w:space="0" w:color="auto"/>
            </w:tcBorders>
            <w:shd w:val="clear" w:color="auto" w:fill="auto"/>
            <w:noWrap/>
            <w:vAlign w:val="center"/>
            <w:hideMark/>
          </w:tcPr>
          <w:p w14:paraId="4605BDCD"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30</w:t>
            </w:r>
          </w:p>
        </w:tc>
        <w:tc>
          <w:tcPr>
            <w:tcW w:w="2849" w:type="dxa"/>
            <w:tcBorders>
              <w:top w:val="nil"/>
              <w:left w:val="nil"/>
              <w:bottom w:val="single" w:sz="4" w:space="0" w:color="auto"/>
              <w:right w:val="single" w:sz="4" w:space="0" w:color="auto"/>
            </w:tcBorders>
            <w:shd w:val="clear" w:color="auto" w:fill="auto"/>
            <w:vAlign w:val="center"/>
            <w:hideMark/>
          </w:tcPr>
          <w:p w14:paraId="654F4979" w14:textId="785CC135"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Asistencia para el aumento de la producción de </w:t>
            </w:r>
            <w:r w:rsidR="00691B67">
              <w:rPr>
                <w:rFonts w:ascii="Helvetica" w:eastAsia="Times New Roman" w:hAnsi="Helvetica" w:cs="Helvetica"/>
                <w:sz w:val="16"/>
                <w:szCs w:val="16"/>
                <w:lang w:eastAsia="es-GT"/>
              </w:rPr>
              <w:t>a</w:t>
            </w:r>
            <w:r w:rsidRPr="008F7682">
              <w:rPr>
                <w:rFonts w:ascii="Helvetica" w:eastAsia="Times New Roman" w:hAnsi="Helvetica" w:cs="Helvetica"/>
                <w:sz w:val="16"/>
                <w:szCs w:val="16"/>
                <w:lang w:eastAsia="es-GT"/>
              </w:rPr>
              <w:t>limentos</w:t>
            </w:r>
          </w:p>
        </w:tc>
        <w:tc>
          <w:tcPr>
            <w:tcW w:w="1377" w:type="dxa"/>
            <w:tcBorders>
              <w:top w:val="nil"/>
              <w:left w:val="nil"/>
              <w:bottom w:val="single" w:sz="4" w:space="0" w:color="auto"/>
              <w:right w:val="single" w:sz="4" w:space="0" w:color="auto"/>
            </w:tcBorders>
            <w:shd w:val="clear" w:color="auto" w:fill="auto"/>
            <w:noWrap/>
            <w:vAlign w:val="center"/>
            <w:hideMark/>
          </w:tcPr>
          <w:p w14:paraId="2DC2854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Q1,528,000.00</w:t>
            </w:r>
          </w:p>
        </w:tc>
        <w:tc>
          <w:tcPr>
            <w:tcW w:w="1304" w:type="dxa"/>
            <w:tcBorders>
              <w:top w:val="nil"/>
              <w:left w:val="nil"/>
              <w:bottom w:val="single" w:sz="4" w:space="0" w:color="auto"/>
              <w:right w:val="single" w:sz="4" w:space="0" w:color="auto"/>
            </w:tcBorders>
            <w:shd w:val="clear" w:color="auto" w:fill="auto"/>
            <w:noWrap/>
            <w:vAlign w:val="center"/>
            <w:hideMark/>
          </w:tcPr>
          <w:p w14:paraId="1A805C06"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49571A7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14A3CB5F"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B24036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23</w:t>
            </w:r>
          </w:p>
        </w:tc>
        <w:tc>
          <w:tcPr>
            <w:tcW w:w="1403" w:type="dxa"/>
            <w:vMerge/>
            <w:tcBorders>
              <w:top w:val="nil"/>
              <w:left w:val="single" w:sz="4" w:space="0" w:color="auto"/>
              <w:bottom w:val="nil"/>
              <w:right w:val="single" w:sz="4" w:space="0" w:color="auto"/>
            </w:tcBorders>
            <w:shd w:val="clear" w:color="auto" w:fill="auto"/>
            <w:vAlign w:val="center"/>
            <w:hideMark/>
          </w:tcPr>
          <w:p w14:paraId="5FA2B040"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7F50659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602</w:t>
            </w:r>
          </w:p>
        </w:tc>
        <w:tc>
          <w:tcPr>
            <w:tcW w:w="523" w:type="dxa"/>
            <w:tcBorders>
              <w:top w:val="nil"/>
              <w:left w:val="nil"/>
              <w:bottom w:val="single" w:sz="4" w:space="0" w:color="auto"/>
              <w:right w:val="single" w:sz="4" w:space="0" w:color="auto"/>
            </w:tcBorders>
            <w:shd w:val="clear" w:color="auto" w:fill="auto"/>
            <w:noWrap/>
            <w:vAlign w:val="center"/>
            <w:hideMark/>
          </w:tcPr>
          <w:p w14:paraId="4A55F94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19</w:t>
            </w:r>
          </w:p>
        </w:tc>
        <w:tc>
          <w:tcPr>
            <w:tcW w:w="2849" w:type="dxa"/>
            <w:tcBorders>
              <w:top w:val="nil"/>
              <w:left w:val="nil"/>
              <w:bottom w:val="single" w:sz="4" w:space="0" w:color="auto"/>
              <w:right w:val="single" w:sz="4" w:space="0" w:color="auto"/>
            </w:tcBorders>
            <w:shd w:val="clear" w:color="auto" w:fill="auto"/>
            <w:vAlign w:val="center"/>
            <w:hideMark/>
          </w:tcPr>
          <w:p w14:paraId="5F489485" w14:textId="07E1AF7A"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Industrialización del </w:t>
            </w:r>
            <w:r w:rsidR="00691B67">
              <w:rPr>
                <w:rFonts w:ascii="Helvetica" w:eastAsia="Times New Roman" w:hAnsi="Helvetica" w:cs="Helvetica"/>
                <w:sz w:val="16"/>
                <w:szCs w:val="16"/>
                <w:lang w:eastAsia="es-GT"/>
              </w:rPr>
              <w:t>b</w:t>
            </w:r>
            <w:r w:rsidRPr="008F7682">
              <w:rPr>
                <w:rFonts w:ascii="Helvetica" w:eastAsia="Times New Roman" w:hAnsi="Helvetica" w:cs="Helvetica"/>
                <w:sz w:val="16"/>
                <w:szCs w:val="16"/>
                <w:lang w:eastAsia="es-GT"/>
              </w:rPr>
              <w:t>ambú en Guatemala</w:t>
            </w:r>
          </w:p>
        </w:tc>
        <w:tc>
          <w:tcPr>
            <w:tcW w:w="1377" w:type="dxa"/>
            <w:tcBorders>
              <w:top w:val="nil"/>
              <w:left w:val="nil"/>
              <w:bottom w:val="single" w:sz="4" w:space="0" w:color="auto"/>
              <w:right w:val="single" w:sz="4" w:space="0" w:color="auto"/>
            </w:tcBorders>
            <w:shd w:val="clear" w:color="auto" w:fill="auto"/>
            <w:noWrap/>
            <w:vAlign w:val="center"/>
            <w:hideMark/>
          </w:tcPr>
          <w:p w14:paraId="7E76A4F4"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Q3,158,000.00</w:t>
            </w:r>
          </w:p>
        </w:tc>
        <w:tc>
          <w:tcPr>
            <w:tcW w:w="1304" w:type="dxa"/>
            <w:tcBorders>
              <w:top w:val="nil"/>
              <w:left w:val="nil"/>
              <w:bottom w:val="single" w:sz="4" w:space="0" w:color="auto"/>
              <w:right w:val="single" w:sz="4" w:space="0" w:color="auto"/>
            </w:tcBorders>
            <w:shd w:val="clear" w:color="auto" w:fill="auto"/>
            <w:noWrap/>
            <w:vAlign w:val="center"/>
            <w:hideMark/>
          </w:tcPr>
          <w:p w14:paraId="28A32166"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Q743,287.88</w:t>
            </w:r>
          </w:p>
        </w:tc>
        <w:tc>
          <w:tcPr>
            <w:tcW w:w="1020" w:type="dxa"/>
            <w:tcBorders>
              <w:top w:val="nil"/>
              <w:left w:val="nil"/>
              <w:bottom w:val="single" w:sz="4" w:space="0" w:color="auto"/>
              <w:right w:val="single" w:sz="4" w:space="0" w:color="auto"/>
            </w:tcBorders>
            <w:shd w:val="clear" w:color="auto" w:fill="auto"/>
            <w:noWrap/>
            <w:vAlign w:val="center"/>
            <w:hideMark/>
          </w:tcPr>
          <w:p w14:paraId="15450A2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23.54%</w:t>
            </w:r>
          </w:p>
        </w:tc>
      </w:tr>
      <w:tr w:rsidR="00CE3D5C" w:rsidRPr="008F7682" w14:paraId="6E10EAFB"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ABDB46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24</w:t>
            </w:r>
          </w:p>
        </w:tc>
        <w:tc>
          <w:tcPr>
            <w:tcW w:w="140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ABDE84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CIV</w:t>
            </w:r>
          </w:p>
        </w:tc>
        <w:tc>
          <w:tcPr>
            <w:tcW w:w="496" w:type="dxa"/>
            <w:tcBorders>
              <w:top w:val="nil"/>
              <w:left w:val="nil"/>
              <w:bottom w:val="single" w:sz="4" w:space="0" w:color="auto"/>
              <w:right w:val="single" w:sz="4" w:space="0" w:color="auto"/>
            </w:tcBorders>
            <w:shd w:val="clear" w:color="auto" w:fill="auto"/>
            <w:noWrap/>
            <w:vAlign w:val="center"/>
            <w:hideMark/>
          </w:tcPr>
          <w:p w14:paraId="328482A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402</w:t>
            </w:r>
          </w:p>
        </w:tc>
        <w:tc>
          <w:tcPr>
            <w:tcW w:w="523" w:type="dxa"/>
            <w:tcBorders>
              <w:top w:val="nil"/>
              <w:left w:val="nil"/>
              <w:bottom w:val="single" w:sz="4" w:space="0" w:color="auto"/>
              <w:right w:val="single" w:sz="4" w:space="0" w:color="auto"/>
            </w:tcBorders>
            <w:shd w:val="clear" w:color="auto" w:fill="auto"/>
            <w:noWrap/>
            <w:vAlign w:val="center"/>
            <w:hideMark/>
          </w:tcPr>
          <w:p w14:paraId="2094DD2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131</w:t>
            </w:r>
          </w:p>
        </w:tc>
        <w:tc>
          <w:tcPr>
            <w:tcW w:w="2849" w:type="dxa"/>
            <w:tcBorders>
              <w:top w:val="nil"/>
              <w:left w:val="nil"/>
              <w:bottom w:val="single" w:sz="4" w:space="0" w:color="auto"/>
              <w:right w:val="single" w:sz="4" w:space="0" w:color="auto"/>
            </w:tcBorders>
            <w:shd w:val="clear" w:color="auto" w:fill="auto"/>
            <w:vAlign w:val="center"/>
            <w:hideMark/>
          </w:tcPr>
          <w:p w14:paraId="09F488D2" w14:textId="1E91F6F0"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GRT/WS-11905-GU, Programa de </w:t>
            </w:r>
            <w:r w:rsidR="00691B67">
              <w:rPr>
                <w:rFonts w:ascii="Helvetica" w:eastAsia="Times New Roman" w:hAnsi="Helvetica" w:cs="Helvetica"/>
                <w:sz w:val="16"/>
                <w:szCs w:val="16"/>
                <w:lang w:eastAsia="es-GT"/>
              </w:rPr>
              <w:t>a</w:t>
            </w:r>
            <w:r w:rsidRPr="008F7682">
              <w:rPr>
                <w:rFonts w:ascii="Helvetica" w:eastAsia="Times New Roman" w:hAnsi="Helvetica" w:cs="Helvetica"/>
                <w:sz w:val="16"/>
                <w:szCs w:val="16"/>
                <w:lang w:eastAsia="es-GT"/>
              </w:rPr>
              <w:t xml:space="preserve">gua y </w:t>
            </w:r>
            <w:r w:rsidR="00691B67">
              <w:rPr>
                <w:rFonts w:ascii="Helvetica" w:eastAsia="Times New Roman" w:hAnsi="Helvetica" w:cs="Helvetica"/>
                <w:sz w:val="16"/>
                <w:szCs w:val="16"/>
                <w:lang w:eastAsia="es-GT"/>
              </w:rPr>
              <w:t>s</w:t>
            </w:r>
            <w:r w:rsidRPr="008F7682">
              <w:rPr>
                <w:rFonts w:ascii="Helvetica" w:eastAsia="Times New Roman" w:hAnsi="Helvetica" w:cs="Helvetica"/>
                <w:sz w:val="16"/>
                <w:szCs w:val="16"/>
                <w:lang w:eastAsia="es-GT"/>
              </w:rPr>
              <w:t xml:space="preserve">aneamiento para el </w:t>
            </w:r>
            <w:r w:rsidR="00691B67">
              <w:rPr>
                <w:rFonts w:ascii="Helvetica" w:eastAsia="Times New Roman" w:hAnsi="Helvetica" w:cs="Helvetica"/>
                <w:sz w:val="16"/>
                <w:szCs w:val="16"/>
                <w:lang w:eastAsia="es-GT"/>
              </w:rPr>
              <w:t>d</w:t>
            </w:r>
            <w:r w:rsidRPr="008F7682">
              <w:rPr>
                <w:rFonts w:ascii="Helvetica" w:eastAsia="Times New Roman" w:hAnsi="Helvetica" w:cs="Helvetica"/>
                <w:sz w:val="16"/>
                <w:szCs w:val="16"/>
                <w:lang w:eastAsia="es-GT"/>
              </w:rPr>
              <w:t xml:space="preserve">esarrollo </w:t>
            </w:r>
            <w:r w:rsidR="00691B67">
              <w:rPr>
                <w:rFonts w:ascii="Helvetica" w:eastAsia="Times New Roman" w:hAnsi="Helvetica" w:cs="Helvetica"/>
                <w:sz w:val="16"/>
                <w:szCs w:val="16"/>
                <w:lang w:eastAsia="es-GT"/>
              </w:rPr>
              <w:t>h</w:t>
            </w:r>
            <w:r w:rsidRPr="008F7682">
              <w:rPr>
                <w:rFonts w:ascii="Helvetica" w:eastAsia="Times New Roman" w:hAnsi="Helvetica" w:cs="Helvetica"/>
                <w:sz w:val="16"/>
                <w:szCs w:val="16"/>
                <w:lang w:eastAsia="es-GT"/>
              </w:rPr>
              <w:t>umano (Fase I)</w:t>
            </w:r>
          </w:p>
        </w:tc>
        <w:tc>
          <w:tcPr>
            <w:tcW w:w="1377" w:type="dxa"/>
            <w:tcBorders>
              <w:top w:val="nil"/>
              <w:left w:val="nil"/>
              <w:bottom w:val="single" w:sz="4" w:space="0" w:color="auto"/>
              <w:right w:val="single" w:sz="4" w:space="0" w:color="auto"/>
            </w:tcBorders>
            <w:shd w:val="clear" w:color="auto" w:fill="auto"/>
            <w:noWrap/>
            <w:vAlign w:val="center"/>
            <w:hideMark/>
          </w:tcPr>
          <w:p w14:paraId="0531927F"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Q50,000.00</w:t>
            </w:r>
          </w:p>
        </w:tc>
        <w:tc>
          <w:tcPr>
            <w:tcW w:w="1304" w:type="dxa"/>
            <w:tcBorders>
              <w:top w:val="nil"/>
              <w:left w:val="nil"/>
              <w:bottom w:val="single" w:sz="4" w:space="0" w:color="auto"/>
              <w:right w:val="single" w:sz="4" w:space="0" w:color="auto"/>
            </w:tcBorders>
            <w:shd w:val="clear" w:color="auto" w:fill="auto"/>
            <w:noWrap/>
            <w:vAlign w:val="center"/>
            <w:hideMark/>
          </w:tcPr>
          <w:p w14:paraId="59CDBA12"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44683DA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2255AED8"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A13807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25</w:t>
            </w:r>
          </w:p>
        </w:tc>
        <w:tc>
          <w:tcPr>
            <w:tcW w:w="140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9334032"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3E32B38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402</w:t>
            </w:r>
          </w:p>
        </w:tc>
        <w:tc>
          <w:tcPr>
            <w:tcW w:w="523" w:type="dxa"/>
            <w:tcBorders>
              <w:top w:val="nil"/>
              <w:left w:val="nil"/>
              <w:bottom w:val="single" w:sz="4" w:space="0" w:color="auto"/>
              <w:right w:val="single" w:sz="4" w:space="0" w:color="auto"/>
            </w:tcBorders>
            <w:shd w:val="clear" w:color="auto" w:fill="auto"/>
            <w:noWrap/>
            <w:vAlign w:val="center"/>
            <w:hideMark/>
          </w:tcPr>
          <w:p w14:paraId="3A1D20B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184</w:t>
            </w:r>
          </w:p>
        </w:tc>
        <w:tc>
          <w:tcPr>
            <w:tcW w:w="2849" w:type="dxa"/>
            <w:tcBorders>
              <w:top w:val="nil"/>
              <w:left w:val="nil"/>
              <w:bottom w:val="single" w:sz="4" w:space="0" w:color="auto"/>
              <w:right w:val="single" w:sz="4" w:space="0" w:color="auto"/>
            </w:tcBorders>
            <w:shd w:val="clear" w:color="auto" w:fill="auto"/>
            <w:vAlign w:val="center"/>
            <w:hideMark/>
          </w:tcPr>
          <w:p w14:paraId="0A7D3047" w14:textId="132C0A31"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Apoyo a la estructuración del proyecto </w:t>
            </w:r>
            <w:proofErr w:type="spellStart"/>
            <w:r w:rsidRPr="008F7682">
              <w:rPr>
                <w:rFonts w:ascii="Helvetica" w:eastAsia="Times New Roman" w:hAnsi="Helvetica" w:cs="Helvetica"/>
                <w:sz w:val="16"/>
                <w:szCs w:val="16"/>
                <w:lang w:eastAsia="es-GT"/>
              </w:rPr>
              <w:t>metroriel</w:t>
            </w:r>
            <w:proofErr w:type="spellEnd"/>
            <w:r w:rsidRPr="008F7682">
              <w:rPr>
                <w:rFonts w:ascii="Helvetica" w:eastAsia="Times New Roman" w:hAnsi="Helvetica" w:cs="Helvetica"/>
                <w:sz w:val="16"/>
                <w:szCs w:val="16"/>
                <w:lang w:eastAsia="es-GT"/>
              </w:rPr>
              <w:t xml:space="preserve"> manejo ambiental y de sostenibilidad</w:t>
            </w:r>
          </w:p>
        </w:tc>
        <w:tc>
          <w:tcPr>
            <w:tcW w:w="1377" w:type="dxa"/>
            <w:tcBorders>
              <w:top w:val="nil"/>
              <w:left w:val="nil"/>
              <w:bottom w:val="single" w:sz="4" w:space="0" w:color="auto"/>
              <w:right w:val="single" w:sz="4" w:space="0" w:color="auto"/>
            </w:tcBorders>
            <w:shd w:val="clear" w:color="auto" w:fill="auto"/>
            <w:noWrap/>
            <w:vAlign w:val="center"/>
            <w:hideMark/>
          </w:tcPr>
          <w:p w14:paraId="7FB1C9D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noWrap/>
            <w:vAlign w:val="center"/>
            <w:hideMark/>
          </w:tcPr>
          <w:p w14:paraId="62982F57"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035D035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31241164"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C215B9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26</w:t>
            </w:r>
          </w:p>
        </w:tc>
        <w:tc>
          <w:tcPr>
            <w:tcW w:w="140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6C2FEB4"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71B2133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noWrap/>
            <w:vAlign w:val="center"/>
            <w:hideMark/>
          </w:tcPr>
          <w:p w14:paraId="5798C87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106</w:t>
            </w:r>
          </w:p>
        </w:tc>
        <w:tc>
          <w:tcPr>
            <w:tcW w:w="2849" w:type="dxa"/>
            <w:tcBorders>
              <w:top w:val="nil"/>
              <w:left w:val="nil"/>
              <w:bottom w:val="single" w:sz="4" w:space="0" w:color="auto"/>
              <w:right w:val="single" w:sz="4" w:space="0" w:color="auto"/>
            </w:tcBorders>
            <w:shd w:val="clear" w:color="auto" w:fill="auto"/>
            <w:vAlign w:val="center"/>
            <w:hideMark/>
          </w:tcPr>
          <w:p w14:paraId="1B4ED419"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PR´OTOT: Programa de mejora y recuperación del hábitat saludable de los municipios de la mancomunidad </w:t>
            </w:r>
            <w:proofErr w:type="spellStart"/>
            <w:r w:rsidRPr="008F7682">
              <w:rPr>
                <w:rFonts w:ascii="Helvetica" w:eastAsia="Times New Roman" w:hAnsi="Helvetica" w:cs="Helvetica"/>
                <w:sz w:val="16"/>
                <w:szCs w:val="16"/>
                <w:lang w:eastAsia="es-GT"/>
              </w:rPr>
              <w:t>CopanCh'orti</w:t>
            </w:r>
            <w:proofErr w:type="spellEnd"/>
          </w:p>
        </w:tc>
        <w:tc>
          <w:tcPr>
            <w:tcW w:w="1377" w:type="dxa"/>
            <w:tcBorders>
              <w:top w:val="nil"/>
              <w:left w:val="nil"/>
              <w:bottom w:val="single" w:sz="4" w:space="0" w:color="auto"/>
              <w:right w:val="single" w:sz="4" w:space="0" w:color="auto"/>
            </w:tcBorders>
            <w:shd w:val="clear" w:color="auto" w:fill="auto"/>
            <w:noWrap/>
            <w:vAlign w:val="center"/>
            <w:hideMark/>
          </w:tcPr>
          <w:p w14:paraId="3A2B8146"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Q3,805,492.00</w:t>
            </w:r>
          </w:p>
        </w:tc>
        <w:tc>
          <w:tcPr>
            <w:tcW w:w="1304" w:type="dxa"/>
            <w:tcBorders>
              <w:top w:val="nil"/>
              <w:left w:val="nil"/>
              <w:bottom w:val="single" w:sz="4" w:space="0" w:color="auto"/>
              <w:right w:val="single" w:sz="4" w:space="0" w:color="auto"/>
            </w:tcBorders>
            <w:shd w:val="clear" w:color="auto" w:fill="auto"/>
            <w:noWrap/>
            <w:vAlign w:val="center"/>
            <w:hideMark/>
          </w:tcPr>
          <w:p w14:paraId="320B2B21"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Q901,491.56</w:t>
            </w:r>
          </w:p>
        </w:tc>
        <w:tc>
          <w:tcPr>
            <w:tcW w:w="1020" w:type="dxa"/>
            <w:tcBorders>
              <w:top w:val="nil"/>
              <w:left w:val="nil"/>
              <w:bottom w:val="single" w:sz="4" w:space="0" w:color="auto"/>
              <w:right w:val="single" w:sz="4" w:space="0" w:color="auto"/>
            </w:tcBorders>
            <w:shd w:val="clear" w:color="auto" w:fill="auto"/>
            <w:noWrap/>
            <w:vAlign w:val="center"/>
            <w:hideMark/>
          </w:tcPr>
          <w:p w14:paraId="71825C8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23.69%</w:t>
            </w:r>
          </w:p>
        </w:tc>
      </w:tr>
      <w:tr w:rsidR="00CE3D5C" w:rsidRPr="008F7682" w14:paraId="51E1D823"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FBBF04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27</w:t>
            </w:r>
          </w:p>
        </w:tc>
        <w:tc>
          <w:tcPr>
            <w:tcW w:w="140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7FDFAE1"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658E8C3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523" w:type="dxa"/>
            <w:tcBorders>
              <w:top w:val="nil"/>
              <w:left w:val="nil"/>
              <w:bottom w:val="single" w:sz="4" w:space="0" w:color="auto"/>
              <w:right w:val="single" w:sz="4" w:space="0" w:color="auto"/>
            </w:tcBorders>
            <w:shd w:val="clear" w:color="auto" w:fill="auto"/>
            <w:noWrap/>
            <w:vAlign w:val="center"/>
            <w:hideMark/>
          </w:tcPr>
          <w:p w14:paraId="28A4F06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24</w:t>
            </w:r>
          </w:p>
        </w:tc>
        <w:tc>
          <w:tcPr>
            <w:tcW w:w="2849" w:type="dxa"/>
            <w:tcBorders>
              <w:top w:val="nil"/>
              <w:left w:val="nil"/>
              <w:bottom w:val="single" w:sz="4" w:space="0" w:color="auto"/>
              <w:right w:val="single" w:sz="4" w:space="0" w:color="auto"/>
            </w:tcBorders>
            <w:shd w:val="clear" w:color="auto" w:fill="auto"/>
            <w:vAlign w:val="center"/>
            <w:hideMark/>
          </w:tcPr>
          <w:p w14:paraId="5AA810B0" w14:textId="4936EC61"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Apoyo a la </w:t>
            </w:r>
            <w:r w:rsidR="00691B67">
              <w:rPr>
                <w:rFonts w:ascii="Helvetica" w:eastAsia="Times New Roman" w:hAnsi="Helvetica" w:cs="Helvetica"/>
                <w:sz w:val="16"/>
                <w:szCs w:val="16"/>
                <w:lang w:eastAsia="es-GT"/>
              </w:rPr>
              <w:t>r</w:t>
            </w:r>
            <w:r w:rsidRPr="008F7682">
              <w:rPr>
                <w:rFonts w:ascii="Helvetica" w:eastAsia="Times New Roman" w:hAnsi="Helvetica" w:cs="Helvetica"/>
                <w:sz w:val="16"/>
                <w:szCs w:val="16"/>
                <w:lang w:eastAsia="es-GT"/>
              </w:rPr>
              <w:t xml:space="preserve">econstrucción por el </w:t>
            </w:r>
            <w:r w:rsidR="00691B67">
              <w:rPr>
                <w:rFonts w:ascii="Helvetica" w:eastAsia="Times New Roman" w:hAnsi="Helvetica" w:cs="Helvetica"/>
                <w:sz w:val="16"/>
                <w:szCs w:val="16"/>
                <w:lang w:eastAsia="es-GT"/>
              </w:rPr>
              <w:t>t</w:t>
            </w:r>
            <w:r w:rsidRPr="008F7682">
              <w:rPr>
                <w:rFonts w:ascii="Helvetica" w:eastAsia="Times New Roman" w:hAnsi="Helvetica" w:cs="Helvetica"/>
                <w:sz w:val="16"/>
                <w:szCs w:val="16"/>
                <w:lang w:eastAsia="es-GT"/>
              </w:rPr>
              <w:t>erremoto 7 de noviembre</w:t>
            </w:r>
          </w:p>
        </w:tc>
        <w:tc>
          <w:tcPr>
            <w:tcW w:w="1377" w:type="dxa"/>
            <w:tcBorders>
              <w:top w:val="nil"/>
              <w:left w:val="nil"/>
              <w:bottom w:val="single" w:sz="4" w:space="0" w:color="auto"/>
              <w:right w:val="single" w:sz="4" w:space="0" w:color="auto"/>
            </w:tcBorders>
            <w:shd w:val="clear" w:color="auto" w:fill="auto"/>
            <w:noWrap/>
            <w:vAlign w:val="center"/>
            <w:hideMark/>
          </w:tcPr>
          <w:p w14:paraId="7C950547"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noWrap/>
            <w:vAlign w:val="center"/>
            <w:hideMark/>
          </w:tcPr>
          <w:p w14:paraId="7BF870B9"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050953D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0BFDDC9D"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02D94A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28</w:t>
            </w:r>
          </w:p>
        </w:tc>
        <w:tc>
          <w:tcPr>
            <w:tcW w:w="140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FAD8225"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noWrap/>
            <w:vAlign w:val="center"/>
            <w:hideMark/>
          </w:tcPr>
          <w:p w14:paraId="4E66A25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523" w:type="dxa"/>
            <w:tcBorders>
              <w:top w:val="nil"/>
              <w:left w:val="nil"/>
              <w:bottom w:val="single" w:sz="4" w:space="0" w:color="auto"/>
              <w:right w:val="single" w:sz="4" w:space="0" w:color="auto"/>
            </w:tcBorders>
            <w:shd w:val="clear" w:color="auto" w:fill="auto"/>
            <w:noWrap/>
            <w:vAlign w:val="center"/>
            <w:hideMark/>
          </w:tcPr>
          <w:p w14:paraId="526F398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999</w:t>
            </w:r>
          </w:p>
        </w:tc>
        <w:tc>
          <w:tcPr>
            <w:tcW w:w="2849" w:type="dxa"/>
            <w:tcBorders>
              <w:top w:val="nil"/>
              <w:left w:val="nil"/>
              <w:bottom w:val="single" w:sz="4" w:space="0" w:color="auto"/>
              <w:right w:val="single" w:sz="4" w:space="0" w:color="auto"/>
            </w:tcBorders>
            <w:shd w:val="clear" w:color="auto" w:fill="auto"/>
            <w:vAlign w:val="center"/>
            <w:hideMark/>
          </w:tcPr>
          <w:p w14:paraId="0FFEB9ED" w14:textId="2118B38D"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Donaciones en </w:t>
            </w:r>
            <w:r w:rsidR="00691B67">
              <w:rPr>
                <w:rFonts w:ascii="Helvetica" w:eastAsia="Times New Roman" w:hAnsi="Helvetica" w:cs="Helvetica"/>
                <w:sz w:val="16"/>
                <w:szCs w:val="16"/>
                <w:lang w:eastAsia="es-GT"/>
              </w:rPr>
              <w:t>g</w:t>
            </w:r>
            <w:r w:rsidRPr="008F7682">
              <w:rPr>
                <w:rFonts w:ascii="Helvetica" w:eastAsia="Times New Roman" w:hAnsi="Helvetica" w:cs="Helvetica"/>
                <w:sz w:val="16"/>
                <w:szCs w:val="16"/>
                <w:lang w:eastAsia="es-GT"/>
              </w:rPr>
              <w:t xml:space="preserve">estión </w:t>
            </w:r>
          </w:p>
        </w:tc>
        <w:tc>
          <w:tcPr>
            <w:tcW w:w="1377" w:type="dxa"/>
            <w:tcBorders>
              <w:top w:val="nil"/>
              <w:left w:val="nil"/>
              <w:bottom w:val="single" w:sz="4" w:space="0" w:color="auto"/>
              <w:right w:val="single" w:sz="4" w:space="0" w:color="auto"/>
            </w:tcBorders>
            <w:shd w:val="clear" w:color="auto" w:fill="auto"/>
            <w:noWrap/>
            <w:vAlign w:val="center"/>
            <w:hideMark/>
          </w:tcPr>
          <w:p w14:paraId="3A2F7052"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noWrap/>
            <w:vAlign w:val="center"/>
            <w:hideMark/>
          </w:tcPr>
          <w:p w14:paraId="48F4CE9C"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72A701D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18070FF6"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505285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29</w:t>
            </w:r>
          </w:p>
        </w:tc>
        <w:tc>
          <w:tcPr>
            <w:tcW w:w="1403" w:type="dxa"/>
            <w:tcBorders>
              <w:top w:val="nil"/>
              <w:left w:val="nil"/>
              <w:bottom w:val="single" w:sz="4" w:space="0" w:color="auto"/>
              <w:right w:val="single" w:sz="4" w:space="0" w:color="auto"/>
            </w:tcBorders>
            <w:shd w:val="clear" w:color="auto" w:fill="auto"/>
            <w:noWrap/>
            <w:vAlign w:val="center"/>
            <w:hideMark/>
          </w:tcPr>
          <w:p w14:paraId="51E83E2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MEM</w:t>
            </w:r>
          </w:p>
        </w:tc>
        <w:tc>
          <w:tcPr>
            <w:tcW w:w="496" w:type="dxa"/>
            <w:tcBorders>
              <w:top w:val="nil"/>
              <w:left w:val="nil"/>
              <w:bottom w:val="single" w:sz="4" w:space="0" w:color="auto"/>
              <w:right w:val="single" w:sz="4" w:space="0" w:color="auto"/>
            </w:tcBorders>
            <w:shd w:val="clear" w:color="auto" w:fill="auto"/>
            <w:noWrap/>
            <w:vAlign w:val="center"/>
            <w:hideMark/>
          </w:tcPr>
          <w:p w14:paraId="55A56E1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509</w:t>
            </w:r>
          </w:p>
        </w:tc>
        <w:tc>
          <w:tcPr>
            <w:tcW w:w="523" w:type="dxa"/>
            <w:tcBorders>
              <w:top w:val="nil"/>
              <w:left w:val="nil"/>
              <w:bottom w:val="single" w:sz="4" w:space="0" w:color="auto"/>
              <w:right w:val="single" w:sz="4" w:space="0" w:color="auto"/>
            </w:tcBorders>
            <w:shd w:val="clear" w:color="auto" w:fill="auto"/>
            <w:noWrap/>
            <w:vAlign w:val="center"/>
            <w:hideMark/>
          </w:tcPr>
          <w:p w14:paraId="467DD90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32</w:t>
            </w:r>
          </w:p>
        </w:tc>
        <w:tc>
          <w:tcPr>
            <w:tcW w:w="2849" w:type="dxa"/>
            <w:tcBorders>
              <w:top w:val="nil"/>
              <w:left w:val="nil"/>
              <w:bottom w:val="single" w:sz="4" w:space="0" w:color="auto"/>
              <w:right w:val="single" w:sz="4" w:space="0" w:color="auto"/>
            </w:tcBorders>
            <w:shd w:val="clear" w:color="auto" w:fill="auto"/>
            <w:vAlign w:val="center"/>
            <w:hideMark/>
          </w:tcPr>
          <w:p w14:paraId="64FBA580"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Promoción de actividades productivas con el uso de energía limpia en aldeas del norte de Guatemala</w:t>
            </w:r>
          </w:p>
        </w:tc>
        <w:tc>
          <w:tcPr>
            <w:tcW w:w="1377" w:type="dxa"/>
            <w:tcBorders>
              <w:top w:val="nil"/>
              <w:left w:val="nil"/>
              <w:bottom w:val="single" w:sz="4" w:space="0" w:color="auto"/>
              <w:right w:val="single" w:sz="4" w:space="0" w:color="auto"/>
            </w:tcBorders>
            <w:shd w:val="clear" w:color="auto" w:fill="auto"/>
            <w:noWrap/>
            <w:vAlign w:val="center"/>
            <w:hideMark/>
          </w:tcPr>
          <w:p w14:paraId="2509160A"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Q3,336,000.00</w:t>
            </w:r>
          </w:p>
        </w:tc>
        <w:tc>
          <w:tcPr>
            <w:tcW w:w="1304" w:type="dxa"/>
            <w:tcBorders>
              <w:top w:val="nil"/>
              <w:left w:val="nil"/>
              <w:bottom w:val="single" w:sz="4" w:space="0" w:color="auto"/>
              <w:right w:val="single" w:sz="4" w:space="0" w:color="auto"/>
            </w:tcBorders>
            <w:shd w:val="clear" w:color="auto" w:fill="auto"/>
            <w:noWrap/>
            <w:vAlign w:val="center"/>
            <w:hideMark/>
          </w:tcPr>
          <w:p w14:paraId="689F3EBE"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4036F94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3D53FA08"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1FC160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30</w:t>
            </w:r>
          </w:p>
        </w:tc>
        <w:tc>
          <w:tcPr>
            <w:tcW w:w="1403" w:type="dxa"/>
            <w:tcBorders>
              <w:top w:val="nil"/>
              <w:left w:val="nil"/>
              <w:bottom w:val="single" w:sz="4" w:space="0" w:color="auto"/>
              <w:right w:val="single" w:sz="4" w:space="0" w:color="auto"/>
            </w:tcBorders>
            <w:shd w:val="clear" w:color="auto" w:fill="auto"/>
            <w:noWrap/>
            <w:vAlign w:val="center"/>
            <w:hideMark/>
          </w:tcPr>
          <w:p w14:paraId="1EE6C7B7"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MARN</w:t>
            </w:r>
          </w:p>
        </w:tc>
        <w:tc>
          <w:tcPr>
            <w:tcW w:w="496" w:type="dxa"/>
            <w:tcBorders>
              <w:top w:val="nil"/>
              <w:left w:val="nil"/>
              <w:bottom w:val="single" w:sz="4" w:space="0" w:color="auto"/>
              <w:right w:val="single" w:sz="4" w:space="0" w:color="auto"/>
            </w:tcBorders>
            <w:shd w:val="clear" w:color="auto" w:fill="auto"/>
            <w:noWrap/>
            <w:vAlign w:val="center"/>
            <w:hideMark/>
          </w:tcPr>
          <w:p w14:paraId="16888CE7"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505</w:t>
            </w:r>
          </w:p>
        </w:tc>
        <w:tc>
          <w:tcPr>
            <w:tcW w:w="523" w:type="dxa"/>
            <w:tcBorders>
              <w:top w:val="nil"/>
              <w:left w:val="nil"/>
              <w:bottom w:val="single" w:sz="4" w:space="0" w:color="auto"/>
              <w:right w:val="single" w:sz="4" w:space="0" w:color="auto"/>
            </w:tcBorders>
            <w:shd w:val="clear" w:color="auto" w:fill="auto"/>
            <w:noWrap/>
            <w:vAlign w:val="center"/>
            <w:hideMark/>
          </w:tcPr>
          <w:p w14:paraId="0F92301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w:t>
            </w:r>
          </w:p>
        </w:tc>
        <w:tc>
          <w:tcPr>
            <w:tcW w:w="2849" w:type="dxa"/>
            <w:tcBorders>
              <w:top w:val="nil"/>
              <w:left w:val="nil"/>
              <w:bottom w:val="single" w:sz="4" w:space="0" w:color="auto"/>
              <w:right w:val="single" w:sz="4" w:space="0" w:color="auto"/>
            </w:tcBorders>
            <w:shd w:val="clear" w:color="auto" w:fill="auto"/>
            <w:vAlign w:val="center"/>
            <w:hideMark/>
          </w:tcPr>
          <w:p w14:paraId="764BC8B4"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Adaptación al cambio climático en el corredor seco</w:t>
            </w:r>
          </w:p>
        </w:tc>
        <w:tc>
          <w:tcPr>
            <w:tcW w:w="1377" w:type="dxa"/>
            <w:tcBorders>
              <w:top w:val="nil"/>
              <w:left w:val="nil"/>
              <w:bottom w:val="single" w:sz="4" w:space="0" w:color="auto"/>
              <w:right w:val="single" w:sz="4" w:space="0" w:color="auto"/>
            </w:tcBorders>
            <w:shd w:val="clear" w:color="auto" w:fill="auto"/>
            <w:noWrap/>
            <w:vAlign w:val="center"/>
            <w:hideMark/>
          </w:tcPr>
          <w:p w14:paraId="545FA63D"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Q12,847,000.00</w:t>
            </w:r>
          </w:p>
        </w:tc>
        <w:tc>
          <w:tcPr>
            <w:tcW w:w="1304" w:type="dxa"/>
            <w:tcBorders>
              <w:top w:val="nil"/>
              <w:left w:val="nil"/>
              <w:bottom w:val="single" w:sz="4" w:space="0" w:color="auto"/>
              <w:right w:val="single" w:sz="4" w:space="0" w:color="auto"/>
            </w:tcBorders>
            <w:shd w:val="clear" w:color="auto" w:fill="auto"/>
            <w:noWrap/>
            <w:vAlign w:val="center"/>
            <w:hideMark/>
          </w:tcPr>
          <w:p w14:paraId="74794DF2"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Q7,698,717.52</w:t>
            </w:r>
          </w:p>
        </w:tc>
        <w:tc>
          <w:tcPr>
            <w:tcW w:w="1020" w:type="dxa"/>
            <w:tcBorders>
              <w:top w:val="nil"/>
              <w:left w:val="nil"/>
              <w:bottom w:val="single" w:sz="4" w:space="0" w:color="auto"/>
              <w:right w:val="single" w:sz="4" w:space="0" w:color="auto"/>
            </w:tcBorders>
            <w:shd w:val="clear" w:color="auto" w:fill="auto"/>
            <w:noWrap/>
            <w:vAlign w:val="center"/>
            <w:hideMark/>
          </w:tcPr>
          <w:p w14:paraId="6CB02A4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59.93%</w:t>
            </w:r>
          </w:p>
        </w:tc>
      </w:tr>
      <w:tr w:rsidR="00CE3D5C" w:rsidRPr="008F7682" w14:paraId="7C514B53" w14:textId="77777777" w:rsidTr="00403F9C">
        <w:trPr>
          <w:trHeight w:val="67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9ABDCF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31</w:t>
            </w:r>
          </w:p>
        </w:tc>
        <w:tc>
          <w:tcPr>
            <w:tcW w:w="1403" w:type="dxa"/>
            <w:vMerge w:val="restart"/>
            <w:tcBorders>
              <w:top w:val="nil"/>
              <w:left w:val="single" w:sz="4" w:space="0" w:color="auto"/>
              <w:bottom w:val="nil"/>
              <w:right w:val="single" w:sz="4" w:space="0" w:color="auto"/>
            </w:tcBorders>
            <w:shd w:val="clear" w:color="auto" w:fill="auto"/>
            <w:vAlign w:val="center"/>
            <w:hideMark/>
          </w:tcPr>
          <w:p w14:paraId="31481A2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OBLIG. DEL ESTADO A CAR. TESORO</w:t>
            </w:r>
          </w:p>
        </w:tc>
        <w:tc>
          <w:tcPr>
            <w:tcW w:w="496" w:type="dxa"/>
            <w:tcBorders>
              <w:top w:val="nil"/>
              <w:left w:val="nil"/>
              <w:bottom w:val="single" w:sz="4" w:space="0" w:color="auto"/>
              <w:right w:val="single" w:sz="4" w:space="0" w:color="auto"/>
            </w:tcBorders>
            <w:shd w:val="clear" w:color="auto" w:fill="auto"/>
            <w:vAlign w:val="center"/>
            <w:hideMark/>
          </w:tcPr>
          <w:p w14:paraId="36208677"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402</w:t>
            </w:r>
          </w:p>
        </w:tc>
        <w:tc>
          <w:tcPr>
            <w:tcW w:w="523" w:type="dxa"/>
            <w:tcBorders>
              <w:top w:val="nil"/>
              <w:left w:val="nil"/>
              <w:bottom w:val="single" w:sz="4" w:space="0" w:color="auto"/>
              <w:right w:val="single" w:sz="4" w:space="0" w:color="auto"/>
            </w:tcBorders>
            <w:shd w:val="clear" w:color="auto" w:fill="auto"/>
            <w:vAlign w:val="center"/>
            <w:hideMark/>
          </w:tcPr>
          <w:p w14:paraId="18D3487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131</w:t>
            </w:r>
          </w:p>
        </w:tc>
        <w:tc>
          <w:tcPr>
            <w:tcW w:w="2849" w:type="dxa"/>
            <w:tcBorders>
              <w:top w:val="nil"/>
              <w:left w:val="nil"/>
              <w:bottom w:val="single" w:sz="4" w:space="0" w:color="auto"/>
              <w:right w:val="single" w:sz="4" w:space="0" w:color="auto"/>
            </w:tcBorders>
            <w:shd w:val="clear" w:color="auto" w:fill="auto"/>
            <w:vAlign w:val="center"/>
            <w:hideMark/>
          </w:tcPr>
          <w:p w14:paraId="7C8FD0C6"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INFOM Programa de agua potable y saneamiento para el desarrollo humano fase I</w:t>
            </w:r>
          </w:p>
        </w:tc>
        <w:tc>
          <w:tcPr>
            <w:tcW w:w="1377" w:type="dxa"/>
            <w:tcBorders>
              <w:top w:val="nil"/>
              <w:left w:val="nil"/>
              <w:bottom w:val="single" w:sz="4" w:space="0" w:color="auto"/>
              <w:right w:val="single" w:sz="4" w:space="0" w:color="auto"/>
            </w:tcBorders>
            <w:shd w:val="clear" w:color="auto" w:fill="auto"/>
            <w:vAlign w:val="center"/>
            <w:hideMark/>
          </w:tcPr>
          <w:p w14:paraId="34492A13"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Q50,000,000.00</w:t>
            </w:r>
          </w:p>
        </w:tc>
        <w:tc>
          <w:tcPr>
            <w:tcW w:w="1304" w:type="dxa"/>
            <w:tcBorders>
              <w:top w:val="nil"/>
              <w:left w:val="nil"/>
              <w:bottom w:val="single" w:sz="4" w:space="0" w:color="auto"/>
              <w:right w:val="single" w:sz="4" w:space="0" w:color="auto"/>
            </w:tcBorders>
            <w:shd w:val="clear" w:color="auto" w:fill="auto"/>
            <w:vAlign w:val="center"/>
            <w:hideMark/>
          </w:tcPr>
          <w:p w14:paraId="75DFF556"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Q29,558,224.00</w:t>
            </w:r>
          </w:p>
        </w:tc>
        <w:tc>
          <w:tcPr>
            <w:tcW w:w="1020" w:type="dxa"/>
            <w:tcBorders>
              <w:top w:val="nil"/>
              <w:left w:val="nil"/>
              <w:bottom w:val="single" w:sz="4" w:space="0" w:color="auto"/>
              <w:right w:val="single" w:sz="4" w:space="0" w:color="auto"/>
            </w:tcBorders>
            <w:shd w:val="clear" w:color="auto" w:fill="auto"/>
            <w:noWrap/>
            <w:vAlign w:val="center"/>
            <w:hideMark/>
          </w:tcPr>
          <w:p w14:paraId="2BD3EDA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59.12%</w:t>
            </w:r>
          </w:p>
        </w:tc>
      </w:tr>
      <w:tr w:rsidR="00CE3D5C" w:rsidRPr="008F7682" w14:paraId="4D96EA25" w14:textId="77777777" w:rsidTr="00403F9C">
        <w:trPr>
          <w:trHeight w:val="67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5C3B4AC"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32</w:t>
            </w:r>
          </w:p>
        </w:tc>
        <w:tc>
          <w:tcPr>
            <w:tcW w:w="1403" w:type="dxa"/>
            <w:vMerge/>
            <w:tcBorders>
              <w:top w:val="nil"/>
              <w:left w:val="single" w:sz="4" w:space="0" w:color="auto"/>
              <w:bottom w:val="nil"/>
              <w:right w:val="single" w:sz="4" w:space="0" w:color="auto"/>
            </w:tcBorders>
            <w:shd w:val="clear" w:color="auto" w:fill="auto"/>
            <w:vAlign w:val="center"/>
            <w:hideMark/>
          </w:tcPr>
          <w:p w14:paraId="4FF71EB3"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vAlign w:val="center"/>
            <w:hideMark/>
          </w:tcPr>
          <w:p w14:paraId="5661884D"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vAlign w:val="center"/>
            <w:hideMark/>
          </w:tcPr>
          <w:p w14:paraId="76B6D28D"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108</w:t>
            </w:r>
          </w:p>
        </w:tc>
        <w:tc>
          <w:tcPr>
            <w:tcW w:w="2849" w:type="dxa"/>
            <w:tcBorders>
              <w:top w:val="nil"/>
              <w:left w:val="nil"/>
              <w:bottom w:val="single" w:sz="4" w:space="0" w:color="auto"/>
              <w:right w:val="single" w:sz="4" w:space="0" w:color="auto"/>
            </w:tcBorders>
            <w:shd w:val="clear" w:color="auto" w:fill="auto"/>
            <w:vAlign w:val="center"/>
            <w:hideMark/>
          </w:tcPr>
          <w:p w14:paraId="5EB87098"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SEJICMSC   Fortalecimiento de los mecanismos de protección de las mujeres víctimas de la violencia Fase II</w:t>
            </w:r>
          </w:p>
        </w:tc>
        <w:tc>
          <w:tcPr>
            <w:tcW w:w="1377" w:type="dxa"/>
            <w:tcBorders>
              <w:top w:val="nil"/>
              <w:left w:val="nil"/>
              <w:bottom w:val="single" w:sz="4" w:space="0" w:color="auto"/>
              <w:right w:val="single" w:sz="4" w:space="0" w:color="auto"/>
            </w:tcBorders>
            <w:shd w:val="clear" w:color="auto" w:fill="auto"/>
            <w:vAlign w:val="center"/>
            <w:hideMark/>
          </w:tcPr>
          <w:p w14:paraId="64C45D58"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vAlign w:val="center"/>
            <w:hideMark/>
          </w:tcPr>
          <w:p w14:paraId="5C3DE8E9"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4E1D1AB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1F232CDE" w14:textId="77777777" w:rsidTr="00403F9C">
        <w:trPr>
          <w:trHeight w:val="67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1A17D7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33</w:t>
            </w:r>
          </w:p>
        </w:tc>
        <w:tc>
          <w:tcPr>
            <w:tcW w:w="1403" w:type="dxa"/>
            <w:vMerge/>
            <w:tcBorders>
              <w:top w:val="nil"/>
              <w:left w:val="single" w:sz="4" w:space="0" w:color="auto"/>
              <w:bottom w:val="nil"/>
              <w:right w:val="single" w:sz="4" w:space="0" w:color="auto"/>
            </w:tcBorders>
            <w:shd w:val="clear" w:color="auto" w:fill="auto"/>
            <w:vAlign w:val="center"/>
            <w:hideMark/>
          </w:tcPr>
          <w:p w14:paraId="1B56E08D"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vAlign w:val="center"/>
            <w:hideMark/>
          </w:tcPr>
          <w:p w14:paraId="6EF13C0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vAlign w:val="center"/>
            <w:hideMark/>
          </w:tcPr>
          <w:p w14:paraId="37993C07"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111</w:t>
            </w:r>
          </w:p>
        </w:tc>
        <w:tc>
          <w:tcPr>
            <w:tcW w:w="2849" w:type="dxa"/>
            <w:tcBorders>
              <w:top w:val="nil"/>
              <w:left w:val="nil"/>
              <w:bottom w:val="single" w:sz="4" w:space="0" w:color="auto"/>
              <w:right w:val="single" w:sz="4" w:space="0" w:color="auto"/>
            </w:tcBorders>
            <w:shd w:val="clear" w:color="auto" w:fill="auto"/>
            <w:vAlign w:val="center"/>
            <w:hideMark/>
          </w:tcPr>
          <w:p w14:paraId="0CA09DB5" w14:textId="149BECD2"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Programa de prevención de la </w:t>
            </w:r>
            <w:r w:rsidR="00691B67">
              <w:rPr>
                <w:rFonts w:ascii="Helvetica" w:eastAsia="Times New Roman" w:hAnsi="Helvetica" w:cs="Helvetica"/>
                <w:sz w:val="16"/>
                <w:szCs w:val="16"/>
                <w:lang w:eastAsia="es-GT"/>
              </w:rPr>
              <w:t>v</w:t>
            </w:r>
            <w:r w:rsidRPr="008F7682">
              <w:rPr>
                <w:rFonts w:ascii="Helvetica" w:eastAsia="Times New Roman" w:hAnsi="Helvetica" w:cs="Helvetica"/>
                <w:sz w:val="16"/>
                <w:szCs w:val="16"/>
                <w:lang w:eastAsia="es-GT"/>
              </w:rPr>
              <w:t xml:space="preserve">iolencia y el </w:t>
            </w:r>
            <w:r w:rsidR="00691B67">
              <w:rPr>
                <w:rFonts w:ascii="Helvetica" w:eastAsia="Times New Roman" w:hAnsi="Helvetica" w:cs="Helvetica"/>
                <w:sz w:val="16"/>
                <w:szCs w:val="16"/>
                <w:lang w:eastAsia="es-GT"/>
              </w:rPr>
              <w:t>d</w:t>
            </w:r>
            <w:r w:rsidRPr="008F7682">
              <w:rPr>
                <w:rFonts w:ascii="Helvetica" w:eastAsia="Times New Roman" w:hAnsi="Helvetica" w:cs="Helvetica"/>
                <w:sz w:val="16"/>
                <w:szCs w:val="16"/>
                <w:lang w:eastAsia="es-GT"/>
              </w:rPr>
              <w:t xml:space="preserve">elito contra </w:t>
            </w:r>
            <w:r w:rsidR="00691B67">
              <w:rPr>
                <w:rFonts w:ascii="Helvetica" w:eastAsia="Times New Roman" w:hAnsi="Helvetica" w:cs="Helvetica"/>
                <w:sz w:val="16"/>
                <w:szCs w:val="16"/>
                <w:lang w:eastAsia="es-GT"/>
              </w:rPr>
              <w:t>m</w:t>
            </w:r>
            <w:r w:rsidRPr="008F7682">
              <w:rPr>
                <w:rFonts w:ascii="Helvetica" w:eastAsia="Times New Roman" w:hAnsi="Helvetica" w:cs="Helvetica"/>
                <w:sz w:val="16"/>
                <w:szCs w:val="16"/>
                <w:lang w:eastAsia="es-GT"/>
              </w:rPr>
              <w:t>ujeres, niñez y Adolescencia.</w:t>
            </w:r>
          </w:p>
        </w:tc>
        <w:tc>
          <w:tcPr>
            <w:tcW w:w="1377" w:type="dxa"/>
            <w:tcBorders>
              <w:top w:val="nil"/>
              <w:left w:val="nil"/>
              <w:bottom w:val="single" w:sz="4" w:space="0" w:color="auto"/>
              <w:right w:val="single" w:sz="4" w:space="0" w:color="auto"/>
            </w:tcBorders>
            <w:shd w:val="clear" w:color="auto" w:fill="auto"/>
            <w:vAlign w:val="center"/>
            <w:hideMark/>
          </w:tcPr>
          <w:p w14:paraId="08CECEF9"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vAlign w:val="center"/>
            <w:hideMark/>
          </w:tcPr>
          <w:p w14:paraId="00E6CC0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312CCF8D"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78A62CE5" w14:textId="77777777" w:rsidTr="00403F9C">
        <w:trPr>
          <w:trHeight w:val="67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37CFB0F"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34</w:t>
            </w:r>
          </w:p>
        </w:tc>
        <w:tc>
          <w:tcPr>
            <w:tcW w:w="1403" w:type="dxa"/>
            <w:vMerge/>
            <w:tcBorders>
              <w:top w:val="nil"/>
              <w:left w:val="single" w:sz="4" w:space="0" w:color="auto"/>
              <w:bottom w:val="nil"/>
              <w:right w:val="single" w:sz="4" w:space="0" w:color="auto"/>
            </w:tcBorders>
            <w:shd w:val="clear" w:color="auto" w:fill="auto"/>
            <w:vAlign w:val="center"/>
            <w:hideMark/>
          </w:tcPr>
          <w:p w14:paraId="0CB82556"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vAlign w:val="center"/>
            <w:hideMark/>
          </w:tcPr>
          <w:p w14:paraId="0F7D1CE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vAlign w:val="center"/>
            <w:hideMark/>
          </w:tcPr>
          <w:p w14:paraId="4DC9FAF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114</w:t>
            </w:r>
          </w:p>
        </w:tc>
        <w:tc>
          <w:tcPr>
            <w:tcW w:w="2849" w:type="dxa"/>
            <w:tcBorders>
              <w:top w:val="nil"/>
              <w:left w:val="nil"/>
              <w:bottom w:val="single" w:sz="4" w:space="0" w:color="auto"/>
              <w:right w:val="single" w:sz="4" w:space="0" w:color="auto"/>
            </w:tcBorders>
            <w:shd w:val="clear" w:color="auto" w:fill="auto"/>
            <w:vAlign w:val="center"/>
            <w:hideMark/>
          </w:tcPr>
          <w:p w14:paraId="58AE4E74"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Prevención de la violencia y el delito contra mujeres, niñez y adolescencia (Resolución SEICMSJ-AECID No. 002-2018)</w:t>
            </w:r>
          </w:p>
        </w:tc>
        <w:tc>
          <w:tcPr>
            <w:tcW w:w="1377" w:type="dxa"/>
            <w:tcBorders>
              <w:top w:val="nil"/>
              <w:left w:val="nil"/>
              <w:bottom w:val="single" w:sz="4" w:space="0" w:color="auto"/>
              <w:right w:val="single" w:sz="4" w:space="0" w:color="auto"/>
            </w:tcBorders>
            <w:shd w:val="clear" w:color="auto" w:fill="auto"/>
            <w:vAlign w:val="center"/>
            <w:hideMark/>
          </w:tcPr>
          <w:p w14:paraId="3204A370"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Q10,551,000.00</w:t>
            </w:r>
          </w:p>
        </w:tc>
        <w:tc>
          <w:tcPr>
            <w:tcW w:w="1304" w:type="dxa"/>
            <w:tcBorders>
              <w:top w:val="nil"/>
              <w:left w:val="nil"/>
              <w:bottom w:val="single" w:sz="4" w:space="0" w:color="auto"/>
              <w:right w:val="single" w:sz="4" w:space="0" w:color="auto"/>
            </w:tcBorders>
            <w:shd w:val="clear" w:color="auto" w:fill="auto"/>
            <w:vAlign w:val="center"/>
            <w:hideMark/>
          </w:tcPr>
          <w:p w14:paraId="76FEDDB8"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Q8,452,448.40</w:t>
            </w:r>
          </w:p>
        </w:tc>
        <w:tc>
          <w:tcPr>
            <w:tcW w:w="1020" w:type="dxa"/>
            <w:tcBorders>
              <w:top w:val="nil"/>
              <w:left w:val="nil"/>
              <w:bottom w:val="single" w:sz="4" w:space="0" w:color="auto"/>
              <w:right w:val="single" w:sz="4" w:space="0" w:color="auto"/>
            </w:tcBorders>
            <w:shd w:val="clear" w:color="auto" w:fill="auto"/>
            <w:noWrap/>
            <w:vAlign w:val="center"/>
            <w:hideMark/>
          </w:tcPr>
          <w:p w14:paraId="2A8CDA7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80.11%</w:t>
            </w:r>
          </w:p>
        </w:tc>
      </w:tr>
      <w:tr w:rsidR="00CE3D5C" w:rsidRPr="008F7682" w14:paraId="6709956D" w14:textId="77777777" w:rsidTr="00403F9C">
        <w:trPr>
          <w:trHeight w:val="67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A153E5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35</w:t>
            </w:r>
          </w:p>
        </w:tc>
        <w:tc>
          <w:tcPr>
            <w:tcW w:w="1403" w:type="dxa"/>
            <w:vMerge/>
            <w:tcBorders>
              <w:top w:val="nil"/>
              <w:left w:val="single" w:sz="4" w:space="0" w:color="auto"/>
              <w:bottom w:val="nil"/>
              <w:right w:val="single" w:sz="4" w:space="0" w:color="auto"/>
            </w:tcBorders>
            <w:shd w:val="clear" w:color="auto" w:fill="auto"/>
            <w:vAlign w:val="center"/>
            <w:hideMark/>
          </w:tcPr>
          <w:p w14:paraId="3C052782"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vAlign w:val="center"/>
            <w:hideMark/>
          </w:tcPr>
          <w:p w14:paraId="2CC97DE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615</w:t>
            </w:r>
          </w:p>
        </w:tc>
        <w:tc>
          <w:tcPr>
            <w:tcW w:w="523" w:type="dxa"/>
            <w:tcBorders>
              <w:top w:val="nil"/>
              <w:left w:val="nil"/>
              <w:bottom w:val="single" w:sz="4" w:space="0" w:color="auto"/>
              <w:right w:val="single" w:sz="4" w:space="0" w:color="auto"/>
            </w:tcBorders>
            <w:shd w:val="clear" w:color="auto" w:fill="auto"/>
            <w:vAlign w:val="center"/>
            <w:hideMark/>
          </w:tcPr>
          <w:p w14:paraId="48EF819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19</w:t>
            </w:r>
          </w:p>
        </w:tc>
        <w:tc>
          <w:tcPr>
            <w:tcW w:w="2849" w:type="dxa"/>
            <w:tcBorders>
              <w:top w:val="nil"/>
              <w:left w:val="nil"/>
              <w:bottom w:val="single" w:sz="4" w:space="0" w:color="auto"/>
              <w:right w:val="single" w:sz="4" w:space="0" w:color="auto"/>
            </w:tcBorders>
            <w:shd w:val="clear" w:color="auto" w:fill="auto"/>
            <w:vAlign w:val="center"/>
            <w:hideMark/>
          </w:tcPr>
          <w:p w14:paraId="274BA865"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PDH Apoyo a la Procuraduría de los Derechos Humanos </w:t>
            </w:r>
          </w:p>
        </w:tc>
        <w:tc>
          <w:tcPr>
            <w:tcW w:w="1377" w:type="dxa"/>
            <w:tcBorders>
              <w:top w:val="nil"/>
              <w:left w:val="nil"/>
              <w:bottom w:val="single" w:sz="4" w:space="0" w:color="auto"/>
              <w:right w:val="single" w:sz="4" w:space="0" w:color="auto"/>
            </w:tcBorders>
            <w:shd w:val="clear" w:color="auto" w:fill="auto"/>
            <w:vAlign w:val="center"/>
            <w:hideMark/>
          </w:tcPr>
          <w:p w14:paraId="1C87EE0E"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vAlign w:val="center"/>
            <w:hideMark/>
          </w:tcPr>
          <w:p w14:paraId="25C44DE1"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76EC6C7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522E4770" w14:textId="77777777" w:rsidTr="00403F9C">
        <w:trPr>
          <w:trHeight w:val="67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5B65707"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36</w:t>
            </w:r>
          </w:p>
        </w:tc>
        <w:tc>
          <w:tcPr>
            <w:tcW w:w="1403" w:type="dxa"/>
            <w:vMerge/>
            <w:tcBorders>
              <w:top w:val="nil"/>
              <w:left w:val="single" w:sz="4" w:space="0" w:color="auto"/>
              <w:bottom w:val="nil"/>
              <w:right w:val="single" w:sz="4" w:space="0" w:color="auto"/>
            </w:tcBorders>
            <w:shd w:val="clear" w:color="auto" w:fill="auto"/>
            <w:vAlign w:val="center"/>
            <w:hideMark/>
          </w:tcPr>
          <w:p w14:paraId="6F359EFA" w14:textId="77777777" w:rsidR="00CE3D5C" w:rsidRPr="008F7682" w:rsidRDefault="00CE3D5C" w:rsidP="00CE3D5C">
            <w:pPr>
              <w:spacing w:after="0" w:line="240" w:lineRule="auto"/>
              <w:rPr>
                <w:rFonts w:ascii="Helvetica" w:eastAsia="Times New Roman" w:hAnsi="Helvetica" w:cs="Helvetica"/>
                <w:sz w:val="16"/>
                <w:szCs w:val="16"/>
                <w:lang w:eastAsia="es-GT"/>
              </w:rPr>
            </w:pPr>
          </w:p>
        </w:tc>
        <w:tc>
          <w:tcPr>
            <w:tcW w:w="496" w:type="dxa"/>
            <w:tcBorders>
              <w:top w:val="nil"/>
              <w:left w:val="nil"/>
              <w:bottom w:val="single" w:sz="4" w:space="0" w:color="auto"/>
              <w:right w:val="single" w:sz="4" w:space="0" w:color="auto"/>
            </w:tcBorders>
            <w:shd w:val="clear" w:color="auto" w:fill="auto"/>
            <w:vAlign w:val="center"/>
            <w:hideMark/>
          </w:tcPr>
          <w:p w14:paraId="7720CB5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523" w:type="dxa"/>
            <w:tcBorders>
              <w:top w:val="nil"/>
              <w:left w:val="nil"/>
              <w:bottom w:val="single" w:sz="4" w:space="0" w:color="auto"/>
              <w:right w:val="single" w:sz="4" w:space="0" w:color="auto"/>
            </w:tcBorders>
            <w:shd w:val="clear" w:color="auto" w:fill="auto"/>
            <w:vAlign w:val="center"/>
            <w:hideMark/>
          </w:tcPr>
          <w:p w14:paraId="40259F7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999</w:t>
            </w:r>
          </w:p>
        </w:tc>
        <w:tc>
          <w:tcPr>
            <w:tcW w:w="2849" w:type="dxa"/>
            <w:tcBorders>
              <w:top w:val="nil"/>
              <w:left w:val="nil"/>
              <w:bottom w:val="single" w:sz="4" w:space="0" w:color="auto"/>
              <w:right w:val="single" w:sz="4" w:space="0" w:color="auto"/>
            </w:tcBorders>
            <w:shd w:val="clear" w:color="auto" w:fill="auto"/>
            <w:vAlign w:val="center"/>
            <w:hideMark/>
          </w:tcPr>
          <w:p w14:paraId="7E62C655" w14:textId="674BC6DE"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Donaciones en </w:t>
            </w:r>
            <w:r w:rsidR="00691B67">
              <w:rPr>
                <w:rFonts w:ascii="Helvetica" w:eastAsia="Times New Roman" w:hAnsi="Helvetica" w:cs="Helvetica"/>
                <w:sz w:val="16"/>
                <w:szCs w:val="16"/>
                <w:lang w:eastAsia="es-GT"/>
              </w:rPr>
              <w:t>g</w:t>
            </w:r>
            <w:r w:rsidRPr="008F7682">
              <w:rPr>
                <w:rFonts w:ascii="Helvetica" w:eastAsia="Times New Roman" w:hAnsi="Helvetica" w:cs="Helvetica"/>
                <w:sz w:val="16"/>
                <w:szCs w:val="16"/>
                <w:lang w:eastAsia="es-GT"/>
              </w:rPr>
              <w:t>estión</w:t>
            </w:r>
          </w:p>
        </w:tc>
        <w:tc>
          <w:tcPr>
            <w:tcW w:w="1377" w:type="dxa"/>
            <w:tcBorders>
              <w:top w:val="nil"/>
              <w:left w:val="nil"/>
              <w:bottom w:val="single" w:sz="4" w:space="0" w:color="auto"/>
              <w:right w:val="single" w:sz="4" w:space="0" w:color="auto"/>
            </w:tcBorders>
            <w:shd w:val="clear" w:color="auto" w:fill="auto"/>
            <w:vAlign w:val="center"/>
            <w:hideMark/>
          </w:tcPr>
          <w:p w14:paraId="2E5F96A1"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vAlign w:val="center"/>
            <w:hideMark/>
          </w:tcPr>
          <w:p w14:paraId="242259C2"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54DA34F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259F7A4B"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4776283"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37</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14:paraId="030B18BB"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CONAP</w:t>
            </w:r>
          </w:p>
        </w:tc>
        <w:tc>
          <w:tcPr>
            <w:tcW w:w="496" w:type="dxa"/>
            <w:tcBorders>
              <w:top w:val="single" w:sz="4" w:space="0" w:color="auto"/>
              <w:left w:val="nil"/>
              <w:bottom w:val="single" w:sz="4" w:space="0" w:color="auto"/>
              <w:right w:val="single" w:sz="4" w:space="0" w:color="auto"/>
            </w:tcBorders>
            <w:shd w:val="clear" w:color="auto" w:fill="auto"/>
            <w:noWrap/>
            <w:vAlign w:val="center"/>
            <w:hideMark/>
          </w:tcPr>
          <w:p w14:paraId="5BC068F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505</w:t>
            </w:r>
          </w:p>
        </w:tc>
        <w:tc>
          <w:tcPr>
            <w:tcW w:w="523" w:type="dxa"/>
            <w:tcBorders>
              <w:top w:val="single" w:sz="4" w:space="0" w:color="auto"/>
              <w:left w:val="nil"/>
              <w:bottom w:val="single" w:sz="4" w:space="0" w:color="auto"/>
              <w:right w:val="single" w:sz="4" w:space="0" w:color="auto"/>
            </w:tcBorders>
            <w:shd w:val="clear" w:color="auto" w:fill="auto"/>
            <w:noWrap/>
            <w:vAlign w:val="center"/>
            <w:hideMark/>
          </w:tcPr>
          <w:p w14:paraId="7F86C96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19</w:t>
            </w:r>
          </w:p>
        </w:tc>
        <w:tc>
          <w:tcPr>
            <w:tcW w:w="2849" w:type="dxa"/>
            <w:tcBorders>
              <w:top w:val="single" w:sz="4" w:space="0" w:color="auto"/>
              <w:left w:val="nil"/>
              <w:bottom w:val="single" w:sz="4" w:space="0" w:color="auto"/>
              <w:right w:val="single" w:sz="4" w:space="0" w:color="auto"/>
            </w:tcBorders>
            <w:shd w:val="clear" w:color="auto" w:fill="auto"/>
            <w:vAlign w:val="center"/>
            <w:hideMark/>
          </w:tcPr>
          <w:p w14:paraId="70EA76AC" w14:textId="72FFC290"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Consolidación del sistema Guatemalteco</w:t>
            </w:r>
            <w:r w:rsidR="00FC7FBF">
              <w:rPr>
                <w:rFonts w:ascii="Helvetica" w:eastAsia="Times New Roman" w:hAnsi="Helvetica" w:cs="Helvetica"/>
                <w:sz w:val="16"/>
                <w:szCs w:val="16"/>
                <w:lang w:eastAsia="es-GT"/>
              </w:rPr>
              <w:t xml:space="preserve"> </w:t>
            </w:r>
            <w:r w:rsidRPr="008F7682">
              <w:rPr>
                <w:rFonts w:ascii="Helvetica" w:eastAsia="Times New Roman" w:hAnsi="Helvetica" w:cs="Helvetica"/>
                <w:sz w:val="16"/>
                <w:szCs w:val="16"/>
                <w:lang w:eastAsia="es-GT"/>
              </w:rPr>
              <w:t>de áreas protegidas -LIFE WEB-</w:t>
            </w:r>
          </w:p>
        </w:tc>
        <w:tc>
          <w:tcPr>
            <w:tcW w:w="1377" w:type="dxa"/>
            <w:tcBorders>
              <w:top w:val="single" w:sz="4" w:space="0" w:color="auto"/>
              <w:left w:val="nil"/>
              <w:bottom w:val="single" w:sz="4" w:space="0" w:color="auto"/>
              <w:right w:val="single" w:sz="4" w:space="0" w:color="auto"/>
            </w:tcBorders>
            <w:shd w:val="clear" w:color="auto" w:fill="auto"/>
            <w:noWrap/>
            <w:vAlign w:val="center"/>
            <w:hideMark/>
          </w:tcPr>
          <w:p w14:paraId="6DD78C1C"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Q13,556,000.00</w:t>
            </w:r>
          </w:p>
        </w:tc>
        <w:tc>
          <w:tcPr>
            <w:tcW w:w="1304" w:type="dxa"/>
            <w:tcBorders>
              <w:top w:val="single" w:sz="4" w:space="0" w:color="auto"/>
              <w:left w:val="nil"/>
              <w:bottom w:val="single" w:sz="4" w:space="0" w:color="auto"/>
              <w:right w:val="single" w:sz="4" w:space="0" w:color="auto"/>
            </w:tcBorders>
            <w:shd w:val="clear" w:color="auto" w:fill="auto"/>
            <w:noWrap/>
            <w:vAlign w:val="center"/>
            <w:hideMark/>
          </w:tcPr>
          <w:p w14:paraId="0126F01B"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Q5,937,434.34</w:t>
            </w:r>
          </w:p>
        </w:tc>
        <w:tc>
          <w:tcPr>
            <w:tcW w:w="1020" w:type="dxa"/>
            <w:tcBorders>
              <w:top w:val="nil"/>
              <w:left w:val="nil"/>
              <w:bottom w:val="single" w:sz="4" w:space="0" w:color="auto"/>
              <w:right w:val="single" w:sz="4" w:space="0" w:color="auto"/>
            </w:tcBorders>
            <w:shd w:val="clear" w:color="auto" w:fill="auto"/>
            <w:noWrap/>
            <w:vAlign w:val="center"/>
            <w:hideMark/>
          </w:tcPr>
          <w:p w14:paraId="4DD5FED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43.80%</w:t>
            </w:r>
          </w:p>
        </w:tc>
      </w:tr>
      <w:tr w:rsidR="00CE3D5C" w:rsidRPr="008F7682" w14:paraId="588AD670"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22366E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38</w:t>
            </w:r>
          </w:p>
        </w:tc>
        <w:tc>
          <w:tcPr>
            <w:tcW w:w="1403" w:type="dxa"/>
            <w:tcBorders>
              <w:top w:val="nil"/>
              <w:left w:val="nil"/>
              <w:bottom w:val="single" w:sz="4" w:space="0" w:color="auto"/>
              <w:right w:val="single" w:sz="4" w:space="0" w:color="auto"/>
            </w:tcBorders>
            <w:shd w:val="clear" w:color="auto" w:fill="auto"/>
            <w:noWrap/>
            <w:vAlign w:val="center"/>
            <w:hideMark/>
          </w:tcPr>
          <w:p w14:paraId="532FE66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SEGEPLAN </w:t>
            </w:r>
          </w:p>
        </w:tc>
        <w:tc>
          <w:tcPr>
            <w:tcW w:w="496" w:type="dxa"/>
            <w:tcBorders>
              <w:top w:val="nil"/>
              <w:left w:val="nil"/>
              <w:bottom w:val="single" w:sz="4" w:space="0" w:color="auto"/>
              <w:right w:val="single" w:sz="4" w:space="0" w:color="auto"/>
            </w:tcBorders>
            <w:shd w:val="clear" w:color="auto" w:fill="auto"/>
            <w:noWrap/>
            <w:vAlign w:val="center"/>
            <w:hideMark/>
          </w:tcPr>
          <w:p w14:paraId="6FA74E6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noWrap/>
            <w:vAlign w:val="center"/>
            <w:hideMark/>
          </w:tcPr>
          <w:p w14:paraId="00774306"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115</w:t>
            </w:r>
          </w:p>
        </w:tc>
        <w:tc>
          <w:tcPr>
            <w:tcW w:w="2849" w:type="dxa"/>
            <w:tcBorders>
              <w:top w:val="nil"/>
              <w:left w:val="nil"/>
              <w:bottom w:val="single" w:sz="4" w:space="0" w:color="auto"/>
              <w:right w:val="single" w:sz="4" w:space="0" w:color="auto"/>
            </w:tcBorders>
            <w:shd w:val="clear" w:color="auto" w:fill="auto"/>
            <w:vAlign w:val="center"/>
            <w:hideMark/>
          </w:tcPr>
          <w:p w14:paraId="7A52F7D8" w14:textId="210C4206"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Fortalecimiento de la </w:t>
            </w:r>
            <w:r w:rsidR="00691B67">
              <w:rPr>
                <w:rFonts w:ascii="Helvetica" w:eastAsia="Times New Roman" w:hAnsi="Helvetica" w:cs="Helvetica"/>
                <w:sz w:val="16"/>
                <w:szCs w:val="16"/>
                <w:lang w:eastAsia="es-GT"/>
              </w:rPr>
              <w:t>Su</w:t>
            </w:r>
            <w:r w:rsidRPr="008F7682">
              <w:rPr>
                <w:rFonts w:ascii="Helvetica" w:eastAsia="Times New Roman" w:hAnsi="Helvetica" w:cs="Helvetica"/>
                <w:sz w:val="16"/>
                <w:szCs w:val="16"/>
                <w:lang w:eastAsia="es-GT"/>
              </w:rPr>
              <w:t>bsecretaria de cooperación internacional -SCI- en el ámbito de responsables de cooperación iberoamericana (R-03-2018) 2018-SPE-0000400024</w:t>
            </w:r>
          </w:p>
        </w:tc>
        <w:tc>
          <w:tcPr>
            <w:tcW w:w="1377" w:type="dxa"/>
            <w:tcBorders>
              <w:top w:val="nil"/>
              <w:left w:val="nil"/>
              <w:bottom w:val="single" w:sz="4" w:space="0" w:color="auto"/>
              <w:right w:val="single" w:sz="4" w:space="0" w:color="auto"/>
            </w:tcBorders>
            <w:shd w:val="clear" w:color="auto" w:fill="auto"/>
            <w:noWrap/>
            <w:vAlign w:val="center"/>
            <w:hideMark/>
          </w:tcPr>
          <w:p w14:paraId="5BFB224A"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Q606,125.00</w:t>
            </w:r>
          </w:p>
        </w:tc>
        <w:tc>
          <w:tcPr>
            <w:tcW w:w="1304" w:type="dxa"/>
            <w:tcBorders>
              <w:top w:val="nil"/>
              <w:left w:val="nil"/>
              <w:bottom w:val="single" w:sz="4" w:space="0" w:color="auto"/>
              <w:right w:val="single" w:sz="4" w:space="0" w:color="auto"/>
            </w:tcBorders>
            <w:shd w:val="clear" w:color="auto" w:fill="auto"/>
            <w:noWrap/>
            <w:vAlign w:val="center"/>
            <w:hideMark/>
          </w:tcPr>
          <w:p w14:paraId="4C5F49D3"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Q541,773.91</w:t>
            </w:r>
          </w:p>
        </w:tc>
        <w:tc>
          <w:tcPr>
            <w:tcW w:w="1020" w:type="dxa"/>
            <w:tcBorders>
              <w:top w:val="nil"/>
              <w:left w:val="nil"/>
              <w:bottom w:val="single" w:sz="4" w:space="0" w:color="auto"/>
              <w:right w:val="single" w:sz="4" w:space="0" w:color="auto"/>
            </w:tcBorders>
            <w:shd w:val="clear" w:color="auto" w:fill="auto"/>
            <w:noWrap/>
            <w:vAlign w:val="center"/>
            <w:hideMark/>
          </w:tcPr>
          <w:p w14:paraId="7E9FEE6D"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89.38%</w:t>
            </w:r>
          </w:p>
        </w:tc>
      </w:tr>
      <w:tr w:rsidR="00CE3D5C" w:rsidRPr="008F7682" w14:paraId="0FBCE115"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15176D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39</w:t>
            </w:r>
          </w:p>
        </w:tc>
        <w:tc>
          <w:tcPr>
            <w:tcW w:w="1403" w:type="dxa"/>
            <w:tcBorders>
              <w:top w:val="nil"/>
              <w:left w:val="nil"/>
              <w:bottom w:val="single" w:sz="4" w:space="0" w:color="auto"/>
              <w:right w:val="single" w:sz="4" w:space="0" w:color="auto"/>
            </w:tcBorders>
            <w:shd w:val="clear" w:color="auto" w:fill="auto"/>
            <w:noWrap/>
            <w:vAlign w:val="center"/>
            <w:hideMark/>
          </w:tcPr>
          <w:p w14:paraId="0D49862E"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SEPREM</w:t>
            </w:r>
          </w:p>
        </w:tc>
        <w:tc>
          <w:tcPr>
            <w:tcW w:w="496" w:type="dxa"/>
            <w:tcBorders>
              <w:top w:val="nil"/>
              <w:left w:val="nil"/>
              <w:bottom w:val="single" w:sz="4" w:space="0" w:color="auto"/>
              <w:right w:val="single" w:sz="4" w:space="0" w:color="auto"/>
            </w:tcBorders>
            <w:shd w:val="clear" w:color="auto" w:fill="auto"/>
            <w:noWrap/>
            <w:vAlign w:val="center"/>
            <w:hideMark/>
          </w:tcPr>
          <w:p w14:paraId="58AD454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615</w:t>
            </w:r>
          </w:p>
        </w:tc>
        <w:tc>
          <w:tcPr>
            <w:tcW w:w="523" w:type="dxa"/>
            <w:tcBorders>
              <w:top w:val="nil"/>
              <w:left w:val="nil"/>
              <w:bottom w:val="single" w:sz="4" w:space="0" w:color="auto"/>
              <w:right w:val="single" w:sz="4" w:space="0" w:color="auto"/>
            </w:tcBorders>
            <w:shd w:val="clear" w:color="auto" w:fill="auto"/>
            <w:noWrap/>
            <w:vAlign w:val="center"/>
            <w:hideMark/>
          </w:tcPr>
          <w:p w14:paraId="0A47F2A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18</w:t>
            </w:r>
          </w:p>
        </w:tc>
        <w:tc>
          <w:tcPr>
            <w:tcW w:w="2849" w:type="dxa"/>
            <w:tcBorders>
              <w:top w:val="nil"/>
              <w:left w:val="nil"/>
              <w:bottom w:val="single" w:sz="4" w:space="0" w:color="auto"/>
              <w:right w:val="single" w:sz="4" w:space="0" w:color="auto"/>
            </w:tcBorders>
            <w:shd w:val="clear" w:color="auto" w:fill="auto"/>
            <w:vAlign w:val="center"/>
            <w:hideMark/>
          </w:tcPr>
          <w:p w14:paraId="053521E1"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Implementación de la Política Nacional de Promoción y Desarrollo Integral de las Mujeres</w:t>
            </w:r>
          </w:p>
        </w:tc>
        <w:tc>
          <w:tcPr>
            <w:tcW w:w="1377" w:type="dxa"/>
            <w:tcBorders>
              <w:top w:val="nil"/>
              <w:left w:val="nil"/>
              <w:bottom w:val="single" w:sz="4" w:space="0" w:color="auto"/>
              <w:right w:val="single" w:sz="4" w:space="0" w:color="auto"/>
            </w:tcBorders>
            <w:shd w:val="clear" w:color="auto" w:fill="auto"/>
            <w:noWrap/>
            <w:vAlign w:val="center"/>
            <w:hideMark/>
          </w:tcPr>
          <w:p w14:paraId="6261581A"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Q2,558,000.00</w:t>
            </w:r>
          </w:p>
        </w:tc>
        <w:tc>
          <w:tcPr>
            <w:tcW w:w="1304" w:type="dxa"/>
            <w:tcBorders>
              <w:top w:val="nil"/>
              <w:left w:val="nil"/>
              <w:bottom w:val="single" w:sz="4" w:space="0" w:color="auto"/>
              <w:right w:val="single" w:sz="4" w:space="0" w:color="auto"/>
            </w:tcBorders>
            <w:shd w:val="clear" w:color="auto" w:fill="auto"/>
            <w:noWrap/>
            <w:vAlign w:val="center"/>
            <w:hideMark/>
          </w:tcPr>
          <w:p w14:paraId="4B7DD375"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Q331,521.80</w:t>
            </w:r>
          </w:p>
        </w:tc>
        <w:tc>
          <w:tcPr>
            <w:tcW w:w="1020" w:type="dxa"/>
            <w:tcBorders>
              <w:top w:val="nil"/>
              <w:left w:val="nil"/>
              <w:bottom w:val="single" w:sz="4" w:space="0" w:color="auto"/>
              <w:right w:val="single" w:sz="4" w:space="0" w:color="auto"/>
            </w:tcBorders>
            <w:shd w:val="clear" w:color="auto" w:fill="auto"/>
            <w:noWrap/>
            <w:vAlign w:val="center"/>
            <w:hideMark/>
          </w:tcPr>
          <w:p w14:paraId="35260C91"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12.96%</w:t>
            </w:r>
          </w:p>
        </w:tc>
      </w:tr>
      <w:tr w:rsidR="00CE3D5C" w:rsidRPr="008F7682" w14:paraId="4D0E8AE6" w14:textId="77777777" w:rsidTr="00403F9C">
        <w:trPr>
          <w:trHeight w:val="54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C13A444"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w:t>
            </w:r>
          </w:p>
        </w:tc>
        <w:tc>
          <w:tcPr>
            <w:tcW w:w="1403" w:type="dxa"/>
            <w:tcBorders>
              <w:top w:val="nil"/>
              <w:left w:val="nil"/>
              <w:bottom w:val="single" w:sz="4" w:space="0" w:color="auto"/>
              <w:right w:val="single" w:sz="4" w:space="0" w:color="auto"/>
            </w:tcBorders>
            <w:shd w:val="clear" w:color="auto" w:fill="auto"/>
            <w:noWrap/>
            <w:vAlign w:val="center"/>
            <w:hideMark/>
          </w:tcPr>
          <w:p w14:paraId="7891A30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SESAN</w:t>
            </w:r>
          </w:p>
        </w:tc>
        <w:tc>
          <w:tcPr>
            <w:tcW w:w="496" w:type="dxa"/>
            <w:tcBorders>
              <w:top w:val="nil"/>
              <w:left w:val="nil"/>
              <w:bottom w:val="single" w:sz="4" w:space="0" w:color="auto"/>
              <w:right w:val="single" w:sz="4" w:space="0" w:color="auto"/>
            </w:tcBorders>
            <w:shd w:val="clear" w:color="auto" w:fill="auto"/>
            <w:noWrap/>
            <w:vAlign w:val="center"/>
            <w:hideMark/>
          </w:tcPr>
          <w:p w14:paraId="0628846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523" w:type="dxa"/>
            <w:tcBorders>
              <w:top w:val="nil"/>
              <w:left w:val="nil"/>
              <w:bottom w:val="single" w:sz="4" w:space="0" w:color="auto"/>
              <w:right w:val="single" w:sz="4" w:space="0" w:color="auto"/>
            </w:tcBorders>
            <w:shd w:val="clear" w:color="auto" w:fill="auto"/>
            <w:noWrap/>
            <w:vAlign w:val="center"/>
            <w:hideMark/>
          </w:tcPr>
          <w:p w14:paraId="5B6C789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107</w:t>
            </w:r>
          </w:p>
        </w:tc>
        <w:tc>
          <w:tcPr>
            <w:tcW w:w="2849" w:type="dxa"/>
            <w:tcBorders>
              <w:top w:val="nil"/>
              <w:left w:val="nil"/>
              <w:bottom w:val="single" w:sz="4" w:space="0" w:color="auto"/>
              <w:right w:val="single" w:sz="4" w:space="0" w:color="auto"/>
            </w:tcBorders>
            <w:shd w:val="clear" w:color="auto" w:fill="auto"/>
            <w:vAlign w:val="center"/>
            <w:hideMark/>
          </w:tcPr>
          <w:p w14:paraId="6B5B7838" w14:textId="3214FAF8"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Fortalecimiento de la </w:t>
            </w:r>
            <w:r w:rsidR="00691B67">
              <w:rPr>
                <w:rFonts w:ascii="Helvetica" w:eastAsia="Times New Roman" w:hAnsi="Helvetica" w:cs="Helvetica"/>
                <w:sz w:val="16"/>
                <w:szCs w:val="16"/>
                <w:lang w:eastAsia="es-GT"/>
              </w:rPr>
              <w:t>g</w:t>
            </w:r>
            <w:r w:rsidRPr="008F7682">
              <w:rPr>
                <w:rFonts w:ascii="Helvetica" w:eastAsia="Times New Roman" w:hAnsi="Helvetica" w:cs="Helvetica"/>
                <w:sz w:val="16"/>
                <w:szCs w:val="16"/>
                <w:lang w:eastAsia="es-GT"/>
              </w:rPr>
              <w:t>obernanza local en seguridad alimentaria y nutricional SAN en el marco del PESAN  2016-2020 en el departamento de Chiquimula</w:t>
            </w:r>
          </w:p>
        </w:tc>
        <w:tc>
          <w:tcPr>
            <w:tcW w:w="1377" w:type="dxa"/>
            <w:tcBorders>
              <w:top w:val="nil"/>
              <w:left w:val="nil"/>
              <w:bottom w:val="single" w:sz="4" w:space="0" w:color="auto"/>
              <w:right w:val="single" w:sz="4" w:space="0" w:color="auto"/>
            </w:tcBorders>
            <w:shd w:val="clear" w:color="auto" w:fill="auto"/>
            <w:noWrap/>
            <w:vAlign w:val="center"/>
            <w:hideMark/>
          </w:tcPr>
          <w:p w14:paraId="2F1FF91A"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04" w:type="dxa"/>
            <w:tcBorders>
              <w:top w:val="nil"/>
              <w:left w:val="nil"/>
              <w:bottom w:val="single" w:sz="4" w:space="0" w:color="auto"/>
              <w:right w:val="single" w:sz="4" w:space="0" w:color="auto"/>
            </w:tcBorders>
            <w:shd w:val="clear" w:color="auto" w:fill="auto"/>
            <w:noWrap/>
            <w:vAlign w:val="center"/>
            <w:hideMark/>
          </w:tcPr>
          <w:p w14:paraId="78A41E8D"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4B350BB2"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19969EE5" w14:textId="77777777" w:rsidTr="00403F9C">
        <w:trPr>
          <w:trHeight w:val="118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1F36E39"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41</w:t>
            </w:r>
          </w:p>
        </w:tc>
        <w:tc>
          <w:tcPr>
            <w:tcW w:w="1403" w:type="dxa"/>
            <w:tcBorders>
              <w:top w:val="nil"/>
              <w:left w:val="nil"/>
              <w:bottom w:val="single" w:sz="4" w:space="0" w:color="auto"/>
              <w:right w:val="single" w:sz="4" w:space="0" w:color="auto"/>
            </w:tcBorders>
            <w:shd w:val="clear" w:color="auto" w:fill="auto"/>
            <w:vAlign w:val="center"/>
            <w:hideMark/>
          </w:tcPr>
          <w:p w14:paraId="32D8644A"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SECRETARÍAS Y OTRAS DEPENDENCIAS DEL EJECUTIVO</w:t>
            </w:r>
          </w:p>
        </w:tc>
        <w:tc>
          <w:tcPr>
            <w:tcW w:w="496" w:type="dxa"/>
            <w:tcBorders>
              <w:top w:val="nil"/>
              <w:left w:val="nil"/>
              <w:bottom w:val="single" w:sz="4" w:space="0" w:color="auto"/>
              <w:right w:val="single" w:sz="4" w:space="0" w:color="auto"/>
            </w:tcBorders>
            <w:shd w:val="clear" w:color="auto" w:fill="auto"/>
            <w:vAlign w:val="center"/>
            <w:hideMark/>
          </w:tcPr>
          <w:p w14:paraId="328C2DB8"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523" w:type="dxa"/>
            <w:tcBorders>
              <w:top w:val="nil"/>
              <w:left w:val="nil"/>
              <w:bottom w:val="single" w:sz="4" w:space="0" w:color="auto"/>
              <w:right w:val="single" w:sz="4" w:space="0" w:color="auto"/>
            </w:tcBorders>
            <w:shd w:val="clear" w:color="auto" w:fill="auto"/>
            <w:vAlign w:val="center"/>
            <w:hideMark/>
          </w:tcPr>
          <w:p w14:paraId="46C2C695"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999</w:t>
            </w:r>
          </w:p>
        </w:tc>
        <w:tc>
          <w:tcPr>
            <w:tcW w:w="2849" w:type="dxa"/>
            <w:tcBorders>
              <w:top w:val="nil"/>
              <w:left w:val="nil"/>
              <w:bottom w:val="single" w:sz="4" w:space="0" w:color="auto"/>
              <w:right w:val="single" w:sz="4" w:space="0" w:color="auto"/>
            </w:tcBorders>
            <w:shd w:val="clear" w:color="auto" w:fill="auto"/>
            <w:vAlign w:val="center"/>
            <w:hideMark/>
          </w:tcPr>
          <w:p w14:paraId="39491AB2" w14:textId="64A88142"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D</w:t>
            </w:r>
            <w:r w:rsidR="00691B67">
              <w:rPr>
                <w:rFonts w:ascii="Helvetica" w:eastAsia="Times New Roman" w:hAnsi="Helvetica" w:cs="Helvetica"/>
                <w:sz w:val="16"/>
                <w:szCs w:val="16"/>
                <w:lang w:eastAsia="es-GT"/>
              </w:rPr>
              <w:t>onaciones en gestión</w:t>
            </w:r>
          </w:p>
        </w:tc>
        <w:tc>
          <w:tcPr>
            <w:tcW w:w="1377" w:type="dxa"/>
            <w:tcBorders>
              <w:top w:val="nil"/>
              <w:left w:val="nil"/>
              <w:bottom w:val="single" w:sz="4" w:space="0" w:color="auto"/>
              <w:right w:val="single" w:sz="4" w:space="0" w:color="auto"/>
            </w:tcBorders>
            <w:shd w:val="clear" w:color="auto" w:fill="auto"/>
            <w:vAlign w:val="center"/>
            <w:hideMark/>
          </w:tcPr>
          <w:p w14:paraId="4491ECF7"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Q4,711,000.00</w:t>
            </w:r>
          </w:p>
        </w:tc>
        <w:tc>
          <w:tcPr>
            <w:tcW w:w="1304" w:type="dxa"/>
            <w:tcBorders>
              <w:top w:val="nil"/>
              <w:left w:val="nil"/>
              <w:bottom w:val="single" w:sz="4" w:space="0" w:color="auto"/>
              <w:right w:val="single" w:sz="4" w:space="0" w:color="auto"/>
            </w:tcBorders>
            <w:shd w:val="clear" w:color="auto" w:fill="auto"/>
            <w:vAlign w:val="center"/>
            <w:hideMark/>
          </w:tcPr>
          <w:p w14:paraId="2D3C9274" w14:textId="77777777" w:rsidR="00CE3D5C" w:rsidRPr="008F7682" w:rsidRDefault="00CE3D5C" w:rsidP="00CE3D5C">
            <w:pPr>
              <w:spacing w:after="0" w:line="240" w:lineRule="auto"/>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020" w:type="dxa"/>
            <w:tcBorders>
              <w:top w:val="nil"/>
              <w:left w:val="nil"/>
              <w:bottom w:val="single" w:sz="4" w:space="0" w:color="auto"/>
              <w:right w:val="single" w:sz="4" w:space="0" w:color="auto"/>
            </w:tcBorders>
            <w:shd w:val="clear" w:color="auto" w:fill="auto"/>
            <w:noWrap/>
            <w:vAlign w:val="center"/>
            <w:hideMark/>
          </w:tcPr>
          <w:p w14:paraId="07CB3400" w14:textId="77777777" w:rsidR="00CE3D5C" w:rsidRPr="008F7682" w:rsidRDefault="00CE3D5C" w:rsidP="00CE3D5C">
            <w:pPr>
              <w:spacing w:after="0" w:line="240" w:lineRule="auto"/>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403F9C" w:rsidRPr="008F7682" w14:paraId="3C54CE50" w14:textId="77777777" w:rsidTr="00F12A77">
        <w:trPr>
          <w:trHeight w:val="330"/>
          <w:jc w:val="center"/>
        </w:trPr>
        <w:tc>
          <w:tcPr>
            <w:tcW w:w="5731" w:type="dxa"/>
            <w:gridSpan w:val="5"/>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137BA8B1" w14:textId="44039EBB" w:rsidR="00403F9C" w:rsidRPr="00403F9C" w:rsidRDefault="00403F9C" w:rsidP="00F12A77">
            <w:pPr>
              <w:spacing w:after="0" w:line="240" w:lineRule="auto"/>
              <w:jc w:val="center"/>
              <w:rPr>
                <w:rFonts w:ascii="Helvetica" w:eastAsia="Times New Roman" w:hAnsi="Helvetica" w:cs="Helvetica"/>
                <w:b/>
                <w:bCs/>
                <w:sz w:val="16"/>
                <w:szCs w:val="16"/>
                <w:lang w:eastAsia="es-GT"/>
              </w:rPr>
            </w:pPr>
            <w:r w:rsidRPr="00403F9C">
              <w:rPr>
                <w:rFonts w:ascii="Helvetica" w:eastAsia="Times New Roman" w:hAnsi="Helvetica" w:cs="Helvetica"/>
                <w:b/>
                <w:bCs/>
                <w:sz w:val="16"/>
                <w:szCs w:val="16"/>
                <w:lang w:eastAsia="es-GT"/>
              </w:rPr>
              <w:t>TOTAL GENERAL</w:t>
            </w:r>
          </w:p>
        </w:tc>
        <w:tc>
          <w:tcPr>
            <w:tcW w:w="1377" w:type="dxa"/>
            <w:tcBorders>
              <w:top w:val="nil"/>
              <w:left w:val="nil"/>
              <w:bottom w:val="single" w:sz="4" w:space="0" w:color="auto"/>
              <w:right w:val="single" w:sz="4" w:space="0" w:color="auto"/>
            </w:tcBorders>
            <w:shd w:val="clear" w:color="auto" w:fill="D9E2F3" w:themeFill="accent1" w:themeFillTint="33"/>
            <w:vAlign w:val="center"/>
            <w:hideMark/>
          </w:tcPr>
          <w:p w14:paraId="0A034274" w14:textId="77777777" w:rsidR="00403F9C" w:rsidRPr="008F7682" w:rsidRDefault="00403F9C" w:rsidP="00CE3D5C">
            <w:pPr>
              <w:spacing w:after="0" w:line="240" w:lineRule="auto"/>
              <w:jc w:val="right"/>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Q163,838,763.00</w:t>
            </w:r>
          </w:p>
        </w:tc>
        <w:tc>
          <w:tcPr>
            <w:tcW w:w="1304" w:type="dxa"/>
            <w:tcBorders>
              <w:top w:val="nil"/>
              <w:left w:val="nil"/>
              <w:bottom w:val="single" w:sz="4" w:space="0" w:color="auto"/>
              <w:right w:val="single" w:sz="4" w:space="0" w:color="auto"/>
            </w:tcBorders>
            <w:shd w:val="clear" w:color="auto" w:fill="D9E2F3" w:themeFill="accent1" w:themeFillTint="33"/>
            <w:vAlign w:val="center"/>
            <w:hideMark/>
          </w:tcPr>
          <w:p w14:paraId="3A191FCD" w14:textId="77777777" w:rsidR="00403F9C" w:rsidRPr="008F7682" w:rsidRDefault="00403F9C" w:rsidP="00CE3D5C">
            <w:pPr>
              <w:spacing w:after="0" w:line="240" w:lineRule="auto"/>
              <w:jc w:val="right"/>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Q74,310,291.18</w:t>
            </w:r>
          </w:p>
        </w:tc>
        <w:tc>
          <w:tcPr>
            <w:tcW w:w="1020" w:type="dxa"/>
            <w:tcBorders>
              <w:top w:val="nil"/>
              <w:left w:val="nil"/>
              <w:bottom w:val="single" w:sz="4" w:space="0" w:color="auto"/>
              <w:right w:val="single" w:sz="4" w:space="0" w:color="auto"/>
            </w:tcBorders>
            <w:shd w:val="clear" w:color="auto" w:fill="D9E2F3" w:themeFill="accent1" w:themeFillTint="33"/>
            <w:vAlign w:val="center"/>
            <w:hideMark/>
          </w:tcPr>
          <w:p w14:paraId="70E5D622" w14:textId="77777777" w:rsidR="00403F9C" w:rsidRPr="008F7682" w:rsidRDefault="00403F9C" w:rsidP="00CE3D5C">
            <w:pPr>
              <w:spacing w:after="0" w:line="240" w:lineRule="auto"/>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45.36%</w:t>
            </w:r>
          </w:p>
        </w:tc>
      </w:tr>
    </w:tbl>
    <w:p w14:paraId="084C31E4" w14:textId="5C965F1A" w:rsidR="00F12A77" w:rsidRPr="00F12A77" w:rsidRDefault="00F12A77" w:rsidP="00F12A77">
      <w:pPr>
        <w:spacing w:after="0" w:line="240" w:lineRule="auto"/>
        <w:rPr>
          <w:rFonts w:ascii="Helvetica" w:eastAsia="MS PGothic" w:hAnsi="Helvetica" w:cs="Helvetica"/>
          <w:bCs/>
          <w:iCs/>
          <w:sz w:val="16"/>
          <w:szCs w:val="20"/>
          <w:lang w:eastAsia="es-GT"/>
        </w:rPr>
      </w:pPr>
      <w:bookmarkStart w:id="135" w:name="_Toc31818088"/>
      <w:r w:rsidRPr="00E158F1">
        <w:rPr>
          <w:rFonts w:ascii="Helvetica" w:eastAsia="MS PGothic" w:hAnsi="Helvetica" w:cs="Helvetica"/>
          <w:bCs/>
          <w:iCs/>
          <w:sz w:val="16"/>
          <w:szCs w:val="20"/>
          <w:lang w:eastAsia="es-GT"/>
        </w:rPr>
        <w:t>Fuente: Elaboración propia SEGEPLAN con datos del Sistema de Contabilidad Integrada -SICOIN- Ejercicio Fiscal 2020.</w:t>
      </w:r>
    </w:p>
    <w:p w14:paraId="7FF99041" w14:textId="77777777" w:rsidR="00F2181E" w:rsidRDefault="00F2181E" w:rsidP="008F7682">
      <w:pPr>
        <w:tabs>
          <w:tab w:val="num" w:pos="360"/>
        </w:tabs>
        <w:rPr>
          <w:rFonts w:ascii="Helvetica" w:eastAsiaTheme="majorEastAsia" w:hAnsi="Helvetica" w:cstheme="majorBidi"/>
          <w:b/>
          <w:color w:val="002060"/>
          <w:sz w:val="28"/>
          <w:szCs w:val="28"/>
        </w:rPr>
      </w:pPr>
    </w:p>
    <w:p w14:paraId="1C7BA590" w14:textId="69ABD439" w:rsidR="00CE3D5C" w:rsidRPr="003B1BD8" w:rsidRDefault="00CE3D5C" w:rsidP="008F7682">
      <w:pPr>
        <w:tabs>
          <w:tab w:val="num" w:pos="360"/>
        </w:tabs>
        <w:rPr>
          <w:rFonts w:ascii="Helvetica" w:eastAsiaTheme="majorEastAsia" w:hAnsi="Helvetica" w:cstheme="majorBidi"/>
          <w:b/>
          <w:color w:val="002060"/>
          <w:sz w:val="28"/>
          <w:szCs w:val="28"/>
        </w:rPr>
      </w:pPr>
      <w:r w:rsidRPr="003B1BD8">
        <w:rPr>
          <w:rFonts w:ascii="Helvetica" w:eastAsiaTheme="majorEastAsia" w:hAnsi="Helvetica" w:cstheme="majorBidi"/>
          <w:b/>
          <w:color w:val="002060"/>
          <w:sz w:val="28"/>
          <w:szCs w:val="28"/>
        </w:rPr>
        <w:t>Ejecución de Instituciones Descentralizadas</w:t>
      </w:r>
      <w:bookmarkEnd w:id="135"/>
    </w:p>
    <w:p w14:paraId="4DFA4FF6" w14:textId="4B784885" w:rsidR="00CE3D5C" w:rsidRPr="001A55F1" w:rsidRDefault="00CE3D5C" w:rsidP="00FC7FBF">
      <w:pPr>
        <w:spacing w:after="0" w:line="240" w:lineRule="auto"/>
        <w:jc w:val="both"/>
        <w:rPr>
          <w:rFonts w:ascii="Helvetica" w:eastAsia="MS PGothic" w:hAnsi="Helvetica" w:cs="Helvetica"/>
          <w:bCs/>
          <w:i/>
          <w:iCs/>
          <w:sz w:val="20"/>
          <w:szCs w:val="20"/>
          <w:lang w:eastAsia="es-GT"/>
        </w:rPr>
      </w:pPr>
      <w:r w:rsidRPr="001A55F1">
        <w:rPr>
          <w:rFonts w:ascii="Helvetica" w:eastAsia="MS PGothic" w:hAnsi="Helvetica" w:cs="Helvetica"/>
          <w:bCs/>
          <w:sz w:val="24"/>
          <w:szCs w:val="24"/>
          <w:lang w:eastAsia="es-GT"/>
        </w:rPr>
        <w:t xml:space="preserve">El presupuesto vigente es de Q.144.05 millones y al 31 diciembre del presente año, </w:t>
      </w:r>
      <w:r w:rsidR="00691B67">
        <w:rPr>
          <w:rFonts w:ascii="Helvetica" w:eastAsia="MS PGothic" w:hAnsi="Helvetica" w:cs="Helvetica"/>
          <w:bCs/>
          <w:sz w:val="24"/>
          <w:szCs w:val="24"/>
          <w:lang w:eastAsia="es-GT"/>
        </w:rPr>
        <w:t xml:space="preserve">la ejecución acumulada asciende a </w:t>
      </w:r>
      <w:r w:rsidRPr="001A55F1">
        <w:rPr>
          <w:rFonts w:ascii="Helvetica" w:eastAsia="MS PGothic" w:hAnsi="Helvetica" w:cs="Helvetica"/>
          <w:bCs/>
          <w:sz w:val="24"/>
          <w:szCs w:val="24"/>
          <w:lang w:eastAsia="es-GT"/>
        </w:rPr>
        <w:t>Q. 80.32 millones, que corresponden a un 55.76% de su presupuesto vigente.  A continuación, se presenta el detalle de la ejecución</w:t>
      </w:r>
      <w:r w:rsidR="00FC7FBF" w:rsidRPr="001A55F1">
        <w:rPr>
          <w:rFonts w:ascii="Helvetica" w:eastAsia="MS PGothic" w:hAnsi="Helvetica" w:cs="Helvetica"/>
          <w:bCs/>
          <w:sz w:val="24"/>
          <w:szCs w:val="24"/>
          <w:lang w:eastAsia="es-GT"/>
        </w:rPr>
        <w:t>. Ver gráfica 10.</w:t>
      </w:r>
    </w:p>
    <w:p w14:paraId="48E1028F" w14:textId="60D20520" w:rsidR="003562C1" w:rsidRPr="0059105E" w:rsidRDefault="003E1E24" w:rsidP="0059105E">
      <w:pPr>
        <w:pStyle w:val="ttulosgrficas"/>
        <w:rPr>
          <w:lang w:eastAsia="es-GT"/>
        </w:rPr>
      </w:pPr>
      <w:bookmarkStart w:id="136" w:name="_Toc67377817"/>
      <w:bookmarkStart w:id="137" w:name="_Toc67381560"/>
      <w:bookmarkStart w:id="138" w:name="_Toc67589110"/>
      <w:r w:rsidRPr="0059105E">
        <w:rPr>
          <w:lang w:eastAsia="es-GT"/>
        </w:rPr>
        <w:t xml:space="preserve">Gráfica </w:t>
      </w:r>
      <w:r w:rsidR="007F134F" w:rsidRPr="0059105E">
        <w:rPr>
          <w:lang w:eastAsia="es-GT"/>
        </w:rPr>
        <w:fldChar w:fldCharType="begin"/>
      </w:r>
      <w:r w:rsidR="007F134F" w:rsidRPr="0059105E">
        <w:rPr>
          <w:lang w:eastAsia="es-GT"/>
        </w:rPr>
        <w:instrText xml:space="preserve"> SEQ Gráfica \* ARABIC </w:instrText>
      </w:r>
      <w:r w:rsidR="007F134F" w:rsidRPr="0059105E">
        <w:rPr>
          <w:lang w:eastAsia="es-GT"/>
        </w:rPr>
        <w:fldChar w:fldCharType="separate"/>
      </w:r>
      <w:r w:rsidR="00AA2593" w:rsidRPr="0059105E">
        <w:rPr>
          <w:lang w:eastAsia="es-GT"/>
        </w:rPr>
        <w:t>10</w:t>
      </w:r>
      <w:bookmarkEnd w:id="136"/>
      <w:bookmarkEnd w:id="137"/>
      <w:r w:rsidR="007F134F" w:rsidRPr="0059105E">
        <w:rPr>
          <w:lang w:eastAsia="es-GT"/>
        </w:rPr>
        <w:fldChar w:fldCharType="end"/>
      </w:r>
      <w:r w:rsidR="003562C1" w:rsidRPr="0059105E">
        <w:rPr>
          <w:lang w:eastAsia="es-GT"/>
        </w:rPr>
        <w:t xml:space="preserve">, </w:t>
      </w:r>
      <w:r w:rsidR="00CE3D5C" w:rsidRPr="0059105E">
        <w:rPr>
          <w:lang w:eastAsia="es-GT"/>
        </w:rPr>
        <w:t xml:space="preserve">Presupuesto de Donaciones </w:t>
      </w:r>
      <w:r w:rsidR="008F7682" w:rsidRPr="0059105E">
        <w:rPr>
          <w:lang w:eastAsia="es-GT"/>
        </w:rPr>
        <w:t>diciembre</w:t>
      </w:r>
      <w:r w:rsidR="00CE3D5C" w:rsidRPr="0059105E">
        <w:rPr>
          <w:lang w:eastAsia="es-GT"/>
        </w:rPr>
        <w:t xml:space="preserve"> 2020</w:t>
      </w:r>
      <w:bookmarkEnd w:id="138"/>
    </w:p>
    <w:p w14:paraId="52AAF620" w14:textId="4C252A9F" w:rsidR="00CE3D5C" w:rsidRDefault="00CE3D5C" w:rsidP="008F7682">
      <w:pPr>
        <w:pStyle w:val="ttulosgrficas"/>
        <w:rPr>
          <w:lang w:eastAsia="es-GT"/>
        </w:rPr>
      </w:pPr>
      <w:r w:rsidRPr="008F7682">
        <w:rPr>
          <w:lang w:eastAsia="es-GT"/>
        </w:rPr>
        <w:t xml:space="preserve"> – Instituciones Descentralizadas</w:t>
      </w:r>
    </w:p>
    <w:p w14:paraId="7906AB2B" w14:textId="77777777" w:rsidR="001A55F1" w:rsidRPr="008F7682" w:rsidRDefault="001A55F1" w:rsidP="001A55F1">
      <w:pPr>
        <w:pStyle w:val="ttulosgrficas"/>
        <w:spacing w:line="120" w:lineRule="auto"/>
        <w:rPr>
          <w:lang w:eastAsia="es-GT"/>
        </w:rPr>
      </w:pPr>
    </w:p>
    <w:p w14:paraId="3A740BAB" w14:textId="6CB84617" w:rsidR="00CE3D5C" w:rsidRPr="008F7682" w:rsidRDefault="00CE3D5C" w:rsidP="00CE3D5C">
      <w:pPr>
        <w:spacing w:after="0" w:line="240" w:lineRule="auto"/>
        <w:jc w:val="center"/>
        <w:rPr>
          <w:rFonts w:ascii="Helvetica" w:eastAsia="MS PGothic" w:hAnsi="Helvetica" w:cs="Helvetica"/>
          <w:i/>
          <w:iCs/>
          <w:sz w:val="24"/>
          <w:szCs w:val="24"/>
          <w:lang w:eastAsia="es-GT"/>
        </w:rPr>
      </w:pPr>
      <w:r w:rsidRPr="008F7682">
        <w:rPr>
          <w:rFonts w:ascii="Helvetica" w:eastAsia="MS PGothic" w:hAnsi="Helvetica" w:cs="Helvetica"/>
          <w:noProof/>
          <w:lang w:eastAsia="es-GT"/>
        </w:rPr>
        <w:drawing>
          <wp:inline distT="0" distB="0" distL="0" distR="0" wp14:anchorId="1397E854" wp14:editId="0ABA7CC0">
            <wp:extent cx="5941060" cy="2113808"/>
            <wp:effectExtent l="0" t="0" r="2540" b="1270"/>
            <wp:docPr id="5" name="Gráfico 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A7016AC" w14:textId="24BA0FFD" w:rsidR="000810BD" w:rsidRPr="002C291F" w:rsidRDefault="00CE3D5C" w:rsidP="000810BD">
      <w:pPr>
        <w:spacing w:after="0" w:line="240" w:lineRule="auto"/>
        <w:jc w:val="both"/>
        <w:rPr>
          <w:rFonts w:ascii="Helvetica" w:eastAsia="MS PGothic" w:hAnsi="Helvetica" w:cs="Helvetica"/>
          <w:bCs/>
          <w:iCs/>
          <w:sz w:val="18"/>
          <w:szCs w:val="18"/>
          <w:lang w:eastAsia="es-GT"/>
        </w:rPr>
      </w:pPr>
      <w:r w:rsidRPr="002C291F">
        <w:rPr>
          <w:rFonts w:ascii="Helvetica" w:eastAsia="MS PGothic" w:hAnsi="Helvetica" w:cs="Helvetica"/>
          <w:bCs/>
          <w:iCs/>
          <w:sz w:val="18"/>
          <w:szCs w:val="18"/>
          <w:lang w:eastAsia="es-GT"/>
        </w:rPr>
        <w:t>Fuente: Elaboración propia SEGEPLAN con datos del Sistema de Contabilidad integrada -SICOIN- Ejercicio Fiscal 2020.</w:t>
      </w:r>
    </w:p>
    <w:p w14:paraId="37616145" w14:textId="77777777" w:rsidR="002C291F" w:rsidRDefault="002C291F" w:rsidP="000810BD">
      <w:pPr>
        <w:spacing w:after="0" w:line="240" w:lineRule="auto"/>
        <w:jc w:val="both"/>
        <w:rPr>
          <w:rFonts w:ascii="Helvetica" w:eastAsia="MS PGothic" w:hAnsi="Helvetica" w:cs="Helvetica"/>
          <w:bCs/>
          <w:i/>
          <w:iCs/>
          <w:sz w:val="18"/>
          <w:szCs w:val="18"/>
          <w:lang w:eastAsia="es-GT"/>
        </w:rPr>
      </w:pPr>
    </w:p>
    <w:p w14:paraId="01898778" w14:textId="77777777" w:rsidR="00AD5ABC" w:rsidRDefault="00AD5ABC" w:rsidP="000810BD">
      <w:pPr>
        <w:spacing w:after="0" w:line="240" w:lineRule="auto"/>
        <w:jc w:val="both"/>
        <w:rPr>
          <w:rFonts w:ascii="Helvetica" w:eastAsia="MS PGothic" w:hAnsi="Helvetica" w:cs="Helvetica"/>
          <w:sz w:val="24"/>
          <w:szCs w:val="24"/>
          <w:lang w:eastAsia="es-GT"/>
        </w:rPr>
      </w:pPr>
    </w:p>
    <w:p w14:paraId="32219BBB" w14:textId="701C1CCB" w:rsidR="00D5716C" w:rsidRDefault="00CE3D5C" w:rsidP="000810BD">
      <w:pPr>
        <w:spacing w:after="0" w:line="240" w:lineRule="auto"/>
        <w:jc w:val="both"/>
        <w:rPr>
          <w:rFonts w:ascii="Helvetica" w:eastAsia="MS PGothic" w:hAnsi="Helvetica" w:cs="Helvetica"/>
          <w:sz w:val="24"/>
          <w:szCs w:val="24"/>
          <w:lang w:eastAsia="es-GT"/>
        </w:rPr>
      </w:pPr>
      <w:r w:rsidRPr="008F7682">
        <w:rPr>
          <w:rFonts w:ascii="Helvetica" w:eastAsia="MS PGothic" w:hAnsi="Helvetica" w:cs="Helvetica"/>
          <w:sz w:val="24"/>
          <w:szCs w:val="24"/>
          <w:lang w:eastAsia="es-GT"/>
        </w:rPr>
        <w:t xml:space="preserve">La ejecución detallada por institución se puede observar en </w:t>
      </w:r>
      <w:r w:rsidR="00D5716C">
        <w:rPr>
          <w:rFonts w:ascii="Helvetica" w:eastAsia="MS PGothic" w:hAnsi="Helvetica" w:cs="Helvetica"/>
          <w:sz w:val="24"/>
          <w:szCs w:val="24"/>
          <w:lang w:eastAsia="es-GT"/>
        </w:rPr>
        <w:t>la tabla 46.</w:t>
      </w:r>
    </w:p>
    <w:p w14:paraId="400678EF" w14:textId="141EB37B" w:rsidR="000810BD" w:rsidRDefault="000810BD" w:rsidP="00D5716C">
      <w:pPr>
        <w:spacing w:after="0" w:line="240" w:lineRule="auto"/>
        <w:jc w:val="center"/>
        <w:rPr>
          <w:rFonts w:ascii="Helvetica" w:eastAsia="MS PGothic" w:hAnsi="Helvetica" w:cs="Helvetica"/>
          <w:sz w:val="24"/>
          <w:szCs w:val="24"/>
          <w:lang w:eastAsia="es-GT"/>
        </w:rPr>
      </w:pPr>
    </w:p>
    <w:p w14:paraId="78D82197" w14:textId="77777777" w:rsidR="00AD5ABC" w:rsidRDefault="00AD5ABC" w:rsidP="00D5716C">
      <w:pPr>
        <w:spacing w:after="0" w:line="240" w:lineRule="auto"/>
        <w:jc w:val="center"/>
        <w:rPr>
          <w:rFonts w:ascii="Helvetica" w:eastAsia="MS PGothic" w:hAnsi="Helvetica" w:cs="Helvetica"/>
          <w:sz w:val="24"/>
          <w:szCs w:val="24"/>
          <w:lang w:eastAsia="es-GT"/>
        </w:rPr>
      </w:pPr>
    </w:p>
    <w:p w14:paraId="20F6C42A" w14:textId="77777777" w:rsidR="002C291F" w:rsidRDefault="002C291F" w:rsidP="00D5716C">
      <w:pPr>
        <w:spacing w:after="0" w:line="240" w:lineRule="auto"/>
        <w:jc w:val="center"/>
        <w:rPr>
          <w:rFonts w:ascii="Helvetica" w:eastAsia="MS PGothic" w:hAnsi="Helvetica" w:cs="Helvetica"/>
          <w:sz w:val="24"/>
          <w:szCs w:val="24"/>
          <w:lang w:eastAsia="es-GT"/>
        </w:rPr>
      </w:pPr>
    </w:p>
    <w:p w14:paraId="1D77B183" w14:textId="1697790E" w:rsidR="00CE3D5C" w:rsidRDefault="00D5716C" w:rsidP="00D5716C">
      <w:pPr>
        <w:pStyle w:val="ttulosgrficas"/>
        <w:rPr>
          <w:lang w:eastAsia="es-GT"/>
        </w:rPr>
      </w:pPr>
      <w:bookmarkStart w:id="139" w:name="_Toc67589159"/>
      <w:r w:rsidRPr="003562C1">
        <w:rPr>
          <w:lang w:eastAsia="es-GT"/>
        </w:rPr>
        <w:t>Tabla</w:t>
      </w:r>
      <w:r>
        <w:rPr>
          <w:lang w:eastAsia="es-GT"/>
        </w:rPr>
        <w:t xml:space="preserve"> </w:t>
      </w:r>
      <w:r w:rsidR="007F134F">
        <w:rPr>
          <w:lang w:eastAsia="es-GT"/>
        </w:rPr>
        <w:fldChar w:fldCharType="begin"/>
      </w:r>
      <w:r w:rsidR="007F134F">
        <w:rPr>
          <w:lang w:eastAsia="es-GT"/>
        </w:rPr>
        <w:instrText xml:space="preserve"> SEQ Tabla \* ARABIC </w:instrText>
      </w:r>
      <w:r w:rsidR="007F134F">
        <w:rPr>
          <w:lang w:eastAsia="es-GT"/>
        </w:rPr>
        <w:fldChar w:fldCharType="separate"/>
      </w:r>
      <w:r w:rsidR="00AA2593">
        <w:rPr>
          <w:lang w:eastAsia="es-GT"/>
        </w:rPr>
        <w:t>46</w:t>
      </w:r>
      <w:r w:rsidR="007F134F">
        <w:rPr>
          <w:lang w:eastAsia="es-GT"/>
        </w:rPr>
        <w:fldChar w:fldCharType="end"/>
      </w:r>
      <w:r w:rsidR="003562C1">
        <w:rPr>
          <w:lang w:eastAsia="es-GT"/>
        </w:rPr>
        <w:t xml:space="preserve">, </w:t>
      </w:r>
      <w:r w:rsidR="00CE3D5C" w:rsidRPr="008F7682">
        <w:rPr>
          <w:lang w:eastAsia="es-GT"/>
        </w:rPr>
        <w:t>Ejecución de Donaciones Instituciones Descentralizadas</w:t>
      </w:r>
      <w:r w:rsidR="00B74478">
        <w:rPr>
          <w:lang w:eastAsia="es-GT"/>
        </w:rPr>
        <w:t>, 2020</w:t>
      </w:r>
      <w:bookmarkEnd w:id="139"/>
    </w:p>
    <w:p w14:paraId="12B23FE1" w14:textId="77777777" w:rsidR="002C291F" w:rsidRPr="008F7682" w:rsidRDefault="002C291F" w:rsidP="002C291F">
      <w:pPr>
        <w:pStyle w:val="ttulosgrficas"/>
        <w:spacing w:line="120" w:lineRule="auto"/>
        <w:rPr>
          <w:lang w:eastAsia="es-GT"/>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2693"/>
        <w:gridCol w:w="1241"/>
        <w:gridCol w:w="1276"/>
        <w:gridCol w:w="1134"/>
        <w:gridCol w:w="1276"/>
        <w:gridCol w:w="1134"/>
      </w:tblGrid>
      <w:tr w:rsidR="00CE3D5C" w:rsidRPr="008F7682" w14:paraId="1B3EF548" w14:textId="77777777" w:rsidTr="00B74478">
        <w:trPr>
          <w:trHeight w:val="374"/>
        </w:trPr>
        <w:tc>
          <w:tcPr>
            <w:tcW w:w="846" w:type="dxa"/>
            <w:shd w:val="clear" w:color="auto" w:fill="D9E2F3" w:themeFill="accent1" w:themeFillTint="33"/>
            <w:vAlign w:val="center"/>
            <w:hideMark/>
          </w:tcPr>
          <w:p w14:paraId="56E7403D" w14:textId="77777777" w:rsidR="00CE3D5C" w:rsidRPr="002C291F" w:rsidRDefault="00CE3D5C" w:rsidP="00CE3D5C">
            <w:pPr>
              <w:spacing w:after="0" w:line="240" w:lineRule="auto"/>
              <w:jc w:val="center"/>
              <w:rPr>
                <w:rFonts w:ascii="Helvetica" w:eastAsia="Times New Roman" w:hAnsi="Helvetica" w:cs="Helvetica"/>
                <w:b/>
                <w:bCs/>
                <w:iCs/>
                <w:color w:val="000000"/>
                <w:sz w:val="20"/>
                <w:szCs w:val="20"/>
                <w:lang w:eastAsia="es-GT"/>
              </w:rPr>
            </w:pPr>
            <w:r w:rsidRPr="002C291F">
              <w:rPr>
                <w:rFonts w:ascii="Helvetica" w:eastAsia="Times New Roman" w:hAnsi="Helvetica" w:cs="Helvetica"/>
                <w:b/>
                <w:bCs/>
                <w:iCs/>
                <w:color w:val="000000"/>
                <w:sz w:val="20"/>
                <w:szCs w:val="20"/>
                <w:lang w:eastAsia="es-GT"/>
              </w:rPr>
              <w:t xml:space="preserve">No.  </w:t>
            </w:r>
          </w:p>
        </w:tc>
        <w:tc>
          <w:tcPr>
            <w:tcW w:w="2693" w:type="dxa"/>
            <w:shd w:val="clear" w:color="auto" w:fill="D9E2F3" w:themeFill="accent1" w:themeFillTint="33"/>
            <w:vAlign w:val="center"/>
            <w:hideMark/>
          </w:tcPr>
          <w:p w14:paraId="00983636" w14:textId="77777777" w:rsidR="00CE3D5C" w:rsidRPr="002C291F" w:rsidRDefault="00CE3D5C" w:rsidP="00CE3D5C">
            <w:pPr>
              <w:spacing w:after="0" w:line="240" w:lineRule="auto"/>
              <w:jc w:val="center"/>
              <w:rPr>
                <w:rFonts w:ascii="Helvetica" w:eastAsia="Times New Roman" w:hAnsi="Helvetica" w:cs="Helvetica"/>
                <w:b/>
                <w:bCs/>
                <w:iCs/>
                <w:color w:val="000000"/>
                <w:sz w:val="20"/>
                <w:szCs w:val="20"/>
                <w:lang w:eastAsia="es-GT"/>
              </w:rPr>
            </w:pPr>
            <w:r w:rsidRPr="002C291F">
              <w:rPr>
                <w:rFonts w:ascii="Helvetica" w:eastAsia="Times New Roman" w:hAnsi="Helvetica" w:cs="Helvetica"/>
                <w:b/>
                <w:bCs/>
                <w:iCs/>
                <w:color w:val="000000"/>
                <w:sz w:val="20"/>
                <w:szCs w:val="20"/>
                <w:lang w:eastAsia="es-GT"/>
              </w:rPr>
              <w:t xml:space="preserve"> Institución </w:t>
            </w:r>
          </w:p>
        </w:tc>
        <w:tc>
          <w:tcPr>
            <w:tcW w:w="1241" w:type="dxa"/>
            <w:shd w:val="clear" w:color="auto" w:fill="D9E2F3" w:themeFill="accent1" w:themeFillTint="33"/>
            <w:vAlign w:val="center"/>
            <w:hideMark/>
          </w:tcPr>
          <w:p w14:paraId="6A64651F" w14:textId="77777777" w:rsidR="00CE3D5C" w:rsidRPr="002C291F" w:rsidRDefault="00CE3D5C" w:rsidP="00CE3D5C">
            <w:pPr>
              <w:spacing w:after="0" w:line="240" w:lineRule="auto"/>
              <w:jc w:val="center"/>
              <w:rPr>
                <w:rFonts w:ascii="Helvetica" w:eastAsia="Times New Roman" w:hAnsi="Helvetica" w:cs="Helvetica"/>
                <w:b/>
                <w:bCs/>
                <w:iCs/>
                <w:color w:val="000000"/>
                <w:sz w:val="20"/>
                <w:szCs w:val="20"/>
                <w:lang w:eastAsia="es-GT"/>
              </w:rPr>
            </w:pPr>
            <w:r w:rsidRPr="002C291F">
              <w:rPr>
                <w:rFonts w:ascii="Helvetica" w:eastAsia="Times New Roman" w:hAnsi="Helvetica" w:cs="Helvetica"/>
                <w:b/>
                <w:bCs/>
                <w:iCs/>
                <w:color w:val="000000"/>
                <w:sz w:val="20"/>
                <w:szCs w:val="20"/>
                <w:lang w:eastAsia="es-GT"/>
              </w:rPr>
              <w:t xml:space="preserve"> Proyectos en SICOINDES </w:t>
            </w:r>
          </w:p>
        </w:tc>
        <w:tc>
          <w:tcPr>
            <w:tcW w:w="1276" w:type="dxa"/>
            <w:shd w:val="clear" w:color="auto" w:fill="D9E2F3" w:themeFill="accent1" w:themeFillTint="33"/>
            <w:vAlign w:val="center"/>
            <w:hideMark/>
          </w:tcPr>
          <w:p w14:paraId="2888363F" w14:textId="4D2D6C7C" w:rsidR="00CE3D5C" w:rsidRPr="002C291F" w:rsidRDefault="00CE3D5C" w:rsidP="00CE3D5C">
            <w:pPr>
              <w:spacing w:after="0" w:line="240" w:lineRule="auto"/>
              <w:jc w:val="center"/>
              <w:rPr>
                <w:rFonts w:ascii="Helvetica" w:eastAsia="Times New Roman" w:hAnsi="Helvetica" w:cs="Helvetica"/>
                <w:b/>
                <w:bCs/>
                <w:iCs/>
                <w:color w:val="000000"/>
                <w:sz w:val="20"/>
                <w:szCs w:val="20"/>
                <w:lang w:eastAsia="es-GT"/>
              </w:rPr>
            </w:pPr>
            <w:r w:rsidRPr="002C291F">
              <w:rPr>
                <w:rFonts w:ascii="Helvetica" w:eastAsia="Times New Roman" w:hAnsi="Helvetica" w:cs="Helvetica"/>
                <w:b/>
                <w:bCs/>
                <w:iCs/>
                <w:color w:val="000000"/>
                <w:sz w:val="20"/>
                <w:szCs w:val="20"/>
                <w:lang w:eastAsia="es-GT"/>
              </w:rPr>
              <w:t>Asignado 2020</w:t>
            </w:r>
          </w:p>
        </w:tc>
        <w:tc>
          <w:tcPr>
            <w:tcW w:w="1134" w:type="dxa"/>
            <w:shd w:val="clear" w:color="auto" w:fill="D9E2F3" w:themeFill="accent1" w:themeFillTint="33"/>
            <w:vAlign w:val="center"/>
            <w:hideMark/>
          </w:tcPr>
          <w:p w14:paraId="0C95E7FB" w14:textId="77777777" w:rsidR="00CE3D5C" w:rsidRPr="002C291F" w:rsidRDefault="00CE3D5C" w:rsidP="00CE3D5C">
            <w:pPr>
              <w:spacing w:after="0" w:line="240" w:lineRule="auto"/>
              <w:jc w:val="center"/>
              <w:rPr>
                <w:rFonts w:ascii="Helvetica" w:eastAsia="Times New Roman" w:hAnsi="Helvetica" w:cs="Helvetica"/>
                <w:b/>
                <w:bCs/>
                <w:iCs/>
                <w:color w:val="000000"/>
                <w:sz w:val="20"/>
                <w:szCs w:val="20"/>
                <w:lang w:eastAsia="es-GT"/>
              </w:rPr>
            </w:pPr>
            <w:r w:rsidRPr="002C291F">
              <w:rPr>
                <w:rFonts w:ascii="Helvetica" w:eastAsia="Times New Roman" w:hAnsi="Helvetica" w:cs="Helvetica"/>
                <w:b/>
                <w:bCs/>
                <w:iCs/>
                <w:color w:val="000000"/>
                <w:sz w:val="20"/>
                <w:szCs w:val="20"/>
                <w:lang w:eastAsia="es-GT"/>
              </w:rPr>
              <w:t xml:space="preserve"> Vigente Diciembre 2020 </w:t>
            </w:r>
          </w:p>
        </w:tc>
        <w:tc>
          <w:tcPr>
            <w:tcW w:w="1276" w:type="dxa"/>
            <w:shd w:val="clear" w:color="auto" w:fill="D9E2F3" w:themeFill="accent1" w:themeFillTint="33"/>
            <w:vAlign w:val="center"/>
            <w:hideMark/>
          </w:tcPr>
          <w:p w14:paraId="6DF13A88" w14:textId="77777777" w:rsidR="00CE3D5C" w:rsidRPr="002C291F" w:rsidRDefault="00CE3D5C" w:rsidP="00CE3D5C">
            <w:pPr>
              <w:spacing w:after="0" w:line="240" w:lineRule="auto"/>
              <w:jc w:val="center"/>
              <w:rPr>
                <w:rFonts w:ascii="Helvetica" w:eastAsia="Times New Roman" w:hAnsi="Helvetica" w:cs="Helvetica"/>
                <w:b/>
                <w:bCs/>
                <w:iCs/>
                <w:color w:val="000000"/>
                <w:sz w:val="20"/>
                <w:szCs w:val="20"/>
                <w:lang w:eastAsia="es-GT"/>
              </w:rPr>
            </w:pPr>
            <w:r w:rsidRPr="002C291F">
              <w:rPr>
                <w:rFonts w:ascii="Helvetica" w:eastAsia="Times New Roman" w:hAnsi="Helvetica" w:cs="Helvetica"/>
                <w:b/>
                <w:bCs/>
                <w:iCs/>
                <w:color w:val="000000"/>
                <w:sz w:val="20"/>
                <w:szCs w:val="20"/>
                <w:lang w:eastAsia="es-GT"/>
              </w:rPr>
              <w:t>Ejecución Diciembre 2020</w:t>
            </w:r>
          </w:p>
        </w:tc>
        <w:tc>
          <w:tcPr>
            <w:tcW w:w="1134" w:type="dxa"/>
            <w:shd w:val="clear" w:color="auto" w:fill="D9E2F3" w:themeFill="accent1" w:themeFillTint="33"/>
            <w:vAlign w:val="center"/>
            <w:hideMark/>
          </w:tcPr>
          <w:p w14:paraId="5A5F7601" w14:textId="77777777" w:rsidR="00CE3D5C" w:rsidRPr="002C291F" w:rsidRDefault="00CE3D5C" w:rsidP="00CE3D5C">
            <w:pPr>
              <w:spacing w:after="0" w:line="240" w:lineRule="auto"/>
              <w:jc w:val="center"/>
              <w:rPr>
                <w:rFonts w:ascii="Helvetica" w:eastAsia="Times New Roman" w:hAnsi="Helvetica" w:cs="Helvetica"/>
                <w:b/>
                <w:bCs/>
                <w:iCs/>
                <w:color w:val="000000"/>
                <w:sz w:val="20"/>
                <w:szCs w:val="20"/>
                <w:lang w:eastAsia="es-GT"/>
              </w:rPr>
            </w:pPr>
            <w:r w:rsidRPr="002C291F">
              <w:rPr>
                <w:rFonts w:ascii="Helvetica" w:eastAsia="Times New Roman" w:hAnsi="Helvetica" w:cs="Helvetica"/>
                <w:b/>
                <w:bCs/>
                <w:iCs/>
                <w:color w:val="000000"/>
                <w:sz w:val="20"/>
                <w:szCs w:val="20"/>
                <w:lang w:eastAsia="es-GT"/>
              </w:rPr>
              <w:t xml:space="preserve">% Ejecución </w:t>
            </w:r>
          </w:p>
        </w:tc>
      </w:tr>
      <w:tr w:rsidR="00CE3D5C" w:rsidRPr="008F7682" w14:paraId="77E8DCDB" w14:textId="77777777" w:rsidTr="00B74478">
        <w:trPr>
          <w:trHeight w:val="374"/>
        </w:trPr>
        <w:tc>
          <w:tcPr>
            <w:tcW w:w="846" w:type="dxa"/>
            <w:shd w:val="clear" w:color="auto" w:fill="auto"/>
            <w:noWrap/>
            <w:vAlign w:val="bottom"/>
            <w:hideMark/>
          </w:tcPr>
          <w:p w14:paraId="59549ABB"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w:t>
            </w:r>
          </w:p>
        </w:tc>
        <w:tc>
          <w:tcPr>
            <w:tcW w:w="2693" w:type="dxa"/>
            <w:shd w:val="clear" w:color="auto" w:fill="auto"/>
            <w:vAlign w:val="bottom"/>
            <w:hideMark/>
          </w:tcPr>
          <w:p w14:paraId="1DC0CE07" w14:textId="14180E9C" w:rsidR="00CE3D5C" w:rsidRPr="008F7682" w:rsidRDefault="00691B67" w:rsidP="00CE3D5C">
            <w:pPr>
              <w:spacing w:after="0" w:line="240" w:lineRule="auto"/>
              <w:rPr>
                <w:rFonts w:ascii="Helvetica" w:eastAsia="Times New Roman" w:hAnsi="Helvetica" w:cs="Helvetica"/>
                <w:sz w:val="16"/>
                <w:szCs w:val="16"/>
                <w:lang w:eastAsia="es-GT"/>
              </w:rPr>
            </w:pPr>
            <w:r>
              <w:rPr>
                <w:rFonts w:ascii="Helvetica" w:eastAsia="Times New Roman" w:hAnsi="Helvetica" w:cs="Helvetica"/>
                <w:sz w:val="16"/>
                <w:szCs w:val="16"/>
                <w:lang w:eastAsia="es-GT"/>
              </w:rPr>
              <w:t>CONADER</w:t>
            </w:r>
          </w:p>
        </w:tc>
        <w:tc>
          <w:tcPr>
            <w:tcW w:w="1241" w:type="dxa"/>
            <w:shd w:val="clear" w:color="auto" w:fill="auto"/>
            <w:noWrap/>
            <w:vAlign w:val="bottom"/>
            <w:hideMark/>
          </w:tcPr>
          <w:p w14:paraId="08ACB112"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w:t>
            </w:r>
          </w:p>
        </w:tc>
        <w:tc>
          <w:tcPr>
            <w:tcW w:w="1276" w:type="dxa"/>
            <w:shd w:val="clear" w:color="auto" w:fill="auto"/>
            <w:noWrap/>
            <w:vAlign w:val="bottom"/>
            <w:hideMark/>
          </w:tcPr>
          <w:p w14:paraId="6411C0CD"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   </w:t>
            </w:r>
          </w:p>
        </w:tc>
        <w:tc>
          <w:tcPr>
            <w:tcW w:w="1134" w:type="dxa"/>
            <w:shd w:val="clear" w:color="auto" w:fill="auto"/>
            <w:noWrap/>
            <w:vAlign w:val="bottom"/>
            <w:hideMark/>
          </w:tcPr>
          <w:p w14:paraId="181E5A55"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0.08 </w:t>
            </w:r>
          </w:p>
        </w:tc>
        <w:tc>
          <w:tcPr>
            <w:tcW w:w="1276" w:type="dxa"/>
            <w:shd w:val="clear" w:color="auto" w:fill="auto"/>
            <w:noWrap/>
            <w:vAlign w:val="bottom"/>
            <w:hideMark/>
          </w:tcPr>
          <w:p w14:paraId="5F7C2AE5"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0.08 </w:t>
            </w:r>
          </w:p>
        </w:tc>
        <w:tc>
          <w:tcPr>
            <w:tcW w:w="1134" w:type="dxa"/>
            <w:shd w:val="clear" w:color="auto" w:fill="auto"/>
            <w:noWrap/>
            <w:vAlign w:val="bottom"/>
            <w:hideMark/>
          </w:tcPr>
          <w:p w14:paraId="39867FFD"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100.00%</w:t>
            </w:r>
          </w:p>
        </w:tc>
      </w:tr>
      <w:tr w:rsidR="00CE3D5C" w:rsidRPr="008F7682" w14:paraId="467A94E8" w14:textId="77777777" w:rsidTr="00B74478">
        <w:trPr>
          <w:trHeight w:val="374"/>
        </w:trPr>
        <w:tc>
          <w:tcPr>
            <w:tcW w:w="846" w:type="dxa"/>
            <w:shd w:val="clear" w:color="auto" w:fill="auto"/>
            <w:noWrap/>
            <w:vAlign w:val="bottom"/>
            <w:hideMark/>
          </w:tcPr>
          <w:p w14:paraId="3B6DB67E"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2</w:t>
            </w:r>
          </w:p>
        </w:tc>
        <w:tc>
          <w:tcPr>
            <w:tcW w:w="2693" w:type="dxa"/>
            <w:shd w:val="clear" w:color="auto" w:fill="auto"/>
            <w:noWrap/>
            <w:vAlign w:val="bottom"/>
            <w:hideMark/>
          </w:tcPr>
          <w:p w14:paraId="7AFEE034"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INFOM </w:t>
            </w:r>
          </w:p>
        </w:tc>
        <w:tc>
          <w:tcPr>
            <w:tcW w:w="1241" w:type="dxa"/>
            <w:shd w:val="clear" w:color="auto" w:fill="auto"/>
            <w:noWrap/>
            <w:vAlign w:val="bottom"/>
            <w:hideMark/>
          </w:tcPr>
          <w:p w14:paraId="1EEC2254"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w:t>
            </w:r>
          </w:p>
        </w:tc>
        <w:tc>
          <w:tcPr>
            <w:tcW w:w="1276" w:type="dxa"/>
            <w:shd w:val="clear" w:color="auto" w:fill="auto"/>
            <w:noWrap/>
            <w:vAlign w:val="bottom"/>
            <w:hideMark/>
          </w:tcPr>
          <w:p w14:paraId="63EDB8AB"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50.00 </w:t>
            </w:r>
          </w:p>
        </w:tc>
        <w:tc>
          <w:tcPr>
            <w:tcW w:w="1134" w:type="dxa"/>
            <w:shd w:val="clear" w:color="auto" w:fill="auto"/>
            <w:noWrap/>
            <w:vAlign w:val="bottom"/>
            <w:hideMark/>
          </w:tcPr>
          <w:p w14:paraId="31D27541"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54.72 </w:t>
            </w:r>
          </w:p>
        </w:tc>
        <w:tc>
          <w:tcPr>
            <w:tcW w:w="1276" w:type="dxa"/>
            <w:shd w:val="clear" w:color="auto" w:fill="auto"/>
            <w:noWrap/>
            <w:vAlign w:val="bottom"/>
            <w:hideMark/>
          </w:tcPr>
          <w:p w14:paraId="71E8FF20"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36.27 </w:t>
            </w:r>
          </w:p>
        </w:tc>
        <w:tc>
          <w:tcPr>
            <w:tcW w:w="1134" w:type="dxa"/>
            <w:shd w:val="clear" w:color="auto" w:fill="auto"/>
            <w:noWrap/>
            <w:vAlign w:val="bottom"/>
            <w:hideMark/>
          </w:tcPr>
          <w:p w14:paraId="12905787"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66.28%</w:t>
            </w:r>
          </w:p>
        </w:tc>
      </w:tr>
      <w:tr w:rsidR="00CE3D5C" w:rsidRPr="008F7682" w14:paraId="09D53A8C" w14:textId="77777777" w:rsidTr="00B74478">
        <w:trPr>
          <w:trHeight w:val="374"/>
        </w:trPr>
        <w:tc>
          <w:tcPr>
            <w:tcW w:w="846" w:type="dxa"/>
            <w:shd w:val="clear" w:color="auto" w:fill="auto"/>
            <w:noWrap/>
            <w:vAlign w:val="bottom"/>
            <w:hideMark/>
          </w:tcPr>
          <w:p w14:paraId="67AF7154"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3</w:t>
            </w:r>
          </w:p>
        </w:tc>
        <w:tc>
          <w:tcPr>
            <w:tcW w:w="2693" w:type="dxa"/>
            <w:shd w:val="clear" w:color="auto" w:fill="auto"/>
            <w:noWrap/>
            <w:vAlign w:val="bottom"/>
            <w:hideMark/>
          </w:tcPr>
          <w:p w14:paraId="509B96AE"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COG </w:t>
            </w:r>
          </w:p>
        </w:tc>
        <w:tc>
          <w:tcPr>
            <w:tcW w:w="1241" w:type="dxa"/>
            <w:shd w:val="clear" w:color="auto" w:fill="auto"/>
            <w:noWrap/>
            <w:vAlign w:val="bottom"/>
            <w:hideMark/>
          </w:tcPr>
          <w:p w14:paraId="7BF07204"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3</w:t>
            </w:r>
          </w:p>
        </w:tc>
        <w:tc>
          <w:tcPr>
            <w:tcW w:w="1276" w:type="dxa"/>
            <w:shd w:val="clear" w:color="auto" w:fill="auto"/>
            <w:noWrap/>
            <w:vAlign w:val="bottom"/>
            <w:hideMark/>
          </w:tcPr>
          <w:p w14:paraId="5252F75E"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   </w:t>
            </w:r>
          </w:p>
        </w:tc>
        <w:tc>
          <w:tcPr>
            <w:tcW w:w="1134" w:type="dxa"/>
            <w:shd w:val="clear" w:color="auto" w:fill="auto"/>
            <w:noWrap/>
            <w:vAlign w:val="bottom"/>
            <w:hideMark/>
          </w:tcPr>
          <w:p w14:paraId="53E8AAFD"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7.62 </w:t>
            </w:r>
          </w:p>
        </w:tc>
        <w:tc>
          <w:tcPr>
            <w:tcW w:w="1276" w:type="dxa"/>
            <w:shd w:val="clear" w:color="auto" w:fill="auto"/>
            <w:noWrap/>
            <w:vAlign w:val="bottom"/>
            <w:hideMark/>
          </w:tcPr>
          <w:p w14:paraId="1FF47D96"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2.72 </w:t>
            </w:r>
          </w:p>
        </w:tc>
        <w:tc>
          <w:tcPr>
            <w:tcW w:w="1134" w:type="dxa"/>
            <w:shd w:val="clear" w:color="auto" w:fill="auto"/>
            <w:noWrap/>
            <w:vAlign w:val="bottom"/>
            <w:hideMark/>
          </w:tcPr>
          <w:p w14:paraId="01829686"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35.70%</w:t>
            </w:r>
          </w:p>
        </w:tc>
      </w:tr>
      <w:tr w:rsidR="00CE3D5C" w:rsidRPr="008F7682" w14:paraId="34C4972D" w14:textId="77777777" w:rsidTr="00B74478">
        <w:trPr>
          <w:trHeight w:val="374"/>
        </w:trPr>
        <w:tc>
          <w:tcPr>
            <w:tcW w:w="846" w:type="dxa"/>
            <w:shd w:val="clear" w:color="auto" w:fill="auto"/>
            <w:noWrap/>
            <w:vAlign w:val="bottom"/>
            <w:hideMark/>
          </w:tcPr>
          <w:p w14:paraId="5433B240"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4</w:t>
            </w:r>
          </w:p>
        </w:tc>
        <w:tc>
          <w:tcPr>
            <w:tcW w:w="2693" w:type="dxa"/>
            <w:shd w:val="clear" w:color="auto" w:fill="auto"/>
            <w:noWrap/>
            <w:vAlign w:val="bottom"/>
            <w:hideMark/>
          </w:tcPr>
          <w:p w14:paraId="5E4A18BA"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SEICMSJ  </w:t>
            </w:r>
          </w:p>
        </w:tc>
        <w:tc>
          <w:tcPr>
            <w:tcW w:w="1241" w:type="dxa"/>
            <w:shd w:val="clear" w:color="auto" w:fill="auto"/>
            <w:noWrap/>
            <w:vAlign w:val="bottom"/>
            <w:hideMark/>
          </w:tcPr>
          <w:p w14:paraId="5BA38710"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2</w:t>
            </w:r>
          </w:p>
        </w:tc>
        <w:tc>
          <w:tcPr>
            <w:tcW w:w="1276" w:type="dxa"/>
            <w:shd w:val="clear" w:color="auto" w:fill="auto"/>
            <w:noWrap/>
            <w:vAlign w:val="bottom"/>
            <w:hideMark/>
          </w:tcPr>
          <w:p w14:paraId="2B815571"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10.55 </w:t>
            </w:r>
          </w:p>
        </w:tc>
        <w:tc>
          <w:tcPr>
            <w:tcW w:w="1134" w:type="dxa"/>
            <w:shd w:val="clear" w:color="auto" w:fill="auto"/>
            <w:noWrap/>
            <w:vAlign w:val="bottom"/>
            <w:hideMark/>
          </w:tcPr>
          <w:p w14:paraId="1BB7A7B8"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10.55 </w:t>
            </w:r>
          </w:p>
        </w:tc>
        <w:tc>
          <w:tcPr>
            <w:tcW w:w="1276" w:type="dxa"/>
            <w:shd w:val="clear" w:color="auto" w:fill="auto"/>
            <w:noWrap/>
            <w:vAlign w:val="bottom"/>
            <w:hideMark/>
          </w:tcPr>
          <w:p w14:paraId="6FAA053F"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7.36 </w:t>
            </w:r>
          </w:p>
        </w:tc>
        <w:tc>
          <w:tcPr>
            <w:tcW w:w="1134" w:type="dxa"/>
            <w:shd w:val="clear" w:color="auto" w:fill="auto"/>
            <w:noWrap/>
            <w:vAlign w:val="bottom"/>
            <w:hideMark/>
          </w:tcPr>
          <w:p w14:paraId="6898460F"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69.76%</w:t>
            </w:r>
          </w:p>
        </w:tc>
      </w:tr>
      <w:tr w:rsidR="00CE3D5C" w:rsidRPr="008F7682" w14:paraId="63D8DA02" w14:textId="77777777" w:rsidTr="00B74478">
        <w:trPr>
          <w:trHeight w:val="374"/>
        </w:trPr>
        <w:tc>
          <w:tcPr>
            <w:tcW w:w="846" w:type="dxa"/>
            <w:shd w:val="clear" w:color="auto" w:fill="auto"/>
            <w:noWrap/>
            <w:vAlign w:val="bottom"/>
            <w:hideMark/>
          </w:tcPr>
          <w:p w14:paraId="74E85822"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5</w:t>
            </w:r>
          </w:p>
        </w:tc>
        <w:tc>
          <w:tcPr>
            <w:tcW w:w="2693" w:type="dxa"/>
            <w:shd w:val="clear" w:color="auto" w:fill="auto"/>
            <w:noWrap/>
            <w:vAlign w:val="bottom"/>
            <w:hideMark/>
          </w:tcPr>
          <w:p w14:paraId="108A18CD"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MUNIGUATE </w:t>
            </w:r>
          </w:p>
        </w:tc>
        <w:tc>
          <w:tcPr>
            <w:tcW w:w="1241" w:type="dxa"/>
            <w:shd w:val="clear" w:color="auto" w:fill="auto"/>
            <w:noWrap/>
            <w:vAlign w:val="bottom"/>
            <w:hideMark/>
          </w:tcPr>
          <w:p w14:paraId="1CE61B1C"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2</w:t>
            </w:r>
          </w:p>
        </w:tc>
        <w:tc>
          <w:tcPr>
            <w:tcW w:w="1276" w:type="dxa"/>
            <w:shd w:val="clear" w:color="auto" w:fill="auto"/>
            <w:noWrap/>
            <w:vAlign w:val="bottom"/>
            <w:hideMark/>
          </w:tcPr>
          <w:p w14:paraId="42AAC236"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42.15 </w:t>
            </w:r>
          </w:p>
        </w:tc>
        <w:tc>
          <w:tcPr>
            <w:tcW w:w="1134" w:type="dxa"/>
            <w:shd w:val="clear" w:color="auto" w:fill="auto"/>
            <w:noWrap/>
            <w:vAlign w:val="bottom"/>
            <w:hideMark/>
          </w:tcPr>
          <w:p w14:paraId="2BE95E92"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42.15 </w:t>
            </w:r>
          </w:p>
        </w:tc>
        <w:tc>
          <w:tcPr>
            <w:tcW w:w="1276" w:type="dxa"/>
            <w:shd w:val="clear" w:color="auto" w:fill="auto"/>
            <w:noWrap/>
            <w:vAlign w:val="bottom"/>
            <w:hideMark/>
          </w:tcPr>
          <w:p w14:paraId="32DDCF6C"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11.35 </w:t>
            </w:r>
          </w:p>
        </w:tc>
        <w:tc>
          <w:tcPr>
            <w:tcW w:w="1134" w:type="dxa"/>
            <w:shd w:val="clear" w:color="auto" w:fill="auto"/>
            <w:noWrap/>
            <w:vAlign w:val="bottom"/>
            <w:hideMark/>
          </w:tcPr>
          <w:p w14:paraId="026B278C"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26.93%</w:t>
            </w:r>
          </w:p>
        </w:tc>
      </w:tr>
      <w:tr w:rsidR="00CE3D5C" w:rsidRPr="008F7682" w14:paraId="2224D750" w14:textId="77777777" w:rsidTr="00B74478">
        <w:trPr>
          <w:trHeight w:val="374"/>
        </w:trPr>
        <w:tc>
          <w:tcPr>
            <w:tcW w:w="846" w:type="dxa"/>
            <w:shd w:val="clear" w:color="auto" w:fill="auto"/>
            <w:noWrap/>
            <w:vAlign w:val="bottom"/>
            <w:hideMark/>
          </w:tcPr>
          <w:p w14:paraId="113068C1"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6</w:t>
            </w:r>
          </w:p>
        </w:tc>
        <w:tc>
          <w:tcPr>
            <w:tcW w:w="2693" w:type="dxa"/>
            <w:shd w:val="clear" w:color="auto" w:fill="auto"/>
            <w:noWrap/>
            <w:vAlign w:val="bottom"/>
            <w:hideMark/>
          </w:tcPr>
          <w:p w14:paraId="092F7F6B"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MP </w:t>
            </w:r>
          </w:p>
        </w:tc>
        <w:tc>
          <w:tcPr>
            <w:tcW w:w="1241" w:type="dxa"/>
            <w:shd w:val="clear" w:color="auto" w:fill="auto"/>
            <w:noWrap/>
            <w:vAlign w:val="bottom"/>
            <w:hideMark/>
          </w:tcPr>
          <w:p w14:paraId="7E37F466"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0</w:t>
            </w:r>
          </w:p>
        </w:tc>
        <w:tc>
          <w:tcPr>
            <w:tcW w:w="1276" w:type="dxa"/>
            <w:shd w:val="clear" w:color="auto" w:fill="auto"/>
            <w:noWrap/>
            <w:vAlign w:val="bottom"/>
            <w:hideMark/>
          </w:tcPr>
          <w:p w14:paraId="43A7E6AA"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   </w:t>
            </w:r>
          </w:p>
        </w:tc>
        <w:tc>
          <w:tcPr>
            <w:tcW w:w="1134" w:type="dxa"/>
            <w:shd w:val="clear" w:color="auto" w:fill="auto"/>
            <w:noWrap/>
            <w:vAlign w:val="bottom"/>
            <w:hideMark/>
          </w:tcPr>
          <w:p w14:paraId="1B48DA1B"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   </w:t>
            </w:r>
          </w:p>
        </w:tc>
        <w:tc>
          <w:tcPr>
            <w:tcW w:w="1276" w:type="dxa"/>
            <w:shd w:val="clear" w:color="auto" w:fill="auto"/>
            <w:noWrap/>
            <w:vAlign w:val="bottom"/>
            <w:hideMark/>
          </w:tcPr>
          <w:p w14:paraId="54E4092F"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   </w:t>
            </w:r>
          </w:p>
        </w:tc>
        <w:tc>
          <w:tcPr>
            <w:tcW w:w="1134" w:type="dxa"/>
            <w:shd w:val="clear" w:color="auto" w:fill="auto"/>
            <w:noWrap/>
            <w:vAlign w:val="bottom"/>
            <w:hideMark/>
          </w:tcPr>
          <w:p w14:paraId="4B4145F0"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0.00%</w:t>
            </w:r>
          </w:p>
        </w:tc>
      </w:tr>
      <w:tr w:rsidR="00CE3D5C" w:rsidRPr="008F7682" w14:paraId="6849FB8C" w14:textId="77777777" w:rsidTr="00B74478">
        <w:trPr>
          <w:trHeight w:val="374"/>
        </w:trPr>
        <w:tc>
          <w:tcPr>
            <w:tcW w:w="846" w:type="dxa"/>
            <w:shd w:val="clear" w:color="auto" w:fill="auto"/>
            <w:noWrap/>
            <w:vAlign w:val="bottom"/>
            <w:hideMark/>
          </w:tcPr>
          <w:p w14:paraId="7A64EAB5"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7</w:t>
            </w:r>
          </w:p>
        </w:tc>
        <w:tc>
          <w:tcPr>
            <w:tcW w:w="2693" w:type="dxa"/>
            <w:shd w:val="clear" w:color="auto" w:fill="auto"/>
            <w:noWrap/>
            <w:vAlign w:val="bottom"/>
            <w:hideMark/>
          </w:tcPr>
          <w:p w14:paraId="0C8D0902"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INGUAT </w:t>
            </w:r>
          </w:p>
        </w:tc>
        <w:tc>
          <w:tcPr>
            <w:tcW w:w="1241" w:type="dxa"/>
            <w:shd w:val="clear" w:color="auto" w:fill="auto"/>
            <w:noWrap/>
            <w:vAlign w:val="bottom"/>
            <w:hideMark/>
          </w:tcPr>
          <w:p w14:paraId="199F50E5"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0</w:t>
            </w:r>
          </w:p>
        </w:tc>
        <w:tc>
          <w:tcPr>
            <w:tcW w:w="1276" w:type="dxa"/>
            <w:shd w:val="clear" w:color="auto" w:fill="auto"/>
            <w:noWrap/>
            <w:vAlign w:val="bottom"/>
            <w:hideMark/>
          </w:tcPr>
          <w:p w14:paraId="0FEF1964"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   </w:t>
            </w:r>
          </w:p>
        </w:tc>
        <w:tc>
          <w:tcPr>
            <w:tcW w:w="1134" w:type="dxa"/>
            <w:shd w:val="clear" w:color="auto" w:fill="auto"/>
            <w:noWrap/>
            <w:vAlign w:val="bottom"/>
            <w:hideMark/>
          </w:tcPr>
          <w:p w14:paraId="62ADCDA5"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   </w:t>
            </w:r>
          </w:p>
        </w:tc>
        <w:tc>
          <w:tcPr>
            <w:tcW w:w="1276" w:type="dxa"/>
            <w:shd w:val="clear" w:color="auto" w:fill="auto"/>
            <w:noWrap/>
            <w:vAlign w:val="bottom"/>
            <w:hideMark/>
          </w:tcPr>
          <w:p w14:paraId="40B7153F"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   </w:t>
            </w:r>
          </w:p>
        </w:tc>
        <w:tc>
          <w:tcPr>
            <w:tcW w:w="1134" w:type="dxa"/>
            <w:shd w:val="clear" w:color="auto" w:fill="auto"/>
            <w:noWrap/>
            <w:vAlign w:val="bottom"/>
            <w:hideMark/>
          </w:tcPr>
          <w:p w14:paraId="4AB6F7B7"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0.00%</w:t>
            </w:r>
          </w:p>
        </w:tc>
      </w:tr>
      <w:tr w:rsidR="00CE3D5C" w:rsidRPr="008F7682" w14:paraId="0543AAA4" w14:textId="77777777" w:rsidTr="00B74478">
        <w:trPr>
          <w:trHeight w:val="374"/>
        </w:trPr>
        <w:tc>
          <w:tcPr>
            <w:tcW w:w="846" w:type="dxa"/>
            <w:shd w:val="clear" w:color="auto" w:fill="auto"/>
            <w:noWrap/>
            <w:vAlign w:val="bottom"/>
            <w:hideMark/>
          </w:tcPr>
          <w:p w14:paraId="7944226A"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8</w:t>
            </w:r>
          </w:p>
        </w:tc>
        <w:tc>
          <w:tcPr>
            <w:tcW w:w="2693" w:type="dxa"/>
            <w:shd w:val="clear" w:color="auto" w:fill="auto"/>
            <w:noWrap/>
            <w:vAlign w:val="bottom"/>
            <w:hideMark/>
          </w:tcPr>
          <w:p w14:paraId="45E946AD"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FED. NAC. FUTBOL </w:t>
            </w:r>
          </w:p>
        </w:tc>
        <w:tc>
          <w:tcPr>
            <w:tcW w:w="1241" w:type="dxa"/>
            <w:shd w:val="clear" w:color="auto" w:fill="auto"/>
            <w:noWrap/>
            <w:vAlign w:val="bottom"/>
            <w:hideMark/>
          </w:tcPr>
          <w:p w14:paraId="21493297"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3</w:t>
            </w:r>
          </w:p>
        </w:tc>
        <w:tc>
          <w:tcPr>
            <w:tcW w:w="1276" w:type="dxa"/>
            <w:shd w:val="clear" w:color="auto" w:fill="auto"/>
            <w:noWrap/>
            <w:vAlign w:val="bottom"/>
            <w:hideMark/>
          </w:tcPr>
          <w:p w14:paraId="1026993C"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40.01 </w:t>
            </w:r>
          </w:p>
        </w:tc>
        <w:tc>
          <w:tcPr>
            <w:tcW w:w="1134" w:type="dxa"/>
            <w:shd w:val="clear" w:color="auto" w:fill="auto"/>
            <w:noWrap/>
            <w:vAlign w:val="bottom"/>
            <w:hideMark/>
          </w:tcPr>
          <w:p w14:paraId="33D14620"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20.72 </w:t>
            </w:r>
          </w:p>
        </w:tc>
        <w:tc>
          <w:tcPr>
            <w:tcW w:w="1276" w:type="dxa"/>
            <w:shd w:val="clear" w:color="auto" w:fill="auto"/>
            <w:noWrap/>
            <w:vAlign w:val="bottom"/>
            <w:hideMark/>
          </w:tcPr>
          <w:p w14:paraId="7E7BFD5B"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18.27 </w:t>
            </w:r>
          </w:p>
        </w:tc>
        <w:tc>
          <w:tcPr>
            <w:tcW w:w="1134" w:type="dxa"/>
            <w:shd w:val="clear" w:color="auto" w:fill="auto"/>
            <w:noWrap/>
            <w:vAlign w:val="bottom"/>
            <w:hideMark/>
          </w:tcPr>
          <w:p w14:paraId="75B3940D"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88.18%</w:t>
            </w:r>
          </w:p>
        </w:tc>
      </w:tr>
      <w:tr w:rsidR="00CE3D5C" w:rsidRPr="008F7682" w14:paraId="618B1512" w14:textId="77777777" w:rsidTr="00B74478">
        <w:trPr>
          <w:trHeight w:val="374"/>
        </w:trPr>
        <w:tc>
          <w:tcPr>
            <w:tcW w:w="846" w:type="dxa"/>
            <w:shd w:val="clear" w:color="auto" w:fill="auto"/>
            <w:noWrap/>
            <w:vAlign w:val="bottom"/>
            <w:hideMark/>
          </w:tcPr>
          <w:p w14:paraId="0FF6090F"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9</w:t>
            </w:r>
          </w:p>
        </w:tc>
        <w:tc>
          <w:tcPr>
            <w:tcW w:w="2693" w:type="dxa"/>
            <w:shd w:val="clear" w:color="auto" w:fill="auto"/>
            <w:noWrap/>
            <w:vAlign w:val="bottom"/>
            <w:hideMark/>
          </w:tcPr>
          <w:p w14:paraId="6CC62FC1"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FED. NAC. DE NATACION </w:t>
            </w:r>
          </w:p>
        </w:tc>
        <w:tc>
          <w:tcPr>
            <w:tcW w:w="1241" w:type="dxa"/>
            <w:shd w:val="clear" w:color="auto" w:fill="auto"/>
            <w:noWrap/>
            <w:vAlign w:val="bottom"/>
            <w:hideMark/>
          </w:tcPr>
          <w:p w14:paraId="0A22FEDF"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w:t>
            </w:r>
          </w:p>
        </w:tc>
        <w:tc>
          <w:tcPr>
            <w:tcW w:w="1276" w:type="dxa"/>
            <w:shd w:val="clear" w:color="auto" w:fill="auto"/>
            <w:noWrap/>
            <w:vAlign w:val="bottom"/>
            <w:hideMark/>
          </w:tcPr>
          <w:p w14:paraId="7B9858F2"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   </w:t>
            </w:r>
          </w:p>
        </w:tc>
        <w:tc>
          <w:tcPr>
            <w:tcW w:w="1134" w:type="dxa"/>
            <w:shd w:val="clear" w:color="auto" w:fill="auto"/>
            <w:noWrap/>
            <w:vAlign w:val="bottom"/>
            <w:hideMark/>
          </w:tcPr>
          <w:p w14:paraId="1E993500"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0.13 </w:t>
            </w:r>
          </w:p>
        </w:tc>
        <w:tc>
          <w:tcPr>
            <w:tcW w:w="1276" w:type="dxa"/>
            <w:shd w:val="clear" w:color="auto" w:fill="auto"/>
            <w:noWrap/>
            <w:vAlign w:val="bottom"/>
            <w:hideMark/>
          </w:tcPr>
          <w:p w14:paraId="769308DA"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0.13 </w:t>
            </w:r>
          </w:p>
        </w:tc>
        <w:tc>
          <w:tcPr>
            <w:tcW w:w="1134" w:type="dxa"/>
            <w:shd w:val="clear" w:color="auto" w:fill="auto"/>
            <w:noWrap/>
            <w:vAlign w:val="bottom"/>
            <w:hideMark/>
          </w:tcPr>
          <w:p w14:paraId="01C79AD2"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0.00%</w:t>
            </w:r>
          </w:p>
        </w:tc>
      </w:tr>
      <w:tr w:rsidR="00CE3D5C" w:rsidRPr="008F7682" w14:paraId="3ADD7552" w14:textId="77777777" w:rsidTr="00B74478">
        <w:trPr>
          <w:trHeight w:val="374"/>
        </w:trPr>
        <w:tc>
          <w:tcPr>
            <w:tcW w:w="846" w:type="dxa"/>
            <w:shd w:val="clear" w:color="auto" w:fill="auto"/>
            <w:noWrap/>
            <w:vAlign w:val="bottom"/>
            <w:hideMark/>
          </w:tcPr>
          <w:p w14:paraId="2FB448E1"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10</w:t>
            </w:r>
          </w:p>
        </w:tc>
        <w:tc>
          <w:tcPr>
            <w:tcW w:w="2693" w:type="dxa"/>
            <w:shd w:val="clear" w:color="auto" w:fill="auto"/>
            <w:noWrap/>
            <w:vAlign w:val="bottom"/>
            <w:hideMark/>
          </w:tcPr>
          <w:p w14:paraId="325CBB74"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INAB </w:t>
            </w:r>
          </w:p>
        </w:tc>
        <w:tc>
          <w:tcPr>
            <w:tcW w:w="1241" w:type="dxa"/>
            <w:shd w:val="clear" w:color="auto" w:fill="auto"/>
            <w:noWrap/>
            <w:vAlign w:val="bottom"/>
            <w:hideMark/>
          </w:tcPr>
          <w:p w14:paraId="2A901135"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w:t>
            </w:r>
          </w:p>
        </w:tc>
        <w:tc>
          <w:tcPr>
            <w:tcW w:w="1276" w:type="dxa"/>
            <w:shd w:val="clear" w:color="auto" w:fill="auto"/>
            <w:noWrap/>
            <w:vAlign w:val="bottom"/>
            <w:hideMark/>
          </w:tcPr>
          <w:p w14:paraId="73F0DD57"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2.00 </w:t>
            </w:r>
          </w:p>
        </w:tc>
        <w:tc>
          <w:tcPr>
            <w:tcW w:w="1134" w:type="dxa"/>
            <w:shd w:val="clear" w:color="auto" w:fill="auto"/>
            <w:noWrap/>
            <w:vAlign w:val="bottom"/>
            <w:hideMark/>
          </w:tcPr>
          <w:p w14:paraId="7A68508F"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7.50 </w:t>
            </w:r>
          </w:p>
        </w:tc>
        <w:tc>
          <w:tcPr>
            <w:tcW w:w="1276" w:type="dxa"/>
            <w:shd w:val="clear" w:color="auto" w:fill="auto"/>
            <w:noWrap/>
            <w:vAlign w:val="bottom"/>
            <w:hideMark/>
          </w:tcPr>
          <w:p w14:paraId="0EE764D4"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3.97 </w:t>
            </w:r>
          </w:p>
        </w:tc>
        <w:tc>
          <w:tcPr>
            <w:tcW w:w="1134" w:type="dxa"/>
            <w:shd w:val="clear" w:color="auto" w:fill="auto"/>
            <w:noWrap/>
            <w:vAlign w:val="bottom"/>
            <w:hideMark/>
          </w:tcPr>
          <w:p w14:paraId="5E13DBA0"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52.93%</w:t>
            </w:r>
          </w:p>
        </w:tc>
      </w:tr>
      <w:tr w:rsidR="00CE3D5C" w:rsidRPr="008F7682" w14:paraId="608D563B" w14:textId="77777777" w:rsidTr="00B74478">
        <w:trPr>
          <w:trHeight w:val="374"/>
        </w:trPr>
        <w:tc>
          <w:tcPr>
            <w:tcW w:w="846" w:type="dxa"/>
            <w:shd w:val="clear" w:color="auto" w:fill="auto"/>
            <w:noWrap/>
            <w:vAlign w:val="bottom"/>
            <w:hideMark/>
          </w:tcPr>
          <w:p w14:paraId="5CEAAFB7"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11</w:t>
            </w:r>
          </w:p>
        </w:tc>
        <w:tc>
          <w:tcPr>
            <w:tcW w:w="2693" w:type="dxa"/>
            <w:shd w:val="clear" w:color="auto" w:fill="auto"/>
            <w:noWrap/>
            <w:vAlign w:val="bottom"/>
            <w:hideMark/>
          </w:tcPr>
          <w:p w14:paraId="3263F305"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USAC </w:t>
            </w:r>
          </w:p>
        </w:tc>
        <w:tc>
          <w:tcPr>
            <w:tcW w:w="1241" w:type="dxa"/>
            <w:shd w:val="clear" w:color="auto" w:fill="auto"/>
            <w:noWrap/>
            <w:vAlign w:val="bottom"/>
            <w:hideMark/>
          </w:tcPr>
          <w:p w14:paraId="3F6EE41A"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4</w:t>
            </w:r>
          </w:p>
        </w:tc>
        <w:tc>
          <w:tcPr>
            <w:tcW w:w="1276" w:type="dxa"/>
            <w:shd w:val="clear" w:color="auto" w:fill="auto"/>
            <w:noWrap/>
            <w:vAlign w:val="bottom"/>
            <w:hideMark/>
          </w:tcPr>
          <w:p w14:paraId="1C3198C2"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   </w:t>
            </w:r>
          </w:p>
        </w:tc>
        <w:tc>
          <w:tcPr>
            <w:tcW w:w="1134" w:type="dxa"/>
            <w:shd w:val="clear" w:color="auto" w:fill="auto"/>
            <w:noWrap/>
            <w:vAlign w:val="bottom"/>
            <w:hideMark/>
          </w:tcPr>
          <w:p w14:paraId="35BDFFC0"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0.57 </w:t>
            </w:r>
          </w:p>
        </w:tc>
        <w:tc>
          <w:tcPr>
            <w:tcW w:w="1276" w:type="dxa"/>
            <w:shd w:val="clear" w:color="auto" w:fill="auto"/>
            <w:noWrap/>
            <w:vAlign w:val="bottom"/>
            <w:hideMark/>
          </w:tcPr>
          <w:p w14:paraId="55094835"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0.16 </w:t>
            </w:r>
          </w:p>
        </w:tc>
        <w:tc>
          <w:tcPr>
            <w:tcW w:w="1134" w:type="dxa"/>
            <w:shd w:val="clear" w:color="auto" w:fill="auto"/>
            <w:noWrap/>
            <w:vAlign w:val="bottom"/>
            <w:hideMark/>
          </w:tcPr>
          <w:p w14:paraId="602402D4"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28.07%</w:t>
            </w:r>
          </w:p>
        </w:tc>
      </w:tr>
      <w:tr w:rsidR="00CE3D5C" w:rsidRPr="008F7682" w14:paraId="04F8DA9B" w14:textId="77777777" w:rsidTr="00B74478">
        <w:trPr>
          <w:trHeight w:val="374"/>
        </w:trPr>
        <w:tc>
          <w:tcPr>
            <w:tcW w:w="846" w:type="dxa"/>
            <w:shd w:val="clear" w:color="auto" w:fill="auto"/>
            <w:noWrap/>
            <w:vAlign w:val="bottom"/>
            <w:hideMark/>
          </w:tcPr>
          <w:p w14:paraId="2931FFC2"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12</w:t>
            </w:r>
          </w:p>
        </w:tc>
        <w:tc>
          <w:tcPr>
            <w:tcW w:w="2693" w:type="dxa"/>
            <w:shd w:val="clear" w:color="auto" w:fill="auto"/>
            <w:noWrap/>
            <w:vAlign w:val="bottom"/>
            <w:hideMark/>
          </w:tcPr>
          <w:p w14:paraId="7E2D85A5" w14:textId="77777777" w:rsidR="00CE3D5C" w:rsidRPr="008F7682" w:rsidRDefault="00CE3D5C" w:rsidP="00CE3D5C">
            <w:pPr>
              <w:spacing w:after="0" w:line="240" w:lineRule="auto"/>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FEGUA </w:t>
            </w:r>
          </w:p>
        </w:tc>
        <w:tc>
          <w:tcPr>
            <w:tcW w:w="1241" w:type="dxa"/>
            <w:shd w:val="clear" w:color="auto" w:fill="auto"/>
            <w:noWrap/>
            <w:vAlign w:val="bottom"/>
            <w:hideMark/>
          </w:tcPr>
          <w:p w14:paraId="336D18C8"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1</w:t>
            </w:r>
          </w:p>
        </w:tc>
        <w:tc>
          <w:tcPr>
            <w:tcW w:w="1276" w:type="dxa"/>
            <w:shd w:val="clear" w:color="auto" w:fill="auto"/>
            <w:noWrap/>
            <w:vAlign w:val="bottom"/>
            <w:hideMark/>
          </w:tcPr>
          <w:p w14:paraId="7B5C84A6"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 xml:space="preserve">                 3.46 </w:t>
            </w:r>
          </w:p>
        </w:tc>
        <w:tc>
          <w:tcPr>
            <w:tcW w:w="1134" w:type="dxa"/>
            <w:shd w:val="clear" w:color="auto" w:fill="auto"/>
            <w:noWrap/>
            <w:vAlign w:val="bottom"/>
            <w:hideMark/>
          </w:tcPr>
          <w:p w14:paraId="2759C5E6"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   </w:t>
            </w:r>
          </w:p>
        </w:tc>
        <w:tc>
          <w:tcPr>
            <w:tcW w:w="1276" w:type="dxa"/>
            <w:shd w:val="clear" w:color="auto" w:fill="auto"/>
            <w:noWrap/>
            <w:vAlign w:val="bottom"/>
            <w:hideMark/>
          </w:tcPr>
          <w:p w14:paraId="3A09CA1E" w14:textId="77777777" w:rsidR="00CE3D5C" w:rsidRPr="008F7682" w:rsidRDefault="00CE3D5C" w:rsidP="00CE3D5C">
            <w:pPr>
              <w:spacing w:after="0" w:line="240" w:lineRule="auto"/>
              <w:jc w:val="center"/>
              <w:rPr>
                <w:rFonts w:ascii="Helvetica" w:eastAsia="Times New Roman" w:hAnsi="Helvetica" w:cs="Helvetica"/>
                <w:color w:val="000000"/>
                <w:sz w:val="20"/>
                <w:szCs w:val="20"/>
                <w:lang w:eastAsia="es-GT"/>
              </w:rPr>
            </w:pPr>
            <w:r w:rsidRPr="008F7682">
              <w:rPr>
                <w:rFonts w:ascii="Helvetica" w:eastAsia="Times New Roman" w:hAnsi="Helvetica" w:cs="Helvetica"/>
                <w:color w:val="000000"/>
                <w:sz w:val="20"/>
                <w:szCs w:val="20"/>
                <w:lang w:eastAsia="es-GT"/>
              </w:rPr>
              <w:t xml:space="preserve">                -   </w:t>
            </w:r>
          </w:p>
        </w:tc>
        <w:tc>
          <w:tcPr>
            <w:tcW w:w="1134" w:type="dxa"/>
            <w:shd w:val="clear" w:color="auto" w:fill="auto"/>
            <w:noWrap/>
            <w:vAlign w:val="bottom"/>
            <w:hideMark/>
          </w:tcPr>
          <w:p w14:paraId="249BB844" w14:textId="77777777" w:rsidR="00CE3D5C" w:rsidRPr="008F7682" w:rsidRDefault="00CE3D5C" w:rsidP="00CE3D5C">
            <w:pPr>
              <w:spacing w:after="0" w:line="240" w:lineRule="auto"/>
              <w:jc w:val="center"/>
              <w:rPr>
                <w:rFonts w:ascii="Helvetica" w:eastAsia="Times New Roman" w:hAnsi="Helvetica" w:cs="Helvetica"/>
                <w:sz w:val="20"/>
                <w:szCs w:val="20"/>
                <w:lang w:eastAsia="es-GT"/>
              </w:rPr>
            </w:pPr>
            <w:r w:rsidRPr="008F7682">
              <w:rPr>
                <w:rFonts w:ascii="Helvetica" w:eastAsia="Times New Roman" w:hAnsi="Helvetica" w:cs="Helvetica"/>
                <w:sz w:val="20"/>
                <w:szCs w:val="20"/>
                <w:lang w:eastAsia="es-GT"/>
              </w:rPr>
              <w:t>0.00%</w:t>
            </w:r>
          </w:p>
        </w:tc>
      </w:tr>
      <w:tr w:rsidR="00CE3D5C" w:rsidRPr="008F7682" w14:paraId="0E925F47" w14:textId="77777777" w:rsidTr="00B74478">
        <w:trPr>
          <w:trHeight w:val="374"/>
        </w:trPr>
        <w:tc>
          <w:tcPr>
            <w:tcW w:w="846" w:type="dxa"/>
            <w:shd w:val="clear" w:color="auto" w:fill="D9E2F3" w:themeFill="accent1" w:themeFillTint="33"/>
            <w:vAlign w:val="center"/>
            <w:hideMark/>
          </w:tcPr>
          <w:p w14:paraId="59E70DE0" w14:textId="77777777" w:rsidR="00CE3D5C" w:rsidRPr="008F7682" w:rsidRDefault="00CE3D5C" w:rsidP="00CE3D5C">
            <w:pPr>
              <w:spacing w:after="0" w:line="240" w:lineRule="auto"/>
              <w:jc w:val="center"/>
              <w:rPr>
                <w:rFonts w:ascii="Helvetica" w:eastAsia="Times New Roman" w:hAnsi="Helvetica" w:cs="Helvetica"/>
                <w:b/>
                <w:bCs/>
                <w:i/>
                <w:iCs/>
                <w:sz w:val="20"/>
                <w:szCs w:val="20"/>
                <w:lang w:eastAsia="es-GT"/>
              </w:rPr>
            </w:pPr>
            <w:r w:rsidRPr="008F7682">
              <w:rPr>
                <w:rFonts w:ascii="Helvetica" w:eastAsia="Times New Roman" w:hAnsi="Helvetica" w:cs="Helvetica"/>
                <w:b/>
                <w:bCs/>
                <w:i/>
                <w:iCs/>
                <w:sz w:val="20"/>
                <w:szCs w:val="20"/>
                <w:lang w:eastAsia="es-GT"/>
              </w:rPr>
              <w:t xml:space="preserve">   </w:t>
            </w:r>
          </w:p>
        </w:tc>
        <w:tc>
          <w:tcPr>
            <w:tcW w:w="2693" w:type="dxa"/>
            <w:shd w:val="clear" w:color="auto" w:fill="D9E2F3" w:themeFill="accent1" w:themeFillTint="33"/>
            <w:vAlign w:val="center"/>
            <w:hideMark/>
          </w:tcPr>
          <w:p w14:paraId="100C329A" w14:textId="046ABFBF" w:rsidR="00CE3D5C" w:rsidRPr="002C291F" w:rsidRDefault="00CE3D5C" w:rsidP="002C291F">
            <w:pPr>
              <w:spacing w:after="0" w:line="240" w:lineRule="auto"/>
              <w:jc w:val="center"/>
              <w:rPr>
                <w:rFonts w:ascii="Helvetica" w:eastAsia="Times New Roman" w:hAnsi="Helvetica" w:cs="Helvetica"/>
                <w:b/>
                <w:bCs/>
                <w:iCs/>
                <w:sz w:val="20"/>
                <w:szCs w:val="20"/>
                <w:lang w:eastAsia="es-GT"/>
              </w:rPr>
            </w:pPr>
            <w:r w:rsidRPr="002C291F">
              <w:rPr>
                <w:rFonts w:ascii="Helvetica" w:eastAsia="Times New Roman" w:hAnsi="Helvetica" w:cs="Helvetica"/>
                <w:b/>
                <w:bCs/>
                <w:iCs/>
                <w:sz w:val="20"/>
                <w:szCs w:val="20"/>
                <w:lang w:eastAsia="es-GT"/>
              </w:rPr>
              <w:t>Total</w:t>
            </w:r>
          </w:p>
        </w:tc>
        <w:tc>
          <w:tcPr>
            <w:tcW w:w="1241" w:type="dxa"/>
            <w:shd w:val="clear" w:color="auto" w:fill="D9E2F3" w:themeFill="accent1" w:themeFillTint="33"/>
            <w:vAlign w:val="center"/>
            <w:hideMark/>
          </w:tcPr>
          <w:p w14:paraId="3EFE0AD2" w14:textId="77777777" w:rsidR="00CE3D5C" w:rsidRPr="002C291F" w:rsidRDefault="00CE3D5C" w:rsidP="002C291F">
            <w:pPr>
              <w:spacing w:after="0" w:line="240" w:lineRule="auto"/>
              <w:jc w:val="center"/>
              <w:rPr>
                <w:rFonts w:ascii="Helvetica" w:eastAsia="Times New Roman" w:hAnsi="Helvetica" w:cs="Helvetica"/>
                <w:b/>
                <w:bCs/>
                <w:iCs/>
                <w:sz w:val="20"/>
                <w:szCs w:val="20"/>
                <w:lang w:eastAsia="es-GT"/>
              </w:rPr>
            </w:pPr>
            <w:r w:rsidRPr="002C291F">
              <w:rPr>
                <w:rFonts w:ascii="Helvetica" w:eastAsia="Times New Roman" w:hAnsi="Helvetica" w:cs="Helvetica"/>
                <w:b/>
                <w:bCs/>
                <w:iCs/>
                <w:sz w:val="20"/>
                <w:szCs w:val="20"/>
                <w:lang w:eastAsia="es-GT"/>
              </w:rPr>
              <w:t>19</w:t>
            </w:r>
          </w:p>
        </w:tc>
        <w:tc>
          <w:tcPr>
            <w:tcW w:w="1276" w:type="dxa"/>
            <w:shd w:val="clear" w:color="auto" w:fill="D9E2F3" w:themeFill="accent1" w:themeFillTint="33"/>
            <w:vAlign w:val="center"/>
            <w:hideMark/>
          </w:tcPr>
          <w:p w14:paraId="32F20211" w14:textId="60D12C3E" w:rsidR="00CE3D5C" w:rsidRPr="002C291F" w:rsidRDefault="00CE3D5C" w:rsidP="002C291F">
            <w:pPr>
              <w:spacing w:after="0" w:line="240" w:lineRule="auto"/>
              <w:jc w:val="center"/>
              <w:rPr>
                <w:rFonts w:ascii="Helvetica" w:eastAsia="Times New Roman" w:hAnsi="Helvetica" w:cs="Helvetica"/>
                <w:b/>
                <w:bCs/>
                <w:iCs/>
                <w:sz w:val="20"/>
                <w:szCs w:val="20"/>
                <w:lang w:eastAsia="es-GT"/>
              </w:rPr>
            </w:pPr>
            <w:r w:rsidRPr="002C291F">
              <w:rPr>
                <w:rFonts w:ascii="Helvetica" w:eastAsia="Times New Roman" w:hAnsi="Helvetica" w:cs="Helvetica"/>
                <w:b/>
                <w:bCs/>
                <w:iCs/>
                <w:sz w:val="20"/>
                <w:szCs w:val="20"/>
                <w:lang w:eastAsia="es-GT"/>
              </w:rPr>
              <w:t>148.17</w:t>
            </w:r>
          </w:p>
        </w:tc>
        <w:tc>
          <w:tcPr>
            <w:tcW w:w="1134" w:type="dxa"/>
            <w:shd w:val="clear" w:color="auto" w:fill="D9E2F3" w:themeFill="accent1" w:themeFillTint="33"/>
            <w:vAlign w:val="center"/>
            <w:hideMark/>
          </w:tcPr>
          <w:p w14:paraId="09460F9C" w14:textId="04F85623" w:rsidR="00CE3D5C" w:rsidRPr="002C291F" w:rsidRDefault="00CE3D5C" w:rsidP="002C291F">
            <w:pPr>
              <w:spacing w:after="0" w:line="240" w:lineRule="auto"/>
              <w:jc w:val="center"/>
              <w:rPr>
                <w:rFonts w:ascii="Helvetica" w:eastAsia="Times New Roman" w:hAnsi="Helvetica" w:cs="Helvetica"/>
                <w:b/>
                <w:bCs/>
                <w:iCs/>
                <w:sz w:val="20"/>
                <w:szCs w:val="20"/>
                <w:lang w:eastAsia="es-GT"/>
              </w:rPr>
            </w:pPr>
            <w:r w:rsidRPr="002C291F">
              <w:rPr>
                <w:rFonts w:ascii="Helvetica" w:eastAsia="Times New Roman" w:hAnsi="Helvetica" w:cs="Helvetica"/>
                <w:b/>
                <w:bCs/>
                <w:iCs/>
                <w:sz w:val="20"/>
                <w:szCs w:val="20"/>
                <w:lang w:eastAsia="es-GT"/>
              </w:rPr>
              <w:t>144.05</w:t>
            </w:r>
          </w:p>
        </w:tc>
        <w:tc>
          <w:tcPr>
            <w:tcW w:w="1276" w:type="dxa"/>
            <w:shd w:val="clear" w:color="auto" w:fill="D9E2F3" w:themeFill="accent1" w:themeFillTint="33"/>
            <w:vAlign w:val="center"/>
            <w:hideMark/>
          </w:tcPr>
          <w:p w14:paraId="5FD18772" w14:textId="03017959" w:rsidR="00CE3D5C" w:rsidRPr="002C291F" w:rsidRDefault="00CE3D5C" w:rsidP="002C291F">
            <w:pPr>
              <w:spacing w:after="0" w:line="240" w:lineRule="auto"/>
              <w:jc w:val="center"/>
              <w:rPr>
                <w:rFonts w:ascii="Helvetica" w:eastAsia="Times New Roman" w:hAnsi="Helvetica" w:cs="Helvetica"/>
                <w:b/>
                <w:bCs/>
                <w:iCs/>
                <w:sz w:val="20"/>
                <w:szCs w:val="20"/>
                <w:lang w:eastAsia="es-GT"/>
              </w:rPr>
            </w:pPr>
            <w:r w:rsidRPr="002C291F">
              <w:rPr>
                <w:rFonts w:ascii="Helvetica" w:eastAsia="Times New Roman" w:hAnsi="Helvetica" w:cs="Helvetica"/>
                <w:b/>
                <w:bCs/>
                <w:iCs/>
                <w:sz w:val="20"/>
                <w:szCs w:val="20"/>
                <w:lang w:eastAsia="es-GT"/>
              </w:rPr>
              <w:t>80.32</w:t>
            </w:r>
          </w:p>
        </w:tc>
        <w:tc>
          <w:tcPr>
            <w:tcW w:w="1134" w:type="dxa"/>
            <w:shd w:val="clear" w:color="auto" w:fill="D9E2F3" w:themeFill="accent1" w:themeFillTint="33"/>
            <w:vAlign w:val="center"/>
            <w:hideMark/>
          </w:tcPr>
          <w:p w14:paraId="04460DF7" w14:textId="77777777" w:rsidR="00CE3D5C" w:rsidRPr="002C291F" w:rsidRDefault="00CE3D5C" w:rsidP="002C291F">
            <w:pPr>
              <w:spacing w:after="0" w:line="240" w:lineRule="auto"/>
              <w:jc w:val="center"/>
              <w:rPr>
                <w:rFonts w:ascii="Helvetica" w:eastAsia="Times New Roman" w:hAnsi="Helvetica" w:cs="Helvetica"/>
                <w:b/>
                <w:bCs/>
                <w:iCs/>
                <w:sz w:val="20"/>
                <w:szCs w:val="20"/>
                <w:lang w:eastAsia="es-GT"/>
              </w:rPr>
            </w:pPr>
            <w:r w:rsidRPr="002C291F">
              <w:rPr>
                <w:rFonts w:ascii="Helvetica" w:eastAsia="Times New Roman" w:hAnsi="Helvetica" w:cs="Helvetica"/>
                <w:b/>
                <w:bCs/>
                <w:iCs/>
                <w:sz w:val="20"/>
                <w:szCs w:val="20"/>
                <w:lang w:eastAsia="es-GT"/>
              </w:rPr>
              <w:t>55.76%</w:t>
            </w:r>
          </w:p>
        </w:tc>
      </w:tr>
    </w:tbl>
    <w:p w14:paraId="205DD028" w14:textId="66912650" w:rsidR="00CE3D5C" w:rsidRPr="002C291F" w:rsidRDefault="00CE3D5C" w:rsidP="002C291F">
      <w:pPr>
        <w:spacing w:after="0" w:line="240" w:lineRule="auto"/>
        <w:rPr>
          <w:rFonts w:ascii="Helvetica" w:eastAsia="MS PGothic" w:hAnsi="Helvetica" w:cs="Helvetica"/>
          <w:iCs/>
          <w:sz w:val="18"/>
          <w:szCs w:val="18"/>
          <w:lang w:eastAsia="es-GT"/>
        </w:rPr>
      </w:pPr>
      <w:r w:rsidRPr="002C291F">
        <w:rPr>
          <w:rFonts w:ascii="Helvetica" w:eastAsia="MS PGothic" w:hAnsi="Helvetica" w:cs="Helvetica"/>
          <w:bCs/>
          <w:iCs/>
          <w:sz w:val="18"/>
          <w:szCs w:val="18"/>
          <w:lang w:eastAsia="es-GT"/>
        </w:rPr>
        <w:t>Fuente: Elaboración propia SEGEPLAN con datos del Sistema de Contabilidad Integrada -SICOINDES- Ejercicio Fiscal 2020</w:t>
      </w:r>
      <w:r w:rsidRPr="002C291F">
        <w:rPr>
          <w:rFonts w:ascii="Helvetica" w:eastAsia="MS PGothic" w:hAnsi="Helvetica" w:cs="Helvetica"/>
          <w:iCs/>
          <w:sz w:val="18"/>
          <w:szCs w:val="18"/>
          <w:lang w:eastAsia="es-GT"/>
        </w:rPr>
        <w:t>.</w:t>
      </w:r>
    </w:p>
    <w:p w14:paraId="3D5E1B2D" w14:textId="77777777" w:rsidR="00B74478" w:rsidRDefault="00B74478" w:rsidP="00CE3D5C">
      <w:pPr>
        <w:spacing w:after="0" w:line="240" w:lineRule="auto"/>
        <w:jc w:val="both"/>
        <w:rPr>
          <w:rFonts w:ascii="Helvetica" w:eastAsia="MS PGothic" w:hAnsi="Helvetica" w:cs="Helvetica"/>
          <w:sz w:val="24"/>
          <w:szCs w:val="24"/>
          <w:lang w:eastAsia="es-GT"/>
        </w:rPr>
      </w:pPr>
      <w:bookmarkStart w:id="140" w:name="_Toc405883005"/>
    </w:p>
    <w:p w14:paraId="150306D0" w14:textId="4D1BC4EA" w:rsidR="00CE3D5C" w:rsidRDefault="00CE3D5C" w:rsidP="00CE3D5C">
      <w:pPr>
        <w:spacing w:after="0" w:line="240" w:lineRule="auto"/>
        <w:jc w:val="both"/>
        <w:rPr>
          <w:rFonts w:ascii="Helvetica" w:eastAsia="MS PGothic" w:hAnsi="Helvetica" w:cs="Helvetica"/>
          <w:sz w:val="24"/>
          <w:szCs w:val="24"/>
          <w:lang w:eastAsia="es-GT"/>
        </w:rPr>
      </w:pPr>
      <w:r w:rsidRPr="008F7682">
        <w:rPr>
          <w:rFonts w:ascii="Helvetica" w:eastAsia="MS PGothic" w:hAnsi="Helvetica" w:cs="Helvetica"/>
          <w:sz w:val="24"/>
          <w:szCs w:val="24"/>
          <w:lang w:eastAsia="es-GT"/>
        </w:rPr>
        <w:t xml:space="preserve">El detalle de la ejecución por programa o proyecto es el siguiente: </w:t>
      </w:r>
    </w:p>
    <w:p w14:paraId="7B4472C0" w14:textId="77777777" w:rsidR="00D5716C" w:rsidRPr="008F7682" w:rsidRDefault="00D5716C" w:rsidP="00CE3D5C">
      <w:pPr>
        <w:spacing w:after="0" w:line="240" w:lineRule="auto"/>
        <w:jc w:val="both"/>
        <w:rPr>
          <w:rFonts w:ascii="Helvetica" w:eastAsia="MS PGothic" w:hAnsi="Helvetica" w:cs="Helvetica"/>
          <w:sz w:val="24"/>
          <w:szCs w:val="24"/>
          <w:lang w:eastAsia="es-GT"/>
        </w:rPr>
      </w:pPr>
    </w:p>
    <w:p w14:paraId="72826A83" w14:textId="736B93C6" w:rsidR="00CE3D5C" w:rsidRDefault="00D5716C" w:rsidP="008F7682">
      <w:pPr>
        <w:pStyle w:val="ttulosgrficas"/>
        <w:rPr>
          <w:lang w:eastAsia="es-GT"/>
        </w:rPr>
      </w:pPr>
      <w:bookmarkStart w:id="141" w:name="_Toc67589160"/>
      <w:r w:rsidRPr="003562C1">
        <w:rPr>
          <w:lang w:eastAsia="es-GT"/>
        </w:rPr>
        <w:t>Tabla</w:t>
      </w:r>
      <w:r>
        <w:rPr>
          <w:lang w:eastAsia="es-GT"/>
        </w:rPr>
        <w:t xml:space="preserve"> </w:t>
      </w:r>
      <w:r w:rsidR="007F134F">
        <w:rPr>
          <w:lang w:eastAsia="es-GT"/>
        </w:rPr>
        <w:fldChar w:fldCharType="begin"/>
      </w:r>
      <w:r w:rsidR="007F134F">
        <w:rPr>
          <w:lang w:eastAsia="es-GT"/>
        </w:rPr>
        <w:instrText xml:space="preserve"> SEQ Tabla \* ARABIC </w:instrText>
      </w:r>
      <w:r w:rsidR="007F134F">
        <w:rPr>
          <w:lang w:eastAsia="es-GT"/>
        </w:rPr>
        <w:fldChar w:fldCharType="separate"/>
      </w:r>
      <w:r w:rsidR="00AA2593">
        <w:rPr>
          <w:lang w:eastAsia="es-GT"/>
        </w:rPr>
        <w:t>47</w:t>
      </w:r>
      <w:r w:rsidR="007F134F">
        <w:rPr>
          <w:lang w:eastAsia="es-GT"/>
        </w:rPr>
        <w:fldChar w:fldCharType="end"/>
      </w:r>
      <w:r w:rsidR="003562C1">
        <w:rPr>
          <w:lang w:eastAsia="es-GT"/>
        </w:rPr>
        <w:t xml:space="preserve">, </w:t>
      </w:r>
      <w:r w:rsidR="00CE3D5C" w:rsidRPr="008F7682">
        <w:rPr>
          <w:lang w:eastAsia="es-GT"/>
        </w:rPr>
        <w:t xml:space="preserve">Ejecución por programa o </w:t>
      </w:r>
      <w:r w:rsidR="00B74478" w:rsidRPr="008F7682">
        <w:rPr>
          <w:lang w:eastAsia="es-GT"/>
        </w:rPr>
        <w:t>proyecto</w:t>
      </w:r>
      <w:r w:rsidR="00B74478">
        <w:rPr>
          <w:lang w:eastAsia="es-GT"/>
        </w:rPr>
        <w:t xml:space="preserve"> </w:t>
      </w:r>
      <w:r w:rsidR="00B74478" w:rsidRPr="008F7682">
        <w:rPr>
          <w:lang w:eastAsia="es-GT"/>
        </w:rPr>
        <w:t>al</w:t>
      </w:r>
      <w:r w:rsidR="00CE3D5C" w:rsidRPr="008F7682">
        <w:rPr>
          <w:lang w:eastAsia="es-GT"/>
        </w:rPr>
        <w:t xml:space="preserve"> mes de Diciembre 2020</w:t>
      </w:r>
      <w:bookmarkEnd w:id="141"/>
    </w:p>
    <w:p w14:paraId="09C4C4C4" w14:textId="77777777" w:rsidR="002C291F" w:rsidRPr="008F7682" w:rsidRDefault="002C291F" w:rsidP="002C291F">
      <w:pPr>
        <w:pStyle w:val="ttulosgrficas"/>
        <w:spacing w:line="120" w:lineRule="auto"/>
        <w:rPr>
          <w:lang w:eastAsia="es-GT"/>
        </w:rPr>
      </w:pPr>
    </w:p>
    <w:tbl>
      <w:tblPr>
        <w:tblStyle w:val="GridTableLight"/>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1577"/>
        <w:gridCol w:w="572"/>
        <w:gridCol w:w="774"/>
        <w:gridCol w:w="2549"/>
        <w:gridCol w:w="1487"/>
        <w:gridCol w:w="1364"/>
        <w:gridCol w:w="972"/>
      </w:tblGrid>
      <w:tr w:rsidR="00CE3D5C" w:rsidRPr="008F7682" w14:paraId="6BC6833B" w14:textId="77777777" w:rsidTr="008C0C9C">
        <w:trPr>
          <w:trHeight w:val="437"/>
        </w:trPr>
        <w:tc>
          <w:tcPr>
            <w:tcW w:w="474" w:type="dxa"/>
            <w:shd w:val="clear" w:color="auto" w:fill="D9E2F3" w:themeFill="accent1" w:themeFillTint="33"/>
            <w:vAlign w:val="center"/>
            <w:hideMark/>
          </w:tcPr>
          <w:p w14:paraId="123A2F9A" w14:textId="01F85A5D" w:rsidR="00CE3D5C" w:rsidRPr="008F7682" w:rsidRDefault="00CE3D5C" w:rsidP="002C291F">
            <w:pPr>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No.</w:t>
            </w:r>
          </w:p>
        </w:tc>
        <w:tc>
          <w:tcPr>
            <w:tcW w:w="1577" w:type="dxa"/>
            <w:shd w:val="clear" w:color="auto" w:fill="D9E2F3" w:themeFill="accent1" w:themeFillTint="33"/>
            <w:vAlign w:val="center"/>
            <w:hideMark/>
          </w:tcPr>
          <w:p w14:paraId="5D40D2DA" w14:textId="77777777" w:rsidR="00CE3D5C" w:rsidRPr="008F7682" w:rsidRDefault="00CE3D5C" w:rsidP="002C291F">
            <w:pPr>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Unidad Ejecutora</w:t>
            </w:r>
          </w:p>
        </w:tc>
        <w:tc>
          <w:tcPr>
            <w:tcW w:w="572" w:type="dxa"/>
            <w:shd w:val="clear" w:color="auto" w:fill="D9E2F3" w:themeFill="accent1" w:themeFillTint="33"/>
            <w:vAlign w:val="center"/>
            <w:hideMark/>
          </w:tcPr>
          <w:p w14:paraId="1AE5DFF9" w14:textId="77777777" w:rsidR="00CE3D5C" w:rsidRPr="008F7682" w:rsidRDefault="00CE3D5C" w:rsidP="002C291F">
            <w:pPr>
              <w:jc w:val="center"/>
              <w:rPr>
                <w:rFonts w:ascii="Helvetica" w:eastAsia="Times New Roman" w:hAnsi="Helvetica" w:cs="Helvetica"/>
                <w:b/>
                <w:bCs/>
                <w:sz w:val="16"/>
                <w:szCs w:val="16"/>
                <w:lang w:eastAsia="es-GT"/>
              </w:rPr>
            </w:pPr>
            <w:proofErr w:type="spellStart"/>
            <w:r w:rsidRPr="008F7682">
              <w:rPr>
                <w:rFonts w:ascii="Helvetica" w:eastAsia="Times New Roman" w:hAnsi="Helvetica" w:cs="Helvetica"/>
                <w:b/>
                <w:bCs/>
                <w:sz w:val="16"/>
                <w:szCs w:val="16"/>
                <w:lang w:eastAsia="es-GT"/>
              </w:rPr>
              <w:t>Org</w:t>
            </w:r>
            <w:proofErr w:type="spellEnd"/>
          </w:p>
        </w:tc>
        <w:tc>
          <w:tcPr>
            <w:tcW w:w="774" w:type="dxa"/>
            <w:shd w:val="clear" w:color="auto" w:fill="D9E2F3" w:themeFill="accent1" w:themeFillTint="33"/>
            <w:vAlign w:val="center"/>
            <w:hideMark/>
          </w:tcPr>
          <w:p w14:paraId="7FCE00B6" w14:textId="77777777" w:rsidR="00CE3D5C" w:rsidRPr="008F7682" w:rsidRDefault="00CE3D5C" w:rsidP="002C291F">
            <w:pPr>
              <w:jc w:val="center"/>
              <w:rPr>
                <w:rFonts w:ascii="Helvetica" w:eastAsia="Times New Roman" w:hAnsi="Helvetica" w:cs="Helvetica"/>
                <w:b/>
                <w:bCs/>
                <w:sz w:val="16"/>
                <w:szCs w:val="16"/>
                <w:lang w:eastAsia="es-GT"/>
              </w:rPr>
            </w:pPr>
            <w:proofErr w:type="spellStart"/>
            <w:r w:rsidRPr="008F7682">
              <w:rPr>
                <w:rFonts w:ascii="Helvetica" w:eastAsia="Times New Roman" w:hAnsi="Helvetica" w:cs="Helvetica"/>
                <w:b/>
                <w:bCs/>
                <w:sz w:val="16"/>
                <w:szCs w:val="16"/>
                <w:lang w:eastAsia="es-GT"/>
              </w:rPr>
              <w:t>Corr</w:t>
            </w:r>
            <w:proofErr w:type="spellEnd"/>
            <w:r w:rsidRPr="008F7682">
              <w:rPr>
                <w:rFonts w:ascii="Helvetica" w:eastAsia="Times New Roman" w:hAnsi="Helvetica" w:cs="Helvetica"/>
                <w:b/>
                <w:bCs/>
                <w:sz w:val="16"/>
                <w:szCs w:val="16"/>
                <w:lang w:eastAsia="es-GT"/>
              </w:rPr>
              <w:t>.</w:t>
            </w:r>
          </w:p>
        </w:tc>
        <w:tc>
          <w:tcPr>
            <w:tcW w:w="2549" w:type="dxa"/>
            <w:shd w:val="clear" w:color="auto" w:fill="D9E2F3" w:themeFill="accent1" w:themeFillTint="33"/>
            <w:vAlign w:val="center"/>
            <w:hideMark/>
          </w:tcPr>
          <w:p w14:paraId="1CFE3B3C" w14:textId="77777777" w:rsidR="00CE3D5C" w:rsidRPr="008F7682" w:rsidRDefault="00CE3D5C" w:rsidP="002C291F">
            <w:pPr>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Nombre del Programa / Proyecto</w:t>
            </w:r>
          </w:p>
        </w:tc>
        <w:tc>
          <w:tcPr>
            <w:tcW w:w="1487" w:type="dxa"/>
            <w:shd w:val="clear" w:color="auto" w:fill="D9E2F3" w:themeFill="accent1" w:themeFillTint="33"/>
            <w:vAlign w:val="center"/>
            <w:hideMark/>
          </w:tcPr>
          <w:p w14:paraId="60331CAD" w14:textId="77777777" w:rsidR="00CE3D5C" w:rsidRPr="008F7682" w:rsidRDefault="00CE3D5C" w:rsidP="002C291F">
            <w:pPr>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Presupuesto Vigente</w:t>
            </w:r>
          </w:p>
        </w:tc>
        <w:tc>
          <w:tcPr>
            <w:tcW w:w="1364" w:type="dxa"/>
            <w:shd w:val="clear" w:color="auto" w:fill="D9E2F3" w:themeFill="accent1" w:themeFillTint="33"/>
            <w:vAlign w:val="center"/>
            <w:hideMark/>
          </w:tcPr>
          <w:p w14:paraId="23DFF550" w14:textId="77777777" w:rsidR="00CE3D5C" w:rsidRPr="008F7682" w:rsidRDefault="00CE3D5C" w:rsidP="002C291F">
            <w:pPr>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Ejecución al 31/12/2020</w:t>
            </w:r>
          </w:p>
        </w:tc>
        <w:tc>
          <w:tcPr>
            <w:tcW w:w="837" w:type="dxa"/>
            <w:shd w:val="clear" w:color="auto" w:fill="D9E2F3" w:themeFill="accent1" w:themeFillTint="33"/>
            <w:vAlign w:val="center"/>
            <w:hideMark/>
          </w:tcPr>
          <w:p w14:paraId="61D2B715" w14:textId="2FAF4E25" w:rsidR="00CE3D5C" w:rsidRPr="008F7682" w:rsidRDefault="00CE3D5C" w:rsidP="002C291F">
            <w:pPr>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 de Ejecución</w:t>
            </w:r>
          </w:p>
        </w:tc>
      </w:tr>
      <w:tr w:rsidR="00CE3D5C" w:rsidRPr="008F7682" w14:paraId="2A7141A2" w14:textId="77777777" w:rsidTr="008C0C9C">
        <w:trPr>
          <w:trHeight w:val="218"/>
        </w:trPr>
        <w:tc>
          <w:tcPr>
            <w:tcW w:w="474" w:type="dxa"/>
            <w:noWrap/>
            <w:hideMark/>
          </w:tcPr>
          <w:p w14:paraId="39A57023"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w:t>
            </w:r>
          </w:p>
        </w:tc>
        <w:tc>
          <w:tcPr>
            <w:tcW w:w="1577" w:type="dxa"/>
            <w:vMerge w:val="restart"/>
            <w:noWrap/>
            <w:hideMark/>
          </w:tcPr>
          <w:p w14:paraId="1ACBB26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SEICMSJ  </w:t>
            </w:r>
          </w:p>
        </w:tc>
        <w:tc>
          <w:tcPr>
            <w:tcW w:w="572" w:type="dxa"/>
            <w:noWrap/>
            <w:hideMark/>
          </w:tcPr>
          <w:p w14:paraId="1386E78B"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774" w:type="dxa"/>
            <w:noWrap/>
            <w:hideMark/>
          </w:tcPr>
          <w:p w14:paraId="396D6ABB"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112</w:t>
            </w:r>
          </w:p>
        </w:tc>
        <w:tc>
          <w:tcPr>
            <w:tcW w:w="2549" w:type="dxa"/>
            <w:noWrap/>
            <w:hideMark/>
          </w:tcPr>
          <w:p w14:paraId="35A45A5B"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Fortalecimiento de los mecanismos de protección de las mujeres sobrevivientes de violencia Fase III</w:t>
            </w:r>
          </w:p>
        </w:tc>
        <w:tc>
          <w:tcPr>
            <w:tcW w:w="1487" w:type="dxa"/>
            <w:noWrap/>
            <w:hideMark/>
          </w:tcPr>
          <w:p w14:paraId="7D2B2767"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64" w:type="dxa"/>
            <w:noWrap/>
            <w:hideMark/>
          </w:tcPr>
          <w:p w14:paraId="7B938C28"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837" w:type="dxa"/>
            <w:noWrap/>
            <w:hideMark/>
          </w:tcPr>
          <w:p w14:paraId="6674D08B"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057BCE7D" w14:textId="77777777" w:rsidTr="008C0C9C">
        <w:trPr>
          <w:trHeight w:val="218"/>
        </w:trPr>
        <w:tc>
          <w:tcPr>
            <w:tcW w:w="474" w:type="dxa"/>
            <w:noWrap/>
            <w:hideMark/>
          </w:tcPr>
          <w:p w14:paraId="55EFB53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w:t>
            </w:r>
          </w:p>
        </w:tc>
        <w:tc>
          <w:tcPr>
            <w:tcW w:w="1577" w:type="dxa"/>
            <w:vMerge/>
            <w:hideMark/>
          </w:tcPr>
          <w:p w14:paraId="68082F96"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1D166C34"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774" w:type="dxa"/>
            <w:noWrap/>
            <w:hideMark/>
          </w:tcPr>
          <w:p w14:paraId="0041D126"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114</w:t>
            </w:r>
          </w:p>
        </w:tc>
        <w:tc>
          <w:tcPr>
            <w:tcW w:w="2549" w:type="dxa"/>
            <w:noWrap/>
            <w:hideMark/>
          </w:tcPr>
          <w:p w14:paraId="78015281"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Prevención de la Violencia y el Delito Contra Mujeres, Niñez y Adolescencia (Res. SEICMSJ-AECID No.002-2018)</w:t>
            </w:r>
          </w:p>
        </w:tc>
        <w:tc>
          <w:tcPr>
            <w:tcW w:w="1487" w:type="dxa"/>
            <w:noWrap/>
            <w:hideMark/>
          </w:tcPr>
          <w:p w14:paraId="65C70571"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Q10,551,000.00</w:t>
            </w:r>
          </w:p>
        </w:tc>
        <w:tc>
          <w:tcPr>
            <w:tcW w:w="1364" w:type="dxa"/>
            <w:noWrap/>
            <w:hideMark/>
          </w:tcPr>
          <w:p w14:paraId="1F289B8A"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Q7,356,739.32</w:t>
            </w:r>
          </w:p>
        </w:tc>
        <w:tc>
          <w:tcPr>
            <w:tcW w:w="837" w:type="dxa"/>
            <w:noWrap/>
            <w:hideMark/>
          </w:tcPr>
          <w:p w14:paraId="73E3CEA7"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69.73%</w:t>
            </w:r>
          </w:p>
        </w:tc>
      </w:tr>
      <w:tr w:rsidR="00CE3D5C" w:rsidRPr="008F7682" w14:paraId="5F8BF097" w14:textId="77777777" w:rsidTr="008C0C9C">
        <w:trPr>
          <w:trHeight w:val="218"/>
        </w:trPr>
        <w:tc>
          <w:tcPr>
            <w:tcW w:w="474" w:type="dxa"/>
            <w:noWrap/>
            <w:hideMark/>
          </w:tcPr>
          <w:p w14:paraId="79AD4196"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w:t>
            </w:r>
          </w:p>
        </w:tc>
        <w:tc>
          <w:tcPr>
            <w:tcW w:w="1577" w:type="dxa"/>
            <w:noWrap/>
            <w:hideMark/>
          </w:tcPr>
          <w:p w14:paraId="06BA0FD5"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CONADER</w:t>
            </w:r>
          </w:p>
        </w:tc>
        <w:tc>
          <w:tcPr>
            <w:tcW w:w="572" w:type="dxa"/>
            <w:noWrap/>
            <w:hideMark/>
          </w:tcPr>
          <w:p w14:paraId="2AFE071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429</w:t>
            </w:r>
          </w:p>
        </w:tc>
        <w:tc>
          <w:tcPr>
            <w:tcW w:w="774" w:type="dxa"/>
            <w:noWrap/>
            <w:hideMark/>
          </w:tcPr>
          <w:p w14:paraId="6E61E2DA"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w:t>
            </w:r>
          </w:p>
        </w:tc>
        <w:tc>
          <w:tcPr>
            <w:tcW w:w="2549" w:type="dxa"/>
            <w:noWrap/>
            <w:hideMark/>
          </w:tcPr>
          <w:p w14:paraId="3C48B091"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Donación para la eliminación del dopaje en el deporte (Acta No. 029-2019)</w:t>
            </w:r>
          </w:p>
        </w:tc>
        <w:tc>
          <w:tcPr>
            <w:tcW w:w="1487" w:type="dxa"/>
            <w:noWrap/>
            <w:hideMark/>
          </w:tcPr>
          <w:p w14:paraId="4BAA8FC1"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Q78,223.80</w:t>
            </w:r>
          </w:p>
        </w:tc>
        <w:tc>
          <w:tcPr>
            <w:tcW w:w="1364" w:type="dxa"/>
            <w:noWrap/>
            <w:hideMark/>
          </w:tcPr>
          <w:p w14:paraId="6959BA39"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Q78,223.80</w:t>
            </w:r>
          </w:p>
        </w:tc>
        <w:tc>
          <w:tcPr>
            <w:tcW w:w="837" w:type="dxa"/>
            <w:noWrap/>
            <w:hideMark/>
          </w:tcPr>
          <w:p w14:paraId="324A181D"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100.00%</w:t>
            </w:r>
          </w:p>
        </w:tc>
      </w:tr>
      <w:tr w:rsidR="00CE3D5C" w:rsidRPr="008F7682" w14:paraId="42FC1103" w14:textId="77777777" w:rsidTr="008C0C9C">
        <w:trPr>
          <w:trHeight w:val="218"/>
        </w:trPr>
        <w:tc>
          <w:tcPr>
            <w:tcW w:w="474" w:type="dxa"/>
            <w:noWrap/>
            <w:hideMark/>
          </w:tcPr>
          <w:p w14:paraId="1699CBD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w:t>
            </w:r>
          </w:p>
        </w:tc>
        <w:tc>
          <w:tcPr>
            <w:tcW w:w="1577" w:type="dxa"/>
            <w:noWrap/>
            <w:hideMark/>
          </w:tcPr>
          <w:p w14:paraId="252CC72D"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INFOM</w:t>
            </w:r>
          </w:p>
        </w:tc>
        <w:tc>
          <w:tcPr>
            <w:tcW w:w="572" w:type="dxa"/>
            <w:noWrap/>
            <w:hideMark/>
          </w:tcPr>
          <w:p w14:paraId="41E1D04E"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402</w:t>
            </w:r>
          </w:p>
        </w:tc>
        <w:tc>
          <w:tcPr>
            <w:tcW w:w="774" w:type="dxa"/>
            <w:noWrap/>
            <w:hideMark/>
          </w:tcPr>
          <w:p w14:paraId="0F011AB4"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131</w:t>
            </w:r>
          </w:p>
        </w:tc>
        <w:tc>
          <w:tcPr>
            <w:tcW w:w="2549" w:type="dxa"/>
            <w:noWrap/>
            <w:hideMark/>
          </w:tcPr>
          <w:p w14:paraId="386A211D"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INFOM Programa de agua potable y saneamiento para el desarrollo humano fase I</w:t>
            </w:r>
          </w:p>
        </w:tc>
        <w:tc>
          <w:tcPr>
            <w:tcW w:w="1487" w:type="dxa"/>
            <w:noWrap/>
            <w:hideMark/>
          </w:tcPr>
          <w:p w14:paraId="5A853870"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Q54,723,685.00</w:t>
            </w:r>
          </w:p>
        </w:tc>
        <w:tc>
          <w:tcPr>
            <w:tcW w:w="1364" w:type="dxa"/>
            <w:noWrap/>
            <w:hideMark/>
          </w:tcPr>
          <w:p w14:paraId="43D317E6"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Q36,273,167.64</w:t>
            </w:r>
          </w:p>
        </w:tc>
        <w:tc>
          <w:tcPr>
            <w:tcW w:w="837" w:type="dxa"/>
            <w:noWrap/>
            <w:hideMark/>
          </w:tcPr>
          <w:p w14:paraId="1448AC06"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66.28%</w:t>
            </w:r>
          </w:p>
        </w:tc>
      </w:tr>
      <w:tr w:rsidR="00CE3D5C" w:rsidRPr="008F7682" w14:paraId="6CDDA0AE" w14:textId="77777777" w:rsidTr="008C0C9C">
        <w:trPr>
          <w:trHeight w:val="218"/>
        </w:trPr>
        <w:tc>
          <w:tcPr>
            <w:tcW w:w="474" w:type="dxa"/>
            <w:noWrap/>
            <w:hideMark/>
          </w:tcPr>
          <w:p w14:paraId="5B2567B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w:t>
            </w:r>
          </w:p>
        </w:tc>
        <w:tc>
          <w:tcPr>
            <w:tcW w:w="1577" w:type="dxa"/>
            <w:noWrap/>
            <w:hideMark/>
          </w:tcPr>
          <w:p w14:paraId="4508F08F"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INAB</w:t>
            </w:r>
          </w:p>
        </w:tc>
        <w:tc>
          <w:tcPr>
            <w:tcW w:w="572" w:type="dxa"/>
            <w:noWrap/>
            <w:hideMark/>
          </w:tcPr>
          <w:p w14:paraId="03017B50"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505</w:t>
            </w:r>
          </w:p>
        </w:tc>
        <w:tc>
          <w:tcPr>
            <w:tcW w:w="774" w:type="dxa"/>
            <w:noWrap/>
            <w:hideMark/>
          </w:tcPr>
          <w:p w14:paraId="6AE46BF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w:t>
            </w:r>
          </w:p>
        </w:tc>
        <w:tc>
          <w:tcPr>
            <w:tcW w:w="2549" w:type="dxa"/>
            <w:noWrap/>
            <w:hideMark/>
          </w:tcPr>
          <w:p w14:paraId="580F2D56"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Adaptación al Cambio Climático en el Corredor Seco</w:t>
            </w:r>
          </w:p>
        </w:tc>
        <w:tc>
          <w:tcPr>
            <w:tcW w:w="1487" w:type="dxa"/>
            <w:noWrap/>
            <w:hideMark/>
          </w:tcPr>
          <w:p w14:paraId="594B3327"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Q7,500,000.00</w:t>
            </w:r>
          </w:p>
        </w:tc>
        <w:tc>
          <w:tcPr>
            <w:tcW w:w="1364" w:type="dxa"/>
            <w:noWrap/>
            <w:hideMark/>
          </w:tcPr>
          <w:p w14:paraId="34F64320"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Q3,966,951.67</w:t>
            </w:r>
          </w:p>
        </w:tc>
        <w:tc>
          <w:tcPr>
            <w:tcW w:w="837" w:type="dxa"/>
            <w:noWrap/>
            <w:hideMark/>
          </w:tcPr>
          <w:p w14:paraId="6679E1F0"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52.89%</w:t>
            </w:r>
          </w:p>
        </w:tc>
      </w:tr>
      <w:tr w:rsidR="00CE3D5C" w:rsidRPr="008F7682" w14:paraId="3D0D2523" w14:textId="77777777" w:rsidTr="008C0C9C">
        <w:trPr>
          <w:trHeight w:val="656"/>
        </w:trPr>
        <w:tc>
          <w:tcPr>
            <w:tcW w:w="474" w:type="dxa"/>
            <w:noWrap/>
            <w:hideMark/>
          </w:tcPr>
          <w:p w14:paraId="0D6A3404"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w:t>
            </w:r>
          </w:p>
        </w:tc>
        <w:tc>
          <w:tcPr>
            <w:tcW w:w="1577" w:type="dxa"/>
            <w:vMerge w:val="restart"/>
            <w:noWrap/>
            <w:hideMark/>
          </w:tcPr>
          <w:p w14:paraId="3E5A3A3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USAC</w:t>
            </w:r>
          </w:p>
        </w:tc>
        <w:tc>
          <w:tcPr>
            <w:tcW w:w="572" w:type="dxa"/>
            <w:noWrap/>
            <w:hideMark/>
          </w:tcPr>
          <w:p w14:paraId="26785C1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447</w:t>
            </w:r>
          </w:p>
        </w:tc>
        <w:tc>
          <w:tcPr>
            <w:tcW w:w="774" w:type="dxa"/>
            <w:noWrap/>
            <w:hideMark/>
          </w:tcPr>
          <w:p w14:paraId="7271F82E"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w:t>
            </w:r>
          </w:p>
        </w:tc>
        <w:tc>
          <w:tcPr>
            <w:tcW w:w="2549" w:type="dxa"/>
            <w:hideMark/>
          </w:tcPr>
          <w:p w14:paraId="194AF965"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Proyecto construcción de capacidades para el desarrollo de centros de enseñanza y aprendizaje para las universidades de Latinoamérica en el siglo XXI (</w:t>
            </w:r>
            <w:proofErr w:type="spellStart"/>
            <w:r w:rsidRPr="008F7682">
              <w:rPr>
                <w:rFonts w:ascii="Helvetica" w:eastAsia="Times New Roman" w:hAnsi="Helvetica" w:cs="Helvetica"/>
                <w:sz w:val="16"/>
                <w:szCs w:val="16"/>
                <w:lang w:eastAsia="es-GT"/>
              </w:rPr>
              <w:t>Acdo</w:t>
            </w:r>
            <w:proofErr w:type="spellEnd"/>
            <w:r w:rsidRPr="008F7682">
              <w:rPr>
                <w:rFonts w:ascii="Helvetica" w:eastAsia="Times New Roman" w:hAnsi="Helvetica" w:cs="Helvetica"/>
                <w:sz w:val="16"/>
                <w:szCs w:val="16"/>
                <w:lang w:eastAsia="es-GT"/>
              </w:rPr>
              <w:t>. Rec-0606-2020)</w:t>
            </w:r>
          </w:p>
        </w:tc>
        <w:tc>
          <w:tcPr>
            <w:tcW w:w="1487" w:type="dxa"/>
            <w:noWrap/>
            <w:hideMark/>
          </w:tcPr>
          <w:p w14:paraId="6C4E54C1"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Q323,754.28</w:t>
            </w:r>
          </w:p>
        </w:tc>
        <w:tc>
          <w:tcPr>
            <w:tcW w:w="1364" w:type="dxa"/>
            <w:noWrap/>
            <w:hideMark/>
          </w:tcPr>
          <w:p w14:paraId="141671BE"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Q136,435.30</w:t>
            </w:r>
          </w:p>
        </w:tc>
        <w:tc>
          <w:tcPr>
            <w:tcW w:w="837" w:type="dxa"/>
            <w:noWrap/>
            <w:hideMark/>
          </w:tcPr>
          <w:p w14:paraId="3C1642CA"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42.14%</w:t>
            </w:r>
          </w:p>
        </w:tc>
      </w:tr>
      <w:tr w:rsidR="00CE3D5C" w:rsidRPr="008F7682" w14:paraId="3E80CD4D" w14:textId="77777777" w:rsidTr="008C0C9C">
        <w:trPr>
          <w:trHeight w:val="437"/>
        </w:trPr>
        <w:tc>
          <w:tcPr>
            <w:tcW w:w="474" w:type="dxa"/>
            <w:noWrap/>
            <w:hideMark/>
          </w:tcPr>
          <w:p w14:paraId="3C567CD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7</w:t>
            </w:r>
          </w:p>
        </w:tc>
        <w:tc>
          <w:tcPr>
            <w:tcW w:w="1577" w:type="dxa"/>
            <w:vMerge/>
            <w:hideMark/>
          </w:tcPr>
          <w:p w14:paraId="5CFF343E"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458411F4"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606</w:t>
            </w:r>
          </w:p>
        </w:tc>
        <w:tc>
          <w:tcPr>
            <w:tcW w:w="774" w:type="dxa"/>
            <w:noWrap/>
            <w:hideMark/>
          </w:tcPr>
          <w:p w14:paraId="76B198E6"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w:t>
            </w:r>
          </w:p>
        </w:tc>
        <w:tc>
          <w:tcPr>
            <w:tcW w:w="2549" w:type="dxa"/>
            <w:hideMark/>
          </w:tcPr>
          <w:p w14:paraId="1643B8E7"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Proyecto "</w:t>
            </w:r>
            <w:proofErr w:type="spellStart"/>
            <w:r w:rsidRPr="008F7682">
              <w:rPr>
                <w:rFonts w:ascii="Helvetica" w:eastAsia="Times New Roman" w:hAnsi="Helvetica" w:cs="Helvetica"/>
                <w:sz w:val="16"/>
                <w:szCs w:val="16"/>
                <w:lang w:eastAsia="es-GT"/>
              </w:rPr>
              <w:t>Laureati</w:t>
            </w:r>
            <w:proofErr w:type="spellEnd"/>
            <w:r w:rsidRPr="008F7682">
              <w:rPr>
                <w:rFonts w:ascii="Helvetica" w:eastAsia="Times New Roman" w:hAnsi="Helvetica" w:cs="Helvetica"/>
                <w:sz w:val="16"/>
                <w:szCs w:val="16"/>
                <w:lang w:eastAsia="es-GT"/>
              </w:rPr>
              <w:t xml:space="preserve"> Per </w:t>
            </w:r>
            <w:proofErr w:type="spellStart"/>
            <w:r w:rsidRPr="008F7682">
              <w:rPr>
                <w:rFonts w:ascii="Helvetica" w:eastAsia="Times New Roman" w:hAnsi="Helvetica" w:cs="Helvetica"/>
                <w:sz w:val="16"/>
                <w:szCs w:val="16"/>
                <w:lang w:eastAsia="es-GT"/>
              </w:rPr>
              <w:t>I"Italiano</w:t>
            </w:r>
            <w:proofErr w:type="spellEnd"/>
            <w:r w:rsidRPr="008F7682">
              <w:rPr>
                <w:rFonts w:ascii="Helvetica" w:eastAsia="Times New Roman" w:hAnsi="Helvetica" w:cs="Helvetica"/>
                <w:sz w:val="16"/>
                <w:szCs w:val="16"/>
                <w:lang w:eastAsia="es-GT"/>
              </w:rPr>
              <w:t>" para promover la enseñanza y aprendizaje del idioma Italiano</w:t>
            </w:r>
          </w:p>
        </w:tc>
        <w:tc>
          <w:tcPr>
            <w:tcW w:w="1487" w:type="dxa"/>
            <w:noWrap/>
            <w:hideMark/>
          </w:tcPr>
          <w:p w14:paraId="3F192772"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Q207,810.62</w:t>
            </w:r>
          </w:p>
        </w:tc>
        <w:tc>
          <w:tcPr>
            <w:tcW w:w="1364" w:type="dxa"/>
            <w:noWrap/>
            <w:hideMark/>
          </w:tcPr>
          <w:p w14:paraId="430B1CBA"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Q20,877.19</w:t>
            </w:r>
          </w:p>
        </w:tc>
        <w:tc>
          <w:tcPr>
            <w:tcW w:w="837" w:type="dxa"/>
            <w:noWrap/>
            <w:hideMark/>
          </w:tcPr>
          <w:p w14:paraId="1C59DD05"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10.05%</w:t>
            </w:r>
          </w:p>
        </w:tc>
      </w:tr>
      <w:tr w:rsidR="00CE3D5C" w:rsidRPr="008F7682" w14:paraId="71261D5D" w14:textId="77777777" w:rsidTr="008C0C9C">
        <w:trPr>
          <w:trHeight w:val="218"/>
        </w:trPr>
        <w:tc>
          <w:tcPr>
            <w:tcW w:w="474" w:type="dxa"/>
            <w:noWrap/>
            <w:hideMark/>
          </w:tcPr>
          <w:p w14:paraId="6E50DD8F"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8</w:t>
            </w:r>
          </w:p>
        </w:tc>
        <w:tc>
          <w:tcPr>
            <w:tcW w:w="1577" w:type="dxa"/>
            <w:vMerge/>
            <w:hideMark/>
          </w:tcPr>
          <w:p w14:paraId="2F50A7F1"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44479F1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774" w:type="dxa"/>
            <w:noWrap/>
            <w:hideMark/>
          </w:tcPr>
          <w:p w14:paraId="0AAF2DB2"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263</w:t>
            </w:r>
          </w:p>
        </w:tc>
        <w:tc>
          <w:tcPr>
            <w:tcW w:w="2549" w:type="dxa"/>
            <w:hideMark/>
          </w:tcPr>
          <w:p w14:paraId="7D78AE32"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Programa de Becas para la Agricultura (</w:t>
            </w:r>
            <w:proofErr w:type="spellStart"/>
            <w:r w:rsidRPr="008F7682">
              <w:rPr>
                <w:rFonts w:ascii="Helvetica" w:eastAsia="Times New Roman" w:hAnsi="Helvetica" w:cs="Helvetica"/>
                <w:sz w:val="16"/>
                <w:szCs w:val="16"/>
                <w:lang w:eastAsia="es-GT"/>
              </w:rPr>
              <w:t>Acdo</w:t>
            </w:r>
            <w:proofErr w:type="spellEnd"/>
            <w:r w:rsidRPr="008F7682">
              <w:rPr>
                <w:rFonts w:ascii="Helvetica" w:eastAsia="Times New Roman" w:hAnsi="Helvetica" w:cs="Helvetica"/>
                <w:sz w:val="16"/>
                <w:szCs w:val="16"/>
                <w:lang w:eastAsia="es-GT"/>
              </w:rPr>
              <w:t>. de Dirección # 193-2020)</w:t>
            </w:r>
          </w:p>
        </w:tc>
        <w:tc>
          <w:tcPr>
            <w:tcW w:w="1487" w:type="dxa"/>
            <w:noWrap/>
            <w:hideMark/>
          </w:tcPr>
          <w:p w14:paraId="19BFBEA2"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Q36,000.00</w:t>
            </w:r>
          </w:p>
        </w:tc>
        <w:tc>
          <w:tcPr>
            <w:tcW w:w="1364" w:type="dxa"/>
            <w:noWrap/>
            <w:hideMark/>
          </w:tcPr>
          <w:p w14:paraId="6C011A1A"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837" w:type="dxa"/>
            <w:noWrap/>
            <w:hideMark/>
          </w:tcPr>
          <w:p w14:paraId="01533BB4"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13D6E751" w14:textId="77777777" w:rsidTr="008C0C9C">
        <w:trPr>
          <w:trHeight w:val="437"/>
        </w:trPr>
        <w:tc>
          <w:tcPr>
            <w:tcW w:w="474" w:type="dxa"/>
            <w:noWrap/>
            <w:hideMark/>
          </w:tcPr>
          <w:p w14:paraId="5E4162BC"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w:t>
            </w:r>
          </w:p>
        </w:tc>
        <w:tc>
          <w:tcPr>
            <w:tcW w:w="1577" w:type="dxa"/>
            <w:vMerge/>
            <w:hideMark/>
          </w:tcPr>
          <w:p w14:paraId="0D75A589"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755C2713"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774" w:type="dxa"/>
            <w:noWrap/>
            <w:hideMark/>
          </w:tcPr>
          <w:p w14:paraId="6B53E77B"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266</w:t>
            </w:r>
          </w:p>
        </w:tc>
        <w:tc>
          <w:tcPr>
            <w:tcW w:w="2549" w:type="dxa"/>
            <w:hideMark/>
          </w:tcPr>
          <w:p w14:paraId="0CE442F6"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Donación para Programa Marco Interuniversitario para una política de equidad y cohesión social en la educación superior (Acta 14-2014 Punto 5.2.3)</w:t>
            </w:r>
          </w:p>
        </w:tc>
        <w:tc>
          <w:tcPr>
            <w:tcW w:w="1487" w:type="dxa"/>
            <w:noWrap/>
            <w:hideMark/>
          </w:tcPr>
          <w:p w14:paraId="2BE992C9"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64" w:type="dxa"/>
            <w:noWrap/>
            <w:hideMark/>
          </w:tcPr>
          <w:p w14:paraId="3AB1046F"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837" w:type="dxa"/>
            <w:noWrap/>
            <w:hideMark/>
          </w:tcPr>
          <w:p w14:paraId="3403E0E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5E7F6B8C" w14:textId="77777777" w:rsidTr="008C0C9C">
        <w:trPr>
          <w:trHeight w:val="218"/>
        </w:trPr>
        <w:tc>
          <w:tcPr>
            <w:tcW w:w="474" w:type="dxa"/>
            <w:noWrap/>
            <w:hideMark/>
          </w:tcPr>
          <w:p w14:paraId="3674BE2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w:t>
            </w:r>
          </w:p>
        </w:tc>
        <w:tc>
          <w:tcPr>
            <w:tcW w:w="1577" w:type="dxa"/>
            <w:vMerge w:val="restart"/>
            <w:noWrap/>
            <w:hideMark/>
          </w:tcPr>
          <w:p w14:paraId="37AFD30F"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COG</w:t>
            </w:r>
          </w:p>
        </w:tc>
        <w:tc>
          <w:tcPr>
            <w:tcW w:w="572" w:type="dxa"/>
            <w:noWrap/>
            <w:hideMark/>
          </w:tcPr>
          <w:p w14:paraId="6F40A7B6"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774" w:type="dxa"/>
            <w:noWrap/>
            <w:hideMark/>
          </w:tcPr>
          <w:p w14:paraId="1E6ED2FA"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w:t>
            </w:r>
          </w:p>
        </w:tc>
        <w:tc>
          <w:tcPr>
            <w:tcW w:w="2549" w:type="dxa"/>
            <w:noWrap/>
            <w:hideMark/>
          </w:tcPr>
          <w:p w14:paraId="1CA07CFD"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EMR Donantes Varios Externos</w:t>
            </w:r>
          </w:p>
        </w:tc>
        <w:tc>
          <w:tcPr>
            <w:tcW w:w="1487" w:type="dxa"/>
            <w:noWrap/>
            <w:hideMark/>
          </w:tcPr>
          <w:p w14:paraId="53E7CA47"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Q1,280,965.38</w:t>
            </w:r>
          </w:p>
        </w:tc>
        <w:tc>
          <w:tcPr>
            <w:tcW w:w="1364" w:type="dxa"/>
            <w:noWrap/>
            <w:hideMark/>
          </w:tcPr>
          <w:p w14:paraId="7E47F3DC"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Q402,140.54</w:t>
            </w:r>
          </w:p>
        </w:tc>
        <w:tc>
          <w:tcPr>
            <w:tcW w:w="837" w:type="dxa"/>
            <w:noWrap/>
            <w:hideMark/>
          </w:tcPr>
          <w:p w14:paraId="2963389B"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31.39%</w:t>
            </w:r>
          </w:p>
        </w:tc>
      </w:tr>
      <w:tr w:rsidR="00CE3D5C" w:rsidRPr="008F7682" w14:paraId="1A68EFD6" w14:textId="77777777" w:rsidTr="008C0C9C">
        <w:trPr>
          <w:trHeight w:val="218"/>
        </w:trPr>
        <w:tc>
          <w:tcPr>
            <w:tcW w:w="474" w:type="dxa"/>
            <w:noWrap/>
            <w:hideMark/>
          </w:tcPr>
          <w:p w14:paraId="594DC083"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w:t>
            </w:r>
          </w:p>
        </w:tc>
        <w:tc>
          <w:tcPr>
            <w:tcW w:w="1577" w:type="dxa"/>
            <w:vMerge/>
            <w:hideMark/>
          </w:tcPr>
          <w:p w14:paraId="16DF3596"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0C1786B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2103</w:t>
            </w:r>
          </w:p>
        </w:tc>
        <w:tc>
          <w:tcPr>
            <w:tcW w:w="774" w:type="dxa"/>
            <w:noWrap/>
            <w:hideMark/>
          </w:tcPr>
          <w:p w14:paraId="7D9828C4"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w:t>
            </w:r>
          </w:p>
        </w:tc>
        <w:tc>
          <w:tcPr>
            <w:tcW w:w="2549" w:type="dxa"/>
            <w:noWrap/>
            <w:hideMark/>
          </w:tcPr>
          <w:p w14:paraId="5160E4EF"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Programa Continental Actividad </w:t>
            </w:r>
            <w:proofErr w:type="spellStart"/>
            <w:r w:rsidRPr="008F7682">
              <w:rPr>
                <w:rFonts w:ascii="Helvetica" w:eastAsia="Times New Roman" w:hAnsi="Helvetica" w:cs="Helvetica"/>
                <w:sz w:val="16"/>
                <w:szCs w:val="16"/>
                <w:lang w:eastAsia="es-GT"/>
              </w:rPr>
              <w:t>Cons</w:t>
            </w:r>
            <w:proofErr w:type="spellEnd"/>
            <w:r w:rsidRPr="008F7682">
              <w:rPr>
                <w:rFonts w:ascii="Helvetica" w:eastAsia="Times New Roman" w:hAnsi="Helvetica" w:cs="Helvetica"/>
                <w:sz w:val="16"/>
                <w:szCs w:val="16"/>
                <w:lang w:eastAsia="es-GT"/>
              </w:rPr>
              <w:t>. Año 2002</w:t>
            </w:r>
          </w:p>
        </w:tc>
        <w:tc>
          <w:tcPr>
            <w:tcW w:w="1487" w:type="dxa"/>
            <w:noWrap/>
            <w:hideMark/>
          </w:tcPr>
          <w:p w14:paraId="0D3B76E0"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Q2,047,252.32</w:t>
            </w:r>
          </w:p>
        </w:tc>
        <w:tc>
          <w:tcPr>
            <w:tcW w:w="1364" w:type="dxa"/>
            <w:noWrap/>
            <w:hideMark/>
          </w:tcPr>
          <w:p w14:paraId="3D4C1EE1"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Q1,292,732.76</w:t>
            </w:r>
          </w:p>
        </w:tc>
        <w:tc>
          <w:tcPr>
            <w:tcW w:w="837" w:type="dxa"/>
            <w:noWrap/>
            <w:hideMark/>
          </w:tcPr>
          <w:p w14:paraId="2C497DB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63.14%</w:t>
            </w:r>
          </w:p>
        </w:tc>
      </w:tr>
      <w:tr w:rsidR="00CE3D5C" w:rsidRPr="008F7682" w14:paraId="1D99550C" w14:textId="77777777" w:rsidTr="008C0C9C">
        <w:trPr>
          <w:trHeight w:val="218"/>
        </w:trPr>
        <w:tc>
          <w:tcPr>
            <w:tcW w:w="474" w:type="dxa"/>
            <w:noWrap/>
            <w:hideMark/>
          </w:tcPr>
          <w:p w14:paraId="46C59F1C"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12</w:t>
            </w:r>
          </w:p>
        </w:tc>
        <w:tc>
          <w:tcPr>
            <w:tcW w:w="1577" w:type="dxa"/>
            <w:vMerge/>
            <w:hideMark/>
          </w:tcPr>
          <w:p w14:paraId="2675E21F"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137076C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2104</w:t>
            </w:r>
          </w:p>
        </w:tc>
        <w:tc>
          <w:tcPr>
            <w:tcW w:w="774" w:type="dxa"/>
            <w:noWrap/>
            <w:hideMark/>
          </w:tcPr>
          <w:p w14:paraId="5C89C75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w:t>
            </w:r>
          </w:p>
        </w:tc>
        <w:tc>
          <w:tcPr>
            <w:tcW w:w="2549" w:type="dxa"/>
            <w:noWrap/>
            <w:hideMark/>
          </w:tcPr>
          <w:p w14:paraId="2CB1825E"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Programa Continental Actividad </w:t>
            </w:r>
            <w:proofErr w:type="spellStart"/>
            <w:r w:rsidRPr="008F7682">
              <w:rPr>
                <w:rFonts w:ascii="Helvetica" w:eastAsia="Times New Roman" w:hAnsi="Helvetica" w:cs="Helvetica"/>
                <w:sz w:val="16"/>
                <w:szCs w:val="16"/>
                <w:lang w:eastAsia="es-GT"/>
              </w:rPr>
              <w:t>Cons</w:t>
            </w:r>
            <w:proofErr w:type="spellEnd"/>
            <w:r w:rsidRPr="008F7682">
              <w:rPr>
                <w:rFonts w:ascii="Helvetica" w:eastAsia="Times New Roman" w:hAnsi="Helvetica" w:cs="Helvetica"/>
                <w:sz w:val="16"/>
                <w:szCs w:val="16"/>
                <w:lang w:eastAsia="es-GT"/>
              </w:rPr>
              <w:t>. Año 2003</w:t>
            </w:r>
          </w:p>
        </w:tc>
        <w:tc>
          <w:tcPr>
            <w:tcW w:w="1487" w:type="dxa"/>
            <w:noWrap/>
            <w:hideMark/>
          </w:tcPr>
          <w:p w14:paraId="30E30C3E"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Q4,296,531.20</w:t>
            </w:r>
          </w:p>
        </w:tc>
        <w:tc>
          <w:tcPr>
            <w:tcW w:w="1364" w:type="dxa"/>
            <w:noWrap/>
            <w:hideMark/>
          </w:tcPr>
          <w:p w14:paraId="115973ED"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Q1,028,135.66</w:t>
            </w:r>
          </w:p>
        </w:tc>
        <w:tc>
          <w:tcPr>
            <w:tcW w:w="837" w:type="dxa"/>
            <w:noWrap/>
            <w:hideMark/>
          </w:tcPr>
          <w:p w14:paraId="2FC116ED"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23.93%</w:t>
            </w:r>
          </w:p>
        </w:tc>
      </w:tr>
      <w:tr w:rsidR="00CE3D5C" w:rsidRPr="008F7682" w14:paraId="24E93D21" w14:textId="77777777" w:rsidTr="008C0C9C">
        <w:trPr>
          <w:trHeight w:val="437"/>
        </w:trPr>
        <w:tc>
          <w:tcPr>
            <w:tcW w:w="474" w:type="dxa"/>
            <w:noWrap/>
            <w:hideMark/>
          </w:tcPr>
          <w:p w14:paraId="1E6063C2"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13</w:t>
            </w:r>
          </w:p>
        </w:tc>
        <w:tc>
          <w:tcPr>
            <w:tcW w:w="1577" w:type="dxa"/>
            <w:hideMark/>
          </w:tcPr>
          <w:p w14:paraId="72DFDE5E"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FED. NAC. NATACION</w:t>
            </w:r>
          </w:p>
        </w:tc>
        <w:tc>
          <w:tcPr>
            <w:tcW w:w="572" w:type="dxa"/>
            <w:noWrap/>
            <w:hideMark/>
          </w:tcPr>
          <w:p w14:paraId="1162B4A3"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2102</w:t>
            </w:r>
          </w:p>
        </w:tc>
        <w:tc>
          <w:tcPr>
            <w:tcW w:w="774" w:type="dxa"/>
            <w:noWrap/>
            <w:hideMark/>
          </w:tcPr>
          <w:p w14:paraId="12B887B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101</w:t>
            </w:r>
          </w:p>
        </w:tc>
        <w:tc>
          <w:tcPr>
            <w:tcW w:w="2549" w:type="dxa"/>
            <w:noWrap/>
            <w:hideMark/>
          </w:tcPr>
          <w:p w14:paraId="4C3A46CD"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Programa de apoyo por participación en eventos y clínicas</w:t>
            </w:r>
          </w:p>
        </w:tc>
        <w:tc>
          <w:tcPr>
            <w:tcW w:w="1487" w:type="dxa"/>
            <w:noWrap/>
            <w:hideMark/>
          </w:tcPr>
          <w:p w14:paraId="72BAF478"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Q133,222.11</w:t>
            </w:r>
          </w:p>
        </w:tc>
        <w:tc>
          <w:tcPr>
            <w:tcW w:w="1364" w:type="dxa"/>
            <w:noWrap/>
            <w:hideMark/>
          </w:tcPr>
          <w:p w14:paraId="0941A32C"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Q133,222.11</w:t>
            </w:r>
          </w:p>
        </w:tc>
        <w:tc>
          <w:tcPr>
            <w:tcW w:w="837" w:type="dxa"/>
            <w:noWrap/>
            <w:hideMark/>
          </w:tcPr>
          <w:p w14:paraId="361D80F6"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100.00%</w:t>
            </w:r>
          </w:p>
        </w:tc>
      </w:tr>
      <w:tr w:rsidR="00CE3D5C" w:rsidRPr="008F7682" w14:paraId="51A0DB1D" w14:textId="77777777" w:rsidTr="008C0C9C">
        <w:trPr>
          <w:trHeight w:val="218"/>
        </w:trPr>
        <w:tc>
          <w:tcPr>
            <w:tcW w:w="474" w:type="dxa"/>
            <w:noWrap/>
            <w:hideMark/>
          </w:tcPr>
          <w:p w14:paraId="22DAD3B6"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14</w:t>
            </w:r>
          </w:p>
        </w:tc>
        <w:tc>
          <w:tcPr>
            <w:tcW w:w="1577" w:type="dxa"/>
            <w:vMerge w:val="restart"/>
            <w:hideMark/>
          </w:tcPr>
          <w:p w14:paraId="3FF8B3DA"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FED. NAC. FUTBOL</w:t>
            </w:r>
          </w:p>
        </w:tc>
        <w:tc>
          <w:tcPr>
            <w:tcW w:w="572" w:type="dxa"/>
            <w:noWrap/>
            <w:hideMark/>
          </w:tcPr>
          <w:p w14:paraId="431877A7"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430</w:t>
            </w:r>
          </w:p>
        </w:tc>
        <w:tc>
          <w:tcPr>
            <w:tcW w:w="774" w:type="dxa"/>
            <w:noWrap/>
            <w:hideMark/>
          </w:tcPr>
          <w:p w14:paraId="1CB32A1F"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w:t>
            </w:r>
          </w:p>
        </w:tc>
        <w:tc>
          <w:tcPr>
            <w:tcW w:w="2549" w:type="dxa"/>
            <w:noWrap/>
            <w:hideMark/>
          </w:tcPr>
          <w:p w14:paraId="2063A2AF"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Donación para el programa de desarrollo </w:t>
            </w:r>
            <w:proofErr w:type="spellStart"/>
            <w:r w:rsidRPr="008F7682">
              <w:rPr>
                <w:rFonts w:ascii="Helvetica" w:eastAsia="Times New Roman" w:hAnsi="Helvetica" w:cs="Helvetica"/>
                <w:sz w:val="16"/>
                <w:szCs w:val="16"/>
                <w:lang w:eastAsia="es-GT"/>
              </w:rPr>
              <w:t>foward</w:t>
            </w:r>
            <w:proofErr w:type="spellEnd"/>
            <w:r w:rsidRPr="008F7682">
              <w:rPr>
                <w:rFonts w:ascii="Helvetica" w:eastAsia="Times New Roman" w:hAnsi="Helvetica" w:cs="Helvetica"/>
                <w:sz w:val="16"/>
                <w:szCs w:val="16"/>
                <w:lang w:eastAsia="es-GT"/>
              </w:rPr>
              <w:t xml:space="preserve"> de la </w:t>
            </w:r>
            <w:proofErr w:type="spellStart"/>
            <w:r w:rsidRPr="008F7682">
              <w:rPr>
                <w:rFonts w:ascii="Helvetica" w:eastAsia="Times New Roman" w:hAnsi="Helvetica" w:cs="Helvetica"/>
                <w:sz w:val="16"/>
                <w:szCs w:val="16"/>
                <w:lang w:eastAsia="es-GT"/>
              </w:rPr>
              <w:t>Fifa</w:t>
            </w:r>
            <w:proofErr w:type="spellEnd"/>
            <w:r w:rsidRPr="008F7682">
              <w:rPr>
                <w:rFonts w:ascii="Helvetica" w:eastAsia="Times New Roman" w:hAnsi="Helvetica" w:cs="Helvetica"/>
                <w:sz w:val="16"/>
                <w:szCs w:val="16"/>
                <w:lang w:eastAsia="es-GT"/>
              </w:rPr>
              <w:t xml:space="preserve"> en Guatemala (anteproyecto ppto.2019)</w:t>
            </w:r>
          </w:p>
        </w:tc>
        <w:tc>
          <w:tcPr>
            <w:tcW w:w="1487" w:type="dxa"/>
            <w:noWrap/>
            <w:hideMark/>
          </w:tcPr>
          <w:p w14:paraId="2964C8A0"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Q12,204,215.00</w:t>
            </w:r>
          </w:p>
        </w:tc>
        <w:tc>
          <w:tcPr>
            <w:tcW w:w="1364" w:type="dxa"/>
            <w:noWrap/>
            <w:hideMark/>
          </w:tcPr>
          <w:p w14:paraId="1A716CAE"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Q11,537,464.42</w:t>
            </w:r>
          </w:p>
        </w:tc>
        <w:tc>
          <w:tcPr>
            <w:tcW w:w="837" w:type="dxa"/>
            <w:noWrap/>
            <w:hideMark/>
          </w:tcPr>
          <w:p w14:paraId="0C631ECA"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94.54%</w:t>
            </w:r>
          </w:p>
        </w:tc>
      </w:tr>
      <w:tr w:rsidR="00CE3D5C" w:rsidRPr="008F7682" w14:paraId="4824ADB2" w14:textId="77777777" w:rsidTr="008C0C9C">
        <w:trPr>
          <w:trHeight w:val="218"/>
        </w:trPr>
        <w:tc>
          <w:tcPr>
            <w:tcW w:w="474" w:type="dxa"/>
            <w:noWrap/>
            <w:hideMark/>
          </w:tcPr>
          <w:p w14:paraId="2302B610"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15</w:t>
            </w:r>
          </w:p>
        </w:tc>
        <w:tc>
          <w:tcPr>
            <w:tcW w:w="1577" w:type="dxa"/>
            <w:vMerge/>
            <w:hideMark/>
          </w:tcPr>
          <w:p w14:paraId="3A0F4513"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76D9CBC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430</w:t>
            </w:r>
          </w:p>
        </w:tc>
        <w:tc>
          <w:tcPr>
            <w:tcW w:w="774" w:type="dxa"/>
            <w:noWrap/>
            <w:hideMark/>
          </w:tcPr>
          <w:p w14:paraId="1C6AB3DC"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w:t>
            </w:r>
          </w:p>
        </w:tc>
        <w:tc>
          <w:tcPr>
            <w:tcW w:w="2549" w:type="dxa"/>
            <w:noWrap/>
            <w:hideMark/>
          </w:tcPr>
          <w:p w14:paraId="4482C56E"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Plan de apoyo de la FIFA covid-19, para el futbol nacional de Guatemala en las ramas masculino y femenino (Resolución CE-037-2020)</w:t>
            </w:r>
          </w:p>
        </w:tc>
        <w:tc>
          <w:tcPr>
            <w:tcW w:w="1487" w:type="dxa"/>
            <w:noWrap/>
            <w:hideMark/>
          </w:tcPr>
          <w:p w14:paraId="67DCE3E0"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Q4,453,200.00</w:t>
            </w:r>
          </w:p>
        </w:tc>
        <w:tc>
          <w:tcPr>
            <w:tcW w:w="1364" w:type="dxa"/>
            <w:noWrap/>
            <w:hideMark/>
          </w:tcPr>
          <w:p w14:paraId="201EFD31"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Q2,932,349.24</w:t>
            </w:r>
          </w:p>
        </w:tc>
        <w:tc>
          <w:tcPr>
            <w:tcW w:w="837" w:type="dxa"/>
            <w:noWrap/>
            <w:hideMark/>
          </w:tcPr>
          <w:p w14:paraId="5FE3FB1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65.85%</w:t>
            </w:r>
          </w:p>
        </w:tc>
      </w:tr>
      <w:tr w:rsidR="00CE3D5C" w:rsidRPr="008F7682" w14:paraId="3AB0EE68" w14:textId="77777777" w:rsidTr="008C0C9C">
        <w:trPr>
          <w:trHeight w:val="218"/>
        </w:trPr>
        <w:tc>
          <w:tcPr>
            <w:tcW w:w="474" w:type="dxa"/>
            <w:noWrap/>
            <w:hideMark/>
          </w:tcPr>
          <w:p w14:paraId="422867AC"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16</w:t>
            </w:r>
          </w:p>
        </w:tc>
        <w:tc>
          <w:tcPr>
            <w:tcW w:w="1577" w:type="dxa"/>
            <w:vMerge/>
            <w:hideMark/>
          </w:tcPr>
          <w:p w14:paraId="231DFB71"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5043DC3E"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431</w:t>
            </w:r>
          </w:p>
        </w:tc>
        <w:tc>
          <w:tcPr>
            <w:tcW w:w="774" w:type="dxa"/>
            <w:noWrap/>
            <w:hideMark/>
          </w:tcPr>
          <w:p w14:paraId="5665073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w:t>
            </w:r>
          </w:p>
        </w:tc>
        <w:tc>
          <w:tcPr>
            <w:tcW w:w="2549" w:type="dxa"/>
            <w:noWrap/>
            <w:hideMark/>
          </w:tcPr>
          <w:p w14:paraId="7CD2E13B"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Donación </w:t>
            </w:r>
            <w:proofErr w:type="spellStart"/>
            <w:r w:rsidRPr="008F7682">
              <w:rPr>
                <w:rFonts w:ascii="Helvetica" w:eastAsia="Times New Roman" w:hAnsi="Helvetica" w:cs="Helvetica"/>
                <w:sz w:val="16"/>
                <w:szCs w:val="16"/>
                <w:lang w:eastAsia="es-GT"/>
              </w:rPr>
              <w:t>One</w:t>
            </w:r>
            <w:proofErr w:type="spellEnd"/>
            <w:r w:rsidRPr="008F7682">
              <w:rPr>
                <w:rFonts w:ascii="Helvetica" w:eastAsia="Times New Roman" w:hAnsi="Helvetica" w:cs="Helvetica"/>
                <w:sz w:val="16"/>
                <w:szCs w:val="16"/>
                <w:lang w:eastAsia="es-GT"/>
              </w:rPr>
              <w:t xml:space="preserve"> </w:t>
            </w:r>
            <w:proofErr w:type="spellStart"/>
            <w:r w:rsidRPr="008F7682">
              <w:rPr>
                <w:rFonts w:ascii="Helvetica" w:eastAsia="Times New Roman" w:hAnsi="Helvetica" w:cs="Helvetica"/>
                <w:sz w:val="16"/>
                <w:szCs w:val="16"/>
                <w:lang w:eastAsia="es-GT"/>
              </w:rPr>
              <w:t>Concacaf</w:t>
            </w:r>
            <w:proofErr w:type="spellEnd"/>
            <w:r w:rsidRPr="008F7682">
              <w:rPr>
                <w:rFonts w:ascii="Helvetica" w:eastAsia="Times New Roman" w:hAnsi="Helvetica" w:cs="Helvetica"/>
                <w:sz w:val="16"/>
                <w:szCs w:val="16"/>
                <w:lang w:eastAsia="es-GT"/>
              </w:rPr>
              <w:t xml:space="preserve"> para la federación nacional de futbol de Guatemala (anteproyecto ppt0.2019)</w:t>
            </w:r>
          </w:p>
        </w:tc>
        <w:tc>
          <w:tcPr>
            <w:tcW w:w="1487" w:type="dxa"/>
            <w:noWrap/>
            <w:hideMark/>
          </w:tcPr>
          <w:p w14:paraId="4117983C"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Q4,066,614.00</w:t>
            </w:r>
          </w:p>
        </w:tc>
        <w:tc>
          <w:tcPr>
            <w:tcW w:w="1364" w:type="dxa"/>
            <w:noWrap/>
            <w:hideMark/>
          </w:tcPr>
          <w:p w14:paraId="4137FCC1"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Q3,803,960.77</w:t>
            </w:r>
          </w:p>
        </w:tc>
        <w:tc>
          <w:tcPr>
            <w:tcW w:w="837" w:type="dxa"/>
            <w:noWrap/>
            <w:hideMark/>
          </w:tcPr>
          <w:p w14:paraId="1BE8527B"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93.54%</w:t>
            </w:r>
          </w:p>
        </w:tc>
      </w:tr>
      <w:tr w:rsidR="00CE3D5C" w:rsidRPr="008F7682" w14:paraId="1364192E" w14:textId="77777777" w:rsidTr="008C0C9C">
        <w:trPr>
          <w:trHeight w:val="218"/>
        </w:trPr>
        <w:tc>
          <w:tcPr>
            <w:tcW w:w="474" w:type="dxa"/>
            <w:noWrap/>
            <w:hideMark/>
          </w:tcPr>
          <w:p w14:paraId="30B6EEB0"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17</w:t>
            </w:r>
          </w:p>
        </w:tc>
        <w:tc>
          <w:tcPr>
            <w:tcW w:w="1577" w:type="dxa"/>
            <w:vMerge w:val="restart"/>
            <w:noWrap/>
            <w:hideMark/>
          </w:tcPr>
          <w:p w14:paraId="74EFA6C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MUNIGUATE</w:t>
            </w:r>
          </w:p>
        </w:tc>
        <w:tc>
          <w:tcPr>
            <w:tcW w:w="572" w:type="dxa"/>
            <w:noWrap/>
            <w:hideMark/>
          </w:tcPr>
          <w:p w14:paraId="28DE467C"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505</w:t>
            </w:r>
          </w:p>
        </w:tc>
        <w:tc>
          <w:tcPr>
            <w:tcW w:w="774" w:type="dxa"/>
            <w:noWrap/>
            <w:hideMark/>
          </w:tcPr>
          <w:p w14:paraId="7242D863"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20</w:t>
            </w:r>
          </w:p>
        </w:tc>
        <w:tc>
          <w:tcPr>
            <w:tcW w:w="2549" w:type="dxa"/>
            <w:noWrap/>
            <w:hideMark/>
          </w:tcPr>
          <w:p w14:paraId="097449E6"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Espacios seguros de convivencia para jóvenes en Centroamérica </w:t>
            </w:r>
          </w:p>
        </w:tc>
        <w:tc>
          <w:tcPr>
            <w:tcW w:w="1487" w:type="dxa"/>
            <w:noWrap/>
            <w:hideMark/>
          </w:tcPr>
          <w:p w14:paraId="4D43C0D0"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Q40,000,000.00</w:t>
            </w:r>
          </w:p>
        </w:tc>
        <w:tc>
          <w:tcPr>
            <w:tcW w:w="1364" w:type="dxa"/>
            <w:noWrap/>
            <w:hideMark/>
          </w:tcPr>
          <w:p w14:paraId="3B48D79C"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Q10,468,072.83</w:t>
            </w:r>
          </w:p>
        </w:tc>
        <w:tc>
          <w:tcPr>
            <w:tcW w:w="837" w:type="dxa"/>
            <w:noWrap/>
            <w:hideMark/>
          </w:tcPr>
          <w:p w14:paraId="748452A9"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26.17%</w:t>
            </w:r>
          </w:p>
        </w:tc>
      </w:tr>
      <w:tr w:rsidR="00CE3D5C" w:rsidRPr="008F7682" w14:paraId="2FE0BC9D" w14:textId="77777777" w:rsidTr="008C0C9C">
        <w:trPr>
          <w:trHeight w:val="218"/>
        </w:trPr>
        <w:tc>
          <w:tcPr>
            <w:tcW w:w="474" w:type="dxa"/>
            <w:noWrap/>
            <w:hideMark/>
          </w:tcPr>
          <w:p w14:paraId="0226AFE3"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18</w:t>
            </w:r>
          </w:p>
        </w:tc>
        <w:tc>
          <w:tcPr>
            <w:tcW w:w="1577" w:type="dxa"/>
            <w:vMerge/>
            <w:hideMark/>
          </w:tcPr>
          <w:p w14:paraId="21365775" w14:textId="77777777" w:rsidR="00CE3D5C" w:rsidRPr="008F7682" w:rsidRDefault="00CE3D5C" w:rsidP="00CE3D5C">
            <w:pPr>
              <w:rPr>
                <w:rFonts w:ascii="Helvetica" w:eastAsia="Times New Roman" w:hAnsi="Helvetica" w:cs="Helvetica"/>
                <w:sz w:val="16"/>
                <w:szCs w:val="16"/>
                <w:lang w:eastAsia="es-GT"/>
              </w:rPr>
            </w:pPr>
          </w:p>
        </w:tc>
        <w:tc>
          <w:tcPr>
            <w:tcW w:w="572" w:type="dxa"/>
            <w:noWrap/>
            <w:hideMark/>
          </w:tcPr>
          <w:p w14:paraId="3CC5DBA1"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603</w:t>
            </w:r>
          </w:p>
        </w:tc>
        <w:tc>
          <w:tcPr>
            <w:tcW w:w="774" w:type="dxa"/>
            <w:noWrap/>
            <w:hideMark/>
          </w:tcPr>
          <w:p w14:paraId="0D877BD8"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117</w:t>
            </w:r>
          </w:p>
        </w:tc>
        <w:tc>
          <w:tcPr>
            <w:tcW w:w="2549" w:type="dxa"/>
            <w:noWrap/>
            <w:hideMark/>
          </w:tcPr>
          <w:p w14:paraId="21A6C478"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Planes y proyectos urbanos estratégicos la zona central histórica de la ciudad de Guatemala</w:t>
            </w:r>
            <w:r w:rsidRPr="008F7682">
              <w:rPr>
                <w:rFonts w:ascii="Helvetica" w:eastAsia="Times New Roman" w:hAnsi="Helvetica" w:cs="Helvetica"/>
                <w:sz w:val="16"/>
                <w:szCs w:val="16"/>
                <w:lang w:eastAsia="es-GT"/>
              </w:rPr>
              <w:br/>
              <w:t>-FASE II- (RE. #2018-SPE-0000400185)</w:t>
            </w:r>
          </w:p>
        </w:tc>
        <w:tc>
          <w:tcPr>
            <w:tcW w:w="1487" w:type="dxa"/>
            <w:noWrap/>
            <w:hideMark/>
          </w:tcPr>
          <w:p w14:paraId="15CBEF83"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Q2,150,000.00</w:t>
            </w:r>
          </w:p>
        </w:tc>
        <w:tc>
          <w:tcPr>
            <w:tcW w:w="1364" w:type="dxa"/>
            <w:noWrap/>
            <w:hideMark/>
          </w:tcPr>
          <w:p w14:paraId="4BB025BE"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Q886,258.56</w:t>
            </w:r>
          </w:p>
        </w:tc>
        <w:tc>
          <w:tcPr>
            <w:tcW w:w="837" w:type="dxa"/>
            <w:noWrap/>
            <w:hideMark/>
          </w:tcPr>
          <w:p w14:paraId="3FA4C9DB"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41.22%</w:t>
            </w:r>
          </w:p>
        </w:tc>
      </w:tr>
      <w:tr w:rsidR="00CE3D5C" w:rsidRPr="008F7682" w14:paraId="6366381F" w14:textId="77777777" w:rsidTr="008C0C9C">
        <w:trPr>
          <w:trHeight w:val="660"/>
        </w:trPr>
        <w:tc>
          <w:tcPr>
            <w:tcW w:w="474" w:type="dxa"/>
            <w:noWrap/>
            <w:hideMark/>
          </w:tcPr>
          <w:p w14:paraId="5BB095A5"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19</w:t>
            </w:r>
          </w:p>
        </w:tc>
        <w:tc>
          <w:tcPr>
            <w:tcW w:w="1577" w:type="dxa"/>
            <w:hideMark/>
          </w:tcPr>
          <w:p w14:paraId="2069C724"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EMPRESA FERROCARRILES DE GUATEMALA </w:t>
            </w:r>
          </w:p>
        </w:tc>
        <w:tc>
          <w:tcPr>
            <w:tcW w:w="572" w:type="dxa"/>
            <w:hideMark/>
          </w:tcPr>
          <w:p w14:paraId="15096EA5"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402</w:t>
            </w:r>
          </w:p>
        </w:tc>
        <w:tc>
          <w:tcPr>
            <w:tcW w:w="774" w:type="dxa"/>
            <w:hideMark/>
          </w:tcPr>
          <w:p w14:paraId="25E67D1F"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77</w:t>
            </w:r>
          </w:p>
        </w:tc>
        <w:tc>
          <w:tcPr>
            <w:tcW w:w="2549" w:type="dxa"/>
            <w:hideMark/>
          </w:tcPr>
          <w:p w14:paraId="165AC530"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Apoyo a la estructuración del proyecto </w:t>
            </w:r>
            <w:proofErr w:type="spellStart"/>
            <w:r w:rsidRPr="008F7682">
              <w:rPr>
                <w:rFonts w:ascii="Helvetica" w:eastAsia="Times New Roman" w:hAnsi="Helvetica" w:cs="Helvetica"/>
                <w:sz w:val="16"/>
                <w:szCs w:val="16"/>
                <w:lang w:eastAsia="es-GT"/>
              </w:rPr>
              <w:t>metroriel</w:t>
            </w:r>
            <w:proofErr w:type="spellEnd"/>
            <w:r w:rsidRPr="008F7682">
              <w:rPr>
                <w:rFonts w:ascii="Helvetica" w:eastAsia="Times New Roman" w:hAnsi="Helvetica" w:cs="Helvetica"/>
                <w:sz w:val="16"/>
                <w:szCs w:val="16"/>
                <w:lang w:eastAsia="es-GT"/>
              </w:rPr>
              <w:t>, manejo ambiental y de sostenibilidad</w:t>
            </w:r>
          </w:p>
        </w:tc>
        <w:tc>
          <w:tcPr>
            <w:tcW w:w="1487" w:type="dxa"/>
            <w:hideMark/>
          </w:tcPr>
          <w:p w14:paraId="334B7B62"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1364" w:type="dxa"/>
            <w:hideMark/>
          </w:tcPr>
          <w:p w14:paraId="71C93A3C"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Q0.00</w:t>
            </w:r>
          </w:p>
        </w:tc>
        <w:tc>
          <w:tcPr>
            <w:tcW w:w="837" w:type="dxa"/>
            <w:noWrap/>
            <w:hideMark/>
          </w:tcPr>
          <w:p w14:paraId="4FCC159E" w14:textId="77777777" w:rsidR="00CE3D5C" w:rsidRPr="008F7682" w:rsidRDefault="00CE3D5C" w:rsidP="00CE3D5C">
            <w:pPr>
              <w:jc w:val="cente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0.00%</w:t>
            </w:r>
          </w:p>
        </w:tc>
      </w:tr>
      <w:tr w:rsidR="00CE3D5C" w:rsidRPr="008F7682" w14:paraId="0E488740" w14:textId="77777777" w:rsidTr="008C0C9C">
        <w:trPr>
          <w:trHeight w:val="320"/>
        </w:trPr>
        <w:tc>
          <w:tcPr>
            <w:tcW w:w="474" w:type="dxa"/>
            <w:shd w:val="clear" w:color="auto" w:fill="D9E2F3" w:themeFill="accent1" w:themeFillTint="33"/>
            <w:noWrap/>
            <w:hideMark/>
          </w:tcPr>
          <w:p w14:paraId="6383E26A"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w:t>
            </w:r>
          </w:p>
        </w:tc>
        <w:tc>
          <w:tcPr>
            <w:tcW w:w="1577" w:type="dxa"/>
            <w:shd w:val="clear" w:color="auto" w:fill="D9E2F3" w:themeFill="accent1" w:themeFillTint="33"/>
            <w:noWrap/>
            <w:hideMark/>
          </w:tcPr>
          <w:p w14:paraId="5591DE97"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w:t>
            </w:r>
          </w:p>
        </w:tc>
        <w:tc>
          <w:tcPr>
            <w:tcW w:w="572" w:type="dxa"/>
            <w:shd w:val="clear" w:color="auto" w:fill="D9E2F3" w:themeFill="accent1" w:themeFillTint="33"/>
            <w:noWrap/>
            <w:hideMark/>
          </w:tcPr>
          <w:p w14:paraId="581517C7"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w:t>
            </w:r>
          </w:p>
        </w:tc>
        <w:tc>
          <w:tcPr>
            <w:tcW w:w="774" w:type="dxa"/>
            <w:shd w:val="clear" w:color="auto" w:fill="D9E2F3" w:themeFill="accent1" w:themeFillTint="33"/>
            <w:noWrap/>
            <w:hideMark/>
          </w:tcPr>
          <w:p w14:paraId="3C3E0DBA"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w:t>
            </w:r>
          </w:p>
        </w:tc>
        <w:tc>
          <w:tcPr>
            <w:tcW w:w="2549" w:type="dxa"/>
            <w:shd w:val="clear" w:color="auto" w:fill="D9E2F3" w:themeFill="accent1" w:themeFillTint="33"/>
            <w:hideMark/>
          </w:tcPr>
          <w:p w14:paraId="33A169A5" w14:textId="77777777" w:rsidR="00CE3D5C" w:rsidRPr="008F7682" w:rsidRDefault="00CE3D5C" w:rsidP="00CE3D5C">
            <w:pPr>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TOTAL GENERAL </w:t>
            </w:r>
          </w:p>
        </w:tc>
        <w:tc>
          <w:tcPr>
            <w:tcW w:w="1487" w:type="dxa"/>
            <w:shd w:val="clear" w:color="auto" w:fill="D9E2F3" w:themeFill="accent1" w:themeFillTint="33"/>
            <w:hideMark/>
          </w:tcPr>
          <w:p w14:paraId="525EA6F2"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144,052,473.71 </w:t>
            </w:r>
          </w:p>
        </w:tc>
        <w:tc>
          <w:tcPr>
            <w:tcW w:w="1364" w:type="dxa"/>
            <w:shd w:val="clear" w:color="auto" w:fill="D9E2F3" w:themeFill="accent1" w:themeFillTint="33"/>
            <w:hideMark/>
          </w:tcPr>
          <w:p w14:paraId="1437811C" w14:textId="77777777" w:rsidR="00CE3D5C" w:rsidRPr="008F7682" w:rsidRDefault="00CE3D5C" w:rsidP="00CE3D5C">
            <w:pPr>
              <w:jc w:val="right"/>
              <w:rPr>
                <w:rFonts w:ascii="Helvetica" w:eastAsia="Times New Roman" w:hAnsi="Helvetica" w:cs="Helvetica"/>
                <w:sz w:val="16"/>
                <w:szCs w:val="16"/>
                <w:lang w:eastAsia="es-GT"/>
              </w:rPr>
            </w:pPr>
            <w:r w:rsidRPr="008F7682">
              <w:rPr>
                <w:rFonts w:ascii="Helvetica" w:eastAsia="Times New Roman" w:hAnsi="Helvetica" w:cs="Helvetica"/>
                <w:sz w:val="16"/>
                <w:szCs w:val="16"/>
                <w:lang w:eastAsia="es-GT"/>
              </w:rPr>
              <w:t xml:space="preserve">    80,316,731.81 </w:t>
            </w:r>
          </w:p>
        </w:tc>
        <w:tc>
          <w:tcPr>
            <w:tcW w:w="837" w:type="dxa"/>
            <w:shd w:val="clear" w:color="auto" w:fill="D9E2F3" w:themeFill="accent1" w:themeFillTint="33"/>
            <w:hideMark/>
          </w:tcPr>
          <w:p w14:paraId="3060D7EE" w14:textId="77777777" w:rsidR="00CE3D5C" w:rsidRPr="008F7682" w:rsidRDefault="00CE3D5C" w:rsidP="00CE3D5C">
            <w:pPr>
              <w:jc w:val="center"/>
              <w:rPr>
                <w:rFonts w:ascii="Helvetica" w:eastAsia="Times New Roman" w:hAnsi="Helvetica" w:cs="Helvetica"/>
                <w:b/>
                <w:bCs/>
                <w:sz w:val="16"/>
                <w:szCs w:val="16"/>
                <w:lang w:eastAsia="es-GT"/>
              </w:rPr>
            </w:pPr>
            <w:r w:rsidRPr="008F7682">
              <w:rPr>
                <w:rFonts w:ascii="Helvetica" w:eastAsia="Times New Roman" w:hAnsi="Helvetica" w:cs="Helvetica"/>
                <w:b/>
                <w:bCs/>
                <w:sz w:val="16"/>
                <w:szCs w:val="16"/>
                <w:lang w:eastAsia="es-GT"/>
              </w:rPr>
              <w:t>55.76%</w:t>
            </w:r>
          </w:p>
        </w:tc>
      </w:tr>
    </w:tbl>
    <w:p w14:paraId="0F796829" w14:textId="17FDFCEB" w:rsidR="00CE3D5C" w:rsidRPr="002C291F" w:rsidRDefault="00CE3D5C" w:rsidP="0078103A">
      <w:pPr>
        <w:spacing w:after="0" w:line="240" w:lineRule="auto"/>
        <w:rPr>
          <w:rFonts w:ascii="Helvetica" w:eastAsia="MS PGothic" w:hAnsi="Helvetica" w:cs="Helvetica"/>
          <w:iCs/>
          <w:sz w:val="18"/>
          <w:szCs w:val="18"/>
          <w:lang w:eastAsia="es-GT"/>
        </w:rPr>
      </w:pPr>
      <w:r w:rsidRPr="002C291F">
        <w:rPr>
          <w:rFonts w:ascii="Helvetica" w:eastAsia="MS PGothic" w:hAnsi="Helvetica" w:cs="Helvetica"/>
          <w:bCs/>
          <w:iCs/>
          <w:sz w:val="18"/>
          <w:szCs w:val="18"/>
          <w:lang w:eastAsia="es-GT"/>
        </w:rPr>
        <w:t>Fuente: Elaboración propia SEGEPLAN con datos del Sistema de Contabilidad Integrada -SICOINDES</w:t>
      </w:r>
      <w:r w:rsidR="0078103A" w:rsidRPr="002C291F">
        <w:rPr>
          <w:rFonts w:ascii="Helvetica" w:eastAsia="MS PGothic" w:hAnsi="Helvetica" w:cs="Helvetica"/>
          <w:bCs/>
          <w:iCs/>
          <w:sz w:val="18"/>
          <w:szCs w:val="18"/>
          <w:lang w:eastAsia="es-GT"/>
        </w:rPr>
        <w:t xml:space="preserve"> </w:t>
      </w:r>
      <w:r w:rsidRPr="002C291F">
        <w:rPr>
          <w:rFonts w:ascii="Helvetica" w:eastAsia="MS PGothic" w:hAnsi="Helvetica" w:cs="Helvetica"/>
          <w:bCs/>
          <w:iCs/>
          <w:sz w:val="18"/>
          <w:szCs w:val="18"/>
          <w:lang w:eastAsia="es-GT"/>
        </w:rPr>
        <w:t>Ejercicio Fiscal 2020</w:t>
      </w:r>
      <w:r w:rsidRPr="002C291F">
        <w:rPr>
          <w:rFonts w:ascii="Helvetica" w:eastAsia="MS PGothic" w:hAnsi="Helvetica" w:cs="Helvetica"/>
          <w:iCs/>
          <w:sz w:val="18"/>
          <w:szCs w:val="18"/>
          <w:lang w:eastAsia="es-GT"/>
        </w:rPr>
        <w:t>.</w:t>
      </w:r>
    </w:p>
    <w:p w14:paraId="406CC439" w14:textId="77777777" w:rsidR="00F2181E" w:rsidRDefault="00F2181E" w:rsidP="008F7682">
      <w:pPr>
        <w:tabs>
          <w:tab w:val="num" w:pos="360"/>
        </w:tabs>
        <w:rPr>
          <w:rFonts w:ascii="Helvetica" w:eastAsiaTheme="majorEastAsia" w:hAnsi="Helvetica" w:cstheme="majorBidi"/>
          <w:b/>
          <w:color w:val="002060"/>
          <w:sz w:val="28"/>
          <w:szCs w:val="28"/>
        </w:rPr>
      </w:pPr>
      <w:bookmarkStart w:id="142" w:name="_Toc442273390"/>
      <w:bookmarkStart w:id="143" w:name="_Toc31818089"/>
      <w:bookmarkEnd w:id="140"/>
    </w:p>
    <w:p w14:paraId="3F9DB26E" w14:textId="7F1F9BFF" w:rsidR="00CE3D5C" w:rsidRPr="003B1BD8" w:rsidRDefault="00CE3D5C" w:rsidP="00AA2593">
      <w:pPr>
        <w:tabs>
          <w:tab w:val="num" w:pos="360"/>
        </w:tabs>
        <w:jc w:val="both"/>
        <w:rPr>
          <w:rFonts w:ascii="Helvetica" w:eastAsiaTheme="majorEastAsia" w:hAnsi="Helvetica" w:cstheme="majorBidi"/>
          <w:b/>
          <w:color w:val="002060"/>
          <w:sz w:val="28"/>
          <w:szCs w:val="28"/>
        </w:rPr>
      </w:pPr>
      <w:r w:rsidRPr="003B1BD8">
        <w:rPr>
          <w:rFonts w:ascii="Helvetica" w:eastAsiaTheme="majorEastAsia" w:hAnsi="Helvetica" w:cstheme="majorBidi"/>
          <w:b/>
          <w:color w:val="002060"/>
          <w:sz w:val="28"/>
          <w:szCs w:val="28"/>
        </w:rPr>
        <w:t>Donaciones Corrientes por Fuente Cooperante Previstas en el Presupuesto General de Ingresos y Egresos 2020</w:t>
      </w:r>
      <w:bookmarkEnd w:id="142"/>
      <w:bookmarkEnd w:id="143"/>
    </w:p>
    <w:p w14:paraId="1FD2EF05" w14:textId="32935C44" w:rsidR="00CE3D5C" w:rsidRPr="00AA2593" w:rsidRDefault="00CE3D5C" w:rsidP="00CE3D5C">
      <w:pPr>
        <w:spacing w:after="0" w:line="240" w:lineRule="auto"/>
        <w:jc w:val="both"/>
        <w:rPr>
          <w:rFonts w:ascii="Helvetica" w:eastAsia="MS PGothic" w:hAnsi="Helvetica" w:cs="Helvetica"/>
          <w:bCs/>
          <w:sz w:val="24"/>
          <w:szCs w:val="24"/>
          <w:lang w:eastAsia="es-GT"/>
        </w:rPr>
      </w:pPr>
      <w:r w:rsidRPr="00AA2593">
        <w:rPr>
          <w:rFonts w:ascii="Helvetica" w:eastAsia="MS PGothic" w:hAnsi="Helvetica" w:cs="Helvetica"/>
          <w:bCs/>
          <w:sz w:val="24"/>
          <w:szCs w:val="24"/>
          <w:lang w:eastAsia="es-GT"/>
        </w:rPr>
        <w:t>El presupuesto vigente para donaciones</w:t>
      </w:r>
      <w:r w:rsidR="00B74478">
        <w:rPr>
          <w:rFonts w:ascii="Helvetica" w:eastAsia="MS PGothic" w:hAnsi="Helvetica" w:cs="Helvetica"/>
          <w:bCs/>
          <w:sz w:val="24"/>
          <w:szCs w:val="24"/>
          <w:lang w:eastAsia="es-GT"/>
        </w:rPr>
        <w:t>,</w:t>
      </w:r>
      <w:r w:rsidRPr="00AA2593">
        <w:rPr>
          <w:rFonts w:ascii="Helvetica" w:eastAsia="MS PGothic" w:hAnsi="Helvetica" w:cs="Helvetica"/>
          <w:bCs/>
          <w:sz w:val="24"/>
          <w:szCs w:val="24"/>
          <w:lang w:eastAsia="es-GT"/>
        </w:rPr>
        <w:t xml:space="preserve"> incluye varias fuentes cooperantes, de las cuales cuatro integran el 68.73% del presupuesto vigente equivalente a Q.247.34 millones.  En la gráfica</w:t>
      </w:r>
      <w:r w:rsidR="00D5716C" w:rsidRPr="00AA2593">
        <w:rPr>
          <w:rFonts w:ascii="Helvetica" w:eastAsia="MS PGothic" w:hAnsi="Helvetica" w:cs="Helvetica"/>
          <w:bCs/>
          <w:sz w:val="24"/>
          <w:szCs w:val="24"/>
          <w:lang w:eastAsia="es-GT"/>
        </w:rPr>
        <w:t xml:space="preserve"> 11</w:t>
      </w:r>
      <w:r w:rsidRPr="00AA2593">
        <w:rPr>
          <w:rFonts w:ascii="Helvetica" w:eastAsia="MS PGothic" w:hAnsi="Helvetica" w:cs="Helvetica"/>
          <w:bCs/>
          <w:sz w:val="24"/>
          <w:szCs w:val="24"/>
          <w:lang w:eastAsia="es-GT"/>
        </w:rPr>
        <w:t>, se muestra el presupuesto asignado al inicio del ejercicio fiscal y el presupuesto vigente al 31 de diciembre de 2020.</w:t>
      </w:r>
    </w:p>
    <w:p w14:paraId="0D39B6C7" w14:textId="77923A0E" w:rsidR="003E1E24" w:rsidRDefault="003E1E24" w:rsidP="00CE3D5C">
      <w:pPr>
        <w:spacing w:after="0" w:line="240" w:lineRule="auto"/>
        <w:jc w:val="both"/>
        <w:rPr>
          <w:rFonts w:ascii="Helvetica" w:eastAsia="MS PGothic" w:hAnsi="Helvetica" w:cs="Helvetica"/>
          <w:bCs/>
          <w:sz w:val="24"/>
          <w:szCs w:val="24"/>
          <w:lang w:eastAsia="es-GT"/>
        </w:rPr>
      </w:pPr>
    </w:p>
    <w:p w14:paraId="3FCA32DB" w14:textId="77777777" w:rsidR="008C0C9C" w:rsidRDefault="008C0C9C" w:rsidP="00CE3D5C">
      <w:pPr>
        <w:spacing w:after="0" w:line="240" w:lineRule="auto"/>
        <w:jc w:val="both"/>
        <w:rPr>
          <w:rFonts w:ascii="Helvetica" w:eastAsia="MS PGothic" w:hAnsi="Helvetica" w:cs="Helvetica"/>
          <w:bCs/>
          <w:sz w:val="24"/>
          <w:szCs w:val="24"/>
          <w:lang w:eastAsia="es-GT"/>
        </w:rPr>
      </w:pPr>
    </w:p>
    <w:p w14:paraId="69843FC6" w14:textId="27816475" w:rsidR="003562C1" w:rsidRDefault="003E1E24" w:rsidP="008F7682">
      <w:pPr>
        <w:pStyle w:val="ttulosgrficas"/>
        <w:rPr>
          <w:lang w:eastAsia="es-GT"/>
        </w:rPr>
      </w:pPr>
      <w:bookmarkStart w:id="144" w:name="_Toc67377818"/>
      <w:bookmarkStart w:id="145" w:name="_Toc67381561"/>
      <w:bookmarkStart w:id="146" w:name="_Toc67589111"/>
      <w:r w:rsidRPr="003562C1">
        <w:rPr>
          <w:lang w:eastAsia="es-GT"/>
        </w:rPr>
        <w:t>Gráfica</w:t>
      </w:r>
      <w:r>
        <w:rPr>
          <w:lang w:eastAsia="es-GT"/>
        </w:rPr>
        <w:t xml:space="preserve"> </w:t>
      </w:r>
      <w:r w:rsidR="007F134F">
        <w:rPr>
          <w:lang w:eastAsia="es-GT"/>
        </w:rPr>
        <w:fldChar w:fldCharType="begin"/>
      </w:r>
      <w:r w:rsidR="007F134F">
        <w:rPr>
          <w:lang w:eastAsia="es-GT"/>
        </w:rPr>
        <w:instrText xml:space="preserve"> SEQ Gráfica \* ARABIC </w:instrText>
      </w:r>
      <w:r w:rsidR="007F134F">
        <w:rPr>
          <w:lang w:eastAsia="es-GT"/>
        </w:rPr>
        <w:fldChar w:fldCharType="separate"/>
      </w:r>
      <w:r w:rsidR="00AA2593">
        <w:rPr>
          <w:lang w:eastAsia="es-GT"/>
        </w:rPr>
        <w:t>11</w:t>
      </w:r>
      <w:bookmarkEnd w:id="144"/>
      <w:bookmarkEnd w:id="145"/>
      <w:r w:rsidR="007F134F">
        <w:rPr>
          <w:lang w:eastAsia="es-GT"/>
        </w:rPr>
        <w:fldChar w:fldCharType="end"/>
      </w:r>
      <w:r w:rsidR="003562C1">
        <w:rPr>
          <w:lang w:eastAsia="es-GT"/>
        </w:rPr>
        <w:t xml:space="preserve">, </w:t>
      </w:r>
      <w:r w:rsidR="00CE3D5C" w:rsidRPr="008F7682">
        <w:rPr>
          <w:lang w:eastAsia="es-GT"/>
        </w:rPr>
        <w:t xml:space="preserve">Presupuesto de donaciones </w:t>
      </w:r>
      <w:r w:rsidR="008C0C9C">
        <w:rPr>
          <w:lang w:eastAsia="es-GT"/>
        </w:rPr>
        <w:t>A</w:t>
      </w:r>
      <w:r w:rsidR="00CE3D5C" w:rsidRPr="008F7682">
        <w:rPr>
          <w:lang w:eastAsia="es-GT"/>
        </w:rPr>
        <w:t>signado</w:t>
      </w:r>
      <w:bookmarkEnd w:id="146"/>
      <w:r w:rsidR="00CE3D5C" w:rsidRPr="008F7682">
        <w:rPr>
          <w:lang w:eastAsia="es-GT"/>
        </w:rPr>
        <w:t xml:space="preserve"> </w:t>
      </w:r>
    </w:p>
    <w:p w14:paraId="76B01652" w14:textId="7F7FEBC1" w:rsidR="00CE3D5C" w:rsidRDefault="00CE3D5C" w:rsidP="008F7682">
      <w:pPr>
        <w:pStyle w:val="ttulosgrficas"/>
        <w:rPr>
          <w:lang w:eastAsia="es-GT"/>
        </w:rPr>
      </w:pPr>
      <w:r w:rsidRPr="008F7682">
        <w:rPr>
          <w:lang w:eastAsia="es-GT"/>
        </w:rPr>
        <w:t>versus Vigente</w:t>
      </w:r>
      <w:r w:rsidR="008F7682">
        <w:rPr>
          <w:lang w:eastAsia="es-GT"/>
        </w:rPr>
        <w:t xml:space="preserve"> por fuente cooperante</w:t>
      </w:r>
    </w:p>
    <w:p w14:paraId="6AAD831C" w14:textId="77777777" w:rsidR="00AA2593" w:rsidRPr="008F7682" w:rsidRDefault="00AA2593" w:rsidP="00AA2593">
      <w:pPr>
        <w:pStyle w:val="ttulosgrficas"/>
        <w:spacing w:line="120" w:lineRule="auto"/>
        <w:rPr>
          <w:lang w:eastAsia="es-GT"/>
        </w:rPr>
      </w:pPr>
    </w:p>
    <w:tbl>
      <w:tblPr>
        <w:tblW w:w="9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31"/>
        <w:gridCol w:w="4815"/>
      </w:tblGrid>
      <w:tr w:rsidR="00CE3D5C" w:rsidRPr="008F7682" w14:paraId="2AE54505" w14:textId="77777777" w:rsidTr="00CE3D5C">
        <w:trPr>
          <w:trHeight w:val="340"/>
          <w:jc w:val="center"/>
        </w:trPr>
        <w:tc>
          <w:tcPr>
            <w:tcW w:w="4531" w:type="dxa"/>
            <w:vAlign w:val="center"/>
          </w:tcPr>
          <w:p w14:paraId="46B21082" w14:textId="77777777" w:rsidR="00CE3D5C" w:rsidRPr="008F7682" w:rsidRDefault="00CE3D5C" w:rsidP="00CE3D5C">
            <w:pPr>
              <w:spacing w:after="0" w:line="240" w:lineRule="auto"/>
              <w:jc w:val="center"/>
              <w:rPr>
                <w:rFonts w:ascii="Helvetica" w:eastAsia="MS PGothic" w:hAnsi="Helvetica" w:cs="Helvetica"/>
                <w:b/>
                <w:bCs/>
                <w:i/>
                <w:iCs/>
                <w:sz w:val="20"/>
                <w:szCs w:val="20"/>
                <w:lang w:eastAsia="es-GT"/>
              </w:rPr>
            </w:pPr>
            <w:r w:rsidRPr="008F7682">
              <w:rPr>
                <w:rFonts w:ascii="Helvetica" w:eastAsia="MS PGothic" w:hAnsi="Helvetica" w:cs="Helvetica"/>
                <w:b/>
                <w:bCs/>
                <w:i/>
                <w:iCs/>
                <w:sz w:val="20"/>
                <w:szCs w:val="20"/>
                <w:lang w:eastAsia="es-GT"/>
              </w:rPr>
              <w:t>Asignado</w:t>
            </w:r>
          </w:p>
        </w:tc>
        <w:tc>
          <w:tcPr>
            <w:tcW w:w="4815" w:type="dxa"/>
            <w:vAlign w:val="center"/>
          </w:tcPr>
          <w:p w14:paraId="38302AC3" w14:textId="77777777" w:rsidR="00CE3D5C" w:rsidRPr="008F7682" w:rsidRDefault="00CE3D5C" w:rsidP="00CE3D5C">
            <w:pPr>
              <w:spacing w:after="0" w:line="240" w:lineRule="auto"/>
              <w:jc w:val="center"/>
              <w:rPr>
                <w:rFonts w:ascii="Helvetica" w:eastAsia="MS PGothic" w:hAnsi="Helvetica" w:cs="Helvetica"/>
                <w:b/>
                <w:bCs/>
                <w:i/>
                <w:iCs/>
                <w:sz w:val="20"/>
                <w:szCs w:val="20"/>
                <w:lang w:eastAsia="es-GT"/>
              </w:rPr>
            </w:pPr>
            <w:r w:rsidRPr="008F7682">
              <w:rPr>
                <w:rFonts w:ascii="Helvetica" w:eastAsia="MS PGothic" w:hAnsi="Helvetica" w:cs="Helvetica"/>
                <w:b/>
                <w:bCs/>
                <w:i/>
                <w:iCs/>
                <w:sz w:val="20"/>
                <w:szCs w:val="20"/>
                <w:lang w:eastAsia="es-GT"/>
              </w:rPr>
              <w:t>Vigente</w:t>
            </w:r>
          </w:p>
        </w:tc>
      </w:tr>
      <w:tr w:rsidR="00CE3D5C" w:rsidRPr="008F7682" w14:paraId="18EC58A0" w14:textId="77777777" w:rsidTr="00CE3D5C">
        <w:trPr>
          <w:trHeight w:val="340"/>
          <w:jc w:val="center"/>
        </w:trPr>
        <w:tc>
          <w:tcPr>
            <w:tcW w:w="4531" w:type="dxa"/>
          </w:tcPr>
          <w:p w14:paraId="3895A3EA" w14:textId="77777777" w:rsidR="00CE3D5C" w:rsidRPr="008F7682" w:rsidRDefault="00CE3D5C" w:rsidP="00CE3D5C">
            <w:pPr>
              <w:spacing w:after="0" w:line="240" w:lineRule="auto"/>
              <w:rPr>
                <w:rFonts w:ascii="Helvetica" w:eastAsia="MS PGothic" w:hAnsi="Helvetica" w:cs="Helvetica"/>
                <w:noProof/>
                <w:color w:val="FF0000"/>
                <w:lang w:eastAsia="es-GT"/>
              </w:rPr>
            </w:pPr>
            <w:r w:rsidRPr="008F7682">
              <w:rPr>
                <w:rFonts w:ascii="Helvetica" w:eastAsia="MS PGothic" w:hAnsi="Helvetica" w:cs="Helvetica"/>
                <w:noProof/>
                <w:lang w:eastAsia="es-GT"/>
              </w:rPr>
              <w:drawing>
                <wp:inline distT="0" distB="0" distL="0" distR="0" wp14:anchorId="55A0051E" wp14:editId="76F122FE">
                  <wp:extent cx="2788285" cy="2190750"/>
                  <wp:effectExtent l="0" t="0" r="12065" b="0"/>
                  <wp:docPr id="2" name="Gráfico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CA3D8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4815" w:type="dxa"/>
          </w:tcPr>
          <w:p w14:paraId="5FBE0C57" w14:textId="77777777" w:rsidR="00CE3D5C" w:rsidRPr="008F7682" w:rsidRDefault="00CE3D5C" w:rsidP="00CE3D5C">
            <w:pPr>
              <w:spacing w:after="0" w:line="240" w:lineRule="auto"/>
              <w:jc w:val="center"/>
              <w:rPr>
                <w:rFonts w:ascii="Helvetica" w:eastAsia="MS PGothic" w:hAnsi="Helvetica" w:cs="Helvetica"/>
                <w:b/>
                <w:bCs/>
                <w:i/>
                <w:iCs/>
                <w:sz w:val="20"/>
                <w:szCs w:val="20"/>
                <w:lang w:eastAsia="es-GT"/>
              </w:rPr>
            </w:pPr>
            <w:r w:rsidRPr="008F7682">
              <w:rPr>
                <w:rFonts w:ascii="Helvetica" w:eastAsia="MS PGothic" w:hAnsi="Helvetica" w:cs="Helvetica"/>
                <w:noProof/>
                <w:lang w:eastAsia="es-GT"/>
              </w:rPr>
              <w:drawing>
                <wp:inline distT="0" distB="0" distL="0" distR="0" wp14:anchorId="1BD854F9" wp14:editId="5540A11C">
                  <wp:extent cx="2968625" cy="2162175"/>
                  <wp:effectExtent l="0" t="0" r="3175" b="9525"/>
                  <wp:docPr id="1" name="Gráfico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C93D8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14:paraId="3E109EA2" w14:textId="3A4417B0" w:rsidR="00CE3D5C" w:rsidRPr="008F7682" w:rsidRDefault="00CE3D5C" w:rsidP="00CE3D5C">
      <w:pPr>
        <w:spacing w:after="0" w:line="240" w:lineRule="auto"/>
        <w:jc w:val="both"/>
        <w:rPr>
          <w:rFonts w:ascii="Helvetica" w:eastAsia="MS PGothic" w:hAnsi="Helvetica" w:cs="Helvetica"/>
          <w:i/>
          <w:iCs/>
          <w:sz w:val="16"/>
          <w:szCs w:val="18"/>
          <w:lang w:eastAsia="es-GT"/>
        </w:rPr>
      </w:pPr>
      <w:r w:rsidRPr="008F7682">
        <w:rPr>
          <w:rFonts w:ascii="Helvetica" w:eastAsia="MS PGothic" w:hAnsi="Helvetica" w:cs="Helvetica"/>
          <w:b/>
          <w:bCs/>
          <w:i/>
          <w:iCs/>
          <w:sz w:val="16"/>
          <w:szCs w:val="18"/>
          <w:lang w:eastAsia="es-GT"/>
        </w:rPr>
        <w:t>Fuente: Elaboración propia SEGEPLAN con base a datos del Sistema de Contabilidad Integrada –SICOIN y SICOINDES- Ejercicio Fiscal 2020</w:t>
      </w:r>
      <w:r w:rsidRPr="008F7682">
        <w:rPr>
          <w:rFonts w:ascii="Helvetica" w:eastAsia="MS PGothic" w:hAnsi="Helvetica" w:cs="Helvetica"/>
          <w:i/>
          <w:iCs/>
          <w:sz w:val="16"/>
          <w:szCs w:val="18"/>
          <w:lang w:eastAsia="es-GT"/>
        </w:rPr>
        <w:t xml:space="preserve">.  El presupuesto presentado incluye la asignación por fuente en SICOIN </w:t>
      </w:r>
      <w:r w:rsidR="008C0C9C">
        <w:rPr>
          <w:rFonts w:ascii="Helvetica" w:eastAsia="MS PGothic" w:hAnsi="Helvetica" w:cs="Helvetica"/>
          <w:i/>
          <w:iCs/>
          <w:sz w:val="16"/>
          <w:szCs w:val="18"/>
          <w:lang w:eastAsia="es-GT"/>
        </w:rPr>
        <w:t>c</w:t>
      </w:r>
      <w:r w:rsidRPr="008F7682">
        <w:rPr>
          <w:rFonts w:ascii="Helvetica" w:eastAsia="MS PGothic" w:hAnsi="Helvetica" w:cs="Helvetica"/>
          <w:i/>
          <w:iCs/>
          <w:sz w:val="16"/>
          <w:szCs w:val="18"/>
          <w:lang w:eastAsia="es-GT"/>
        </w:rPr>
        <w:t xml:space="preserve">entral y SICOINDES descentralizado y resta el presupuesto de </w:t>
      </w:r>
      <w:r w:rsidR="008C0C9C">
        <w:rPr>
          <w:rFonts w:ascii="Helvetica" w:eastAsia="MS PGothic" w:hAnsi="Helvetica" w:cs="Helvetica"/>
          <w:i/>
          <w:iCs/>
          <w:sz w:val="16"/>
          <w:szCs w:val="18"/>
          <w:lang w:eastAsia="es-GT"/>
        </w:rPr>
        <w:t>o</w:t>
      </w:r>
      <w:r w:rsidRPr="008F7682">
        <w:rPr>
          <w:rFonts w:ascii="Helvetica" w:eastAsia="MS PGothic" w:hAnsi="Helvetica" w:cs="Helvetica"/>
          <w:i/>
          <w:iCs/>
          <w:sz w:val="16"/>
          <w:szCs w:val="18"/>
          <w:lang w:eastAsia="es-GT"/>
        </w:rPr>
        <w:t xml:space="preserve">bligaciones del Estado a </w:t>
      </w:r>
      <w:r w:rsidR="008C0C9C">
        <w:rPr>
          <w:rFonts w:ascii="Helvetica" w:eastAsia="MS PGothic" w:hAnsi="Helvetica" w:cs="Helvetica"/>
          <w:i/>
          <w:iCs/>
          <w:sz w:val="16"/>
          <w:szCs w:val="18"/>
          <w:lang w:eastAsia="es-GT"/>
        </w:rPr>
        <w:t>c</w:t>
      </w:r>
      <w:r w:rsidRPr="008F7682">
        <w:rPr>
          <w:rFonts w:ascii="Helvetica" w:eastAsia="MS PGothic" w:hAnsi="Helvetica" w:cs="Helvetica"/>
          <w:i/>
          <w:iCs/>
          <w:sz w:val="16"/>
          <w:szCs w:val="18"/>
          <w:lang w:eastAsia="es-GT"/>
        </w:rPr>
        <w:t xml:space="preserve">argo del </w:t>
      </w:r>
      <w:r w:rsidR="008C0C9C">
        <w:rPr>
          <w:rFonts w:ascii="Helvetica" w:eastAsia="MS PGothic" w:hAnsi="Helvetica" w:cs="Helvetica"/>
          <w:i/>
          <w:iCs/>
          <w:sz w:val="16"/>
          <w:szCs w:val="18"/>
          <w:lang w:eastAsia="es-GT"/>
        </w:rPr>
        <w:t>t</w:t>
      </w:r>
      <w:r w:rsidRPr="008F7682">
        <w:rPr>
          <w:rFonts w:ascii="Helvetica" w:eastAsia="MS PGothic" w:hAnsi="Helvetica" w:cs="Helvetica"/>
          <w:i/>
          <w:iCs/>
          <w:sz w:val="16"/>
          <w:szCs w:val="18"/>
          <w:lang w:eastAsia="es-GT"/>
        </w:rPr>
        <w:t>esoro, el cual corresponde a transferencias para que instituciones descentralizadas ejecuten su asignación presupuestaria.  En el título varios, se ha agrupado a las fuentes: BCIE, BIRF, FIDA, JICA, ESPAÑA, CHINA-TAIWAN Y SUECIA, debido a que el presupuesto vigente para cada uno de ellos es menor a un valor de 15%.</w:t>
      </w:r>
    </w:p>
    <w:p w14:paraId="1EA282A6" w14:textId="77777777" w:rsidR="00CE3D5C" w:rsidRPr="008F7682" w:rsidRDefault="00CE3D5C" w:rsidP="00CE3D5C">
      <w:pPr>
        <w:spacing w:after="0" w:line="240" w:lineRule="auto"/>
        <w:jc w:val="both"/>
        <w:rPr>
          <w:rFonts w:ascii="Helvetica" w:eastAsia="MS PGothic" w:hAnsi="Helvetica" w:cs="Helvetica"/>
          <w:i/>
          <w:iCs/>
          <w:sz w:val="16"/>
          <w:szCs w:val="18"/>
          <w:lang w:eastAsia="es-GT"/>
        </w:rPr>
      </w:pPr>
    </w:p>
    <w:p w14:paraId="5B7ACCF4" w14:textId="053220B0" w:rsidR="00CE3D5C" w:rsidRPr="00AA2593" w:rsidRDefault="00CE3D5C" w:rsidP="00CE3D5C">
      <w:pPr>
        <w:spacing w:after="200" w:line="252" w:lineRule="auto"/>
        <w:jc w:val="both"/>
        <w:rPr>
          <w:rFonts w:ascii="Helvetica" w:eastAsia="MS PGothic" w:hAnsi="Helvetica" w:cs="Helvetica"/>
          <w:bCs/>
          <w:sz w:val="24"/>
          <w:szCs w:val="24"/>
          <w:highlight w:val="yellow"/>
          <w:lang w:eastAsia="es-GT"/>
        </w:rPr>
      </w:pPr>
      <w:r w:rsidRPr="00AA2593">
        <w:rPr>
          <w:rFonts w:ascii="Helvetica" w:eastAsia="MS PGothic" w:hAnsi="Helvetica" w:cs="Helvetica"/>
          <w:bCs/>
          <w:sz w:val="24"/>
          <w:szCs w:val="24"/>
          <w:lang w:eastAsia="es-GT"/>
        </w:rPr>
        <w:t>Al 31 de diciembre de 2020 se registra ejecución de Q. 74.22 millones de quetzales, equivalentes al 43.66% del presupuesto vigente para estas cuatro fuentes cooperantes.</w:t>
      </w:r>
      <w:r w:rsidRPr="00AA2593">
        <w:rPr>
          <w:rFonts w:ascii="Helvetica" w:eastAsia="MS PGothic" w:hAnsi="Helvetica" w:cs="Helvetica"/>
          <w:bCs/>
          <w:sz w:val="24"/>
          <w:szCs w:val="24"/>
          <w:highlight w:val="yellow"/>
          <w:lang w:eastAsia="es-GT"/>
        </w:rPr>
        <w:t xml:space="preserve"> </w:t>
      </w:r>
    </w:p>
    <w:p w14:paraId="1307C667" w14:textId="77777777" w:rsidR="00AA2593" w:rsidRDefault="00AA2593" w:rsidP="003E1E24">
      <w:pPr>
        <w:spacing w:after="0" w:line="240" w:lineRule="auto"/>
        <w:jc w:val="center"/>
        <w:rPr>
          <w:rFonts w:ascii="Helvetica" w:eastAsia="MS PGothic" w:hAnsi="Helvetica" w:cs="Helvetica"/>
          <w:bCs/>
          <w:sz w:val="24"/>
          <w:szCs w:val="24"/>
          <w:lang w:eastAsia="es-GT"/>
        </w:rPr>
      </w:pPr>
      <w:bookmarkStart w:id="147" w:name="_Toc67377819"/>
      <w:bookmarkStart w:id="148" w:name="_Toc67381562"/>
    </w:p>
    <w:p w14:paraId="12BB26DA" w14:textId="65745396" w:rsidR="003562C1" w:rsidRDefault="003E1E24" w:rsidP="003E1E24">
      <w:pPr>
        <w:pStyle w:val="ttulosgrficas"/>
        <w:rPr>
          <w:lang w:eastAsia="es-GT"/>
        </w:rPr>
      </w:pPr>
      <w:bookmarkStart w:id="149" w:name="_Toc67589112"/>
      <w:r w:rsidRPr="003562C1">
        <w:rPr>
          <w:lang w:eastAsia="es-GT"/>
        </w:rPr>
        <w:t>Gráfica</w:t>
      </w:r>
      <w:r>
        <w:rPr>
          <w:lang w:eastAsia="es-GT"/>
        </w:rPr>
        <w:t xml:space="preserve"> </w:t>
      </w:r>
      <w:r w:rsidR="007F134F">
        <w:rPr>
          <w:lang w:eastAsia="es-GT"/>
        </w:rPr>
        <w:fldChar w:fldCharType="begin"/>
      </w:r>
      <w:r w:rsidR="007F134F">
        <w:rPr>
          <w:lang w:eastAsia="es-GT"/>
        </w:rPr>
        <w:instrText xml:space="preserve"> SEQ Gráfica \* ARABIC </w:instrText>
      </w:r>
      <w:r w:rsidR="007F134F">
        <w:rPr>
          <w:lang w:eastAsia="es-GT"/>
        </w:rPr>
        <w:fldChar w:fldCharType="separate"/>
      </w:r>
      <w:r w:rsidR="00AA2593">
        <w:rPr>
          <w:lang w:eastAsia="es-GT"/>
        </w:rPr>
        <w:t>12</w:t>
      </w:r>
      <w:bookmarkEnd w:id="147"/>
      <w:bookmarkEnd w:id="148"/>
      <w:r w:rsidR="007F134F">
        <w:rPr>
          <w:lang w:eastAsia="es-GT"/>
        </w:rPr>
        <w:fldChar w:fldCharType="end"/>
      </w:r>
      <w:r w:rsidR="003562C1">
        <w:rPr>
          <w:lang w:eastAsia="es-GT"/>
        </w:rPr>
        <w:t xml:space="preserve">, </w:t>
      </w:r>
      <w:r w:rsidR="00CE3D5C" w:rsidRPr="008F7682">
        <w:rPr>
          <w:lang w:eastAsia="es-GT"/>
        </w:rPr>
        <w:t xml:space="preserve">Ejecución 4 fuentes cooperantes - vigente </w:t>
      </w:r>
      <w:r w:rsidR="003562C1">
        <w:rPr>
          <w:lang w:eastAsia="es-GT"/>
        </w:rPr>
        <w:t>–</w:t>
      </w:r>
      <w:bookmarkEnd w:id="149"/>
      <w:r w:rsidR="00CE3D5C" w:rsidRPr="008F7682">
        <w:rPr>
          <w:lang w:eastAsia="es-GT"/>
        </w:rPr>
        <w:t xml:space="preserve"> </w:t>
      </w:r>
    </w:p>
    <w:p w14:paraId="065E3A1D" w14:textId="4A64A92E" w:rsidR="00CE3D5C" w:rsidRDefault="00CE3D5C" w:rsidP="003E1E24">
      <w:pPr>
        <w:pStyle w:val="ttulosgrficas"/>
        <w:rPr>
          <w:lang w:eastAsia="es-GT"/>
        </w:rPr>
      </w:pPr>
      <w:r w:rsidRPr="008F7682">
        <w:rPr>
          <w:lang w:eastAsia="es-GT"/>
        </w:rPr>
        <w:t>ejecución diciembre de 2020</w:t>
      </w:r>
    </w:p>
    <w:p w14:paraId="7D74632C" w14:textId="77777777" w:rsidR="00AA2593" w:rsidRPr="008F7682" w:rsidRDefault="00AA2593" w:rsidP="00AA2593">
      <w:pPr>
        <w:pStyle w:val="ttulosgrficas"/>
        <w:spacing w:line="120" w:lineRule="auto"/>
        <w:rPr>
          <w:lang w:eastAsia="es-GT"/>
        </w:rPr>
      </w:pPr>
    </w:p>
    <w:p w14:paraId="299CEB18" w14:textId="77777777" w:rsidR="00AA2593" w:rsidRDefault="00CE3D5C" w:rsidP="00AA2593">
      <w:pPr>
        <w:spacing w:after="0" w:line="240" w:lineRule="auto"/>
        <w:jc w:val="center"/>
        <w:rPr>
          <w:rFonts w:ascii="Helvetica" w:eastAsia="MS PGothic" w:hAnsi="Helvetica" w:cs="Helvetica"/>
          <w:b/>
          <w:bCs/>
          <w:i/>
          <w:iCs/>
          <w:sz w:val="20"/>
          <w:szCs w:val="20"/>
          <w:lang w:eastAsia="es-GT"/>
        </w:rPr>
      </w:pPr>
      <w:r w:rsidRPr="008F7682">
        <w:rPr>
          <w:rFonts w:ascii="Helvetica" w:eastAsia="MS PGothic" w:hAnsi="Helvetica" w:cs="Helvetica"/>
          <w:noProof/>
          <w:lang w:eastAsia="es-GT"/>
        </w:rPr>
        <w:drawing>
          <wp:inline distT="0" distB="0" distL="0" distR="0" wp14:anchorId="2B71820B" wp14:editId="44266C59">
            <wp:extent cx="4390970" cy="1995170"/>
            <wp:effectExtent l="0" t="0" r="10160" b="5080"/>
            <wp:docPr id="3" name="Gráfico 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6B67731" w14:textId="221DAC2B" w:rsidR="00CE3D5C" w:rsidRPr="00AA2593" w:rsidRDefault="00AA2593" w:rsidP="00AA2593">
      <w:pPr>
        <w:spacing w:after="0" w:line="240" w:lineRule="auto"/>
        <w:rPr>
          <w:rFonts w:ascii="Helvetica" w:eastAsia="MS PGothic" w:hAnsi="Helvetica" w:cs="Helvetica"/>
          <w:b/>
          <w:bCs/>
          <w:i/>
          <w:iCs/>
          <w:sz w:val="20"/>
          <w:szCs w:val="20"/>
          <w:lang w:eastAsia="es-GT"/>
        </w:rPr>
      </w:pPr>
      <w:r>
        <w:rPr>
          <w:rFonts w:ascii="Helvetica" w:eastAsia="MS PGothic" w:hAnsi="Helvetica" w:cs="Helvetica"/>
          <w:bCs/>
          <w:iCs/>
          <w:sz w:val="16"/>
          <w:szCs w:val="18"/>
          <w:lang w:eastAsia="es-GT"/>
        </w:rPr>
        <w:tab/>
      </w:r>
      <w:r>
        <w:rPr>
          <w:rFonts w:ascii="Helvetica" w:eastAsia="MS PGothic" w:hAnsi="Helvetica" w:cs="Helvetica"/>
          <w:bCs/>
          <w:iCs/>
          <w:sz w:val="16"/>
          <w:szCs w:val="18"/>
          <w:lang w:eastAsia="es-GT"/>
        </w:rPr>
        <w:tab/>
      </w:r>
      <w:r w:rsidR="00CE3D5C" w:rsidRPr="00F2181E">
        <w:rPr>
          <w:rFonts w:ascii="Helvetica" w:eastAsia="MS PGothic" w:hAnsi="Helvetica" w:cs="Helvetica"/>
          <w:bCs/>
          <w:iCs/>
          <w:sz w:val="16"/>
          <w:szCs w:val="18"/>
          <w:lang w:eastAsia="es-GT"/>
        </w:rPr>
        <w:t>Fuente: Elaboración propia SEGEPLAN</w:t>
      </w:r>
      <w:r>
        <w:rPr>
          <w:rFonts w:ascii="Helvetica" w:eastAsia="MS PGothic" w:hAnsi="Helvetica" w:cs="Helvetica"/>
          <w:bCs/>
          <w:iCs/>
          <w:sz w:val="16"/>
          <w:szCs w:val="18"/>
          <w:lang w:eastAsia="es-GT"/>
        </w:rPr>
        <w:t>.</w:t>
      </w:r>
    </w:p>
    <w:p w14:paraId="1473E7FF" w14:textId="614D8CE8" w:rsidR="00F2181E" w:rsidRDefault="00F2181E" w:rsidP="00CE3D5C">
      <w:pPr>
        <w:tabs>
          <w:tab w:val="left" w:pos="7307"/>
        </w:tabs>
        <w:spacing w:after="200" w:line="252" w:lineRule="auto"/>
        <w:jc w:val="center"/>
        <w:rPr>
          <w:rFonts w:ascii="Helvetica" w:eastAsia="MS PGothic" w:hAnsi="Helvetica" w:cs="Helvetica"/>
          <w:bCs/>
          <w:i/>
          <w:iCs/>
          <w:sz w:val="16"/>
          <w:szCs w:val="18"/>
          <w:lang w:eastAsia="es-GT"/>
        </w:rPr>
      </w:pPr>
    </w:p>
    <w:p w14:paraId="7723958A" w14:textId="33EE806B" w:rsidR="008C0C9C" w:rsidRDefault="008C0C9C" w:rsidP="00CE3D5C">
      <w:pPr>
        <w:tabs>
          <w:tab w:val="left" w:pos="7307"/>
        </w:tabs>
        <w:spacing w:after="200" w:line="252" w:lineRule="auto"/>
        <w:jc w:val="center"/>
        <w:rPr>
          <w:rFonts w:ascii="Helvetica" w:eastAsia="MS PGothic" w:hAnsi="Helvetica" w:cs="Helvetica"/>
          <w:bCs/>
          <w:i/>
          <w:iCs/>
          <w:sz w:val="16"/>
          <w:szCs w:val="18"/>
          <w:lang w:eastAsia="es-GT"/>
        </w:rPr>
      </w:pPr>
    </w:p>
    <w:p w14:paraId="5FC16435" w14:textId="192E2F35" w:rsidR="008C0C9C" w:rsidRDefault="008C0C9C" w:rsidP="00CE3D5C">
      <w:pPr>
        <w:tabs>
          <w:tab w:val="left" w:pos="7307"/>
        </w:tabs>
        <w:spacing w:after="200" w:line="252" w:lineRule="auto"/>
        <w:jc w:val="center"/>
        <w:rPr>
          <w:rFonts w:ascii="Helvetica" w:eastAsia="MS PGothic" w:hAnsi="Helvetica" w:cs="Helvetica"/>
          <w:bCs/>
          <w:i/>
          <w:iCs/>
          <w:sz w:val="16"/>
          <w:szCs w:val="18"/>
          <w:lang w:eastAsia="es-GT"/>
        </w:rPr>
      </w:pPr>
    </w:p>
    <w:p w14:paraId="1BD5B197" w14:textId="700A9D35" w:rsidR="008C0C9C" w:rsidRDefault="008C0C9C" w:rsidP="00CE3D5C">
      <w:pPr>
        <w:tabs>
          <w:tab w:val="left" w:pos="7307"/>
        </w:tabs>
        <w:spacing w:after="200" w:line="252" w:lineRule="auto"/>
        <w:jc w:val="center"/>
        <w:rPr>
          <w:rFonts w:ascii="Helvetica" w:eastAsia="MS PGothic" w:hAnsi="Helvetica" w:cs="Helvetica"/>
          <w:bCs/>
          <w:i/>
          <w:iCs/>
          <w:sz w:val="16"/>
          <w:szCs w:val="18"/>
          <w:lang w:eastAsia="es-GT"/>
        </w:rPr>
      </w:pPr>
    </w:p>
    <w:p w14:paraId="623DF2A9" w14:textId="77777777" w:rsidR="008C0C9C" w:rsidRDefault="008C0C9C" w:rsidP="00CE3D5C">
      <w:pPr>
        <w:tabs>
          <w:tab w:val="left" w:pos="7307"/>
        </w:tabs>
        <w:spacing w:after="200" w:line="252" w:lineRule="auto"/>
        <w:jc w:val="center"/>
        <w:rPr>
          <w:rFonts w:ascii="Helvetica" w:eastAsia="MS PGothic" w:hAnsi="Helvetica" w:cs="Helvetica"/>
          <w:bCs/>
          <w:i/>
          <w:iCs/>
          <w:sz w:val="16"/>
          <w:szCs w:val="18"/>
          <w:lang w:eastAsia="es-GT"/>
        </w:rPr>
      </w:pPr>
    </w:p>
    <w:p w14:paraId="38B8ADA3" w14:textId="77777777" w:rsidR="00F2181E" w:rsidRDefault="00F2181E" w:rsidP="00CE3D5C">
      <w:pPr>
        <w:tabs>
          <w:tab w:val="left" w:pos="7307"/>
        </w:tabs>
        <w:spacing w:after="200" w:line="252" w:lineRule="auto"/>
        <w:jc w:val="center"/>
        <w:rPr>
          <w:rFonts w:ascii="Helvetica" w:eastAsia="MS PGothic" w:hAnsi="Helvetica" w:cs="Helvetica"/>
          <w:bCs/>
          <w:i/>
          <w:iCs/>
          <w:sz w:val="16"/>
          <w:szCs w:val="18"/>
          <w:lang w:eastAsia="es-GT"/>
        </w:rPr>
      </w:pPr>
    </w:p>
    <w:p w14:paraId="30308D71" w14:textId="3E09F9AD" w:rsidR="003562C1" w:rsidRDefault="003E1E24" w:rsidP="003E1E24">
      <w:pPr>
        <w:pStyle w:val="ttulosgrficas"/>
        <w:rPr>
          <w:lang w:eastAsia="es-GT"/>
        </w:rPr>
      </w:pPr>
      <w:bookmarkStart w:id="150" w:name="_Toc67377820"/>
      <w:bookmarkStart w:id="151" w:name="_Toc67381563"/>
      <w:bookmarkStart w:id="152" w:name="_Toc67589113"/>
      <w:r w:rsidRPr="003562C1">
        <w:rPr>
          <w:lang w:eastAsia="es-GT"/>
        </w:rPr>
        <w:t>Gráfica</w:t>
      </w:r>
      <w:r>
        <w:rPr>
          <w:lang w:eastAsia="es-GT"/>
        </w:rPr>
        <w:t xml:space="preserve"> </w:t>
      </w:r>
      <w:r w:rsidR="007F134F">
        <w:rPr>
          <w:lang w:eastAsia="es-GT"/>
        </w:rPr>
        <w:fldChar w:fldCharType="begin"/>
      </w:r>
      <w:r w:rsidR="007F134F">
        <w:rPr>
          <w:lang w:eastAsia="es-GT"/>
        </w:rPr>
        <w:instrText xml:space="preserve"> SEQ Gráfica \* ARABIC </w:instrText>
      </w:r>
      <w:r w:rsidR="007F134F">
        <w:rPr>
          <w:lang w:eastAsia="es-GT"/>
        </w:rPr>
        <w:fldChar w:fldCharType="separate"/>
      </w:r>
      <w:r w:rsidR="00AA2593">
        <w:rPr>
          <w:lang w:eastAsia="es-GT"/>
        </w:rPr>
        <w:t>13</w:t>
      </w:r>
      <w:bookmarkEnd w:id="150"/>
      <w:bookmarkEnd w:id="151"/>
      <w:r w:rsidR="007F134F">
        <w:rPr>
          <w:lang w:eastAsia="es-GT"/>
        </w:rPr>
        <w:fldChar w:fldCharType="end"/>
      </w:r>
      <w:r w:rsidR="003562C1">
        <w:rPr>
          <w:lang w:eastAsia="es-GT"/>
        </w:rPr>
        <w:t xml:space="preserve">, </w:t>
      </w:r>
      <w:r w:rsidR="00CE3D5C" w:rsidRPr="008F7682">
        <w:rPr>
          <w:lang w:eastAsia="es-GT"/>
        </w:rPr>
        <w:t xml:space="preserve">Distribución del presupuesto asignado - vigente </w:t>
      </w:r>
      <w:r w:rsidR="003562C1">
        <w:rPr>
          <w:lang w:eastAsia="es-GT"/>
        </w:rPr>
        <w:t>–</w:t>
      </w:r>
      <w:bookmarkEnd w:id="152"/>
      <w:r w:rsidR="00CE3D5C" w:rsidRPr="008F7682">
        <w:rPr>
          <w:lang w:eastAsia="es-GT"/>
        </w:rPr>
        <w:t xml:space="preserve"> </w:t>
      </w:r>
    </w:p>
    <w:p w14:paraId="4A710F6E" w14:textId="3AB79735" w:rsidR="00CE3D5C" w:rsidRDefault="00CE3D5C" w:rsidP="003E1E24">
      <w:pPr>
        <w:pStyle w:val="ttulosgrficas"/>
        <w:rPr>
          <w:lang w:eastAsia="es-GT"/>
        </w:rPr>
      </w:pPr>
      <w:r w:rsidRPr="008F7682">
        <w:rPr>
          <w:lang w:eastAsia="es-GT"/>
        </w:rPr>
        <w:t>Fuente cooperante diciembre de 2020</w:t>
      </w:r>
    </w:p>
    <w:p w14:paraId="481CA27F" w14:textId="77777777" w:rsidR="00AA2593" w:rsidRPr="008F7682" w:rsidRDefault="00AA2593" w:rsidP="00AA2593">
      <w:pPr>
        <w:pStyle w:val="ttulosgrficas"/>
        <w:spacing w:line="120" w:lineRule="auto"/>
        <w:rPr>
          <w:lang w:eastAsia="es-GT"/>
        </w:rPr>
      </w:pPr>
    </w:p>
    <w:p w14:paraId="6AE1B6CC" w14:textId="77777777" w:rsidR="00CE3D5C" w:rsidRPr="008F7682" w:rsidRDefault="00CE3D5C" w:rsidP="00CE3D5C">
      <w:pPr>
        <w:spacing w:after="0" w:line="240" w:lineRule="auto"/>
        <w:jc w:val="center"/>
        <w:rPr>
          <w:rFonts w:ascii="Helvetica" w:eastAsia="MS PGothic" w:hAnsi="Helvetica" w:cs="Helvetica"/>
          <w:b/>
          <w:bCs/>
          <w:i/>
          <w:iCs/>
          <w:sz w:val="20"/>
          <w:szCs w:val="20"/>
          <w:lang w:eastAsia="es-GT"/>
        </w:rPr>
      </w:pPr>
      <w:r w:rsidRPr="008F7682">
        <w:rPr>
          <w:rFonts w:ascii="Helvetica" w:eastAsia="MS PGothic" w:hAnsi="Helvetica" w:cs="Helvetica"/>
          <w:noProof/>
          <w:lang w:eastAsia="es-GT"/>
        </w:rPr>
        <w:drawing>
          <wp:inline distT="0" distB="0" distL="0" distR="0" wp14:anchorId="7CC8DF65" wp14:editId="412F1DCD">
            <wp:extent cx="5941060" cy="2867025"/>
            <wp:effectExtent l="0" t="0" r="2540" b="9525"/>
            <wp:docPr id="6" name="Gráfico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02EAAEA" w14:textId="77777777" w:rsidR="00CE3D5C" w:rsidRPr="008F7682" w:rsidRDefault="00CE3D5C" w:rsidP="00CE3D5C">
      <w:pPr>
        <w:spacing w:after="0" w:line="240" w:lineRule="auto"/>
        <w:jc w:val="both"/>
        <w:rPr>
          <w:rFonts w:ascii="Helvetica" w:eastAsia="MS PGothic" w:hAnsi="Helvetica" w:cs="Helvetica"/>
          <w:b/>
          <w:bCs/>
          <w:i/>
          <w:iCs/>
          <w:sz w:val="20"/>
          <w:szCs w:val="20"/>
          <w:lang w:eastAsia="es-GT"/>
        </w:rPr>
      </w:pPr>
      <w:r w:rsidRPr="008F7682">
        <w:rPr>
          <w:rFonts w:ascii="Helvetica" w:eastAsia="MS PGothic" w:hAnsi="Helvetica" w:cs="Helvetica"/>
          <w:b/>
          <w:bCs/>
          <w:i/>
          <w:iCs/>
          <w:sz w:val="16"/>
          <w:szCs w:val="18"/>
          <w:lang w:eastAsia="es-GT"/>
        </w:rPr>
        <w:t>Fuente: Elaboración propia SEGEPLAN con base a datos del Sistema de Contabilidad Integrada –SICOIN y SICOINDES- Ejercicio Fiscal 2020</w:t>
      </w:r>
      <w:r w:rsidRPr="008F7682">
        <w:rPr>
          <w:rFonts w:ascii="Helvetica" w:eastAsia="MS PGothic" w:hAnsi="Helvetica" w:cs="Helvetica"/>
          <w:i/>
          <w:iCs/>
          <w:sz w:val="16"/>
          <w:szCs w:val="18"/>
          <w:lang w:eastAsia="es-GT"/>
        </w:rPr>
        <w:t xml:space="preserve">.  El presupuesto presentado incluye la asignación por fuente en SICOIN Central y SICOINDES descentralizado y resta el presupuesto de Obligaciones del Estado a Cargo del Tesoro, el cual corresponde a transferencias para que instituciones descentralizadas ejecuten su asignación presupuestaria.  </w:t>
      </w:r>
    </w:p>
    <w:p w14:paraId="7C9A3D59" w14:textId="77777777" w:rsidR="00F85BD4" w:rsidRPr="008F7682" w:rsidRDefault="00F85BD4" w:rsidP="00F85BD4">
      <w:pPr>
        <w:pStyle w:val="Normal1"/>
        <w:tabs>
          <w:tab w:val="left" w:pos="989"/>
        </w:tabs>
        <w:rPr>
          <w:rFonts w:ascii="Helvetica" w:hAnsi="Helvetica" w:cs="Helvetica"/>
          <w:color w:val="FF0000"/>
        </w:rPr>
      </w:pPr>
    </w:p>
    <w:p w14:paraId="0EB7FA9B" w14:textId="26A72173" w:rsidR="004D30D9" w:rsidRDefault="004D30D9" w:rsidP="004D30D9">
      <w:pPr>
        <w:pStyle w:val="Ttulo1"/>
        <w:numPr>
          <w:ilvl w:val="0"/>
          <w:numId w:val="0"/>
        </w:numPr>
        <w:ind w:left="432" w:hanging="432"/>
      </w:pPr>
      <w:bookmarkStart w:id="153" w:name="_Toc67589097"/>
      <w:r w:rsidRPr="004D30D9">
        <w:t>c. Análisis de la Equidad</w:t>
      </w:r>
      <w:bookmarkEnd w:id="153"/>
    </w:p>
    <w:p w14:paraId="628D3782" w14:textId="77777777" w:rsidR="004D30D9" w:rsidRPr="004D30D9" w:rsidRDefault="004D30D9" w:rsidP="004D30D9"/>
    <w:p w14:paraId="0796C494" w14:textId="3C59E486" w:rsidR="004D30D9" w:rsidRPr="004D30D9" w:rsidRDefault="004D30D9" w:rsidP="004D30D9">
      <w:pPr>
        <w:jc w:val="both"/>
        <w:rPr>
          <w:rFonts w:ascii="Helvetica" w:hAnsi="Helvetica" w:cs="Helvetica"/>
          <w:sz w:val="24"/>
          <w:szCs w:val="24"/>
        </w:rPr>
      </w:pPr>
      <w:r w:rsidRPr="004D30D9">
        <w:rPr>
          <w:rFonts w:ascii="Helvetica" w:hAnsi="Helvetica" w:cs="Helvetica"/>
          <w:sz w:val="24"/>
          <w:szCs w:val="24"/>
        </w:rPr>
        <w:t>En el siguiente apartado se presentan los resultados de las acciones implementadas para mejorar la calidad de vida de la población. Para lo cual, se refieren los logros de los Ministerios y Secretarías que presenten mayor impacto sobre la PGG 2020-2024 y que estén contenidas en el Informe General de la República del año 2020. De tal manera, que pueda visibilizarse cómo la calidad del gasto se traduce en el beneficio de la población guatemalteca.</w:t>
      </w:r>
    </w:p>
    <w:p w14:paraId="3E00146B" w14:textId="14196EFB" w:rsidR="004D30D9" w:rsidRDefault="004D30D9" w:rsidP="004D30D9">
      <w:pPr>
        <w:jc w:val="both"/>
        <w:rPr>
          <w:rFonts w:ascii="Helvetica" w:hAnsi="Helvetica" w:cs="Helvetica"/>
          <w:sz w:val="24"/>
          <w:szCs w:val="24"/>
        </w:rPr>
      </w:pPr>
      <w:r w:rsidRPr="004D30D9">
        <w:rPr>
          <w:rFonts w:ascii="Helvetica" w:hAnsi="Helvetica" w:cs="Helvetica"/>
          <w:sz w:val="24"/>
          <w:szCs w:val="24"/>
        </w:rPr>
        <w:t>Del I Informe de evaluación de la PGG 2020-2024 se presenta un resumen de los hallazgos encontrados en la implementación de las metas estratégicas durante el año 2020. De esa cuenta, p</w:t>
      </w:r>
      <w:r w:rsidR="00BA17A3">
        <w:rPr>
          <w:rFonts w:ascii="Helvetica" w:hAnsi="Helvetica" w:cs="Helvetica"/>
          <w:sz w:val="24"/>
          <w:szCs w:val="24"/>
        </w:rPr>
        <w:t>uede</w:t>
      </w:r>
      <w:r w:rsidRPr="004D30D9">
        <w:rPr>
          <w:rFonts w:ascii="Helvetica" w:hAnsi="Helvetica" w:cs="Helvetica"/>
          <w:sz w:val="24"/>
          <w:szCs w:val="24"/>
        </w:rPr>
        <w:t xml:space="preserve"> observarse cómo a través de los recursos institucionales se ha avanzado en el cumplimiento de las metas y dónde se requiere procurar mayor atención en la eficacia en el uso de estos. </w:t>
      </w:r>
    </w:p>
    <w:p w14:paraId="2EC35CD7" w14:textId="17CD6CCA" w:rsidR="008C0C9C" w:rsidRDefault="008C0C9C" w:rsidP="004D30D9">
      <w:pPr>
        <w:jc w:val="both"/>
        <w:rPr>
          <w:rFonts w:ascii="Helvetica" w:hAnsi="Helvetica" w:cs="Helvetica"/>
          <w:sz w:val="24"/>
          <w:szCs w:val="24"/>
        </w:rPr>
      </w:pPr>
    </w:p>
    <w:p w14:paraId="3ED33C34" w14:textId="77777777" w:rsidR="008C0C9C" w:rsidRDefault="008C0C9C" w:rsidP="004D30D9">
      <w:pPr>
        <w:jc w:val="both"/>
        <w:rPr>
          <w:rFonts w:ascii="Helvetica" w:hAnsi="Helvetica" w:cs="Helvetica"/>
          <w:sz w:val="24"/>
          <w:szCs w:val="24"/>
        </w:rPr>
      </w:pPr>
    </w:p>
    <w:p w14:paraId="4C87D377" w14:textId="5675A9CB" w:rsidR="008D6F67" w:rsidRDefault="008D6F67" w:rsidP="004D30D9">
      <w:pPr>
        <w:jc w:val="both"/>
        <w:rPr>
          <w:rFonts w:ascii="Helvetica" w:hAnsi="Helvetica" w:cs="Helvetica"/>
          <w:sz w:val="24"/>
          <w:szCs w:val="24"/>
        </w:rPr>
      </w:pPr>
    </w:p>
    <w:p w14:paraId="334620E2" w14:textId="5CBB94B5" w:rsidR="004D30D9" w:rsidRDefault="004D30D9" w:rsidP="002C1587">
      <w:pPr>
        <w:pStyle w:val="Ttulo1"/>
        <w:numPr>
          <w:ilvl w:val="0"/>
          <w:numId w:val="5"/>
        </w:numPr>
        <w:jc w:val="both"/>
      </w:pPr>
      <w:bookmarkStart w:id="154" w:name="_Toc67589098"/>
      <w:r>
        <w:t>Logros de mayor impacto sobre la PGG 2020-2024</w:t>
      </w:r>
      <w:r w:rsidR="00AA6A39">
        <w:t>, Informe General de la República 2020</w:t>
      </w:r>
      <w:bookmarkEnd w:id="154"/>
    </w:p>
    <w:p w14:paraId="43677972" w14:textId="77777777" w:rsidR="00A02D42" w:rsidRDefault="00A02D42" w:rsidP="001E25B9">
      <w:pPr>
        <w:jc w:val="both"/>
        <w:rPr>
          <w:rFonts w:ascii="Helvetica" w:hAnsi="Helvetica"/>
          <w:bCs/>
          <w:sz w:val="24"/>
          <w:szCs w:val="24"/>
        </w:rPr>
      </w:pPr>
    </w:p>
    <w:p w14:paraId="146F8822" w14:textId="77777777" w:rsidR="003964D8" w:rsidRPr="001E25B9" w:rsidRDefault="003964D8" w:rsidP="003964D8">
      <w:pPr>
        <w:jc w:val="both"/>
        <w:rPr>
          <w:rFonts w:ascii="Helvetica" w:hAnsi="Helvetica"/>
          <w:bCs/>
          <w:sz w:val="24"/>
          <w:szCs w:val="24"/>
        </w:rPr>
      </w:pPr>
      <w:bookmarkStart w:id="155" w:name="_Hlk67032953"/>
      <w:r w:rsidRPr="001E25B9">
        <w:rPr>
          <w:rFonts w:ascii="Helvetica" w:hAnsi="Helvetica"/>
          <w:bCs/>
          <w:sz w:val="24"/>
          <w:szCs w:val="24"/>
        </w:rPr>
        <w:t xml:space="preserve">A mediados de marzo de 2020, justo al cumplirse dos meses de haber iniciado su gestión de cuatro años, la actual administración del presidente Alejandro </w:t>
      </w:r>
      <w:proofErr w:type="spellStart"/>
      <w:r w:rsidRPr="001E25B9">
        <w:rPr>
          <w:rFonts w:ascii="Helvetica" w:hAnsi="Helvetica"/>
          <w:bCs/>
          <w:sz w:val="24"/>
          <w:szCs w:val="24"/>
        </w:rPr>
        <w:t>Giammattei</w:t>
      </w:r>
      <w:proofErr w:type="spellEnd"/>
      <w:r w:rsidRPr="001E25B9">
        <w:rPr>
          <w:rFonts w:ascii="Helvetica" w:hAnsi="Helvetica"/>
          <w:bCs/>
          <w:sz w:val="24"/>
          <w:szCs w:val="24"/>
        </w:rPr>
        <w:t xml:space="preserve"> hubo de enfrentarse a un fenómeno que vino a alterar severamente todos sus planes iniciales: la pandemia provocada por el Coronavirus en su variedad Covid-19, que se expandió por todo el planeta incluida Guatemala, que al 31 de diciembre había provocado 138,236 contagios y 4,820 muertes en el país. Por si fuera poco, en las últimas semanas del mismo año se produjeron dos fenómenos que causaron altos niveles de mortandad y destrucción, como lo fueron las tormentas Eta e Iota, que provocaron 61 fallecimientos y daños materiales por al menos 5,000 millones de quetzales, especialmente en el norte del territorio nacional. </w:t>
      </w:r>
    </w:p>
    <w:p w14:paraId="15C629CA" w14:textId="4DA380DE" w:rsidR="003964D8" w:rsidRPr="001E25B9" w:rsidRDefault="003964D8" w:rsidP="003964D8">
      <w:pPr>
        <w:jc w:val="both"/>
        <w:rPr>
          <w:rFonts w:ascii="Helvetica" w:hAnsi="Helvetica"/>
          <w:bCs/>
          <w:sz w:val="24"/>
          <w:szCs w:val="24"/>
        </w:rPr>
      </w:pPr>
      <w:r w:rsidRPr="001E25B9">
        <w:rPr>
          <w:rFonts w:ascii="Helvetica" w:hAnsi="Helvetica"/>
          <w:bCs/>
          <w:sz w:val="24"/>
          <w:szCs w:val="24"/>
        </w:rPr>
        <w:t xml:space="preserve">Estas calamidades obligaron a la administración recién juramentada a desviar hacia aspectos relacionados con la emergencia nacional cuantiosos recursos, originalmente destinados a dar cumplimiento a sus planes iniciales, provocando que muchos de ellos no pudieran cumplirse a cabalidad. Pese a esta situación, los esfuerzos del Gobierno de la República lograron mitigar los efectos de la pandemia y </w:t>
      </w:r>
      <w:r>
        <w:rPr>
          <w:rFonts w:ascii="Helvetica" w:hAnsi="Helvetica"/>
          <w:bCs/>
          <w:sz w:val="24"/>
          <w:szCs w:val="24"/>
        </w:rPr>
        <w:t xml:space="preserve">de </w:t>
      </w:r>
      <w:r w:rsidRPr="001E25B9">
        <w:rPr>
          <w:rFonts w:ascii="Helvetica" w:hAnsi="Helvetica"/>
          <w:bCs/>
          <w:sz w:val="24"/>
          <w:szCs w:val="24"/>
        </w:rPr>
        <w:t>los desastres naturales, que fueron menores de lo que habrían sido sin la oportuna acción gubernamental. Adicionalmente, en medio de este año particularmente difícil, el Ejecutivo obtuvo logros importantes que habrían sido mayores si no se hubiesen producido las situaciones mencionadas. A continuación, se mencionan dichos logros, iniciando con una breve referencia al abordaje de la pandemia entre marzo y diciembre del año 2020.</w:t>
      </w:r>
    </w:p>
    <w:p w14:paraId="6E3DEF04" w14:textId="77777777" w:rsidR="003964D8" w:rsidRPr="001E25B9" w:rsidRDefault="003964D8" w:rsidP="003964D8">
      <w:pPr>
        <w:jc w:val="both"/>
        <w:rPr>
          <w:rFonts w:ascii="Helvetica" w:hAnsi="Helvetica"/>
          <w:bCs/>
          <w:sz w:val="24"/>
          <w:szCs w:val="24"/>
        </w:rPr>
      </w:pPr>
      <w:r w:rsidRPr="001E25B9">
        <w:rPr>
          <w:rFonts w:ascii="Helvetica" w:hAnsi="Helvetica"/>
          <w:bCs/>
          <w:sz w:val="24"/>
          <w:szCs w:val="24"/>
        </w:rPr>
        <w:t xml:space="preserve">En el momento en que se suscitó la pandemia, el Ejecutivo elaboró el Plan General de Atención a la </w:t>
      </w:r>
      <w:r>
        <w:rPr>
          <w:rFonts w:ascii="Helvetica" w:hAnsi="Helvetica"/>
          <w:bCs/>
          <w:sz w:val="24"/>
          <w:szCs w:val="24"/>
        </w:rPr>
        <w:t>E</w:t>
      </w:r>
      <w:r w:rsidRPr="001E25B9">
        <w:rPr>
          <w:rFonts w:ascii="Helvetica" w:hAnsi="Helvetica"/>
          <w:bCs/>
          <w:sz w:val="24"/>
          <w:szCs w:val="24"/>
        </w:rPr>
        <w:t>mergencia, orientado a propiciar sobre la marcha la gestión de los recursos financieros y la articulación entre las diversas dependencias del Estado para realizar coordinadamente todos los esfuerzos necesarios para enfrentar la emergencia nacional.</w:t>
      </w:r>
    </w:p>
    <w:p w14:paraId="590754FA" w14:textId="77777777" w:rsidR="003964D8" w:rsidRPr="001E25B9" w:rsidRDefault="003964D8" w:rsidP="003964D8">
      <w:pPr>
        <w:spacing w:after="0" w:line="240" w:lineRule="auto"/>
        <w:jc w:val="both"/>
        <w:rPr>
          <w:rFonts w:ascii="Helvetica" w:eastAsia="Times New Roman" w:hAnsi="Helvetica" w:cs="Times New Roman"/>
          <w:sz w:val="26"/>
          <w:szCs w:val="28"/>
          <w:lang w:eastAsia="es-GT"/>
        </w:rPr>
      </w:pPr>
      <w:r w:rsidRPr="001E25B9">
        <w:rPr>
          <w:rFonts w:ascii="Helvetica" w:hAnsi="Helvetica"/>
          <w:bCs/>
          <w:sz w:val="24"/>
          <w:szCs w:val="24"/>
        </w:rPr>
        <w:t>En este contexto, cabe destacar que el Gobierno destin</w:t>
      </w:r>
      <w:r>
        <w:rPr>
          <w:rFonts w:ascii="Helvetica" w:hAnsi="Helvetica"/>
          <w:bCs/>
          <w:sz w:val="24"/>
          <w:szCs w:val="24"/>
        </w:rPr>
        <w:t>ó</w:t>
      </w:r>
      <w:r w:rsidRPr="001E25B9">
        <w:rPr>
          <w:rFonts w:ascii="Helvetica" w:hAnsi="Helvetica"/>
          <w:bCs/>
          <w:sz w:val="24"/>
          <w:szCs w:val="24"/>
        </w:rPr>
        <w:t xml:space="preserve"> Q 11,000 millones para enfrentar la emergencia derivada de Covid-19, de los cuales se ejecutó el 73.7 %. Los recursos fueron utilizados para </w:t>
      </w:r>
      <w:r w:rsidRPr="001E25B9">
        <w:rPr>
          <w:rFonts w:ascii="Helvetica" w:eastAsia="Times New Roman" w:hAnsi="Helvetica" w:cs="Times New Roman"/>
          <w:sz w:val="26"/>
          <w:szCs w:val="28"/>
          <w:lang w:eastAsia="es-GT"/>
        </w:rPr>
        <w:t xml:space="preserve">remodelar y equipar hospitales, </w:t>
      </w:r>
      <w:r w:rsidRPr="001E25B9">
        <w:rPr>
          <w:rFonts w:ascii="Helvetica" w:eastAsia="Times New Roman" w:hAnsi="Helvetica" w:cs="Times New Roman"/>
          <w:sz w:val="24"/>
          <w:szCs w:val="28"/>
          <w:lang w:eastAsia="es-GT"/>
        </w:rPr>
        <w:t xml:space="preserve">instalar </w:t>
      </w:r>
      <w:r w:rsidRPr="001E25B9">
        <w:rPr>
          <w:rFonts w:ascii="Helvetica" w:eastAsia="Times New Roman" w:hAnsi="Helvetica" w:cs="Times New Roman"/>
          <w:sz w:val="26"/>
          <w:szCs w:val="28"/>
          <w:lang w:eastAsia="es-GT"/>
        </w:rPr>
        <w:t xml:space="preserve">laboratorios específicos, </w:t>
      </w:r>
      <w:r w:rsidRPr="001E25B9">
        <w:rPr>
          <w:rFonts w:ascii="Helvetica" w:eastAsia="Times New Roman" w:hAnsi="Helvetica" w:cs="Times New Roman"/>
          <w:sz w:val="24"/>
          <w:szCs w:val="28"/>
          <w:lang w:eastAsia="es-GT"/>
        </w:rPr>
        <w:t xml:space="preserve">desarrollar </w:t>
      </w:r>
      <w:r w:rsidRPr="001E25B9">
        <w:rPr>
          <w:rFonts w:ascii="Helvetica" w:eastAsia="Times New Roman" w:hAnsi="Helvetica" w:cs="Times New Roman"/>
          <w:sz w:val="26"/>
          <w:szCs w:val="28"/>
          <w:lang w:eastAsia="es-GT"/>
        </w:rPr>
        <w:t xml:space="preserve">programas de apoyo alimentario, el Bono Familia, subsidio a la tarifa social de la energía eléctrica, entre otras </w:t>
      </w:r>
      <w:r w:rsidRPr="001E25B9">
        <w:rPr>
          <w:rFonts w:ascii="Helvetica" w:eastAsia="Times New Roman" w:hAnsi="Helvetica" w:cs="Times New Roman"/>
          <w:sz w:val="24"/>
          <w:szCs w:val="28"/>
          <w:lang w:eastAsia="es-GT"/>
        </w:rPr>
        <w:t>muchas acciones</w:t>
      </w:r>
      <w:r w:rsidRPr="001E25B9">
        <w:rPr>
          <w:rFonts w:ascii="Helvetica" w:eastAsia="Times New Roman" w:hAnsi="Helvetica" w:cs="Times New Roman"/>
          <w:sz w:val="26"/>
          <w:szCs w:val="28"/>
          <w:lang w:eastAsia="es-GT"/>
        </w:rPr>
        <w:t>.</w:t>
      </w:r>
      <w:r w:rsidRPr="001E25B9">
        <w:rPr>
          <w:rFonts w:ascii="Helvetica" w:eastAsia="Times New Roman" w:hAnsi="Helvetica" w:cs="Times New Roman"/>
          <w:sz w:val="24"/>
          <w:szCs w:val="28"/>
          <w:lang w:eastAsia="es-GT"/>
        </w:rPr>
        <w:t xml:space="preserve"> Adicionalmente, se creó el</w:t>
      </w:r>
      <w:r w:rsidRPr="001E25B9">
        <w:rPr>
          <w:rFonts w:ascii="Helvetica" w:eastAsia="Times New Roman" w:hAnsi="Helvetica" w:cs="Times New Roman"/>
          <w:sz w:val="26"/>
          <w:szCs w:val="28"/>
          <w:lang w:eastAsia="es-GT"/>
        </w:rPr>
        <w:t xml:space="preserve"> Tablero Covid-19 y el Sistema de Alertas Sanitarias para el Monitoreo de la pandemia (</w:t>
      </w:r>
      <w:r w:rsidRPr="001E25B9">
        <w:rPr>
          <w:rFonts w:ascii="Helvetica" w:eastAsia="Times New Roman" w:hAnsi="Helvetica" w:cs="Times New Roman"/>
          <w:sz w:val="24"/>
          <w:szCs w:val="28"/>
          <w:lang w:eastAsia="es-GT"/>
        </w:rPr>
        <w:t>e</w:t>
      </w:r>
      <w:r w:rsidRPr="001E25B9">
        <w:rPr>
          <w:rFonts w:ascii="Helvetica" w:eastAsia="Times New Roman" w:hAnsi="Helvetica" w:cs="Times New Roman"/>
          <w:sz w:val="26"/>
          <w:szCs w:val="28"/>
          <w:lang w:eastAsia="es-GT"/>
        </w:rPr>
        <w:t>l Semáforo Covid-19).</w:t>
      </w:r>
    </w:p>
    <w:p w14:paraId="0953E3A6" w14:textId="77777777" w:rsidR="003964D8" w:rsidRPr="001E25B9" w:rsidRDefault="003964D8" w:rsidP="003964D8">
      <w:pPr>
        <w:spacing w:after="0" w:line="240" w:lineRule="auto"/>
        <w:jc w:val="both"/>
        <w:rPr>
          <w:rFonts w:ascii="Helvetica" w:eastAsia="Times New Roman" w:hAnsi="Helvetica" w:cs="Times New Roman"/>
          <w:sz w:val="26"/>
          <w:szCs w:val="28"/>
          <w:lang w:eastAsia="es-GT"/>
        </w:rPr>
      </w:pPr>
    </w:p>
    <w:p w14:paraId="72510F33" w14:textId="77777777" w:rsidR="003964D8" w:rsidRDefault="003964D8" w:rsidP="003964D8">
      <w:pPr>
        <w:spacing w:after="0" w:line="240" w:lineRule="auto"/>
        <w:jc w:val="both"/>
        <w:rPr>
          <w:rFonts w:ascii="Helvetica" w:eastAsia="Times New Roman" w:hAnsi="Helvetica" w:cs="Times New Roman"/>
          <w:sz w:val="24"/>
          <w:szCs w:val="28"/>
          <w:lang w:eastAsia="es-GT"/>
        </w:rPr>
      </w:pPr>
      <w:r w:rsidRPr="001E25B9">
        <w:rPr>
          <w:rFonts w:ascii="Helvetica" w:eastAsia="Times New Roman" w:hAnsi="Helvetica" w:cs="Times New Roman"/>
          <w:sz w:val="26"/>
          <w:szCs w:val="28"/>
          <w:lang w:eastAsia="es-GT"/>
        </w:rPr>
        <w:t>En cuanto a l</w:t>
      </w:r>
      <w:r w:rsidRPr="001E25B9">
        <w:rPr>
          <w:rFonts w:ascii="Helvetica" w:eastAsia="Times New Roman" w:hAnsi="Helvetica" w:cs="Times New Roman"/>
          <w:sz w:val="24"/>
          <w:szCs w:val="28"/>
          <w:lang w:eastAsia="es-GT"/>
        </w:rPr>
        <w:t>a</w:t>
      </w:r>
      <w:r w:rsidRPr="001E25B9">
        <w:rPr>
          <w:rFonts w:ascii="Helvetica" w:eastAsia="Times New Roman" w:hAnsi="Helvetica" w:cs="Times New Roman"/>
          <w:sz w:val="26"/>
          <w:szCs w:val="28"/>
          <w:lang w:eastAsia="es-GT"/>
        </w:rPr>
        <w:t xml:space="preserve">s </w:t>
      </w:r>
      <w:r w:rsidRPr="001E25B9">
        <w:rPr>
          <w:rFonts w:ascii="Helvetica" w:eastAsia="Times New Roman" w:hAnsi="Helvetica" w:cs="Times New Roman"/>
          <w:sz w:val="24"/>
          <w:szCs w:val="28"/>
          <w:lang w:eastAsia="es-GT"/>
        </w:rPr>
        <w:t>tormentas Eta y Iota</w:t>
      </w:r>
      <w:r w:rsidRPr="001E25B9">
        <w:rPr>
          <w:rFonts w:ascii="Helvetica" w:eastAsia="Times New Roman" w:hAnsi="Helvetica" w:cs="Times New Roman"/>
          <w:sz w:val="26"/>
          <w:szCs w:val="28"/>
          <w:lang w:eastAsia="es-GT"/>
        </w:rPr>
        <w:t xml:space="preserve">, hasta </w:t>
      </w:r>
      <w:r w:rsidRPr="001E25B9">
        <w:rPr>
          <w:rFonts w:ascii="Helvetica" w:eastAsia="Times New Roman" w:hAnsi="Helvetica" w:cs="Times New Roman"/>
          <w:sz w:val="24"/>
          <w:szCs w:val="28"/>
          <w:lang w:eastAsia="es-GT"/>
        </w:rPr>
        <w:t xml:space="preserve">finales </w:t>
      </w:r>
      <w:r w:rsidRPr="001E25B9">
        <w:rPr>
          <w:rFonts w:ascii="Helvetica" w:eastAsia="Times New Roman" w:hAnsi="Helvetica" w:cs="Times New Roman"/>
          <w:sz w:val="26"/>
          <w:szCs w:val="28"/>
          <w:lang w:eastAsia="es-GT"/>
        </w:rPr>
        <w:t>de diciembre se habían registrado 3,560 incidentes, y más de 2.4 millones de guatemaltecos afectados.</w:t>
      </w:r>
      <w:r w:rsidRPr="001E25B9">
        <w:rPr>
          <w:rFonts w:ascii="Helvetica" w:eastAsia="Times New Roman" w:hAnsi="Helvetica" w:cs="Times New Roman"/>
          <w:sz w:val="24"/>
          <w:szCs w:val="28"/>
          <w:lang w:eastAsia="es-GT"/>
        </w:rPr>
        <w:t xml:space="preserve"> Para enfrentar </w:t>
      </w:r>
      <w:r w:rsidRPr="001E25B9">
        <w:rPr>
          <w:rFonts w:ascii="Helvetica" w:eastAsia="Times New Roman" w:hAnsi="Helvetica" w:cs="Times New Roman"/>
          <w:sz w:val="26"/>
          <w:szCs w:val="28"/>
          <w:lang w:eastAsia="es-GT"/>
        </w:rPr>
        <w:t xml:space="preserve">la emergencia natural, </w:t>
      </w:r>
      <w:r w:rsidRPr="001E25B9">
        <w:rPr>
          <w:rFonts w:ascii="Helvetica" w:eastAsia="Times New Roman" w:hAnsi="Helvetica" w:cs="Times New Roman"/>
          <w:sz w:val="24"/>
          <w:szCs w:val="28"/>
          <w:lang w:eastAsia="es-GT"/>
        </w:rPr>
        <w:t xml:space="preserve">se declaró </w:t>
      </w:r>
      <w:r w:rsidRPr="001E25B9">
        <w:rPr>
          <w:rFonts w:ascii="Helvetica" w:eastAsia="Times New Roman" w:hAnsi="Helvetica" w:cs="Times New Roman"/>
          <w:sz w:val="26"/>
          <w:szCs w:val="28"/>
          <w:lang w:eastAsia="es-GT"/>
        </w:rPr>
        <w:t>el Estado de Calamidad Pública</w:t>
      </w:r>
      <w:r w:rsidRPr="001E25B9">
        <w:rPr>
          <w:rFonts w:ascii="Helvetica" w:eastAsia="Times New Roman" w:hAnsi="Helvetica" w:cs="Times New Roman"/>
          <w:sz w:val="24"/>
          <w:szCs w:val="28"/>
          <w:lang w:eastAsia="es-GT"/>
        </w:rPr>
        <w:t xml:space="preserve"> en las áreas más afectadas</w:t>
      </w:r>
      <w:r w:rsidRPr="001E25B9">
        <w:rPr>
          <w:rFonts w:ascii="Helvetica" w:eastAsia="Times New Roman" w:hAnsi="Helvetica" w:cs="Times New Roman"/>
          <w:sz w:val="26"/>
          <w:szCs w:val="28"/>
          <w:lang w:eastAsia="es-GT"/>
        </w:rPr>
        <w:t xml:space="preserve">, </w:t>
      </w:r>
      <w:r w:rsidRPr="001E25B9">
        <w:rPr>
          <w:rFonts w:ascii="Helvetica" w:eastAsia="Times New Roman" w:hAnsi="Helvetica" w:cs="Times New Roman"/>
          <w:sz w:val="24"/>
          <w:szCs w:val="28"/>
          <w:lang w:eastAsia="es-GT"/>
        </w:rPr>
        <w:t xml:space="preserve">se autorizó la </w:t>
      </w:r>
      <w:r w:rsidRPr="001E25B9">
        <w:rPr>
          <w:rFonts w:ascii="Helvetica" w:eastAsia="Times New Roman" w:hAnsi="Helvetica" w:cs="Times New Roman"/>
          <w:sz w:val="26"/>
          <w:szCs w:val="28"/>
          <w:lang w:eastAsia="es-GT"/>
        </w:rPr>
        <w:t xml:space="preserve">compra o contratación de bienes y suministros, la contratación de trabajos para la reparación de daños materiales en la infraestructura y </w:t>
      </w:r>
      <w:r w:rsidRPr="001E25B9">
        <w:rPr>
          <w:rFonts w:ascii="Helvetica" w:eastAsia="Times New Roman" w:hAnsi="Helvetica" w:cs="Times New Roman"/>
          <w:sz w:val="24"/>
          <w:szCs w:val="28"/>
          <w:lang w:eastAsia="es-GT"/>
        </w:rPr>
        <w:t xml:space="preserve">en </w:t>
      </w:r>
      <w:r w:rsidRPr="001E25B9">
        <w:rPr>
          <w:rFonts w:ascii="Helvetica" w:eastAsia="Times New Roman" w:hAnsi="Helvetica" w:cs="Times New Roman"/>
          <w:sz w:val="26"/>
          <w:szCs w:val="28"/>
          <w:lang w:eastAsia="es-GT"/>
        </w:rPr>
        <w:t>las redes de comunicación</w:t>
      </w:r>
      <w:r w:rsidRPr="001E25B9">
        <w:rPr>
          <w:rFonts w:ascii="Helvetica" w:eastAsia="Times New Roman" w:hAnsi="Helvetica" w:cs="Times New Roman"/>
          <w:sz w:val="24"/>
          <w:szCs w:val="28"/>
          <w:lang w:eastAsia="es-GT"/>
        </w:rPr>
        <w:t>, así como</w:t>
      </w:r>
      <w:r w:rsidRPr="001E25B9">
        <w:rPr>
          <w:rFonts w:ascii="Helvetica" w:eastAsia="Times New Roman" w:hAnsi="Helvetica" w:cs="Times New Roman"/>
          <w:sz w:val="26"/>
          <w:szCs w:val="28"/>
          <w:lang w:eastAsia="es-GT"/>
        </w:rPr>
        <w:t xml:space="preserve"> la asignación presupuestaria para el remozamiento de sitios arqueológicos.</w:t>
      </w:r>
      <w:r w:rsidRPr="001E25B9">
        <w:rPr>
          <w:rFonts w:ascii="Helvetica" w:eastAsia="Times New Roman" w:hAnsi="Helvetica" w:cs="Times New Roman"/>
          <w:sz w:val="24"/>
          <w:szCs w:val="28"/>
          <w:lang w:eastAsia="es-GT"/>
        </w:rPr>
        <w:t xml:space="preserve"> </w:t>
      </w:r>
    </w:p>
    <w:p w14:paraId="2AC104B3" w14:textId="77777777" w:rsidR="003964D8" w:rsidRPr="001E25B9" w:rsidRDefault="003964D8" w:rsidP="003964D8">
      <w:pPr>
        <w:spacing w:after="0" w:line="240" w:lineRule="auto"/>
        <w:jc w:val="both"/>
        <w:rPr>
          <w:rFonts w:ascii="Helvetica" w:eastAsia="Times New Roman" w:hAnsi="Helvetica" w:cs="Times New Roman"/>
          <w:sz w:val="26"/>
          <w:szCs w:val="28"/>
          <w:lang w:eastAsia="es-GT"/>
        </w:rPr>
      </w:pPr>
      <w:r w:rsidRPr="001E25B9">
        <w:rPr>
          <w:rFonts w:ascii="Helvetica" w:eastAsia="Times New Roman" w:hAnsi="Helvetica" w:cs="Times New Roman"/>
          <w:sz w:val="26"/>
          <w:szCs w:val="28"/>
          <w:lang w:eastAsia="es-GT"/>
        </w:rPr>
        <w:t xml:space="preserve">Para </w:t>
      </w:r>
      <w:r w:rsidRPr="001E25B9">
        <w:rPr>
          <w:rFonts w:ascii="Helvetica" w:eastAsia="Times New Roman" w:hAnsi="Helvetica" w:cs="Times New Roman"/>
          <w:sz w:val="24"/>
          <w:szCs w:val="28"/>
          <w:lang w:eastAsia="es-GT"/>
        </w:rPr>
        <w:t xml:space="preserve">enfrentar esta situación </w:t>
      </w:r>
      <w:r w:rsidRPr="001E25B9">
        <w:rPr>
          <w:rFonts w:ascii="Helvetica" w:eastAsia="Times New Roman" w:hAnsi="Helvetica" w:cs="Times New Roman"/>
          <w:sz w:val="26"/>
          <w:szCs w:val="28"/>
          <w:lang w:eastAsia="es-GT"/>
        </w:rPr>
        <w:t>se creó</w:t>
      </w:r>
      <w:r w:rsidRPr="001E25B9">
        <w:rPr>
          <w:rFonts w:ascii="Helvetica" w:eastAsia="Times New Roman" w:hAnsi="Helvetica" w:cs="Times New Roman"/>
          <w:sz w:val="24"/>
          <w:szCs w:val="28"/>
          <w:lang w:eastAsia="es-GT"/>
        </w:rPr>
        <w:t xml:space="preserve"> </w:t>
      </w:r>
      <w:r w:rsidRPr="001E25B9">
        <w:rPr>
          <w:rFonts w:ascii="Helvetica" w:eastAsia="Times New Roman" w:hAnsi="Helvetica" w:cs="Times New Roman"/>
          <w:sz w:val="26"/>
          <w:szCs w:val="28"/>
          <w:lang w:eastAsia="es-GT"/>
        </w:rPr>
        <w:t>un Gabinete Específico de Reconstrucción y se ha</w:t>
      </w:r>
      <w:r w:rsidRPr="001E25B9">
        <w:rPr>
          <w:rFonts w:ascii="Helvetica" w:eastAsia="Times New Roman" w:hAnsi="Helvetica" w:cs="Times New Roman"/>
          <w:sz w:val="24"/>
          <w:szCs w:val="28"/>
          <w:lang w:eastAsia="es-GT"/>
        </w:rPr>
        <w:t>n</w:t>
      </w:r>
      <w:r w:rsidRPr="001E25B9">
        <w:rPr>
          <w:rFonts w:ascii="Helvetica" w:eastAsia="Times New Roman" w:hAnsi="Helvetica" w:cs="Times New Roman"/>
          <w:sz w:val="26"/>
          <w:szCs w:val="28"/>
          <w:lang w:eastAsia="es-GT"/>
        </w:rPr>
        <w:t xml:space="preserve"> invertido Q296.1 millones </w:t>
      </w:r>
      <w:r w:rsidRPr="001E25B9">
        <w:rPr>
          <w:rFonts w:ascii="Helvetica" w:eastAsia="Times New Roman" w:hAnsi="Helvetica" w:cs="Times New Roman"/>
          <w:sz w:val="24"/>
          <w:szCs w:val="28"/>
          <w:lang w:eastAsia="es-GT"/>
        </w:rPr>
        <w:t xml:space="preserve">en 2020, previéndose una erogación adicional de </w:t>
      </w:r>
      <w:r w:rsidRPr="001E25B9">
        <w:rPr>
          <w:rFonts w:ascii="Helvetica" w:eastAsia="Times New Roman" w:hAnsi="Helvetica" w:cs="Times New Roman"/>
          <w:sz w:val="26"/>
          <w:szCs w:val="28"/>
          <w:lang w:eastAsia="es-GT"/>
        </w:rPr>
        <w:t>Q1,352 millones para e</w:t>
      </w:r>
      <w:r w:rsidRPr="001E25B9">
        <w:rPr>
          <w:rFonts w:ascii="Helvetica" w:eastAsia="Times New Roman" w:hAnsi="Helvetica" w:cs="Times New Roman"/>
          <w:sz w:val="24"/>
          <w:szCs w:val="28"/>
          <w:lang w:eastAsia="es-GT"/>
        </w:rPr>
        <w:t>l presente año</w:t>
      </w:r>
      <w:r w:rsidRPr="001E25B9">
        <w:rPr>
          <w:rFonts w:ascii="Helvetica" w:eastAsia="Times New Roman" w:hAnsi="Helvetica" w:cs="Times New Roman"/>
          <w:sz w:val="26"/>
          <w:szCs w:val="28"/>
          <w:lang w:eastAsia="es-GT"/>
        </w:rPr>
        <w:t>.</w:t>
      </w:r>
    </w:p>
    <w:p w14:paraId="49DE1387" w14:textId="77777777" w:rsidR="003964D8" w:rsidRPr="001E25B9" w:rsidRDefault="003964D8" w:rsidP="003964D8">
      <w:pPr>
        <w:jc w:val="both"/>
        <w:rPr>
          <w:rFonts w:ascii="Helvetica" w:hAnsi="Helvetica"/>
          <w:b/>
          <w:sz w:val="24"/>
          <w:szCs w:val="24"/>
        </w:rPr>
      </w:pPr>
    </w:p>
    <w:p w14:paraId="67A00D57" w14:textId="77777777" w:rsidR="003964D8" w:rsidRPr="00E4088B" w:rsidRDefault="003964D8" w:rsidP="003964D8">
      <w:pPr>
        <w:jc w:val="both"/>
        <w:rPr>
          <w:rFonts w:ascii="Helvetica" w:hAnsi="Helvetica"/>
          <w:b/>
          <w:color w:val="002060"/>
          <w:sz w:val="24"/>
          <w:szCs w:val="24"/>
        </w:rPr>
      </w:pPr>
      <w:r w:rsidRPr="00E4088B">
        <w:rPr>
          <w:rFonts w:ascii="Helvetica" w:hAnsi="Helvetica"/>
          <w:b/>
          <w:color w:val="002060"/>
          <w:sz w:val="24"/>
          <w:szCs w:val="24"/>
        </w:rPr>
        <w:t>Pilar 1. Economía, competitividad y prosperidad:</w:t>
      </w:r>
    </w:p>
    <w:p w14:paraId="022CA0A5" w14:textId="77777777" w:rsidR="003964D8" w:rsidRPr="001E25B9" w:rsidRDefault="003964D8" w:rsidP="003964D8">
      <w:pPr>
        <w:jc w:val="both"/>
        <w:rPr>
          <w:rFonts w:ascii="Helvetica" w:eastAsia="Times New Roman" w:hAnsi="Helvetica" w:cs="Times New Roman"/>
          <w:sz w:val="24"/>
          <w:szCs w:val="28"/>
          <w:lang w:eastAsia="es-GT"/>
        </w:rPr>
      </w:pPr>
      <w:r w:rsidRPr="001E25B9">
        <w:rPr>
          <w:rFonts w:ascii="Helvetica" w:hAnsi="Helvetica"/>
          <w:sz w:val="24"/>
          <w:szCs w:val="24"/>
        </w:rPr>
        <w:t xml:space="preserve">Entre los aspectos que destacó el Presidente de la República, Alejandro </w:t>
      </w:r>
      <w:proofErr w:type="spellStart"/>
      <w:r w:rsidRPr="001E25B9">
        <w:rPr>
          <w:rFonts w:ascii="Helvetica" w:hAnsi="Helvetica"/>
          <w:sz w:val="24"/>
          <w:szCs w:val="24"/>
        </w:rPr>
        <w:t>Giammattei</w:t>
      </w:r>
      <w:proofErr w:type="spellEnd"/>
      <w:r w:rsidRPr="001E25B9">
        <w:rPr>
          <w:rFonts w:ascii="Helvetica" w:hAnsi="Helvetica"/>
          <w:sz w:val="24"/>
          <w:szCs w:val="24"/>
        </w:rPr>
        <w:t xml:space="preserve">, en su Informe General de la República, en el Pilar 1 destaca la recaudación tributaria, que se considera exitosa pese a que no se logró alcanzar la meta para 2020, que ascendía a Q </w:t>
      </w:r>
      <w:r w:rsidRPr="001E25B9">
        <w:rPr>
          <w:rFonts w:ascii="Helvetica" w:eastAsia="Times New Roman" w:hAnsi="Helvetica" w:cs="Times New Roman"/>
          <w:sz w:val="24"/>
          <w:szCs w:val="28"/>
          <w:lang w:eastAsia="es-GT"/>
        </w:rPr>
        <w:t>63,468.9 millones, ya que se recaudaron Q59,191.1 millones. No obstante, es importante destacar que, en medio de las complicaciones derivadas del Covid-19, el haber recaudado el 94.1% de la meta original constituye un monto muy satisfactorio, tan cercano al óptimo que puede inferirse que, en circunstancias menos adversas, casi con seguridad se habría alcanzado el 100 %.</w:t>
      </w:r>
    </w:p>
    <w:p w14:paraId="051B8BD9" w14:textId="77777777" w:rsidR="003964D8" w:rsidRPr="001E25B9" w:rsidRDefault="003964D8" w:rsidP="003964D8">
      <w:pPr>
        <w:jc w:val="both"/>
        <w:rPr>
          <w:rFonts w:ascii="Helvetica" w:eastAsia="Times New Roman" w:hAnsi="Helvetica" w:cs="Times New Roman"/>
          <w:sz w:val="24"/>
          <w:szCs w:val="28"/>
          <w:lang w:eastAsia="es-GT"/>
        </w:rPr>
      </w:pPr>
      <w:r w:rsidRPr="001E25B9">
        <w:rPr>
          <w:rFonts w:ascii="Helvetica" w:eastAsia="Times New Roman" w:hAnsi="Helvetica" w:cs="Times New Roman"/>
          <w:sz w:val="24"/>
          <w:szCs w:val="28"/>
          <w:lang w:eastAsia="es-GT"/>
        </w:rPr>
        <w:t xml:space="preserve">Vale destacar el incremento a la inversión física para infraestructura, a cargo de los ministerios y otras dependencias del Organismo Ejecutivo. El Ministerio de Finanzas Públicas (MINFIN) incrementó las asignaciones, de manera especial al Ministerio de Comunicaciones, Infraestructura y Vivienda al que se asignaron Q 3,595.18 millones y al Ministerio de Salud Pública y Asistencia Social, al que se destinaron Q 634.1 millones, lográndose un nivel de ejecución de Q 2,928.2 millones equivalentes al 58.48 % del monto asignado, de Q 5,007.49 millones. </w:t>
      </w:r>
    </w:p>
    <w:p w14:paraId="0CD0B644" w14:textId="7D849AF8" w:rsidR="003964D8" w:rsidRPr="001E25B9" w:rsidRDefault="003964D8" w:rsidP="003964D8">
      <w:pPr>
        <w:jc w:val="both"/>
        <w:rPr>
          <w:rFonts w:ascii="Helvetica" w:hAnsi="Helvetica"/>
          <w:sz w:val="24"/>
          <w:szCs w:val="24"/>
        </w:rPr>
      </w:pPr>
      <w:r w:rsidRPr="001E25B9">
        <w:rPr>
          <w:rFonts w:ascii="Helvetica" w:eastAsia="Times New Roman" w:hAnsi="Helvetica" w:cs="Times New Roman"/>
          <w:sz w:val="24"/>
          <w:szCs w:val="28"/>
          <w:lang w:eastAsia="es-GT"/>
        </w:rPr>
        <w:t xml:space="preserve">En materia de transferencias de capital, que el MINFIN traslada a las entidades descentralizadas, autónomas, gobiernos locales y al Sistema de Consejos de Desarrollo (SISCODE), para ejecutar proyectos de infraestructura en sus territorios y localidades, </w:t>
      </w:r>
      <w:r w:rsidR="008C0C9C">
        <w:rPr>
          <w:rFonts w:ascii="Helvetica" w:eastAsia="Times New Roman" w:hAnsi="Helvetica" w:cs="Times New Roman"/>
          <w:sz w:val="24"/>
          <w:szCs w:val="28"/>
          <w:lang w:eastAsia="es-GT"/>
        </w:rPr>
        <w:t>S</w:t>
      </w:r>
      <w:r w:rsidRPr="001E25B9">
        <w:rPr>
          <w:rFonts w:ascii="Helvetica" w:eastAsia="Times New Roman" w:hAnsi="Helvetica" w:cs="Times New Roman"/>
          <w:sz w:val="24"/>
          <w:szCs w:val="28"/>
          <w:lang w:eastAsia="es-GT"/>
        </w:rPr>
        <w:t xml:space="preserve">e asignaron Q 7,638.7 millones a las municipalidades y Q 3,268.1 millones al SISCODE, que equivalen a la casi totalidad de los Q 11,701.01 millones </w:t>
      </w:r>
      <w:r>
        <w:rPr>
          <w:rFonts w:ascii="Helvetica" w:eastAsia="Times New Roman" w:hAnsi="Helvetica" w:cs="Times New Roman"/>
          <w:sz w:val="24"/>
          <w:szCs w:val="28"/>
          <w:lang w:eastAsia="es-GT"/>
        </w:rPr>
        <w:t xml:space="preserve">ejecutados </w:t>
      </w:r>
      <w:r w:rsidRPr="001E25B9">
        <w:rPr>
          <w:rFonts w:ascii="Helvetica" w:eastAsia="Times New Roman" w:hAnsi="Helvetica" w:cs="Times New Roman"/>
          <w:sz w:val="24"/>
          <w:szCs w:val="28"/>
          <w:lang w:eastAsia="es-GT"/>
        </w:rPr>
        <w:t xml:space="preserve">en el nivel territorial, </w:t>
      </w:r>
      <w:r>
        <w:rPr>
          <w:rFonts w:ascii="Helvetica" w:eastAsia="Times New Roman" w:hAnsi="Helvetica" w:cs="Times New Roman"/>
          <w:sz w:val="24"/>
          <w:szCs w:val="28"/>
          <w:lang w:eastAsia="es-GT"/>
        </w:rPr>
        <w:t xml:space="preserve">con los cuales se </w:t>
      </w:r>
      <w:r w:rsidRPr="001E25B9">
        <w:rPr>
          <w:rFonts w:ascii="Helvetica" w:eastAsia="Times New Roman" w:hAnsi="Helvetica" w:cs="Times New Roman"/>
          <w:sz w:val="24"/>
          <w:szCs w:val="28"/>
          <w:lang w:eastAsia="es-GT"/>
        </w:rPr>
        <w:t xml:space="preserve">alcanzó </w:t>
      </w:r>
      <w:r>
        <w:rPr>
          <w:rFonts w:ascii="Helvetica" w:eastAsia="Times New Roman" w:hAnsi="Helvetica" w:cs="Times New Roman"/>
          <w:sz w:val="24"/>
          <w:szCs w:val="28"/>
          <w:lang w:eastAsia="es-GT"/>
        </w:rPr>
        <w:t>una ejecución d</w:t>
      </w:r>
      <w:r w:rsidRPr="001E25B9">
        <w:rPr>
          <w:rFonts w:ascii="Helvetica" w:eastAsia="Times New Roman" w:hAnsi="Helvetica" w:cs="Times New Roman"/>
          <w:sz w:val="24"/>
          <w:szCs w:val="28"/>
          <w:lang w:eastAsia="es-GT"/>
        </w:rPr>
        <w:t xml:space="preserve">el 91 % de los Q12,858.38 millones asignados. Vale agregar a lo anterior la inversión financiera, en la cual se ejecutaron Q 3,330.85 millones de Q 3,860.99 millones asignados, es decir, el 86.27 %.  De esta forma, quedó demostrado el énfasis otorgado por el Ejecutivo al desarrollo local. En este contexto, </w:t>
      </w:r>
      <w:r w:rsidRPr="001E25B9">
        <w:rPr>
          <w:rFonts w:ascii="Helvetica" w:hAnsi="Helvetica"/>
          <w:sz w:val="24"/>
          <w:szCs w:val="24"/>
        </w:rPr>
        <w:t>también se ha priorizado la infraestructura en el ámbito comunitario mediante el desarrollo de proyectos en materia de saneamiento ambiental y agua potable.</w:t>
      </w:r>
    </w:p>
    <w:p w14:paraId="3DECFC2D" w14:textId="77777777" w:rsidR="003964D8" w:rsidRPr="001E25B9" w:rsidRDefault="003964D8" w:rsidP="003964D8">
      <w:pPr>
        <w:jc w:val="both"/>
        <w:rPr>
          <w:rFonts w:ascii="Helvetica" w:eastAsia="Times New Roman" w:hAnsi="Helvetica" w:cs="Times New Roman"/>
          <w:sz w:val="24"/>
          <w:szCs w:val="28"/>
          <w:lang w:eastAsia="es-GT"/>
        </w:rPr>
      </w:pPr>
      <w:r w:rsidRPr="001E25B9">
        <w:rPr>
          <w:rFonts w:ascii="Helvetica" w:eastAsia="Times New Roman" w:hAnsi="Helvetica" w:cs="Times New Roman"/>
          <w:sz w:val="24"/>
          <w:szCs w:val="28"/>
          <w:lang w:eastAsia="es-GT"/>
        </w:rPr>
        <w:t xml:space="preserve">En suma, de un monto total de Q 21,726.86 millones asignados para los tres rubros de inversión en su conjunto (inversión física, transferencias de capital e inversión financiera), se ejecutaron Q 17,960.06 millones equivalentes al 82.66 % de ejecución. Tal porcentaje es elevado, si se toma en cuenta lo particularmente difícil que fue el año por las dificultades anteriormente mencionadas. Se demuestra, por lo tanto, un avance importante en materia de inversión pública, a la luz de las crecientes asignaciones logradas en un año tan complicado. </w:t>
      </w:r>
    </w:p>
    <w:p w14:paraId="720F5482"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Otro de los puntos destacados como logro de la gestión actual en su primer año (2020), en materia económica, fue el impulso a las alianzas público-privadas (APP). En este contexto, la Agencia Nacional de Alianzas para el Desarrollo de Infraestructura Económica (ANADIE), avanzó significativamente en la preparación de propuestas de grandes proyectos, con una inversión estimada de Q 1,600 millones. Uno de dichos proyectos ya se encontraba, al finalizar el año, cerca de su aprobación final para iniciar su ejecución. Al mismo tiempo avanzan las reformas legales en el Congreso de la República, encaminadas a viabilizar la licitación y ejecución de los otros proyectos de las APP en forma más ágil y rápida, con los consiguientes beneficios para el país.</w:t>
      </w:r>
    </w:p>
    <w:p w14:paraId="5129F83C" w14:textId="7D877468" w:rsidR="003964D8" w:rsidRPr="001E25B9" w:rsidRDefault="003964D8" w:rsidP="003964D8">
      <w:pPr>
        <w:jc w:val="both"/>
        <w:rPr>
          <w:rFonts w:ascii="Helvetica" w:eastAsia="Times New Roman" w:hAnsi="Helvetica" w:cs="Times New Roman"/>
          <w:sz w:val="24"/>
          <w:szCs w:val="28"/>
          <w:lang w:eastAsia="es-GT"/>
        </w:rPr>
      </w:pPr>
      <w:r w:rsidRPr="001E25B9">
        <w:rPr>
          <w:rFonts w:ascii="Helvetica" w:eastAsia="Times New Roman" w:hAnsi="Helvetica" w:cs="Times New Roman"/>
          <w:sz w:val="24"/>
          <w:szCs w:val="28"/>
          <w:lang w:eastAsia="es-GT"/>
        </w:rPr>
        <w:t xml:space="preserve">También se impulsó el incremento de las exportaciones por medio de los puertos, aeropuertos y zonas fronterizas del país. Ciertamente, el comercio exterior fue uno de los aspectos más afectados por la pandemia a nivel mundial, lo que afectó los intercambios comerciales de casi todos los países, incluida Guatemala, donde las exportaciones FOB disminuyeron un 5.7 por ciento y las importaciones FOB también decrecieron un 8.7 %. Sin embargo, estas cifras fueron menos negativas que las de otras naciones, a lo que se suman los esfuerzos del Gobierno en el fomento de las exportaciones, de tal suerte que se espera una recuperación rápida y significativa en 2021, de la economía en general y de la actividad exportadora en particular. Esta situación se observa en el dinamismo </w:t>
      </w:r>
      <w:r>
        <w:rPr>
          <w:rFonts w:ascii="Helvetica" w:eastAsia="Times New Roman" w:hAnsi="Helvetica" w:cs="Times New Roman"/>
          <w:sz w:val="24"/>
          <w:szCs w:val="28"/>
          <w:lang w:eastAsia="es-GT"/>
        </w:rPr>
        <w:t>de la economía mundial y nacional que se espera para 2021, según las proyecciones de las entidades competentes.</w:t>
      </w:r>
      <w:r w:rsidRPr="00FF26AF">
        <w:rPr>
          <w:rFonts w:ascii="Helvetica" w:hAnsi="Helvetica"/>
          <w:sz w:val="24"/>
          <w:szCs w:val="24"/>
        </w:rPr>
        <w:t xml:space="preserve"> </w:t>
      </w:r>
      <w:r w:rsidRPr="001E25B9">
        <w:rPr>
          <w:rFonts w:ascii="Helvetica" w:hAnsi="Helvetica"/>
          <w:sz w:val="24"/>
          <w:szCs w:val="24"/>
        </w:rPr>
        <w:t>Es importante destacar el incremento sustancial, entre 2019 y 2020, de las remesas familiares en un 7</w:t>
      </w:r>
      <w:r w:rsidR="008C0C9C">
        <w:rPr>
          <w:rFonts w:ascii="Helvetica" w:hAnsi="Helvetica"/>
          <w:sz w:val="24"/>
          <w:szCs w:val="24"/>
        </w:rPr>
        <w:t>%</w:t>
      </w:r>
      <w:r w:rsidRPr="001E25B9">
        <w:rPr>
          <w:rFonts w:ascii="Helvetica" w:hAnsi="Helvetica"/>
          <w:sz w:val="24"/>
          <w:szCs w:val="24"/>
        </w:rPr>
        <w:t xml:space="preserve"> y de las reservas monetarias internacionales en un 24 %.</w:t>
      </w:r>
    </w:p>
    <w:p w14:paraId="5224FD1F" w14:textId="1A944921" w:rsidR="003964D8" w:rsidRPr="001E25B9" w:rsidRDefault="003964D8" w:rsidP="003964D8">
      <w:pPr>
        <w:jc w:val="both"/>
        <w:rPr>
          <w:rFonts w:ascii="Helvetica" w:hAnsi="Helvetica"/>
          <w:sz w:val="24"/>
          <w:szCs w:val="24"/>
        </w:rPr>
      </w:pPr>
      <w:r w:rsidRPr="001E25B9">
        <w:rPr>
          <w:rFonts w:ascii="Helvetica" w:hAnsi="Helvetica"/>
          <w:sz w:val="24"/>
          <w:szCs w:val="24"/>
        </w:rPr>
        <w:t>Adicionalmente, el Ministerio de Energía y Minas (MEM) y el Instituto Nacional de Electrificación (INDE) han impulsado la diversificación del sector energético, mediante el empleo de energías renovables, a efecto de ampliar la cobertura en función social y conservar el medio ambiente. Se ha ampliado la producción de energías limpias que contrarrestan la emisión de gases de efecto invernadero. Según el MEM, se proyectó una tasa de energía renovable de 59.36 % y se alcanzó una producción de 70.9 % del total energético generado, de la cual las dos terceras partes (67 %) provienen de la generación hidroeléctrica. Vale agregar,</w:t>
      </w:r>
      <w:r w:rsidR="008C0C9C">
        <w:rPr>
          <w:rFonts w:ascii="Helvetica" w:hAnsi="Helvetica"/>
          <w:sz w:val="24"/>
          <w:szCs w:val="24"/>
        </w:rPr>
        <w:t xml:space="preserve"> </w:t>
      </w:r>
      <w:r w:rsidRPr="001E25B9">
        <w:rPr>
          <w:rFonts w:ascii="Helvetica" w:hAnsi="Helvetica"/>
          <w:sz w:val="24"/>
          <w:szCs w:val="24"/>
        </w:rPr>
        <w:t>que para el aporte social a usuarios de electricidad se hizo una erogación de Q 1,100 millones.</w:t>
      </w:r>
    </w:p>
    <w:p w14:paraId="1CDF7F2D" w14:textId="541F73D5" w:rsidR="003964D8" w:rsidRDefault="003964D8" w:rsidP="003964D8">
      <w:pPr>
        <w:jc w:val="both"/>
        <w:rPr>
          <w:rFonts w:ascii="Helvetica" w:hAnsi="Helvetica"/>
          <w:sz w:val="24"/>
          <w:szCs w:val="24"/>
        </w:rPr>
      </w:pPr>
      <w:r w:rsidRPr="001E25B9">
        <w:rPr>
          <w:rFonts w:ascii="Helvetica" w:hAnsi="Helvetica"/>
          <w:sz w:val="24"/>
          <w:szCs w:val="24"/>
        </w:rPr>
        <w:t>Otro aspecto a destacar es el apoyo a la Micro, Pequeña y Mediana Empresa (MIPYME), cuyo principal impulsor es el Ministerio de Economía (MINECO), dada su incidencia en la generación de empleo y en el incremento de la competitividad, especialmente en el ámbito local. En este contexto, destaca la entrega de Q 581 millones en créditos para la</w:t>
      </w:r>
      <w:r>
        <w:rPr>
          <w:rFonts w:ascii="Helvetica" w:hAnsi="Helvetica"/>
          <w:sz w:val="24"/>
          <w:szCs w:val="24"/>
        </w:rPr>
        <w:t>s</w:t>
      </w:r>
      <w:r w:rsidRPr="001E25B9">
        <w:rPr>
          <w:rFonts w:ascii="Helvetica" w:hAnsi="Helvetica"/>
          <w:sz w:val="24"/>
          <w:szCs w:val="24"/>
        </w:rPr>
        <w:t xml:space="preserve"> MIPYME. En el marco de los esfuerzos por mejorar la competitividad del país, además de las MIPYME se capacitó a más de 18,000 empresarios en el aumento de dicha competitividad y en el fortalecimiento de la participación e inserción de productos y servicios en el mercado.</w:t>
      </w:r>
    </w:p>
    <w:p w14:paraId="43E0D610" w14:textId="55ABA7DE" w:rsidR="003964D8" w:rsidRPr="001E25B9" w:rsidRDefault="003964D8" w:rsidP="003964D8">
      <w:pPr>
        <w:jc w:val="both"/>
        <w:rPr>
          <w:rFonts w:ascii="Helvetica" w:hAnsi="Helvetica"/>
          <w:sz w:val="24"/>
          <w:szCs w:val="24"/>
        </w:rPr>
      </w:pPr>
      <w:r w:rsidRPr="001E25B9">
        <w:rPr>
          <w:rFonts w:ascii="Helvetica" w:hAnsi="Helvetica"/>
          <w:sz w:val="24"/>
          <w:szCs w:val="24"/>
        </w:rPr>
        <w:t>Asimismo, en materia de promoción de empleo se orientó, en las sedes departamentales del Ministerio de Trabajo (MINTRAB), a 9,613 personas en aspectos relacionados con la búsqueda de un puesto en el mercado laboral. Por último, en el ámbito del desarrollo rural se registraron más de Q 200 millones en créditos y subsidios económicos productivos. También se llevó a cabo el apoyo a más de 127,000 agricultores rurales, en el marco del Sistema Nacional de Extensión Rural.</w:t>
      </w:r>
    </w:p>
    <w:p w14:paraId="2380F7F6" w14:textId="77777777" w:rsidR="003964D8" w:rsidRPr="00E4088B" w:rsidRDefault="003964D8" w:rsidP="003964D8">
      <w:pPr>
        <w:jc w:val="both"/>
        <w:rPr>
          <w:rFonts w:ascii="Helvetica" w:hAnsi="Helvetica"/>
          <w:b/>
          <w:bCs/>
          <w:color w:val="002060"/>
          <w:sz w:val="24"/>
          <w:szCs w:val="24"/>
        </w:rPr>
      </w:pPr>
      <w:r w:rsidRPr="00E4088B">
        <w:rPr>
          <w:rFonts w:ascii="Helvetica" w:hAnsi="Helvetica"/>
          <w:b/>
          <w:bCs/>
          <w:color w:val="002060"/>
          <w:sz w:val="24"/>
          <w:szCs w:val="24"/>
        </w:rPr>
        <w:t>Pilar 2. Desarrollo Social:</w:t>
      </w:r>
    </w:p>
    <w:p w14:paraId="25B54B2C" w14:textId="77777777" w:rsidR="003964D8" w:rsidRDefault="003964D8" w:rsidP="003964D8">
      <w:pPr>
        <w:spacing w:after="0" w:line="240" w:lineRule="auto"/>
        <w:jc w:val="both"/>
        <w:rPr>
          <w:rFonts w:ascii="Helvetica" w:eastAsia="Times New Roman" w:hAnsi="Helvetica" w:cs="Times New Roman"/>
          <w:sz w:val="26"/>
          <w:szCs w:val="28"/>
          <w:lang w:eastAsia="es-GT"/>
        </w:rPr>
      </w:pPr>
      <w:r w:rsidRPr="001E25B9">
        <w:rPr>
          <w:rFonts w:ascii="Helvetica" w:eastAsia="Times New Roman" w:hAnsi="Helvetica" w:cs="Times New Roman"/>
          <w:sz w:val="26"/>
          <w:szCs w:val="28"/>
          <w:lang w:eastAsia="es-GT"/>
        </w:rPr>
        <w:t>En este capítulo</w:t>
      </w:r>
      <w:r>
        <w:rPr>
          <w:rFonts w:ascii="Helvetica" w:eastAsia="Times New Roman" w:hAnsi="Helvetica" w:cs="Times New Roman"/>
          <w:sz w:val="26"/>
          <w:szCs w:val="28"/>
          <w:lang w:eastAsia="es-GT"/>
        </w:rPr>
        <w:t xml:space="preserve"> destacan los esfuerzos realizados por el Gobierno, a pesar de las dificultades derivadas de la pandemia, para impulsar el desarrollo social enfocado a los grupos más vulnerables, mediante estrategias y programas innovadores, buscando por todos los medios lograr la cobertura nacional y la sostenibilidad de los servicios.</w:t>
      </w:r>
    </w:p>
    <w:p w14:paraId="3711904E" w14:textId="77777777" w:rsidR="003964D8" w:rsidRDefault="003964D8" w:rsidP="003964D8">
      <w:pPr>
        <w:spacing w:after="0" w:line="240" w:lineRule="auto"/>
        <w:jc w:val="both"/>
        <w:rPr>
          <w:rFonts w:ascii="Helvetica" w:eastAsia="Times New Roman" w:hAnsi="Helvetica" w:cs="Times New Roman"/>
          <w:sz w:val="26"/>
          <w:szCs w:val="28"/>
          <w:lang w:eastAsia="es-GT"/>
        </w:rPr>
      </w:pPr>
    </w:p>
    <w:p w14:paraId="37D9D874" w14:textId="77777777" w:rsidR="003964D8" w:rsidRPr="001E25B9"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Se inicia el análisis del Informe Presidencial en materia social con el tema de e</w:t>
      </w:r>
      <w:r w:rsidRPr="001E25B9">
        <w:rPr>
          <w:rFonts w:ascii="Helvetica" w:eastAsia="Times New Roman" w:hAnsi="Helvetica" w:cs="Times New Roman"/>
          <w:sz w:val="26"/>
          <w:szCs w:val="28"/>
          <w:lang w:eastAsia="es-GT"/>
        </w:rPr>
        <w:t>ducación</w:t>
      </w:r>
      <w:r>
        <w:rPr>
          <w:rFonts w:ascii="Helvetica" w:eastAsia="Times New Roman" w:hAnsi="Helvetica" w:cs="Times New Roman"/>
          <w:sz w:val="26"/>
          <w:szCs w:val="28"/>
          <w:lang w:eastAsia="es-GT"/>
        </w:rPr>
        <w:t xml:space="preserve">. En este contexto, </w:t>
      </w:r>
      <w:r w:rsidRPr="001E25B9">
        <w:rPr>
          <w:rFonts w:ascii="Helvetica" w:eastAsia="Times New Roman" w:hAnsi="Helvetica" w:cs="Times New Roman"/>
          <w:sz w:val="26"/>
          <w:szCs w:val="28"/>
          <w:lang w:eastAsia="es-GT"/>
        </w:rPr>
        <w:t>se benefició a más de 2</w:t>
      </w:r>
      <w:r>
        <w:rPr>
          <w:rFonts w:ascii="Helvetica" w:eastAsia="Times New Roman" w:hAnsi="Helvetica" w:cs="Times New Roman"/>
          <w:sz w:val="26"/>
          <w:szCs w:val="28"/>
          <w:lang w:eastAsia="es-GT"/>
        </w:rPr>
        <w:t>7</w:t>
      </w:r>
      <w:r w:rsidRPr="001E25B9">
        <w:rPr>
          <w:rFonts w:ascii="Helvetica" w:eastAsia="Times New Roman" w:hAnsi="Helvetica" w:cs="Times New Roman"/>
          <w:sz w:val="26"/>
          <w:szCs w:val="28"/>
          <w:lang w:eastAsia="es-GT"/>
        </w:rPr>
        <w:t xml:space="preserve"> mil estudiantes </w:t>
      </w:r>
      <w:r>
        <w:rPr>
          <w:rFonts w:ascii="Helvetica" w:eastAsia="Times New Roman" w:hAnsi="Helvetica" w:cs="Times New Roman"/>
          <w:sz w:val="26"/>
          <w:szCs w:val="28"/>
          <w:lang w:eastAsia="es-GT"/>
        </w:rPr>
        <w:t>más que en 2019, mediante la implementación d</w:t>
      </w:r>
      <w:r w:rsidRPr="001E25B9">
        <w:rPr>
          <w:rFonts w:ascii="Helvetica" w:eastAsia="Times New Roman" w:hAnsi="Helvetica" w:cs="Times New Roman"/>
          <w:sz w:val="26"/>
          <w:szCs w:val="28"/>
          <w:lang w:eastAsia="es-GT"/>
        </w:rPr>
        <w:t xml:space="preserve">el </w:t>
      </w:r>
      <w:r>
        <w:rPr>
          <w:rFonts w:ascii="Helvetica" w:eastAsia="Times New Roman" w:hAnsi="Helvetica" w:cs="Times New Roman"/>
          <w:sz w:val="26"/>
          <w:szCs w:val="28"/>
          <w:lang w:eastAsia="es-GT"/>
        </w:rPr>
        <w:t>P</w:t>
      </w:r>
      <w:r w:rsidRPr="001E25B9">
        <w:rPr>
          <w:rFonts w:ascii="Helvetica" w:eastAsia="Times New Roman" w:hAnsi="Helvetica" w:cs="Times New Roman"/>
          <w:sz w:val="26"/>
          <w:szCs w:val="28"/>
          <w:lang w:eastAsia="es-GT"/>
        </w:rPr>
        <w:t xml:space="preserve">rograma de </w:t>
      </w:r>
      <w:r>
        <w:rPr>
          <w:rFonts w:ascii="Helvetica" w:eastAsia="Times New Roman" w:hAnsi="Helvetica" w:cs="Times New Roman"/>
          <w:sz w:val="26"/>
          <w:szCs w:val="28"/>
          <w:lang w:eastAsia="es-GT"/>
        </w:rPr>
        <w:t>S</w:t>
      </w:r>
      <w:r w:rsidRPr="001E25B9">
        <w:rPr>
          <w:rFonts w:ascii="Helvetica" w:eastAsia="Times New Roman" w:hAnsi="Helvetica" w:cs="Times New Roman"/>
          <w:sz w:val="26"/>
          <w:szCs w:val="28"/>
          <w:lang w:eastAsia="es-GT"/>
        </w:rPr>
        <w:t xml:space="preserve">ubvención a </w:t>
      </w:r>
      <w:r>
        <w:rPr>
          <w:rFonts w:ascii="Helvetica" w:eastAsia="Times New Roman" w:hAnsi="Helvetica" w:cs="Times New Roman"/>
          <w:sz w:val="26"/>
          <w:szCs w:val="28"/>
          <w:lang w:eastAsia="es-GT"/>
        </w:rPr>
        <w:t>C</w:t>
      </w:r>
      <w:r w:rsidRPr="001E25B9">
        <w:rPr>
          <w:rFonts w:ascii="Helvetica" w:eastAsia="Times New Roman" w:hAnsi="Helvetica" w:cs="Times New Roman"/>
          <w:sz w:val="26"/>
          <w:szCs w:val="28"/>
          <w:lang w:eastAsia="es-GT"/>
        </w:rPr>
        <w:t xml:space="preserve">entros </w:t>
      </w:r>
      <w:r>
        <w:rPr>
          <w:rFonts w:ascii="Helvetica" w:eastAsia="Times New Roman" w:hAnsi="Helvetica" w:cs="Times New Roman"/>
          <w:sz w:val="26"/>
          <w:szCs w:val="28"/>
          <w:lang w:eastAsia="es-GT"/>
        </w:rPr>
        <w:t>E</w:t>
      </w:r>
      <w:r w:rsidRPr="001E25B9">
        <w:rPr>
          <w:rFonts w:ascii="Helvetica" w:eastAsia="Times New Roman" w:hAnsi="Helvetica" w:cs="Times New Roman"/>
          <w:sz w:val="26"/>
          <w:szCs w:val="28"/>
          <w:lang w:eastAsia="es-GT"/>
        </w:rPr>
        <w:t xml:space="preserve">ducativos </w:t>
      </w:r>
      <w:r>
        <w:rPr>
          <w:rFonts w:ascii="Helvetica" w:eastAsia="Times New Roman" w:hAnsi="Helvetica" w:cs="Times New Roman"/>
          <w:sz w:val="26"/>
          <w:szCs w:val="28"/>
          <w:lang w:eastAsia="es-GT"/>
        </w:rPr>
        <w:t xml:space="preserve">Privados Gratuitos </w:t>
      </w:r>
      <w:r w:rsidRPr="001E25B9">
        <w:rPr>
          <w:rFonts w:ascii="Helvetica" w:eastAsia="Times New Roman" w:hAnsi="Helvetica" w:cs="Times New Roman"/>
          <w:sz w:val="26"/>
          <w:szCs w:val="28"/>
          <w:lang w:eastAsia="es-GT"/>
        </w:rPr>
        <w:t xml:space="preserve">y por </w:t>
      </w:r>
      <w:r>
        <w:rPr>
          <w:rFonts w:ascii="Helvetica" w:eastAsia="Times New Roman" w:hAnsi="Helvetica" w:cs="Times New Roman"/>
          <w:sz w:val="26"/>
          <w:szCs w:val="28"/>
          <w:lang w:eastAsia="es-GT"/>
        </w:rPr>
        <w:t>C</w:t>
      </w:r>
      <w:r w:rsidRPr="001E25B9">
        <w:rPr>
          <w:rFonts w:ascii="Helvetica" w:eastAsia="Times New Roman" w:hAnsi="Helvetica" w:cs="Times New Roman"/>
          <w:sz w:val="26"/>
          <w:szCs w:val="28"/>
          <w:lang w:eastAsia="es-GT"/>
        </w:rPr>
        <w:t xml:space="preserve">ooperativa, </w:t>
      </w:r>
      <w:r>
        <w:rPr>
          <w:rFonts w:ascii="Helvetica" w:eastAsia="Times New Roman" w:hAnsi="Helvetica" w:cs="Times New Roman"/>
          <w:sz w:val="26"/>
          <w:szCs w:val="28"/>
          <w:lang w:eastAsia="es-GT"/>
        </w:rPr>
        <w:t xml:space="preserve">y se procedió a </w:t>
      </w:r>
      <w:r w:rsidRPr="001E25B9">
        <w:rPr>
          <w:rFonts w:ascii="Helvetica" w:eastAsia="Times New Roman" w:hAnsi="Helvetica" w:cs="Times New Roman"/>
          <w:sz w:val="26"/>
          <w:szCs w:val="28"/>
          <w:lang w:eastAsia="es-GT"/>
        </w:rPr>
        <w:t>la instauración del seguro médico escolar y el impulso al programa de educación bilingüe.</w:t>
      </w:r>
    </w:p>
    <w:p w14:paraId="3B51A4FF" w14:textId="77777777" w:rsidR="003964D8" w:rsidRDefault="003964D8" w:rsidP="003964D8">
      <w:pPr>
        <w:spacing w:after="0" w:line="240" w:lineRule="auto"/>
        <w:jc w:val="both"/>
        <w:rPr>
          <w:rFonts w:ascii="Helvetica" w:eastAsia="Times New Roman" w:hAnsi="Helvetica" w:cs="Times New Roman"/>
          <w:sz w:val="26"/>
          <w:szCs w:val="28"/>
          <w:lang w:eastAsia="es-GT"/>
        </w:rPr>
      </w:pPr>
    </w:p>
    <w:p w14:paraId="46338FB8" w14:textId="77777777" w:rsidR="003964D8" w:rsidRPr="001E25B9"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 xml:space="preserve">Destaca </w:t>
      </w:r>
      <w:r w:rsidRPr="001E25B9">
        <w:rPr>
          <w:rFonts w:ascii="Helvetica" w:eastAsia="Times New Roman" w:hAnsi="Helvetica" w:cs="Times New Roman"/>
          <w:sz w:val="26"/>
          <w:szCs w:val="28"/>
          <w:lang w:eastAsia="es-GT"/>
        </w:rPr>
        <w:t>la atención prestada a 136,256 personas como parte del programa para la reducción del analfabetismo y el impulso de programas como Aprendo en Casa, para atender a los estudiantes durante el confinamiento para evitar la propagación del Covid-19.</w:t>
      </w:r>
      <w:r>
        <w:rPr>
          <w:rFonts w:ascii="Helvetica" w:eastAsia="Times New Roman" w:hAnsi="Helvetica" w:cs="Times New Roman"/>
          <w:sz w:val="26"/>
          <w:szCs w:val="28"/>
          <w:lang w:eastAsia="es-GT"/>
        </w:rPr>
        <w:t xml:space="preserve"> Adicionalmente, en el marco de la administración del banco de becas, en 2020 se otorgaron más de 2,000 becas frente a las 140 del año anterior. Como parte de la prioridad que se otorgó a la transmisión de clases durante la pandemia, por medio del Canal de Gobierno y las redes sociales se impartieron clases a 1,180,929 estudiantes de diferentes niveles educativos. </w:t>
      </w:r>
    </w:p>
    <w:p w14:paraId="431D71D1" w14:textId="77777777" w:rsidR="003964D8" w:rsidRDefault="003964D8" w:rsidP="003964D8">
      <w:pPr>
        <w:spacing w:after="0" w:line="240" w:lineRule="auto"/>
        <w:jc w:val="both"/>
        <w:rPr>
          <w:rFonts w:ascii="Helvetica" w:eastAsia="Times New Roman" w:hAnsi="Helvetica" w:cs="Times New Roman"/>
          <w:sz w:val="26"/>
          <w:szCs w:val="28"/>
          <w:lang w:eastAsia="es-GT"/>
        </w:rPr>
      </w:pPr>
    </w:p>
    <w:p w14:paraId="5BA42EF3" w14:textId="77777777" w:rsidR="003964D8"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 xml:space="preserve">Se desarrolló el proyecto de Propuesta de Ruta de Transformación Curricular, con la finalidad de buscar cambios que mejoren los contenidos educativos. Vale agregar que se superó en 386,000 ejemplares la dotación de libros de texto, en comparación con el año 2019. Se remozaron 193 edificios escolares y se instalaron 319 módulos educativos para preprimaria. </w:t>
      </w:r>
    </w:p>
    <w:p w14:paraId="44A9F9D1" w14:textId="77777777" w:rsidR="003964D8" w:rsidRDefault="003964D8" w:rsidP="003964D8">
      <w:pPr>
        <w:spacing w:after="0" w:line="240" w:lineRule="auto"/>
        <w:jc w:val="both"/>
        <w:rPr>
          <w:rFonts w:ascii="Helvetica" w:eastAsia="Times New Roman" w:hAnsi="Helvetica" w:cs="Times New Roman"/>
          <w:sz w:val="26"/>
          <w:szCs w:val="28"/>
          <w:lang w:eastAsia="es-GT"/>
        </w:rPr>
      </w:pPr>
    </w:p>
    <w:p w14:paraId="47E1A316" w14:textId="77777777" w:rsidR="003964D8" w:rsidRDefault="003964D8" w:rsidP="003964D8">
      <w:pPr>
        <w:spacing w:after="0" w:line="240" w:lineRule="auto"/>
        <w:jc w:val="both"/>
        <w:rPr>
          <w:rFonts w:ascii="Helvetica" w:eastAsia="Times New Roman" w:hAnsi="Helvetica" w:cs="Times New Roman"/>
          <w:sz w:val="26"/>
          <w:szCs w:val="28"/>
          <w:lang w:eastAsia="es-GT"/>
        </w:rPr>
      </w:pPr>
      <w:r w:rsidRPr="001E25B9">
        <w:rPr>
          <w:rFonts w:ascii="Helvetica" w:eastAsia="Times New Roman" w:hAnsi="Helvetica" w:cs="Times New Roman"/>
          <w:sz w:val="26"/>
          <w:szCs w:val="28"/>
          <w:lang w:eastAsia="es-GT"/>
        </w:rPr>
        <w:t xml:space="preserve">En el área de </w:t>
      </w:r>
      <w:r>
        <w:rPr>
          <w:rFonts w:ascii="Helvetica" w:eastAsia="Times New Roman" w:hAnsi="Helvetica" w:cs="Times New Roman"/>
          <w:sz w:val="26"/>
          <w:szCs w:val="28"/>
          <w:lang w:eastAsia="es-GT"/>
        </w:rPr>
        <w:t>s</w:t>
      </w:r>
      <w:r w:rsidRPr="001E25B9">
        <w:rPr>
          <w:rFonts w:ascii="Helvetica" w:eastAsia="Times New Roman" w:hAnsi="Helvetica" w:cs="Times New Roman"/>
          <w:sz w:val="26"/>
          <w:szCs w:val="28"/>
          <w:lang w:eastAsia="es-GT"/>
        </w:rPr>
        <w:t>alud, el Gobierno remarca la</w:t>
      </w:r>
      <w:r w:rsidRPr="001E25B9">
        <w:rPr>
          <w:rFonts w:ascii="Helvetica" w:eastAsia="Times New Roman" w:hAnsi="Helvetica" w:cs="Times New Roman"/>
          <w:sz w:val="24"/>
          <w:szCs w:val="28"/>
          <w:lang w:eastAsia="es-GT"/>
        </w:rPr>
        <w:t>s</w:t>
      </w:r>
      <w:r w:rsidRPr="001E25B9">
        <w:rPr>
          <w:rFonts w:ascii="Helvetica" w:eastAsia="Times New Roman" w:hAnsi="Helvetica" w:cs="Times New Roman"/>
          <w:sz w:val="26"/>
          <w:szCs w:val="28"/>
          <w:lang w:eastAsia="es-GT"/>
        </w:rPr>
        <w:t xml:space="preserve"> construcciones</w:t>
      </w:r>
      <w:r w:rsidRPr="001E25B9">
        <w:rPr>
          <w:rFonts w:ascii="Helvetica" w:eastAsia="Times New Roman" w:hAnsi="Helvetica" w:cs="Times New Roman"/>
          <w:sz w:val="24"/>
          <w:szCs w:val="28"/>
          <w:lang w:eastAsia="es-GT"/>
        </w:rPr>
        <w:t>,</w:t>
      </w:r>
      <w:r w:rsidRPr="001E25B9">
        <w:rPr>
          <w:rFonts w:ascii="Helvetica" w:eastAsia="Times New Roman" w:hAnsi="Helvetica" w:cs="Times New Roman"/>
          <w:sz w:val="26"/>
          <w:szCs w:val="28"/>
          <w:lang w:eastAsia="es-GT"/>
        </w:rPr>
        <w:t xml:space="preserve"> nuevas instalaciones, remozamiento, ampliaciones y rehabilitaciones de centros y puestos de salud</w:t>
      </w:r>
      <w:r>
        <w:rPr>
          <w:rFonts w:ascii="Helvetica" w:eastAsia="Times New Roman" w:hAnsi="Helvetica" w:cs="Times New Roman"/>
          <w:sz w:val="26"/>
          <w:szCs w:val="28"/>
          <w:lang w:eastAsia="es-GT"/>
        </w:rPr>
        <w:t xml:space="preserve">. </w:t>
      </w:r>
      <w:r w:rsidRPr="001E25B9">
        <w:rPr>
          <w:rFonts w:ascii="Helvetica" w:eastAsia="Times New Roman" w:hAnsi="Helvetica" w:cs="Times New Roman"/>
          <w:sz w:val="26"/>
          <w:szCs w:val="28"/>
          <w:lang w:eastAsia="es-GT"/>
        </w:rPr>
        <w:t xml:space="preserve">En </w:t>
      </w:r>
      <w:r>
        <w:rPr>
          <w:rFonts w:ascii="Helvetica" w:eastAsia="Times New Roman" w:hAnsi="Helvetica" w:cs="Times New Roman"/>
          <w:sz w:val="26"/>
          <w:szCs w:val="28"/>
          <w:lang w:eastAsia="es-GT"/>
        </w:rPr>
        <w:t xml:space="preserve">materia de protección </w:t>
      </w:r>
      <w:r w:rsidRPr="001E25B9">
        <w:rPr>
          <w:rFonts w:ascii="Helvetica" w:eastAsia="Times New Roman" w:hAnsi="Helvetica" w:cs="Times New Roman"/>
          <w:sz w:val="26"/>
          <w:szCs w:val="28"/>
          <w:lang w:eastAsia="es-GT"/>
        </w:rPr>
        <w:t xml:space="preserve">social, </w:t>
      </w:r>
      <w:r>
        <w:rPr>
          <w:rFonts w:ascii="Helvetica" w:eastAsia="Times New Roman" w:hAnsi="Helvetica" w:cs="Times New Roman"/>
          <w:sz w:val="26"/>
          <w:szCs w:val="28"/>
          <w:lang w:eastAsia="es-GT"/>
        </w:rPr>
        <w:t xml:space="preserve">se brindó </w:t>
      </w:r>
      <w:r w:rsidRPr="001E25B9">
        <w:rPr>
          <w:rFonts w:ascii="Helvetica" w:eastAsia="Times New Roman" w:hAnsi="Helvetica" w:cs="Times New Roman"/>
          <w:sz w:val="26"/>
          <w:szCs w:val="28"/>
          <w:lang w:eastAsia="es-GT"/>
        </w:rPr>
        <w:t xml:space="preserve">atención a las personas migrantes a través del plan "Los queremos en casa", </w:t>
      </w:r>
      <w:r>
        <w:rPr>
          <w:rFonts w:ascii="Helvetica" w:eastAsia="Times New Roman" w:hAnsi="Helvetica" w:cs="Times New Roman"/>
          <w:sz w:val="26"/>
          <w:szCs w:val="28"/>
          <w:lang w:eastAsia="es-GT"/>
        </w:rPr>
        <w:t xml:space="preserve">a la vez que se atendió </w:t>
      </w:r>
      <w:r w:rsidRPr="001E25B9">
        <w:rPr>
          <w:rFonts w:ascii="Helvetica" w:eastAsia="Times New Roman" w:hAnsi="Helvetica" w:cs="Times New Roman"/>
          <w:sz w:val="26"/>
          <w:szCs w:val="28"/>
          <w:lang w:eastAsia="es-GT"/>
        </w:rPr>
        <w:t>a los adultos mayores, y se entreg</w:t>
      </w:r>
      <w:r>
        <w:rPr>
          <w:rFonts w:ascii="Helvetica" w:eastAsia="Times New Roman" w:hAnsi="Helvetica" w:cs="Times New Roman"/>
          <w:sz w:val="26"/>
          <w:szCs w:val="28"/>
          <w:lang w:eastAsia="es-GT"/>
        </w:rPr>
        <w:t>aron</w:t>
      </w:r>
      <w:r w:rsidRPr="001E25B9">
        <w:rPr>
          <w:rFonts w:ascii="Helvetica" w:eastAsia="Times New Roman" w:hAnsi="Helvetica" w:cs="Times New Roman"/>
          <w:sz w:val="26"/>
          <w:szCs w:val="28"/>
          <w:lang w:eastAsia="es-GT"/>
        </w:rPr>
        <w:t xml:space="preserve"> 38</w:t>
      </w:r>
      <w:r>
        <w:rPr>
          <w:rFonts w:ascii="Helvetica" w:eastAsia="Times New Roman" w:hAnsi="Helvetica" w:cs="Times New Roman"/>
          <w:sz w:val="26"/>
          <w:szCs w:val="28"/>
          <w:lang w:eastAsia="es-GT"/>
        </w:rPr>
        <w:t>,000</w:t>
      </w:r>
      <w:r w:rsidRPr="001E25B9">
        <w:rPr>
          <w:rFonts w:ascii="Helvetica" w:eastAsia="Times New Roman" w:hAnsi="Helvetica" w:cs="Times New Roman"/>
          <w:sz w:val="26"/>
          <w:szCs w:val="28"/>
          <w:lang w:eastAsia="es-GT"/>
        </w:rPr>
        <w:t xml:space="preserve"> bolsas de alimentos a unas 8,500 personas. </w:t>
      </w:r>
    </w:p>
    <w:p w14:paraId="363A6CDE" w14:textId="77777777" w:rsidR="003964D8" w:rsidRPr="001E25B9" w:rsidRDefault="003964D8" w:rsidP="003964D8">
      <w:pPr>
        <w:spacing w:after="0" w:line="240" w:lineRule="auto"/>
        <w:jc w:val="both"/>
        <w:rPr>
          <w:rFonts w:ascii="Helvetica" w:eastAsia="Times New Roman" w:hAnsi="Helvetica" w:cs="Times New Roman"/>
          <w:sz w:val="26"/>
          <w:szCs w:val="28"/>
          <w:lang w:eastAsia="es-GT"/>
        </w:rPr>
      </w:pPr>
    </w:p>
    <w:p w14:paraId="7A6F4D5F" w14:textId="77777777" w:rsidR="003964D8"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 xml:space="preserve">Es igualmente importante destacar que, en el marco de la crisis provocada por el Covid-19, se distribuyeron más de 100,000 kits de medicamentos para pacientes con síntomas leves y más de 15,000 para pacientes con sintomatología moderada. </w:t>
      </w:r>
    </w:p>
    <w:p w14:paraId="1AF835B7" w14:textId="77777777" w:rsidR="003964D8" w:rsidRDefault="003964D8" w:rsidP="003964D8">
      <w:pPr>
        <w:spacing w:after="0" w:line="120" w:lineRule="auto"/>
        <w:jc w:val="both"/>
        <w:rPr>
          <w:rFonts w:ascii="Helvetica" w:eastAsia="Times New Roman" w:hAnsi="Helvetica" w:cs="Times New Roman"/>
          <w:sz w:val="26"/>
          <w:szCs w:val="28"/>
          <w:lang w:eastAsia="es-GT"/>
        </w:rPr>
      </w:pPr>
    </w:p>
    <w:p w14:paraId="3F317F3A" w14:textId="77777777" w:rsidR="003964D8"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En materia de nutrición, se monitoreó el crecimiento de 711,561 niños menores de dos años, a efecto de atender de inmediato a quienes manifestaran síntomas de desnutrición (26,420), a quienes se brindó de inmediato la atención necesaria. Es de hacer notar que esta cantidad de menores monitoreados y atendidos fue el doble de los correspondientes al año anterior. En cuanto a los fallecidos por desnutrición aguda, ascendieron a solo 26 frente a los 75 de 2019.</w:t>
      </w:r>
    </w:p>
    <w:p w14:paraId="68EAB46D" w14:textId="77777777" w:rsidR="003964D8" w:rsidRDefault="003964D8" w:rsidP="003964D8">
      <w:pPr>
        <w:spacing w:after="0" w:line="120" w:lineRule="auto"/>
        <w:jc w:val="both"/>
        <w:rPr>
          <w:rFonts w:ascii="Helvetica" w:eastAsia="Times New Roman" w:hAnsi="Helvetica" w:cs="Times New Roman"/>
          <w:sz w:val="26"/>
          <w:szCs w:val="28"/>
          <w:lang w:eastAsia="es-GT"/>
        </w:rPr>
      </w:pPr>
    </w:p>
    <w:p w14:paraId="0F18AA11" w14:textId="77777777" w:rsidR="003964D8"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 xml:space="preserve">Para promover la disponibilidad de alimentos, en los 7,116 centros de capacitación del Sistema Nacional de Extensión Rural (SNER) se organizó a más de 167,000 agricultores con la debida capacitación para producir alimentos, de los cuales las dos terceras partes fueron mujeres. Paralelamente, se distribuyeron 297.9 toneladas métricas de semilla fortificada de granos básicos entre productores agrícolas de las áreas socioeconómicamente más precarias. </w:t>
      </w:r>
    </w:p>
    <w:p w14:paraId="40411A4E" w14:textId="77777777" w:rsidR="003964D8" w:rsidRDefault="003964D8" w:rsidP="003964D8">
      <w:pPr>
        <w:spacing w:after="0" w:line="120" w:lineRule="auto"/>
        <w:jc w:val="both"/>
        <w:rPr>
          <w:rFonts w:ascii="Helvetica" w:eastAsia="Times New Roman" w:hAnsi="Helvetica" w:cs="Times New Roman"/>
          <w:sz w:val="26"/>
          <w:szCs w:val="28"/>
          <w:lang w:eastAsia="es-GT"/>
        </w:rPr>
      </w:pPr>
    </w:p>
    <w:p w14:paraId="1C9AEACB" w14:textId="77777777" w:rsidR="003964D8"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En el ámbito de la vivienda, se construyeron 4,288 viviendas en los 22 departamentos del país, especialmente en los habitados por población predominantemente indígena con alta vulnerabilidad, como Chimaltenango, Suchitepéquez, San Marcos y Sololá. Asimismo, por medio del programa Piso Digno, se amplió en 10,000 respecto al año anterior la disponibilidad de subsidios para soluciones habitacionales, dirigidos a población en condiciones de pobreza y pobreza extrema.</w:t>
      </w:r>
    </w:p>
    <w:p w14:paraId="7E2E3A05" w14:textId="77777777" w:rsidR="003964D8" w:rsidRDefault="003964D8" w:rsidP="003964D8">
      <w:pPr>
        <w:spacing w:after="0" w:line="120" w:lineRule="auto"/>
        <w:jc w:val="both"/>
        <w:rPr>
          <w:rFonts w:ascii="Helvetica" w:eastAsia="Times New Roman" w:hAnsi="Helvetica" w:cs="Times New Roman"/>
          <w:sz w:val="26"/>
          <w:szCs w:val="28"/>
          <w:lang w:eastAsia="es-GT"/>
        </w:rPr>
      </w:pPr>
    </w:p>
    <w:p w14:paraId="4E74CE92" w14:textId="77777777" w:rsidR="003964D8"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Se pasa luego a otro tema fundamental en este contexto: la protección social, concebida como un sistema para la prevención, reducción y eliminación de las vulnerabilidades económicas y sociales entre la población, por lo que se relaciona con todos los ámbitos de la política social. En este contexto, en materia de acceso a la educación de la niñez guatemalteca, se otorgaron más de 2,000 becas dirigidas a población con discapacidad. Mediante el Bono Salud, se benefició a 44,272 familias con más de 269,105 aportes. En el campo de la nutrición, mediante los comedores sociales se distribuyeron más de 2 millones de raciones de alimentos.</w:t>
      </w:r>
    </w:p>
    <w:p w14:paraId="7225A182" w14:textId="77777777" w:rsidR="003964D8" w:rsidRDefault="003964D8" w:rsidP="003964D8">
      <w:pPr>
        <w:spacing w:after="0" w:line="120" w:lineRule="auto"/>
        <w:jc w:val="both"/>
        <w:rPr>
          <w:rFonts w:ascii="Helvetica" w:eastAsia="Times New Roman" w:hAnsi="Helvetica" w:cs="Times New Roman"/>
          <w:sz w:val="26"/>
          <w:szCs w:val="28"/>
          <w:lang w:eastAsia="es-GT"/>
        </w:rPr>
      </w:pPr>
    </w:p>
    <w:p w14:paraId="28B1FCB4" w14:textId="77777777" w:rsidR="003964D8"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 xml:space="preserve">La protección social implicó asimismo la adopción de medidas especiales ante la pandemia. Entre ellas destaca el Bono Familia, que benefició a 2,790,668 personas y el Fondo de Protección del Empleo, que favoreció a 188,139 trabajadores. Es igualmente importante el apoyo a las capacidades productivas, mediante la dotación de 10,415 becas para iniciar pequeños emprendimientos productivos, como parte de la Beca Social Educación Media, Superior y Artesano, a cargo del Ministerio de Desarrollo Social (MIDES). </w:t>
      </w:r>
    </w:p>
    <w:p w14:paraId="4F383E43" w14:textId="77777777" w:rsidR="003964D8" w:rsidRDefault="003964D8" w:rsidP="003964D8">
      <w:pPr>
        <w:spacing w:after="0" w:line="240" w:lineRule="auto"/>
        <w:jc w:val="both"/>
        <w:rPr>
          <w:rFonts w:ascii="Helvetica" w:eastAsia="Times New Roman" w:hAnsi="Helvetica" w:cs="Times New Roman"/>
          <w:sz w:val="26"/>
          <w:szCs w:val="28"/>
          <w:lang w:eastAsia="es-GT"/>
        </w:rPr>
      </w:pPr>
    </w:p>
    <w:p w14:paraId="3BB96502" w14:textId="77777777" w:rsidR="003964D8" w:rsidRPr="001E25B9" w:rsidRDefault="003964D8" w:rsidP="003964D8">
      <w:pPr>
        <w:spacing w:after="0" w:line="240" w:lineRule="auto"/>
        <w:jc w:val="both"/>
        <w:rPr>
          <w:rFonts w:ascii="Helvetica" w:eastAsia="Times New Roman" w:hAnsi="Helvetica" w:cs="Times New Roman"/>
          <w:sz w:val="26"/>
          <w:szCs w:val="28"/>
          <w:lang w:eastAsia="es-GT"/>
        </w:rPr>
      </w:pPr>
      <w:r>
        <w:rPr>
          <w:rFonts w:ascii="Helvetica" w:eastAsia="Times New Roman" w:hAnsi="Helvetica" w:cs="Times New Roman"/>
          <w:sz w:val="26"/>
          <w:szCs w:val="28"/>
          <w:lang w:eastAsia="es-GT"/>
        </w:rPr>
        <w:t>E</w:t>
      </w:r>
      <w:r w:rsidRPr="001E25B9">
        <w:rPr>
          <w:rFonts w:ascii="Helvetica" w:eastAsia="Times New Roman" w:hAnsi="Helvetica" w:cs="Times New Roman"/>
          <w:sz w:val="26"/>
          <w:szCs w:val="28"/>
          <w:lang w:eastAsia="es-GT"/>
        </w:rPr>
        <w:t xml:space="preserve">n </w:t>
      </w:r>
      <w:r>
        <w:rPr>
          <w:rFonts w:ascii="Helvetica" w:eastAsia="Times New Roman" w:hAnsi="Helvetica" w:cs="Times New Roman"/>
          <w:sz w:val="26"/>
          <w:szCs w:val="28"/>
          <w:lang w:eastAsia="es-GT"/>
        </w:rPr>
        <w:t>el ámbito de la c</w:t>
      </w:r>
      <w:r w:rsidRPr="001E25B9">
        <w:rPr>
          <w:rFonts w:ascii="Helvetica" w:eastAsia="Times New Roman" w:hAnsi="Helvetica" w:cs="Times New Roman"/>
          <w:sz w:val="26"/>
          <w:szCs w:val="28"/>
          <w:lang w:eastAsia="es-GT"/>
        </w:rPr>
        <w:t>ultura</w:t>
      </w:r>
      <w:r>
        <w:rPr>
          <w:rFonts w:ascii="Helvetica" w:eastAsia="Times New Roman" w:hAnsi="Helvetica" w:cs="Times New Roman"/>
          <w:sz w:val="26"/>
          <w:szCs w:val="28"/>
          <w:lang w:eastAsia="es-GT"/>
        </w:rPr>
        <w:t>,</w:t>
      </w:r>
      <w:r w:rsidRPr="001E25B9">
        <w:rPr>
          <w:rFonts w:ascii="Helvetica" w:eastAsia="Times New Roman" w:hAnsi="Helvetica" w:cs="Times New Roman"/>
          <w:sz w:val="26"/>
          <w:szCs w:val="28"/>
          <w:lang w:eastAsia="es-GT"/>
        </w:rPr>
        <w:t xml:space="preserve"> </w:t>
      </w:r>
      <w:r>
        <w:rPr>
          <w:rFonts w:ascii="Helvetica" w:eastAsia="Times New Roman" w:hAnsi="Helvetica" w:cs="Times New Roman"/>
          <w:sz w:val="26"/>
          <w:szCs w:val="28"/>
          <w:lang w:eastAsia="es-GT"/>
        </w:rPr>
        <w:t xml:space="preserve">cabe destacar </w:t>
      </w:r>
      <w:r w:rsidRPr="001E25B9">
        <w:rPr>
          <w:rFonts w:ascii="Helvetica" w:eastAsia="Times New Roman" w:hAnsi="Helvetica" w:cs="Times New Roman"/>
          <w:sz w:val="26"/>
          <w:szCs w:val="28"/>
          <w:lang w:eastAsia="es-GT"/>
        </w:rPr>
        <w:t xml:space="preserve">la construcción de un complejo polideportivo y </w:t>
      </w:r>
      <w:r>
        <w:rPr>
          <w:rFonts w:ascii="Helvetica" w:eastAsia="Times New Roman" w:hAnsi="Helvetica" w:cs="Times New Roman"/>
          <w:sz w:val="26"/>
          <w:szCs w:val="28"/>
          <w:lang w:eastAsia="es-GT"/>
        </w:rPr>
        <w:t>la ejecución d</w:t>
      </w:r>
      <w:r w:rsidRPr="001E25B9">
        <w:rPr>
          <w:rFonts w:ascii="Helvetica" w:eastAsia="Times New Roman" w:hAnsi="Helvetica" w:cs="Times New Roman"/>
          <w:sz w:val="26"/>
          <w:szCs w:val="28"/>
          <w:lang w:eastAsia="es-GT"/>
        </w:rPr>
        <w:t>el programa "</w:t>
      </w:r>
      <w:proofErr w:type="spellStart"/>
      <w:r w:rsidRPr="001E25B9">
        <w:rPr>
          <w:rFonts w:ascii="Helvetica" w:eastAsia="Times New Roman" w:hAnsi="Helvetica" w:cs="Times New Roman"/>
          <w:sz w:val="26"/>
          <w:szCs w:val="28"/>
          <w:lang w:eastAsia="es-GT"/>
        </w:rPr>
        <w:t>ApoyArte</w:t>
      </w:r>
      <w:proofErr w:type="spellEnd"/>
      <w:r>
        <w:rPr>
          <w:rFonts w:ascii="Helvetica" w:eastAsia="Times New Roman" w:hAnsi="Helvetica" w:cs="Times New Roman"/>
          <w:sz w:val="26"/>
          <w:szCs w:val="28"/>
          <w:lang w:eastAsia="es-GT"/>
        </w:rPr>
        <w:t>,</w:t>
      </w:r>
      <w:r w:rsidRPr="001E25B9">
        <w:rPr>
          <w:rFonts w:ascii="Helvetica" w:eastAsia="Times New Roman" w:hAnsi="Helvetica" w:cs="Times New Roman"/>
          <w:sz w:val="26"/>
          <w:szCs w:val="28"/>
          <w:lang w:eastAsia="es-GT"/>
        </w:rPr>
        <w:t xml:space="preserve">" que se impulsó </w:t>
      </w:r>
      <w:r>
        <w:rPr>
          <w:rFonts w:ascii="Helvetica" w:eastAsia="Times New Roman" w:hAnsi="Helvetica" w:cs="Times New Roman"/>
          <w:sz w:val="26"/>
          <w:szCs w:val="28"/>
          <w:lang w:eastAsia="es-GT"/>
        </w:rPr>
        <w:t>desde que se suscitó la pandemia d</w:t>
      </w:r>
      <w:r w:rsidRPr="001E25B9">
        <w:rPr>
          <w:rFonts w:ascii="Helvetica" w:eastAsia="Times New Roman" w:hAnsi="Helvetica" w:cs="Times New Roman"/>
          <w:sz w:val="26"/>
          <w:szCs w:val="28"/>
          <w:lang w:eastAsia="es-GT"/>
        </w:rPr>
        <w:t>el Covid-19.</w:t>
      </w:r>
    </w:p>
    <w:p w14:paraId="5264E14E" w14:textId="77777777" w:rsidR="003964D8" w:rsidRDefault="003964D8" w:rsidP="003964D8">
      <w:pPr>
        <w:jc w:val="both"/>
        <w:rPr>
          <w:rFonts w:ascii="Helvetica" w:hAnsi="Helvetica"/>
          <w:b/>
          <w:bCs/>
          <w:sz w:val="24"/>
          <w:szCs w:val="24"/>
        </w:rPr>
      </w:pPr>
    </w:p>
    <w:p w14:paraId="0324568A" w14:textId="77777777" w:rsidR="003964D8" w:rsidRPr="00E4088B" w:rsidRDefault="003964D8" w:rsidP="003964D8">
      <w:pPr>
        <w:jc w:val="both"/>
        <w:rPr>
          <w:rFonts w:ascii="Helvetica" w:hAnsi="Helvetica"/>
          <w:b/>
          <w:bCs/>
          <w:color w:val="002060"/>
          <w:sz w:val="24"/>
          <w:szCs w:val="24"/>
        </w:rPr>
      </w:pPr>
      <w:r w:rsidRPr="00E4088B">
        <w:rPr>
          <w:rFonts w:ascii="Helvetica" w:hAnsi="Helvetica"/>
          <w:b/>
          <w:bCs/>
          <w:color w:val="002060"/>
          <w:sz w:val="24"/>
          <w:szCs w:val="24"/>
        </w:rPr>
        <w:t>Pilar 3. Seguridad y gobernabilidad en desarrollo:</w:t>
      </w:r>
    </w:p>
    <w:p w14:paraId="2418A082" w14:textId="77777777" w:rsidR="003964D8" w:rsidRDefault="003964D8" w:rsidP="003964D8">
      <w:pPr>
        <w:spacing w:after="0" w:line="240" w:lineRule="auto"/>
        <w:jc w:val="both"/>
        <w:rPr>
          <w:rFonts w:ascii="Helvetica" w:hAnsi="Helvetica"/>
          <w:sz w:val="24"/>
          <w:szCs w:val="24"/>
        </w:rPr>
      </w:pPr>
      <w:r w:rsidRPr="001E25B9">
        <w:rPr>
          <w:rFonts w:ascii="Helvetica" w:hAnsi="Helvetica"/>
          <w:sz w:val="24"/>
          <w:szCs w:val="24"/>
        </w:rPr>
        <w:t>En materia de seguridad ciudadana, según el Ministerio de Gobernación se logró una reducción de la tasa de homicidios de</w:t>
      </w:r>
      <w:r>
        <w:rPr>
          <w:rFonts w:ascii="Helvetica" w:hAnsi="Helvetica"/>
          <w:sz w:val="24"/>
          <w:szCs w:val="24"/>
        </w:rPr>
        <w:t>l</w:t>
      </w:r>
      <w:r w:rsidRPr="001E25B9">
        <w:rPr>
          <w:rFonts w:ascii="Helvetica" w:hAnsi="Helvetica"/>
          <w:sz w:val="24"/>
          <w:szCs w:val="24"/>
        </w:rPr>
        <w:t xml:space="preserve"> 18.89 %, al bajar de 100.63 a 81.79 %, superando la meta establecida para 2020. Vale agregar asimismo la reducción de la tasa de homicidios de 21.6 a 15.3, es decir un 6.3 % que también superó la meta. Adicionalmente, se logró una disminución </w:t>
      </w:r>
      <w:r>
        <w:rPr>
          <w:rFonts w:ascii="Helvetica" w:hAnsi="Helvetica"/>
          <w:sz w:val="24"/>
          <w:szCs w:val="24"/>
        </w:rPr>
        <w:t>en</w:t>
      </w:r>
      <w:r w:rsidRPr="001E25B9">
        <w:rPr>
          <w:rFonts w:ascii="Helvetica" w:hAnsi="Helvetica"/>
          <w:sz w:val="24"/>
          <w:szCs w:val="24"/>
        </w:rPr>
        <w:t xml:space="preserve"> 9 puntos porcentuales de la tasa de delitos contra el patrimonio, respecto al año 2019, al bajar de 51 a 42.</w:t>
      </w:r>
    </w:p>
    <w:p w14:paraId="5FD273CB" w14:textId="77777777" w:rsidR="003964D8" w:rsidRPr="001E25B9" w:rsidRDefault="003964D8" w:rsidP="003964D8">
      <w:pPr>
        <w:spacing w:after="0" w:line="240" w:lineRule="auto"/>
        <w:jc w:val="both"/>
        <w:rPr>
          <w:rFonts w:ascii="Helvetica" w:hAnsi="Helvetica"/>
          <w:sz w:val="24"/>
          <w:szCs w:val="24"/>
        </w:rPr>
      </w:pPr>
    </w:p>
    <w:p w14:paraId="27B1180D" w14:textId="77777777" w:rsidR="003964D8" w:rsidRPr="001E25B9" w:rsidRDefault="003964D8" w:rsidP="003964D8">
      <w:pPr>
        <w:spacing w:after="0" w:line="240" w:lineRule="auto"/>
        <w:jc w:val="both"/>
        <w:rPr>
          <w:rFonts w:ascii="Helvetica" w:hAnsi="Helvetica"/>
          <w:sz w:val="24"/>
          <w:szCs w:val="24"/>
        </w:rPr>
      </w:pPr>
      <w:r w:rsidRPr="001E25B9">
        <w:rPr>
          <w:rFonts w:ascii="Helvetica" w:hAnsi="Helvetica"/>
          <w:sz w:val="24"/>
          <w:szCs w:val="24"/>
        </w:rPr>
        <w:t xml:space="preserve">Los indicadores tan altamente favorables en las tasas de criminalidad y homicidios, obedecen en parte a las restricciones a la locomoción y al confinamiento impuestos por la pandemia, pero también en buena parte a las medidas acertadas que adoptó el Gobierno en la prevención y el combate a la violencia y el delito, más significativas aún si se considera que se implementaron en medio de la calamidad provocada por el virus. </w:t>
      </w:r>
    </w:p>
    <w:p w14:paraId="4FF47460" w14:textId="77777777" w:rsidR="003964D8" w:rsidRDefault="003964D8" w:rsidP="003964D8">
      <w:pPr>
        <w:spacing w:after="0" w:line="240" w:lineRule="auto"/>
        <w:jc w:val="both"/>
        <w:rPr>
          <w:rFonts w:ascii="Helvetica" w:hAnsi="Helvetica"/>
          <w:sz w:val="24"/>
          <w:szCs w:val="24"/>
        </w:rPr>
      </w:pPr>
      <w:r w:rsidRPr="001E25B9">
        <w:rPr>
          <w:rFonts w:ascii="Helvetica" w:hAnsi="Helvetica"/>
          <w:sz w:val="24"/>
          <w:szCs w:val="24"/>
        </w:rPr>
        <w:t xml:space="preserve">Entre estas medidas destacan los 1,258,034 patrullajes policiales que se llevaron a cabo, los cuales implican un aumento muy significativo frente a los 838,642 realizados en 2019. </w:t>
      </w:r>
    </w:p>
    <w:p w14:paraId="702175EB" w14:textId="77777777" w:rsidR="003964D8" w:rsidRDefault="003964D8" w:rsidP="003964D8">
      <w:pPr>
        <w:spacing w:after="0" w:line="240" w:lineRule="auto"/>
        <w:jc w:val="both"/>
        <w:rPr>
          <w:rFonts w:ascii="Helvetica" w:hAnsi="Helvetica"/>
          <w:sz w:val="24"/>
          <w:szCs w:val="24"/>
        </w:rPr>
      </w:pPr>
    </w:p>
    <w:p w14:paraId="4EB5998D" w14:textId="77777777" w:rsidR="003964D8" w:rsidRDefault="003964D8" w:rsidP="003964D8">
      <w:pPr>
        <w:spacing w:after="0" w:line="240" w:lineRule="auto"/>
        <w:jc w:val="both"/>
        <w:rPr>
          <w:rFonts w:ascii="Helvetica" w:hAnsi="Helvetica"/>
          <w:sz w:val="24"/>
          <w:szCs w:val="24"/>
        </w:rPr>
      </w:pPr>
      <w:r w:rsidRPr="001E25B9">
        <w:rPr>
          <w:rFonts w:ascii="Helvetica" w:hAnsi="Helvetica"/>
          <w:sz w:val="24"/>
          <w:szCs w:val="24"/>
        </w:rPr>
        <w:t>En estos patrullajes se capturó a 88,908 personas, también significativamente más que las 64,634 capturadas el año anterior. Gracias a estos patrullajes se logró el desmantelamiento de 60 estructuras criminales, incluyendo la captura de 466 de sus integrantes. De ellas, 17 se dedicaban a la extorsión, 9 a homicidios, 8 a trata de personas, 7 a extorsión y homicidio, 7 a hurto y robo agravado, 3 a sicariato, 2 a corrupción y 2 a secuestro, 1 a contrabando, estafa y falsificación y 1 a hurto/robo de motocicletas y tráfico de armas. Todas estas acciones incidieron en la reducción tan significativa de las tasas delincuencial y de homicidios.</w:t>
      </w:r>
    </w:p>
    <w:p w14:paraId="27D0A6B1" w14:textId="77777777" w:rsidR="003964D8" w:rsidRPr="001E25B9" w:rsidRDefault="003964D8" w:rsidP="003964D8">
      <w:pPr>
        <w:spacing w:after="0" w:line="240" w:lineRule="auto"/>
        <w:jc w:val="both"/>
        <w:rPr>
          <w:rFonts w:ascii="Helvetica" w:hAnsi="Helvetica"/>
          <w:sz w:val="24"/>
          <w:szCs w:val="24"/>
        </w:rPr>
      </w:pPr>
    </w:p>
    <w:p w14:paraId="0A97A06E" w14:textId="77777777" w:rsidR="003964D8" w:rsidRDefault="003964D8" w:rsidP="003964D8">
      <w:pPr>
        <w:spacing w:after="0" w:line="240" w:lineRule="auto"/>
        <w:jc w:val="both"/>
        <w:rPr>
          <w:rFonts w:ascii="Helvetica" w:hAnsi="Helvetica"/>
          <w:sz w:val="24"/>
          <w:szCs w:val="24"/>
        </w:rPr>
      </w:pPr>
      <w:r w:rsidRPr="001E25B9">
        <w:rPr>
          <w:rFonts w:ascii="Helvetica" w:hAnsi="Helvetica"/>
          <w:sz w:val="24"/>
          <w:szCs w:val="24"/>
        </w:rPr>
        <w:t xml:space="preserve">En la lucha contra el narcotráfico, además de las cantidades sin precedentes de droga capturada (destacando los 12.845 kilos de cocaína) se incautaron bienes como vehículos, armas de fuego y municiones. El valor de lo incautado asciende a una suma global de Q 4,000 millones, destacando en moneda extranjera la incautación de US$ 1 millón. En </w:t>
      </w:r>
      <w:r>
        <w:rPr>
          <w:rFonts w:ascii="Helvetica" w:hAnsi="Helvetica"/>
          <w:sz w:val="24"/>
          <w:szCs w:val="24"/>
        </w:rPr>
        <w:t>el ámbito</w:t>
      </w:r>
      <w:r w:rsidRPr="001E25B9">
        <w:rPr>
          <w:rFonts w:ascii="Helvetica" w:hAnsi="Helvetica"/>
          <w:sz w:val="24"/>
          <w:szCs w:val="24"/>
        </w:rPr>
        <w:t xml:space="preserve"> de </w:t>
      </w:r>
      <w:r>
        <w:rPr>
          <w:rFonts w:ascii="Helvetica" w:hAnsi="Helvetica"/>
          <w:sz w:val="24"/>
          <w:szCs w:val="24"/>
        </w:rPr>
        <w:t xml:space="preserve">la </w:t>
      </w:r>
      <w:r w:rsidRPr="001E25B9">
        <w:rPr>
          <w:rFonts w:ascii="Helvetica" w:hAnsi="Helvetica"/>
          <w:sz w:val="24"/>
          <w:szCs w:val="24"/>
        </w:rPr>
        <w:t xml:space="preserve">prevención, se conformaron 264 comisiones y 340 organizaciones comunitarias de prevención de la violencia. </w:t>
      </w:r>
    </w:p>
    <w:p w14:paraId="75F2646A" w14:textId="77777777" w:rsidR="003964D8" w:rsidRPr="001E25B9" w:rsidRDefault="003964D8" w:rsidP="003964D8">
      <w:pPr>
        <w:spacing w:after="0" w:line="240" w:lineRule="auto"/>
        <w:jc w:val="both"/>
        <w:rPr>
          <w:rFonts w:ascii="Helvetica" w:hAnsi="Helvetica"/>
          <w:sz w:val="24"/>
          <w:szCs w:val="24"/>
        </w:rPr>
      </w:pPr>
    </w:p>
    <w:p w14:paraId="6F032925" w14:textId="77777777" w:rsidR="003964D8" w:rsidRPr="001E25B9" w:rsidRDefault="003964D8" w:rsidP="003964D8">
      <w:pPr>
        <w:spacing w:after="0" w:line="240" w:lineRule="auto"/>
        <w:jc w:val="both"/>
        <w:rPr>
          <w:rFonts w:ascii="Helvetica" w:hAnsi="Helvetica"/>
          <w:sz w:val="24"/>
          <w:szCs w:val="24"/>
        </w:rPr>
      </w:pPr>
      <w:r w:rsidRPr="001E25B9">
        <w:rPr>
          <w:rFonts w:ascii="Helvetica" w:hAnsi="Helvetica"/>
          <w:sz w:val="24"/>
          <w:szCs w:val="24"/>
        </w:rPr>
        <w:t>En materia de gobernabilidad, se atendió la problemática de los pueblos indígenas como un eje transversal que se incluye en planes, programas y proyectos en todos los pilares de la PGG. Se dio asesoría al Ministerio de Cultura y Deportes para la implementación de la Ley de Promoción Educativa contra la Discriminación y la Política Pública para la Convivencia y la Eliminación del Racismo y la Discriminación Racial. También se reactivaron los procesos de consulta con los pueblos indígenas en proyectos mineros y productivos diversos.</w:t>
      </w:r>
    </w:p>
    <w:p w14:paraId="329C6F0B" w14:textId="77777777" w:rsidR="003964D8" w:rsidRDefault="003964D8" w:rsidP="003943C6">
      <w:pPr>
        <w:spacing w:after="0" w:line="240" w:lineRule="auto"/>
        <w:jc w:val="both"/>
        <w:rPr>
          <w:rFonts w:ascii="Helvetica" w:hAnsi="Helvetica"/>
          <w:sz w:val="24"/>
          <w:szCs w:val="24"/>
        </w:rPr>
      </w:pPr>
    </w:p>
    <w:p w14:paraId="46C5C161" w14:textId="16E036A1" w:rsidR="003964D8" w:rsidRPr="001E25B9" w:rsidRDefault="003964D8" w:rsidP="003964D8">
      <w:pPr>
        <w:jc w:val="both"/>
        <w:rPr>
          <w:rFonts w:ascii="Helvetica" w:hAnsi="Helvetica"/>
          <w:sz w:val="24"/>
          <w:szCs w:val="24"/>
        </w:rPr>
      </w:pPr>
      <w:r w:rsidRPr="001E25B9">
        <w:rPr>
          <w:rFonts w:ascii="Helvetica" w:hAnsi="Helvetica"/>
          <w:sz w:val="24"/>
          <w:szCs w:val="24"/>
        </w:rPr>
        <w:t>En lo que respecta al derecho a la propiedad, por medio del Registro de Información Catastral (RIC) se logró el levantamiento catastral de 7,063 predios y la información catastral de 15,562 predios adicionales. Asimismo, el Registro Nacional de la Propiedad (RGP) atendió a 414,707 personas y presentó 66 denuncias al Ministerio Público por anomalías en documentaciones de propiedad. Se busca de esta forma promover la transparencia en este campo.</w:t>
      </w:r>
    </w:p>
    <w:p w14:paraId="2B987C1C"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 xml:space="preserve">Para finalizar, en matera de gobernabilidad, el Gobierno del presidente </w:t>
      </w:r>
      <w:proofErr w:type="spellStart"/>
      <w:r w:rsidRPr="001E25B9">
        <w:rPr>
          <w:rFonts w:ascii="Helvetica" w:hAnsi="Helvetica"/>
          <w:sz w:val="24"/>
          <w:szCs w:val="24"/>
        </w:rPr>
        <w:t>Giammattei</w:t>
      </w:r>
      <w:proofErr w:type="spellEnd"/>
      <w:r w:rsidRPr="001E25B9">
        <w:rPr>
          <w:rFonts w:ascii="Helvetica" w:hAnsi="Helvetica"/>
          <w:sz w:val="24"/>
          <w:szCs w:val="24"/>
        </w:rPr>
        <w:t xml:space="preserve"> promovió, con calidad de alta prioridad, el diálogo entre diversas entidades, sectores y actores de la sociedad. Por medio de la Comisión Presidencial de Diálogo (CPD) se atendieron 392 procesos de diálogo en los 22 departamentos del país. Según el tipo de diálogo, se promovieron diálogos de alto impacto, para solucionar situaciones de confrontación que requieren resolución rápida; diálogos de prevención de la conflictividad social (123) y diálogos estratégicos, para buscar resolver problemáticas a largo plazo. Por su tipología, los diálogos fueron agrarios (143), por recursos natrales (51), por temas energéticos (46) y por derechos civiles, políticos y culturales (33). </w:t>
      </w:r>
    </w:p>
    <w:p w14:paraId="13DDF7CB" w14:textId="77777777" w:rsidR="003964D8" w:rsidRPr="00E4088B" w:rsidRDefault="003964D8" w:rsidP="003964D8">
      <w:pPr>
        <w:jc w:val="both"/>
        <w:rPr>
          <w:rFonts w:ascii="Helvetica" w:hAnsi="Helvetica"/>
          <w:b/>
          <w:bCs/>
          <w:color w:val="002060"/>
          <w:sz w:val="24"/>
          <w:szCs w:val="24"/>
        </w:rPr>
      </w:pPr>
      <w:r w:rsidRPr="00E4088B">
        <w:rPr>
          <w:rFonts w:ascii="Helvetica" w:hAnsi="Helvetica"/>
          <w:b/>
          <w:bCs/>
          <w:color w:val="002060"/>
          <w:sz w:val="24"/>
          <w:szCs w:val="24"/>
        </w:rPr>
        <w:t>Pilar 4. Estado responsable, transparente y efectivo:</w:t>
      </w:r>
    </w:p>
    <w:p w14:paraId="4577F45F"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El Gobierno de la República busca un Estado funcional, dinámico y modernizado, y a la vez descentralizado y desconcentrado, pero al mismo tiempo se persigue la conformación de un andamiaje estatal en el que se optimicen los controles y se reduzcan al mínimo los niveles de corrupción. En este contexto se creó el Comité Técnico de Evaluación e Innovación de la Gestión Pública Institucional, coordinado por la Secretaría General de la Presidencia (SGPR) e integrado por los ministerios de Finanzas, Trabajo, SEGEPLAN, la Oficina Nacional de Servicio Civil (ONSEC) y el Instituto Nacional de Administración Pública (INAP).</w:t>
      </w:r>
    </w:p>
    <w:p w14:paraId="25E6C13F"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En la realización de sus labores, el Comité en mención llevó a cabo un análisis del marco normativo y programático y del desempeño institucional de varias entidades, que se observaba eran ineficientes, de escaso impacto o que generaban duplicidad con otras dependencias públicas. Estas fueron la Secretaría de Asuntos Agrarios (SAA), la Secretaría de la Paz (SEPAZ), la Comisión Presidencial de Derechos Humanos (COPREDEH), la Secretaría Presidencial de la Mujer (SEPREM) y la Secretaría de Obras Sociales de la Esposa del Presidente (SOSEP). Luego de realizada la revisión, se decidió concentrar las funciones de SAA, SEPAZ y COPREDEH en una sola instancia, denominada Comisión Presidencial por la Paz y los Derechos Humanos (COPADEH). Si bien la fusión de las tres entidades fue adversada por diversas organizaciones de la sociedad civil</w:t>
      </w:r>
      <w:r>
        <w:rPr>
          <w:rFonts w:ascii="Helvetica" w:hAnsi="Helvetica"/>
          <w:sz w:val="24"/>
          <w:szCs w:val="24"/>
        </w:rPr>
        <w:t>, la misma fue</w:t>
      </w:r>
      <w:r w:rsidRPr="001E25B9">
        <w:rPr>
          <w:rFonts w:ascii="Helvetica" w:hAnsi="Helvetica"/>
          <w:sz w:val="24"/>
          <w:szCs w:val="24"/>
        </w:rPr>
        <w:t xml:space="preserve"> vista por el Ejecutivo como un logro</w:t>
      </w:r>
      <w:r>
        <w:rPr>
          <w:rFonts w:ascii="Helvetica" w:hAnsi="Helvetica"/>
          <w:sz w:val="24"/>
          <w:szCs w:val="24"/>
        </w:rPr>
        <w:t xml:space="preserve"> que coadyuvará a mejorar el aprovechamiento de los recursos y la eficiencia y eficacia del aparato estatal</w:t>
      </w:r>
      <w:r w:rsidRPr="001E25B9">
        <w:rPr>
          <w:rFonts w:ascii="Helvetica" w:hAnsi="Helvetica"/>
          <w:sz w:val="24"/>
          <w:szCs w:val="24"/>
        </w:rPr>
        <w:t>.</w:t>
      </w:r>
    </w:p>
    <w:p w14:paraId="20905479" w14:textId="77777777" w:rsidR="003964D8" w:rsidRDefault="003964D8" w:rsidP="003964D8">
      <w:pPr>
        <w:jc w:val="both"/>
        <w:rPr>
          <w:rFonts w:ascii="Helvetica" w:hAnsi="Helvetica"/>
          <w:sz w:val="24"/>
          <w:szCs w:val="24"/>
        </w:rPr>
      </w:pPr>
      <w:r w:rsidRPr="001E25B9">
        <w:rPr>
          <w:rFonts w:ascii="Helvetica" w:hAnsi="Helvetica"/>
          <w:sz w:val="24"/>
          <w:szCs w:val="24"/>
        </w:rPr>
        <w:t>Para apuntalar y fortalecer sus esfuerzos en materia de transparencia, el Ejecutivo creó la Comisión Presidencial contra la Corrupción (CPCC). Esta Comisión elaboró un proyecto de política pública en la materia, a la vez que está</w:t>
      </w:r>
      <w:r>
        <w:rPr>
          <w:rFonts w:ascii="Helvetica" w:hAnsi="Helvetica"/>
          <w:sz w:val="24"/>
          <w:szCs w:val="24"/>
        </w:rPr>
        <w:t>n</w:t>
      </w:r>
      <w:r w:rsidRPr="001E25B9">
        <w:rPr>
          <w:rFonts w:ascii="Helvetica" w:hAnsi="Helvetica"/>
          <w:sz w:val="24"/>
          <w:szCs w:val="24"/>
        </w:rPr>
        <w:t xml:space="preserve"> impulsando acciones para combatir este flagelo en el Gobierno. </w:t>
      </w:r>
    </w:p>
    <w:p w14:paraId="5C055D7A"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También se crearon portales en páginas oficiales y se mejoraron algunos de los ya existentes. Entre las innovaciones de esta administración figura la creación del portal de Presupuesto Abierto, siempre orientado a la transparencia y rendición de cuentas.</w:t>
      </w:r>
    </w:p>
    <w:p w14:paraId="54E00203"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Otro de los aspectos en que se ha avanzado es en la descentralización, que alcanzó en 2020 la cifra récord del 78.61 %, superando por un monto significativo de 6.99 puntos porcentuales el porcentaje alcanzado en 2019. En el marco del Sistema Nacional de los Consejos de Desarrollo Urbano y Rural, se cuenta con 3,282 proyectos vinculados con las Prioridades Nacionales de Desarrollo (PND), de los cuales 1</w:t>
      </w:r>
      <w:r>
        <w:rPr>
          <w:rFonts w:ascii="Helvetica" w:hAnsi="Helvetica"/>
          <w:sz w:val="24"/>
          <w:szCs w:val="24"/>
        </w:rPr>
        <w:t>,</w:t>
      </w:r>
      <w:r w:rsidRPr="001E25B9">
        <w:rPr>
          <w:rFonts w:ascii="Helvetica" w:hAnsi="Helvetica"/>
          <w:sz w:val="24"/>
          <w:szCs w:val="24"/>
        </w:rPr>
        <w:t xml:space="preserve">862 están alineados a los planes de la PGG 2020-2024. </w:t>
      </w:r>
      <w:r>
        <w:rPr>
          <w:rFonts w:ascii="Helvetica" w:hAnsi="Helvetica"/>
          <w:sz w:val="24"/>
          <w:szCs w:val="24"/>
        </w:rPr>
        <w:t xml:space="preserve">Vale agregar en este campo, la creación de </w:t>
      </w:r>
      <w:r w:rsidRPr="001E25B9">
        <w:rPr>
          <w:rFonts w:ascii="Helvetica" w:hAnsi="Helvetica"/>
          <w:sz w:val="24"/>
          <w:szCs w:val="24"/>
        </w:rPr>
        <w:t xml:space="preserve">la Comisión Presidencial de Asuntos Municipales (COPRESAM). </w:t>
      </w:r>
    </w:p>
    <w:p w14:paraId="30BA0E20"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 xml:space="preserve">Vale añadir la cartera de proyectos de los Consejos Departamentales de Desarrollo (CODEDE), la cual asciende a Q 2,401.90 millones. En </w:t>
      </w:r>
      <w:r>
        <w:rPr>
          <w:rFonts w:ascii="Helvetica" w:hAnsi="Helvetica"/>
          <w:sz w:val="24"/>
          <w:szCs w:val="24"/>
        </w:rPr>
        <w:t xml:space="preserve">lo concerniente al </w:t>
      </w:r>
      <w:r w:rsidRPr="001E25B9">
        <w:rPr>
          <w:rFonts w:ascii="Helvetica" w:hAnsi="Helvetica"/>
          <w:sz w:val="24"/>
          <w:szCs w:val="24"/>
        </w:rPr>
        <w:t>ordenamiento territorial, 41 municipios formularon durante el año sus planes de desarrollo municipal y ordenamiento territorial (PDM-OT), los cuales vienen a sumarse a los 298 ya existentes.</w:t>
      </w:r>
    </w:p>
    <w:p w14:paraId="6CBC9DB7"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En mater</w:t>
      </w:r>
      <w:r>
        <w:rPr>
          <w:rFonts w:ascii="Helvetica" w:hAnsi="Helvetica"/>
          <w:sz w:val="24"/>
          <w:szCs w:val="24"/>
        </w:rPr>
        <w:t>i</w:t>
      </w:r>
      <w:r w:rsidRPr="001E25B9">
        <w:rPr>
          <w:rFonts w:ascii="Helvetica" w:hAnsi="Helvetica"/>
          <w:sz w:val="24"/>
          <w:szCs w:val="24"/>
        </w:rPr>
        <w:t>a de sostenibilidad del medio ambiente, se ha impulsado la sostenibilidad del uso del bosque según su vocación, lo que implica la promoción del manejo forestal sostenible de 1,757 hectáreas. Se ha incentivado el mantenimiento y establecimiento de plantaciones forestales y sistemas agroforestales en 19,551.97 hectáreas, mientras lo incentivado para e</w:t>
      </w:r>
      <w:r>
        <w:rPr>
          <w:rFonts w:ascii="Helvetica" w:hAnsi="Helvetica"/>
          <w:sz w:val="24"/>
          <w:szCs w:val="24"/>
        </w:rPr>
        <w:t>l</w:t>
      </w:r>
      <w:r w:rsidRPr="001E25B9">
        <w:rPr>
          <w:rFonts w:ascii="Helvetica" w:hAnsi="Helvetica"/>
          <w:sz w:val="24"/>
          <w:szCs w:val="24"/>
        </w:rPr>
        <w:t xml:space="preserve"> manejo de bosques naturales asciende a 147,364 hectáreas. Ambas intervenciones representan erogaciones de Q 263.9 y 227.2 millones, cantidades superiores a las de 2019.</w:t>
      </w:r>
    </w:p>
    <w:p w14:paraId="1AFB693F" w14:textId="77777777" w:rsidR="003964D8" w:rsidRPr="00E4088B" w:rsidRDefault="003964D8" w:rsidP="003964D8">
      <w:pPr>
        <w:jc w:val="both"/>
        <w:rPr>
          <w:rFonts w:ascii="Helvetica" w:hAnsi="Helvetica"/>
          <w:b/>
          <w:bCs/>
          <w:color w:val="002060"/>
          <w:sz w:val="24"/>
          <w:szCs w:val="24"/>
        </w:rPr>
      </w:pPr>
      <w:r w:rsidRPr="00E4088B">
        <w:rPr>
          <w:rFonts w:ascii="Helvetica" w:hAnsi="Helvetica"/>
          <w:b/>
          <w:bCs/>
          <w:color w:val="002060"/>
          <w:sz w:val="24"/>
          <w:szCs w:val="24"/>
        </w:rPr>
        <w:t>Pilar 5. relaciones con el mundo:</w:t>
      </w:r>
    </w:p>
    <w:p w14:paraId="3A0161CA"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 xml:space="preserve">En materia de relaciones exteriores, se ha promovido la apertura o ampliación y </w:t>
      </w:r>
      <w:r>
        <w:rPr>
          <w:rFonts w:ascii="Helvetica" w:hAnsi="Helvetica"/>
          <w:sz w:val="24"/>
          <w:szCs w:val="24"/>
        </w:rPr>
        <w:t xml:space="preserve">el </w:t>
      </w:r>
      <w:r w:rsidRPr="001E25B9">
        <w:rPr>
          <w:rFonts w:ascii="Helvetica" w:hAnsi="Helvetica"/>
          <w:sz w:val="24"/>
          <w:szCs w:val="24"/>
        </w:rPr>
        <w:t>fortalecimiento de las relaciones bilaterales con otros países de todas partes del mundo. Destaca en este contexto la suscripción de un memorándum con los Estados Unidos, para fortalecer aspectos relativos a energía, infraestructura, cooperación y construcción de mercados.</w:t>
      </w:r>
    </w:p>
    <w:p w14:paraId="62115C4C"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De igual forma, se firmó con Honduras el Proyecto de Gestión Ambiental Integral de la Cuenca del Río Motagua. Es importante destacar la suscri</w:t>
      </w:r>
      <w:r>
        <w:rPr>
          <w:rFonts w:ascii="Helvetica" w:hAnsi="Helvetica"/>
          <w:sz w:val="24"/>
          <w:szCs w:val="24"/>
        </w:rPr>
        <w:t>p</w:t>
      </w:r>
      <w:r w:rsidRPr="001E25B9">
        <w:rPr>
          <w:rFonts w:ascii="Helvetica" w:hAnsi="Helvetica"/>
          <w:sz w:val="24"/>
          <w:szCs w:val="24"/>
        </w:rPr>
        <w:t>ción de un acuerdo de cielos abiertos con El Salvador, y los avances en convenios similares con México y Honduras. Más allá del ámbito centroamericano, se logró la reapertura de la Embajada de Guatemala en Suecia, y se abrieron mercados con ésta y otras naciones nórdicas, es decir Islandia y Noruega, así como con otros países europeos como Suiza. Se ha promovido el turismo en diferentes países, instándolos a viajar a Guatemala. En el marco de la mencionada apertura de mercados, se creó la Unidad de Inteligencia de Mercados en el Ministerio de Relaciones Exteriores.</w:t>
      </w:r>
    </w:p>
    <w:p w14:paraId="4F0EA840"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Importante hecho en el posicionamiento internacional de Guatemala, es su ratificación como Sede del 51 Período de Sesiones de la Organización de Estados Americanos (OEA), a realizarse en 2021 en este país.</w:t>
      </w:r>
    </w:p>
    <w:p w14:paraId="00597486"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Un aspecto a destacar, dada su especial relevancia, es el tema de los migrantes guatemaltecos en otros países, en su inmensa mayoría en los Estados Unidos. En este contexto, el Ministerio de Relaciones Exteriores informó que en 2020 se atendieron 244,141 servicios de documentación, 425,700 personas con asistencia consular, 111,882 personas con protección consular, se asesoró a 94,194 guatemaltecos para renovar el DACA, se realizaron 243 sábados consulares para apoyar a los migrantes, y se atendieron más de 99,000 llamadas en inglés y en ocho idiomas mayas. Es importante destacar, asimismo, la apertura de 3 nuevos consulados en el exterior.</w:t>
      </w:r>
    </w:p>
    <w:p w14:paraId="02D7E0EC"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Para finalizar, es esencial mencionar al sector turismo. En este contexto destaca el convenio de cooperación firmado por los ministerios de Relaciones Exteriores y Economía y el Instituto Guatemalteco de Turismo (INGUAT), para el fortalecimiento de las representaciones diplomáticas en materia de comercio, turismo y atracción de inversiones.</w:t>
      </w:r>
    </w:p>
    <w:p w14:paraId="2EDC5F9B" w14:textId="77777777" w:rsidR="003964D8" w:rsidRPr="001E25B9" w:rsidRDefault="003964D8" w:rsidP="003964D8">
      <w:pPr>
        <w:jc w:val="both"/>
        <w:rPr>
          <w:rFonts w:ascii="Helvetica" w:hAnsi="Helvetica"/>
          <w:sz w:val="24"/>
          <w:szCs w:val="24"/>
        </w:rPr>
      </w:pPr>
      <w:r w:rsidRPr="001E25B9">
        <w:rPr>
          <w:rFonts w:ascii="Helvetica" w:hAnsi="Helvetica"/>
          <w:sz w:val="24"/>
          <w:szCs w:val="24"/>
        </w:rPr>
        <w:t>También figura en este contexto el fortalecimiento de las capacidades internas para la promoción de campañas internacionales</w:t>
      </w:r>
      <w:r>
        <w:rPr>
          <w:rFonts w:ascii="Helvetica" w:hAnsi="Helvetica"/>
          <w:sz w:val="24"/>
          <w:szCs w:val="24"/>
        </w:rPr>
        <w:t>,</w:t>
      </w:r>
      <w:r w:rsidRPr="001E25B9">
        <w:rPr>
          <w:rFonts w:ascii="Helvetica" w:hAnsi="Helvetica"/>
          <w:sz w:val="24"/>
          <w:szCs w:val="24"/>
        </w:rPr>
        <w:t xml:space="preserve"> con el objetivo de mejorar la imagen del país en el exterior. Destaca en este contexto el desarrollo del mercadeo virtual.</w:t>
      </w:r>
    </w:p>
    <w:p w14:paraId="574C830E" w14:textId="77777777" w:rsidR="003964D8" w:rsidRPr="001E25B9" w:rsidRDefault="003964D8" w:rsidP="003964D8">
      <w:pPr>
        <w:jc w:val="both"/>
        <w:rPr>
          <w:rFonts w:ascii="Helvetica" w:hAnsi="Helvetica"/>
        </w:rPr>
      </w:pPr>
      <w:r w:rsidRPr="001E25B9">
        <w:rPr>
          <w:rFonts w:ascii="Helvetica" w:hAnsi="Helvetica"/>
          <w:sz w:val="24"/>
          <w:szCs w:val="24"/>
        </w:rPr>
        <w:t>Otro aspecto de suma relevancia en materia de turismo, es la conservación del patrimonio histórico nacional. Sobresalen en esta actividad las gestiones para la recuperación y repatriación de diversas piezas arqueológicas guatemaltecas que se encuentran en el extranjero</w:t>
      </w:r>
      <w:r w:rsidRPr="001E25B9">
        <w:rPr>
          <w:rFonts w:ascii="Helvetica" w:hAnsi="Helvetica"/>
        </w:rPr>
        <w:t>.</w:t>
      </w:r>
    </w:p>
    <w:p w14:paraId="2D4C8E29" w14:textId="77777777" w:rsidR="003964D8" w:rsidRDefault="003964D8" w:rsidP="003964D8">
      <w:pPr>
        <w:jc w:val="both"/>
        <w:rPr>
          <w:rFonts w:ascii="Helvetica" w:hAnsi="Helvetica"/>
          <w:sz w:val="24"/>
          <w:szCs w:val="24"/>
        </w:rPr>
      </w:pPr>
      <w:r>
        <w:rPr>
          <w:rFonts w:ascii="Helvetica" w:hAnsi="Helvetica"/>
          <w:sz w:val="24"/>
          <w:szCs w:val="24"/>
        </w:rPr>
        <w:t xml:space="preserve">Los logros anteriores, abordados en el Informe General de la República 2020, tienen relación directa con el balance analítico que se realiza en el Informe de Evaluación de la Política General de Gobierno (PGG) 2020-2024, en su primera edición correspondiente al año 2020. Más allá del hecho que ambos se desarrollan con base en la estructura de la PGG, la información que evalúan es similar en relación a los logros, aunque difieren en el análisis crítico de las metas que tuvieron un avance insuficiente o que carecieron por completo de logros, algunos de ellos como efecto de la pandemia, mismas que se desarrollan casi exclusivamente en el Informe de Evaluación de la PGG. </w:t>
      </w:r>
    </w:p>
    <w:p w14:paraId="1F121D55" w14:textId="03688DD8" w:rsidR="001E25B9" w:rsidRDefault="003964D8" w:rsidP="003964D8">
      <w:pPr>
        <w:jc w:val="both"/>
        <w:rPr>
          <w:rFonts w:ascii="Helvetica" w:hAnsi="Helvetica"/>
          <w:sz w:val="24"/>
          <w:szCs w:val="24"/>
        </w:rPr>
      </w:pPr>
      <w:r>
        <w:rPr>
          <w:rFonts w:ascii="Helvetica" w:hAnsi="Helvetica"/>
          <w:sz w:val="24"/>
          <w:szCs w:val="24"/>
        </w:rPr>
        <w:t>De estas diferencias se deriva la complementariedad que caracteriza a ambos informes, dadas sus analogías y sus contrastes. Por lo tanto, después de abordar en este apartado los logros gubernamentales según el Informe Presidencial que se presenta al Congreso de la República (Informe General de la República), es esencial tratar en el próximo el análisis del Informe de Evaluación de la PGG que se presenta cada año al Ministerio de Finanzas Públicas, el cual se presenta a continuación.</w:t>
      </w:r>
    </w:p>
    <w:p w14:paraId="36512972" w14:textId="51EDEBCE" w:rsidR="001C011A" w:rsidRPr="007C5F36" w:rsidRDefault="004D30D9" w:rsidP="004D30D9">
      <w:pPr>
        <w:pStyle w:val="Ttulo1"/>
        <w:numPr>
          <w:ilvl w:val="0"/>
          <w:numId w:val="0"/>
        </w:numPr>
        <w:ind w:left="360"/>
      </w:pPr>
      <w:bookmarkStart w:id="156" w:name="_Toc67589099"/>
      <w:bookmarkEnd w:id="155"/>
      <w:r>
        <w:t xml:space="preserve">2. </w:t>
      </w:r>
      <w:r w:rsidR="00047E7F" w:rsidRPr="007C5F36">
        <w:t>Resumen del a</w:t>
      </w:r>
      <w:r w:rsidR="00377EF6" w:rsidRPr="007C5F36">
        <w:t>vance de las metas estratégicas de la PGG 2020-2024</w:t>
      </w:r>
      <w:bookmarkEnd w:id="156"/>
    </w:p>
    <w:p w14:paraId="055D052F" w14:textId="3AE895B8" w:rsidR="00047E7F" w:rsidRPr="007C5F36" w:rsidRDefault="00393AD0" w:rsidP="00D26FB5">
      <w:pPr>
        <w:pStyle w:val="Sinespaciado"/>
        <w:spacing w:before="240" w:after="240"/>
        <w:jc w:val="both"/>
        <w:rPr>
          <w:rFonts w:ascii="Helvetica" w:hAnsi="Helvetica" w:cs="Helvetica"/>
          <w:sz w:val="24"/>
          <w:szCs w:val="24"/>
        </w:rPr>
      </w:pPr>
      <w:r w:rsidRPr="007C5F36">
        <w:rPr>
          <w:rFonts w:ascii="Helvetica" w:hAnsi="Helvetica" w:cs="Helvetica"/>
          <w:sz w:val="24"/>
          <w:szCs w:val="24"/>
        </w:rPr>
        <w:t>La Secretaría de Planificación y Programación de la Presidencia, a más tardar el 28 de febrero de cada año, presenta el informe de evaluación de la ejecución de la Política General de Gobierno. Con base en esta evaluación, el Ministerio de Finanzas, en coordinación con dicha Secretaría, propon</w:t>
      </w:r>
      <w:r w:rsidR="00C13596" w:rsidRPr="007C5F36">
        <w:rPr>
          <w:rFonts w:ascii="Helvetica" w:hAnsi="Helvetica" w:cs="Helvetica"/>
          <w:sz w:val="24"/>
          <w:szCs w:val="24"/>
        </w:rPr>
        <w:t>e</w:t>
      </w:r>
      <w:r w:rsidRPr="007C5F36">
        <w:rPr>
          <w:rFonts w:ascii="Helvetica" w:hAnsi="Helvetica" w:cs="Helvetica"/>
          <w:sz w:val="24"/>
          <w:szCs w:val="24"/>
        </w:rPr>
        <w:t xml:space="preserve"> las políticas presupuestarias y lineamientos generales para la formulación del Proyecto de Presupuesto General de Ingresos y Egresos del Estado para el ejercicio Fiscal que corresponda</w:t>
      </w:r>
      <w:r w:rsidR="00047E7F" w:rsidRPr="007C5F36">
        <w:rPr>
          <w:rFonts w:ascii="Helvetica" w:hAnsi="Helvetica" w:cs="Helvetica"/>
          <w:sz w:val="24"/>
          <w:szCs w:val="24"/>
        </w:rPr>
        <w:t>, según lo establece el</w:t>
      </w:r>
      <w:r w:rsidR="00D26FB5" w:rsidRPr="007C5F36">
        <w:rPr>
          <w:rFonts w:ascii="Helvetica" w:hAnsi="Helvetica" w:cs="Helvetica"/>
          <w:sz w:val="24"/>
          <w:szCs w:val="24"/>
        </w:rPr>
        <w:t xml:space="preserve"> Reglamento de </w:t>
      </w:r>
      <w:r w:rsidR="00047E7F" w:rsidRPr="007C5F36">
        <w:rPr>
          <w:rFonts w:ascii="Helvetica" w:hAnsi="Helvetica" w:cs="Helvetica"/>
          <w:sz w:val="24"/>
          <w:szCs w:val="24"/>
        </w:rPr>
        <w:t>la Ley Orgánica del Presupuesto</w:t>
      </w:r>
      <w:r w:rsidR="00D26FB5" w:rsidRPr="007C5F36">
        <w:rPr>
          <w:rFonts w:ascii="Helvetica" w:hAnsi="Helvetica" w:cs="Helvetica"/>
          <w:sz w:val="24"/>
          <w:szCs w:val="24"/>
        </w:rPr>
        <w:t xml:space="preserve"> (Acuerdo Gubernativo No. 540-2013), en el artículo 23</w:t>
      </w:r>
      <w:r w:rsidR="00047E7F" w:rsidRPr="007C5F36">
        <w:rPr>
          <w:rFonts w:ascii="Helvetica" w:hAnsi="Helvetica" w:cs="Helvetica"/>
          <w:sz w:val="24"/>
          <w:szCs w:val="24"/>
        </w:rPr>
        <w:t>.</w:t>
      </w:r>
    </w:p>
    <w:p w14:paraId="32BB715F" w14:textId="558BB8B8" w:rsidR="00D26FB5" w:rsidRPr="007C5F36" w:rsidRDefault="00D26FB5" w:rsidP="00D26FB5">
      <w:pPr>
        <w:pStyle w:val="Sinespaciado"/>
        <w:spacing w:before="240" w:after="240"/>
        <w:jc w:val="both"/>
        <w:rPr>
          <w:rFonts w:ascii="Helvetica" w:hAnsi="Helvetica" w:cs="Helvetica"/>
          <w:sz w:val="24"/>
          <w:szCs w:val="24"/>
        </w:rPr>
      </w:pPr>
      <w:r w:rsidRPr="007C5F36">
        <w:rPr>
          <w:rFonts w:ascii="Helvetica" w:hAnsi="Helvetica" w:cs="Helvetica"/>
          <w:sz w:val="24"/>
          <w:szCs w:val="24"/>
        </w:rPr>
        <w:t xml:space="preserve">En ese contexto, la SEGEPLAN, realizó el </w:t>
      </w:r>
      <w:r w:rsidR="00293225">
        <w:rPr>
          <w:rFonts w:ascii="Helvetica" w:hAnsi="Helvetica" w:cs="Helvetica"/>
          <w:sz w:val="24"/>
          <w:szCs w:val="24"/>
        </w:rPr>
        <w:t>Primer</w:t>
      </w:r>
      <w:r w:rsidRPr="007C5F36">
        <w:rPr>
          <w:rFonts w:ascii="Helvetica" w:hAnsi="Helvetica" w:cs="Helvetica"/>
          <w:sz w:val="24"/>
          <w:szCs w:val="24"/>
        </w:rPr>
        <w:t xml:space="preserve"> </w:t>
      </w:r>
      <w:r w:rsidR="00E47618">
        <w:rPr>
          <w:rFonts w:ascii="Helvetica" w:hAnsi="Helvetica" w:cs="Helvetica"/>
          <w:sz w:val="24"/>
          <w:szCs w:val="24"/>
        </w:rPr>
        <w:t>I</w:t>
      </w:r>
      <w:r w:rsidRPr="007C5F36">
        <w:rPr>
          <w:rFonts w:ascii="Helvetica" w:hAnsi="Helvetica" w:cs="Helvetica"/>
          <w:sz w:val="24"/>
          <w:szCs w:val="24"/>
        </w:rPr>
        <w:t>nfo</w:t>
      </w:r>
      <w:r w:rsidR="006A7C8F" w:rsidRPr="007C5F36">
        <w:rPr>
          <w:rFonts w:ascii="Helvetica" w:hAnsi="Helvetica" w:cs="Helvetica"/>
          <w:sz w:val="24"/>
          <w:szCs w:val="24"/>
        </w:rPr>
        <w:t>rme de Evaluación de la PGG 2020-</w:t>
      </w:r>
      <w:r w:rsidRPr="007C5F36">
        <w:rPr>
          <w:rFonts w:ascii="Helvetica" w:hAnsi="Helvetica" w:cs="Helvetica"/>
          <w:sz w:val="24"/>
          <w:szCs w:val="24"/>
        </w:rPr>
        <w:t>2024, a</w:t>
      </w:r>
      <w:r w:rsidR="00377EF6" w:rsidRPr="007C5F36">
        <w:rPr>
          <w:rFonts w:ascii="Helvetica" w:hAnsi="Helvetica" w:cs="Helvetica"/>
          <w:sz w:val="24"/>
          <w:szCs w:val="24"/>
        </w:rPr>
        <w:t xml:space="preserve"> través de un ejercicio participativo con las instituciones responsables de </w:t>
      </w:r>
      <w:r w:rsidRPr="007C5F36">
        <w:rPr>
          <w:rFonts w:ascii="Helvetica" w:hAnsi="Helvetica" w:cs="Helvetica"/>
          <w:sz w:val="24"/>
          <w:szCs w:val="24"/>
        </w:rPr>
        <w:t xml:space="preserve">la implementación de las metas estratégicas y objetivos sectoriales. </w:t>
      </w:r>
      <w:r w:rsidR="00377EF6" w:rsidRPr="007C5F36">
        <w:rPr>
          <w:rFonts w:ascii="Helvetica" w:hAnsi="Helvetica" w:cs="Helvetica"/>
          <w:sz w:val="24"/>
          <w:szCs w:val="24"/>
        </w:rPr>
        <w:t xml:space="preserve">Para el efecto, se solicitó a </w:t>
      </w:r>
      <w:r w:rsidR="00047E7F" w:rsidRPr="007C5F36">
        <w:rPr>
          <w:rFonts w:ascii="Helvetica" w:hAnsi="Helvetica" w:cs="Helvetica"/>
          <w:sz w:val="24"/>
          <w:szCs w:val="24"/>
        </w:rPr>
        <w:t>cada</w:t>
      </w:r>
      <w:r w:rsidR="00377EF6" w:rsidRPr="007C5F36">
        <w:rPr>
          <w:rFonts w:ascii="Helvetica" w:hAnsi="Helvetica" w:cs="Helvetica"/>
          <w:sz w:val="24"/>
          <w:szCs w:val="24"/>
        </w:rPr>
        <w:t xml:space="preserve"> institución responsable</w:t>
      </w:r>
      <w:r w:rsidR="00D473FF" w:rsidRPr="007C5F36">
        <w:rPr>
          <w:rFonts w:ascii="Helvetica" w:hAnsi="Helvetica" w:cs="Helvetica"/>
          <w:sz w:val="24"/>
          <w:szCs w:val="24"/>
        </w:rPr>
        <w:t xml:space="preserve"> y corresponsable</w:t>
      </w:r>
      <w:r w:rsidR="00902357" w:rsidRPr="007C5F36">
        <w:rPr>
          <w:rFonts w:ascii="Helvetica" w:hAnsi="Helvetica" w:cs="Helvetica"/>
          <w:sz w:val="24"/>
          <w:szCs w:val="24"/>
        </w:rPr>
        <w:t xml:space="preserve"> que </w:t>
      </w:r>
      <w:r w:rsidR="00EC473E" w:rsidRPr="007C5F36">
        <w:rPr>
          <w:rFonts w:ascii="Helvetica" w:hAnsi="Helvetica" w:cs="Helvetica"/>
          <w:sz w:val="24"/>
          <w:szCs w:val="24"/>
        </w:rPr>
        <w:t>presentara</w:t>
      </w:r>
      <w:r w:rsidR="00377EF6" w:rsidRPr="007C5F36">
        <w:rPr>
          <w:rFonts w:ascii="Helvetica" w:hAnsi="Helvetica" w:cs="Helvetica"/>
          <w:sz w:val="24"/>
          <w:szCs w:val="24"/>
        </w:rPr>
        <w:t xml:space="preserve"> el avance cuantitativo y cualitativo durante ese año. </w:t>
      </w:r>
    </w:p>
    <w:p w14:paraId="29882C90" w14:textId="4D20EBE2" w:rsidR="00047E7F" w:rsidRPr="007C5F36" w:rsidRDefault="00047E7F" w:rsidP="00D26FB5">
      <w:pPr>
        <w:pStyle w:val="Sinespaciado"/>
        <w:spacing w:before="240" w:after="240"/>
        <w:jc w:val="both"/>
        <w:rPr>
          <w:rFonts w:ascii="Helvetica" w:hAnsi="Helvetica" w:cs="Helvetica"/>
          <w:sz w:val="24"/>
          <w:szCs w:val="24"/>
        </w:rPr>
      </w:pPr>
      <w:r w:rsidRPr="007C5F36">
        <w:rPr>
          <w:rFonts w:ascii="Helvetica" w:hAnsi="Helvetica" w:cs="Helvetica"/>
          <w:sz w:val="24"/>
          <w:szCs w:val="24"/>
        </w:rPr>
        <w:t xml:space="preserve">Se presenta </w:t>
      </w:r>
      <w:r w:rsidR="00D473FF" w:rsidRPr="007C5F36">
        <w:rPr>
          <w:rFonts w:ascii="Helvetica" w:hAnsi="Helvetica" w:cs="Helvetica"/>
          <w:sz w:val="24"/>
          <w:szCs w:val="24"/>
        </w:rPr>
        <w:t>el</w:t>
      </w:r>
      <w:r w:rsidRPr="007C5F36">
        <w:rPr>
          <w:rFonts w:ascii="Helvetica" w:hAnsi="Helvetica" w:cs="Helvetica"/>
          <w:sz w:val="24"/>
          <w:szCs w:val="24"/>
        </w:rPr>
        <w:t xml:space="preserve"> resumen de los resultados de la evaluación de la Política General de Gobierno, como parte </w:t>
      </w:r>
      <w:r w:rsidR="00AD7DE7" w:rsidRPr="007C5F36">
        <w:rPr>
          <w:rFonts w:ascii="Helvetica" w:hAnsi="Helvetica" w:cs="Helvetica"/>
          <w:sz w:val="24"/>
          <w:szCs w:val="24"/>
        </w:rPr>
        <w:t>del análisis de</w:t>
      </w:r>
      <w:r w:rsidRPr="007C5F36">
        <w:rPr>
          <w:rFonts w:ascii="Helvetica" w:hAnsi="Helvetica" w:cs="Helvetica"/>
          <w:sz w:val="24"/>
          <w:szCs w:val="24"/>
        </w:rPr>
        <w:t xml:space="preserve"> la ejecución del presupuesto del ejercicio del año anterior</w:t>
      </w:r>
      <w:r w:rsidR="00AD7DE7" w:rsidRPr="007C5F36">
        <w:rPr>
          <w:rFonts w:ascii="Helvetica" w:hAnsi="Helvetica" w:cs="Helvetica"/>
          <w:sz w:val="24"/>
          <w:szCs w:val="24"/>
        </w:rPr>
        <w:t xml:space="preserve">; considerando que los </w:t>
      </w:r>
      <w:r w:rsidR="00EC473E" w:rsidRPr="007C5F36">
        <w:rPr>
          <w:rFonts w:ascii="Helvetica" w:hAnsi="Helvetica" w:cs="Helvetica"/>
          <w:sz w:val="24"/>
          <w:szCs w:val="24"/>
        </w:rPr>
        <w:t>mismos</w:t>
      </w:r>
      <w:r w:rsidR="00AD7DE7" w:rsidRPr="007C5F36">
        <w:rPr>
          <w:rFonts w:ascii="Helvetica" w:hAnsi="Helvetica" w:cs="Helvetica"/>
          <w:sz w:val="24"/>
          <w:szCs w:val="24"/>
        </w:rPr>
        <w:t xml:space="preserve"> se traslada</w:t>
      </w:r>
      <w:r w:rsidR="00EC473E" w:rsidRPr="007C5F36">
        <w:rPr>
          <w:rFonts w:ascii="Helvetica" w:hAnsi="Helvetica" w:cs="Helvetica"/>
          <w:sz w:val="24"/>
          <w:szCs w:val="24"/>
        </w:rPr>
        <w:t>ron</w:t>
      </w:r>
      <w:r w:rsidR="00AD7DE7" w:rsidRPr="007C5F36">
        <w:rPr>
          <w:rFonts w:ascii="Helvetica" w:hAnsi="Helvetica" w:cs="Helvetica"/>
          <w:sz w:val="24"/>
          <w:szCs w:val="24"/>
        </w:rPr>
        <w:t xml:space="preserve"> en bienes y servicios que transformaron la calidad de vida de la población.  De ese análisis </w:t>
      </w:r>
      <w:r w:rsidRPr="007C5F36">
        <w:rPr>
          <w:rFonts w:ascii="Helvetica" w:hAnsi="Helvetica" w:cs="Helvetica"/>
          <w:sz w:val="24"/>
          <w:szCs w:val="24"/>
        </w:rPr>
        <w:t xml:space="preserve">destaca que, de las 50 metas planteadas, </w:t>
      </w:r>
      <w:r w:rsidR="00902357" w:rsidRPr="007C5F36">
        <w:rPr>
          <w:rFonts w:ascii="Helvetica" w:hAnsi="Helvetica" w:cs="Helvetica"/>
          <w:sz w:val="24"/>
          <w:szCs w:val="24"/>
        </w:rPr>
        <w:t>se cumplió con el</w:t>
      </w:r>
      <w:r w:rsidR="00377EF6" w:rsidRPr="007C5F36">
        <w:rPr>
          <w:rFonts w:ascii="Helvetica" w:hAnsi="Helvetica" w:cs="Helvetica"/>
          <w:sz w:val="24"/>
          <w:szCs w:val="24"/>
        </w:rPr>
        <w:t xml:space="preserve"> 48</w:t>
      </w:r>
      <w:r w:rsidR="00EC739D" w:rsidRPr="007C5F36">
        <w:rPr>
          <w:rFonts w:ascii="Helvetica" w:hAnsi="Helvetica" w:cs="Helvetica"/>
          <w:sz w:val="24"/>
          <w:szCs w:val="24"/>
        </w:rPr>
        <w:t xml:space="preserve">% </w:t>
      </w:r>
      <w:r w:rsidR="00902357" w:rsidRPr="007C5F36">
        <w:rPr>
          <w:rFonts w:ascii="Helvetica" w:hAnsi="Helvetica" w:cs="Helvetica"/>
          <w:sz w:val="24"/>
          <w:szCs w:val="24"/>
        </w:rPr>
        <w:t>de</w:t>
      </w:r>
      <w:r w:rsidR="00EC739D" w:rsidRPr="007C5F36">
        <w:rPr>
          <w:rFonts w:ascii="Helvetica" w:hAnsi="Helvetica" w:cs="Helvetica"/>
          <w:sz w:val="24"/>
          <w:szCs w:val="24"/>
        </w:rPr>
        <w:t xml:space="preserve"> la</w:t>
      </w:r>
      <w:r w:rsidR="00902357" w:rsidRPr="007C5F36">
        <w:rPr>
          <w:rFonts w:ascii="Helvetica" w:hAnsi="Helvetica" w:cs="Helvetica"/>
          <w:sz w:val="24"/>
          <w:szCs w:val="24"/>
        </w:rPr>
        <w:t>s</w:t>
      </w:r>
      <w:r w:rsidR="00EC739D" w:rsidRPr="007C5F36">
        <w:rPr>
          <w:rFonts w:ascii="Helvetica" w:hAnsi="Helvetica" w:cs="Helvetica"/>
          <w:sz w:val="24"/>
          <w:szCs w:val="24"/>
        </w:rPr>
        <w:t xml:space="preserve"> meta</w:t>
      </w:r>
      <w:r w:rsidR="00902357" w:rsidRPr="007C5F36">
        <w:rPr>
          <w:rFonts w:ascii="Helvetica" w:hAnsi="Helvetica" w:cs="Helvetica"/>
          <w:sz w:val="24"/>
          <w:szCs w:val="24"/>
        </w:rPr>
        <w:t>s</w:t>
      </w:r>
      <w:r w:rsidR="00EC739D" w:rsidRPr="007C5F36">
        <w:rPr>
          <w:rFonts w:ascii="Helvetica" w:hAnsi="Helvetica" w:cs="Helvetica"/>
          <w:sz w:val="24"/>
          <w:szCs w:val="24"/>
        </w:rPr>
        <w:t xml:space="preserve"> </w:t>
      </w:r>
      <w:r w:rsidR="00D26FB5" w:rsidRPr="007C5F36">
        <w:rPr>
          <w:rFonts w:ascii="Helvetica" w:hAnsi="Helvetica" w:cs="Helvetica"/>
          <w:sz w:val="24"/>
          <w:szCs w:val="24"/>
        </w:rPr>
        <w:t>establecidas para el año</w:t>
      </w:r>
      <w:r w:rsidR="00EC739D" w:rsidRPr="007C5F36">
        <w:rPr>
          <w:rFonts w:ascii="Helvetica" w:hAnsi="Helvetica" w:cs="Helvetica"/>
          <w:sz w:val="24"/>
          <w:szCs w:val="24"/>
        </w:rPr>
        <w:t xml:space="preserve"> 2020, el 22</w:t>
      </w:r>
      <w:r w:rsidR="00393AD0" w:rsidRPr="007C5F36">
        <w:rPr>
          <w:rFonts w:ascii="Helvetica" w:hAnsi="Helvetica" w:cs="Helvetica"/>
          <w:sz w:val="24"/>
          <w:szCs w:val="24"/>
        </w:rPr>
        <w:t>% muestran</w:t>
      </w:r>
      <w:r w:rsidR="00EC739D" w:rsidRPr="007C5F36">
        <w:rPr>
          <w:rFonts w:ascii="Helvetica" w:hAnsi="Helvetica" w:cs="Helvetica"/>
          <w:sz w:val="24"/>
          <w:szCs w:val="24"/>
        </w:rPr>
        <w:t xml:space="preserve"> avance y el 30% no muestra</w:t>
      </w:r>
      <w:r w:rsidR="00902357" w:rsidRPr="007C5F36">
        <w:rPr>
          <w:rFonts w:ascii="Helvetica" w:hAnsi="Helvetica" w:cs="Helvetica"/>
          <w:sz w:val="24"/>
          <w:szCs w:val="24"/>
        </w:rPr>
        <w:t>n</w:t>
      </w:r>
      <w:r w:rsidR="00EC739D" w:rsidRPr="007C5F36">
        <w:rPr>
          <w:rFonts w:ascii="Helvetica" w:hAnsi="Helvetica" w:cs="Helvetica"/>
          <w:sz w:val="24"/>
          <w:szCs w:val="24"/>
        </w:rPr>
        <w:t xml:space="preserve"> avance.</w:t>
      </w:r>
      <w:r w:rsidR="00902357" w:rsidRPr="007C5F36">
        <w:rPr>
          <w:rFonts w:ascii="Helvetica" w:hAnsi="Helvetica" w:cs="Helvetica"/>
          <w:sz w:val="24"/>
          <w:szCs w:val="24"/>
        </w:rPr>
        <w:t xml:space="preserve"> </w:t>
      </w:r>
    </w:p>
    <w:p w14:paraId="60521001" w14:textId="5682DCB8" w:rsidR="00020479" w:rsidRPr="007C5F36" w:rsidRDefault="00D473FF" w:rsidP="00D26FB5">
      <w:pPr>
        <w:pStyle w:val="Sinespaciado"/>
        <w:spacing w:before="240" w:after="240"/>
        <w:jc w:val="both"/>
        <w:rPr>
          <w:rFonts w:ascii="Helvetica" w:hAnsi="Helvetica" w:cs="Helvetica"/>
          <w:sz w:val="24"/>
          <w:szCs w:val="24"/>
        </w:rPr>
      </w:pPr>
      <w:r w:rsidRPr="007C5F36">
        <w:rPr>
          <w:rFonts w:ascii="Helvetica" w:hAnsi="Helvetica" w:cs="Helvetica"/>
          <w:sz w:val="24"/>
          <w:szCs w:val="24"/>
        </w:rPr>
        <w:t>L</w:t>
      </w:r>
      <w:r w:rsidR="007C4761" w:rsidRPr="007C5F36">
        <w:rPr>
          <w:rFonts w:ascii="Helvetica" w:hAnsi="Helvetica" w:cs="Helvetica"/>
          <w:sz w:val="24"/>
          <w:szCs w:val="24"/>
        </w:rPr>
        <w:t>as 24 met</w:t>
      </w:r>
      <w:r w:rsidRPr="007C5F36">
        <w:rPr>
          <w:rFonts w:ascii="Helvetica" w:hAnsi="Helvetica" w:cs="Helvetica"/>
          <w:sz w:val="24"/>
          <w:szCs w:val="24"/>
        </w:rPr>
        <w:t>a</w:t>
      </w:r>
      <w:r w:rsidR="00EC473E" w:rsidRPr="007C5F36">
        <w:rPr>
          <w:rFonts w:ascii="Helvetica" w:hAnsi="Helvetica" w:cs="Helvetica"/>
          <w:sz w:val="24"/>
          <w:szCs w:val="24"/>
        </w:rPr>
        <w:t>s</w:t>
      </w:r>
      <w:r w:rsidRPr="007C5F36">
        <w:rPr>
          <w:rFonts w:ascii="Helvetica" w:hAnsi="Helvetica" w:cs="Helvetica"/>
          <w:sz w:val="24"/>
          <w:szCs w:val="24"/>
        </w:rPr>
        <w:t xml:space="preserve"> estratégica</w:t>
      </w:r>
      <w:r w:rsidR="00EC473E" w:rsidRPr="007C5F36">
        <w:rPr>
          <w:rFonts w:ascii="Helvetica" w:hAnsi="Helvetica" w:cs="Helvetica"/>
          <w:sz w:val="24"/>
          <w:szCs w:val="24"/>
        </w:rPr>
        <w:t>s</w:t>
      </w:r>
      <w:r w:rsidRPr="007C5F36">
        <w:rPr>
          <w:rFonts w:ascii="Helvetica" w:hAnsi="Helvetica" w:cs="Helvetica"/>
          <w:sz w:val="24"/>
          <w:szCs w:val="24"/>
        </w:rPr>
        <w:t xml:space="preserve"> que cumplieron el resultado </w:t>
      </w:r>
      <w:r w:rsidR="00FB217C" w:rsidRPr="007C5F36">
        <w:rPr>
          <w:rFonts w:ascii="Helvetica" w:hAnsi="Helvetica" w:cs="Helvetica"/>
          <w:sz w:val="24"/>
          <w:szCs w:val="24"/>
        </w:rPr>
        <w:t>establecid</w:t>
      </w:r>
      <w:r w:rsidRPr="007C5F36">
        <w:rPr>
          <w:rFonts w:ascii="Helvetica" w:hAnsi="Helvetica" w:cs="Helvetica"/>
          <w:sz w:val="24"/>
          <w:szCs w:val="24"/>
        </w:rPr>
        <w:t>o</w:t>
      </w:r>
      <w:r w:rsidR="00FB217C" w:rsidRPr="007C5F36">
        <w:rPr>
          <w:rFonts w:ascii="Helvetica" w:hAnsi="Helvetica" w:cs="Helvetica"/>
          <w:sz w:val="24"/>
          <w:szCs w:val="24"/>
        </w:rPr>
        <w:t xml:space="preserve"> para el año </w:t>
      </w:r>
      <w:r w:rsidR="007C4761" w:rsidRPr="007C5F36">
        <w:rPr>
          <w:rFonts w:ascii="Helvetica" w:hAnsi="Helvetica" w:cs="Helvetica"/>
          <w:sz w:val="24"/>
          <w:szCs w:val="24"/>
        </w:rPr>
        <w:t xml:space="preserve">2020, se enlistan a continuación haciendo referencia a la mejora del desempeño del indicador utilizado para medir la meta respecto a la línea de base </w:t>
      </w:r>
      <w:r w:rsidR="00AD7DE7" w:rsidRPr="007C5F36">
        <w:rPr>
          <w:rFonts w:ascii="Helvetica" w:hAnsi="Helvetica" w:cs="Helvetica"/>
          <w:sz w:val="24"/>
          <w:szCs w:val="24"/>
        </w:rPr>
        <w:t>definida y</w:t>
      </w:r>
      <w:r w:rsidR="007C4761" w:rsidRPr="007C5F36">
        <w:rPr>
          <w:rFonts w:ascii="Helvetica" w:hAnsi="Helvetica" w:cs="Helvetica"/>
          <w:sz w:val="24"/>
          <w:szCs w:val="24"/>
        </w:rPr>
        <w:t xml:space="preserve"> la última medición disponible (2020)</w:t>
      </w:r>
      <w:r w:rsidR="00EC473E" w:rsidRPr="007C5F36">
        <w:rPr>
          <w:rFonts w:ascii="Helvetica" w:hAnsi="Helvetica" w:cs="Helvetica"/>
          <w:sz w:val="24"/>
          <w:szCs w:val="24"/>
        </w:rPr>
        <w:t>:</w:t>
      </w:r>
    </w:p>
    <w:p w14:paraId="33AE7D58"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proporción de la población con acceso a energía eléctrica a 93.50%. Del 88.14% pasó a 88.9%.</w:t>
      </w:r>
    </w:p>
    <w:p w14:paraId="480B7667"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mejoró en un punto porcentual el índice de solvencia del sistema bancario. De 15.00% pasó a 16.10%.</w:t>
      </w:r>
    </w:p>
    <w:p w14:paraId="7ACA3AA9"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incrementó en 3.1 puntos porcentuales el margen de solvencia de las aseguradoras. Del 66.90% pasó al 70.30%.</w:t>
      </w:r>
    </w:p>
    <w:p w14:paraId="3B395F27"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el monto de los créditos para emprendimientos de familias pobres a Q 200,000,000.00. De Q0.00 pasó a Q183,434,490.00.</w:t>
      </w:r>
    </w:p>
    <w:p w14:paraId="23043B74"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tasa neta de cobertura en el nivel preprimario en 12 puntos porcentuales. De 51.16% pasó a 60.68%.</w:t>
      </w:r>
    </w:p>
    <w:p w14:paraId="74699446"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tasa neta de cobertura en el nivel primario en 17 puntos porcentuales. De 77.53 pasó a 93.65.</w:t>
      </w:r>
    </w:p>
    <w:p w14:paraId="116A380B"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tasa neta de cobertura en el nivel básico en 17 puntos porcentuales. De 43.24 pasó a 49.10.</w:t>
      </w:r>
    </w:p>
    <w:p w14:paraId="32F4C627"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tasa neta de cobertura en el nivel diversificado en 11 puntos porcentuales. De 24.91 pasó a 26.01.</w:t>
      </w:r>
    </w:p>
    <w:p w14:paraId="73629CEF"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cantidad de becas escolares para estudiantes del nivel básico y diversificado en 19,579. De 31,262 pasó a 40,082.</w:t>
      </w:r>
    </w:p>
    <w:p w14:paraId="292B63B4"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la tasa de mortalidad infantil en 10 puntos porcentuales. De 28 pasó a 21.2.</w:t>
      </w:r>
    </w:p>
    <w:p w14:paraId="009CB302"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el número de casos de morbilidad infantil en 5% anual. De 1,031,106 pasó a 630, 807.</w:t>
      </w:r>
    </w:p>
    <w:p w14:paraId="168BF333"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el porcentaje de niñas y niños con esquema de vacunación completo en 9.6 puntos porcentuales. De 59.0 pasó a 77.0.</w:t>
      </w:r>
    </w:p>
    <w:p w14:paraId="11FDAA19"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en 4 unidades la red hospitalaria. De 46 pasó a 47.</w:t>
      </w:r>
    </w:p>
    <w:p w14:paraId="4B733365"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en 50 el número de centros de salud tipo A y B. De 337 pasó a 348.</w:t>
      </w:r>
    </w:p>
    <w:p w14:paraId="1D8795A1"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a 150,000 el número de familias atendidas por el programa de transferencias monetarias. De 119,441 pasó a 150,065.</w:t>
      </w:r>
    </w:p>
    <w:p w14:paraId="7583FAE1"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en 6,000 el número de adultos mayores atendidos por el programa de pensiones. De 101,130 pasó a 118,300.</w:t>
      </w:r>
    </w:p>
    <w:p w14:paraId="633C8F2F"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disminuido la incidencia criminal en 20 puntos de tasa. De 100.63 pasó a 82.8.</w:t>
      </w:r>
    </w:p>
    <w:p w14:paraId="254DEB3F"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 xml:space="preserve">Para el año 2023 se ha reducido la tasa de homicidios en 8.8 de </w:t>
      </w:r>
      <w:proofErr w:type="spellStart"/>
      <w:r w:rsidRPr="007C5F36">
        <w:rPr>
          <w:rFonts w:ascii="Helvetica" w:hAnsi="Helvetica" w:cs="Helvetica"/>
          <w:sz w:val="24"/>
          <w:szCs w:val="24"/>
        </w:rPr>
        <w:t>tasa</w:t>
      </w:r>
      <w:proofErr w:type="spellEnd"/>
      <w:r w:rsidRPr="007C5F36">
        <w:rPr>
          <w:rFonts w:ascii="Helvetica" w:hAnsi="Helvetica" w:cs="Helvetica"/>
          <w:sz w:val="24"/>
          <w:szCs w:val="24"/>
        </w:rPr>
        <w:t>. De 20.6 pasó a 15.3.</w:t>
      </w:r>
    </w:p>
    <w:p w14:paraId="39469C50"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Porcentaje de implementación del Sistema Nacional de Planificación. De 0% pasó a 57.36%.</w:t>
      </w:r>
    </w:p>
    <w:p w14:paraId="64E78D64"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Número de iniciativas de Ley presentadas al Congreso de la República. De 0 pasó a 14.</w:t>
      </w:r>
    </w:p>
    <w:p w14:paraId="2228177D"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Porcentaje de la superficie terrestre cubierta con cobertura forestal. Se mantuvo en 33%.</w:t>
      </w:r>
    </w:p>
    <w:p w14:paraId="7719C7EF"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implementado la política de atención a migrantes guatemaltecos. De 0 pasó a 25%.</w:t>
      </w:r>
    </w:p>
    <w:p w14:paraId="33181E80" w14:textId="77777777"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2023 se ha incrementado en 8 el número de consulados guatemaltecos. De 20 pasó a 22.</w:t>
      </w:r>
    </w:p>
    <w:p w14:paraId="11ADFF7B" w14:textId="45C63388" w:rsidR="007C4761" w:rsidRPr="007C5F36" w:rsidRDefault="007C4761" w:rsidP="00984BA9">
      <w:pPr>
        <w:pStyle w:val="Sinespaciado"/>
        <w:numPr>
          <w:ilvl w:val="0"/>
          <w:numId w:val="2"/>
        </w:numPr>
        <w:spacing w:before="240" w:after="240"/>
        <w:jc w:val="both"/>
        <w:rPr>
          <w:rFonts w:ascii="Helvetica" w:hAnsi="Helvetica" w:cs="Helvetica"/>
          <w:sz w:val="24"/>
          <w:szCs w:val="24"/>
        </w:rPr>
      </w:pPr>
      <w:r w:rsidRPr="007C5F36">
        <w:rPr>
          <w:rFonts w:ascii="Helvetica" w:hAnsi="Helvetica" w:cs="Helvetica"/>
          <w:sz w:val="24"/>
          <w:szCs w:val="24"/>
        </w:rPr>
        <w:t>Para el año 2023 se ha completado el impulso de la marca país. De 0</w:t>
      </w:r>
      <w:r w:rsidR="008C0C9C">
        <w:rPr>
          <w:rFonts w:ascii="Helvetica" w:hAnsi="Helvetica" w:cs="Helvetica"/>
          <w:sz w:val="24"/>
          <w:szCs w:val="24"/>
        </w:rPr>
        <w:t>%</w:t>
      </w:r>
      <w:r w:rsidRPr="007C5F36">
        <w:rPr>
          <w:rFonts w:ascii="Helvetica" w:hAnsi="Helvetica" w:cs="Helvetica"/>
          <w:sz w:val="24"/>
          <w:szCs w:val="24"/>
        </w:rPr>
        <w:t xml:space="preserve"> pasó al 15%.</w:t>
      </w:r>
    </w:p>
    <w:p w14:paraId="547A0DC7" w14:textId="2C096A93" w:rsidR="002F3281" w:rsidRPr="007C5F36" w:rsidRDefault="00AD7DE7" w:rsidP="00AD7DE7">
      <w:pPr>
        <w:pStyle w:val="Sinespaciado"/>
        <w:spacing w:before="240" w:after="240"/>
        <w:ind w:left="360"/>
        <w:jc w:val="both"/>
        <w:rPr>
          <w:rFonts w:ascii="Helvetica" w:hAnsi="Helvetica" w:cs="Helvetica"/>
          <w:sz w:val="24"/>
          <w:szCs w:val="24"/>
        </w:rPr>
      </w:pPr>
      <w:r w:rsidRPr="007C5F36">
        <w:rPr>
          <w:rFonts w:ascii="Helvetica" w:hAnsi="Helvetica" w:cs="Helvetica"/>
          <w:sz w:val="24"/>
          <w:szCs w:val="24"/>
        </w:rPr>
        <w:t>Asimismo, es preciso indicar que 13 de esas 24 metas están costeadas por</w:t>
      </w:r>
      <w:r w:rsidR="00EC473E" w:rsidRPr="007C5F36">
        <w:rPr>
          <w:rFonts w:ascii="Helvetica" w:hAnsi="Helvetica" w:cs="Helvetica"/>
          <w:sz w:val="24"/>
          <w:szCs w:val="24"/>
        </w:rPr>
        <w:t xml:space="preserve"> la SEGEPLAN, por</w:t>
      </w:r>
      <w:r w:rsidRPr="007C5F36">
        <w:rPr>
          <w:rFonts w:ascii="Helvetica" w:hAnsi="Helvetica" w:cs="Helvetica"/>
          <w:sz w:val="24"/>
          <w:szCs w:val="24"/>
        </w:rPr>
        <w:t xml:space="preserve"> un monto de Q15,281,941,482.00</w:t>
      </w:r>
      <w:r w:rsidR="00EC473E" w:rsidRPr="007C5F36">
        <w:rPr>
          <w:rFonts w:ascii="Helvetica" w:hAnsi="Helvetica" w:cs="Helvetica"/>
          <w:sz w:val="24"/>
          <w:szCs w:val="24"/>
        </w:rPr>
        <w:t>,</w:t>
      </w:r>
      <w:r w:rsidRPr="007C5F36">
        <w:rPr>
          <w:rFonts w:ascii="Helvetica" w:hAnsi="Helvetica" w:cs="Helvetica"/>
          <w:sz w:val="24"/>
          <w:szCs w:val="24"/>
        </w:rPr>
        <w:t xml:space="preserve"> para el año 2020. Por lo que,</w:t>
      </w:r>
      <w:r w:rsidR="00EC473E" w:rsidRPr="007C5F36">
        <w:rPr>
          <w:rFonts w:ascii="Helvetica" w:hAnsi="Helvetica" w:cs="Helvetica"/>
          <w:sz w:val="24"/>
          <w:szCs w:val="24"/>
        </w:rPr>
        <w:t xml:space="preserve"> </w:t>
      </w:r>
      <w:bookmarkStart w:id="157" w:name="_Hlk66909589"/>
      <w:r w:rsidR="002F3281" w:rsidRPr="007C5F36">
        <w:rPr>
          <w:rFonts w:ascii="Helvetica" w:hAnsi="Helvetica" w:cs="Helvetica"/>
          <w:sz w:val="24"/>
          <w:szCs w:val="24"/>
        </w:rPr>
        <w:t xml:space="preserve">se recomienda priorizar las asignaciones presupuestarias a las instituciones responsables y corresponsables en función de los avances mostrados en las metas costeadas. </w:t>
      </w:r>
    </w:p>
    <w:p w14:paraId="0553B250" w14:textId="696F5B3D" w:rsidR="00020479" w:rsidRPr="007C5F36" w:rsidRDefault="00AD7DE7" w:rsidP="00AD7DE7">
      <w:pPr>
        <w:pStyle w:val="Sinespaciado"/>
        <w:spacing w:before="240" w:after="240"/>
        <w:ind w:left="360"/>
        <w:jc w:val="both"/>
        <w:rPr>
          <w:rFonts w:ascii="Helvetica" w:hAnsi="Helvetica" w:cs="Helvetica"/>
          <w:sz w:val="24"/>
          <w:szCs w:val="24"/>
        </w:rPr>
      </w:pPr>
      <w:r w:rsidRPr="007C5F36">
        <w:rPr>
          <w:rFonts w:ascii="Helvetica" w:hAnsi="Helvetica" w:cs="Helvetica"/>
          <w:sz w:val="24"/>
          <w:szCs w:val="24"/>
        </w:rPr>
        <w:t>Por otro lado, l</w:t>
      </w:r>
      <w:r w:rsidR="007C4761" w:rsidRPr="007C5F36">
        <w:rPr>
          <w:rFonts w:ascii="Helvetica" w:hAnsi="Helvetica" w:cs="Helvetica"/>
          <w:sz w:val="24"/>
          <w:szCs w:val="24"/>
        </w:rPr>
        <w:t xml:space="preserve">as 12 acciones que muestran avance durante el año </w:t>
      </w:r>
      <w:r w:rsidRPr="007C5F36">
        <w:rPr>
          <w:rFonts w:ascii="Helvetica" w:hAnsi="Helvetica" w:cs="Helvetica"/>
          <w:sz w:val="24"/>
          <w:szCs w:val="24"/>
        </w:rPr>
        <w:t>2020</w:t>
      </w:r>
      <w:r w:rsidR="007C4761" w:rsidRPr="007C5F36">
        <w:rPr>
          <w:rFonts w:ascii="Helvetica" w:hAnsi="Helvetica" w:cs="Helvetica"/>
          <w:sz w:val="24"/>
          <w:szCs w:val="24"/>
        </w:rPr>
        <w:t xml:space="preserve"> </w:t>
      </w:r>
      <w:r w:rsidR="00FB217C" w:rsidRPr="007C5F36">
        <w:rPr>
          <w:rFonts w:ascii="Helvetica" w:hAnsi="Helvetica" w:cs="Helvetica"/>
          <w:sz w:val="24"/>
          <w:szCs w:val="24"/>
        </w:rPr>
        <w:t xml:space="preserve">se enlistan a continuación </w:t>
      </w:r>
      <w:bookmarkEnd w:id="157"/>
      <w:r w:rsidR="00FB217C" w:rsidRPr="007C5F36">
        <w:rPr>
          <w:rFonts w:ascii="Helvetica" w:hAnsi="Helvetica" w:cs="Helvetica"/>
          <w:sz w:val="24"/>
          <w:szCs w:val="24"/>
        </w:rPr>
        <w:t>haciendo referencia a la mejora del desempeño del indicador utilizado para medir la meta respecto a la línea de base definida y la última medición disponible</w:t>
      </w:r>
      <w:r w:rsidR="00EC473E" w:rsidRPr="007C5F36">
        <w:rPr>
          <w:rFonts w:ascii="Helvetica" w:hAnsi="Helvetica" w:cs="Helvetica"/>
          <w:sz w:val="24"/>
          <w:szCs w:val="24"/>
        </w:rPr>
        <w:t>:</w:t>
      </w:r>
    </w:p>
    <w:p w14:paraId="18945E65"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la tasa de informalidad del empleo en 6 puntos porcentuales. De 69.50% pasó a 65.30%.</w:t>
      </w:r>
    </w:p>
    <w:p w14:paraId="0EF6126D"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cantidad de recursos destinados a seguro agrícola para pequeños parcelarios a Q 35,000,000.00. De Q0.00 pasó a Q500,000.00.</w:t>
      </w:r>
    </w:p>
    <w:p w14:paraId="112D88E3"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cobertura de seguro médico escolar a 3 millones de niños. De 0 pasó a 1,207,503.</w:t>
      </w:r>
    </w:p>
    <w:p w14:paraId="1AE9232A"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la inversión en servicios de alimentación escolar en Q 830.4 millones. De Q1,798,930,000.00 pasó a Q1,996,250,131.27.</w:t>
      </w:r>
    </w:p>
    <w:p w14:paraId="7CF6CCA9"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el número de maestros graduados de licenciatura en 8,610. De 6,390 pasó a 5,651.</w:t>
      </w:r>
    </w:p>
    <w:p w14:paraId="23165766"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han construido 100,000 viviendas sociales. De 0 pasó a 6,285.</w:t>
      </w:r>
    </w:p>
    <w:p w14:paraId="2B239C07"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 creado el fondo de subsidios para la construcción de vivienda social por un monto de Q. 2,500.0 millones. De 0 pasó a 359,491,393.92.</w:t>
      </w:r>
    </w:p>
    <w:p w14:paraId="10258652"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a 4.0 millones el número de raciones (desayunos y almuerzos) servidos en comedores sociales. De 3,017,025 pasó a 2,410,642.</w:t>
      </w:r>
    </w:p>
    <w:p w14:paraId="0A9EC019"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han conformado 340 organizaciones comunitarias, municipales y departamentales de prevención de la violencia y el delito. De 326 pasó a 298.</w:t>
      </w:r>
    </w:p>
    <w:p w14:paraId="073C3D6D"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Para el año 2023 se cuenta con un sistema de inteligencia reformado. De 0 pasó a 20%.</w:t>
      </w:r>
    </w:p>
    <w:p w14:paraId="2D0D36DF" w14:textId="77777777" w:rsidR="00FB217C"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Número de municipios que implementan su plan de desarrollo municipal y ordenamiento territorial. De 0% pasó a 3.28%.</w:t>
      </w:r>
    </w:p>
    <w:p w14:paraId="79DB5622" w14:textId="1E217313" w:rsidR="00AD7DE7" w:rsidRPr="007C5F36" w:rsidRDefault="00FB217C" w:rsidP="00984BA9">
      <w:pPr>
        <w:pStyle w:val="Sinespaciado"/>
        <w:numPr>
          <w:ilvl w:val="0"/>
          <w:numId w:val="3"/>
        </w:numPr>
        <w:spacing w:before="240" w:after="240"/>
        <w:jc w:val="both"/>
        <w:rPr>
          <w:rFonts w:ascii="Helvetica" w:hAnsi="Helvetica" w:cs="Helvetica"/>
          <w:sz w:val="24"/>
          <w:szCs w:val="24"/>
        </w:rPr>
      </w:pPr>
      <w:r w:rsidRPr="007C5F36">
        <w:rPr>
          <w:rFonts w:ascii="Helvetica" w:hAnsi="Helvetica" w:cs="Helvetica"/>
          <w:sz w:val="24"/>
          <w:szCs w:val="24"/>
        </w:rPr>
        <w:t xml:space="preserve">Para el año 2023 se ha mejorado la calificación el índice de competitividad turística en 0.6 puntos porcentuales.  </w:t>
      </w:r>
      <w:r w:rsidR="007A41C1">
        <w:rPr>
          <w:rFonts w:ascii="Helvetica" w:hAnsi="Helvetica" w:cs="Helvetica"/>
          <w:sz w:val="24"/>
          <w:szCs w:val="24"/>
        </w:rPr>
        <w:t>Se ubicó en</w:t>
      </w:r>
      <w:r w:rsidRPr="007C5F36">
        <w:rPr>
          <w:rFonts w:ascii="Helvetica" w:hAnsi="Helvetica" w:cs="Helvetica"/>
          <w:sz w:val="24"/>
          <w:szCs w:val="24"/>
        </w:rPr>
        <w:t xml:space="preserve"> 3.40</w:t>
      </w:r>
      <w:r w:rsidR="008C0C9C">
        <w:rPr>
          <w:rFonts w:ascii="Helvetica" w:hAnsi="Helvetica" w:cs="Helvetica"/>
          <w:sz w:val="24"/>
          <w:szCs w:val="24"/>
        </w:rPr>
        <w:t>.</w:t>
      </w:r>
    </w:p>
    <w:p w14:paraId="23758D98" w14:textId="57C03FAF" w:rsidR="0092740B" w:rsidRPr="007C5F36" w:rsidRDefault="00AD7DE7" w:rsidP="008321CE">
      <w:pPr>
        <w:pStyle w:val="Sinespaciado"/>
        <w:spacing w:before="240" w:after="240"/>
        <w:jc w:val="both"/>
        <w:rPr>
          <w:rFonts w:ascii="Helvetica" w:hAnsi="Helvetica" w:cs="Helvetica"/>
          <w:sz w:val="24"/>
          <w:szCs w:val="24"/>
        </w:rPr>
      </w:pPr>
      <w:r w:rsidRPr="007C5F36">
        <w:rPr>
          <w:rFonts w:ascii="Helvetica" w:hAnsi="Helvetica" w:cs="Helvetica"/>
          <w:sz w:val="24"/>
          <w:szCs w:val="24"/>
        </w:rPr>
        <w:t xml:space="preserve">Asimismo, de las 12 metas </w:t>
      </w:r>
      <w:r w:rsidR="0092740B" w:rsidRPr="007C5F36">
        <w:rPr>
          <w:rFonts w:ascii="Helvetica" w:hAnsi="Helvetica" w:cs="Helvetica"/>
          <w:sz w:val="24"/>
          <w:szCs w:val="24"/>
        </w:rPr>
        <w:t>antes indicadas, 9 fueron costeadas por la SEGEPLAN</w:t>
      </w:r>
      <w:r w:rsidR="00EC473E" w:rsidRPr="007C5F36">
        <w:rPr>
          <w:rFonts w:ascii="Helvetica" w:hAnsi="Helvetica" w:cs="Helvetica"/>
          <w:sz w:val="24"/>
          <w:szCs w:val="24"/>
        </w:rPr>
        <w:t>,</w:t>
      </w:r>
      <w:r w:rsidR="0092740B" w:rsidRPr="007C5F36">
        <w:rPr>
          <w:rFonts w:ascii="Helvetica" w:hAnsi="Helvetica" w:cs="Helvetica"/>
          <w:sz w:val="24"/>
          <w:szCs w:val="24"/>
        </w:rPr>
        <w:t xml:space="preserve"> por un monto de Q</w:t>
      </w:r>
      <w:r w:rsidR="0092740B" w:rsidRPr="007C5F36">
        <w:rPr>
          <w:rFonts w:ascii="Helvetica" w:hAnsi="Helvetica" w:cs="Helvetica"/>
          <w:color w:val="000000"/>
          <w:sz w:val="24"/>
          <w:szCs w:val="24"/>
        </w:rPr>
        <w:t xml:space="preserve"> </w:t>
      </w:r>
      <w:r w:rsidR="0092740B" w:rsidRPr="007C5F36">
        <w:rPr>
          <w:rFonts w:ascii="Helvetica" w:hAnsi="Helvetica" w:cs="Helvetica"/>
          <w:sz w:val="24"/>
          <w:szCs w:val="24"/>
        </w:rPr>
        <w:t>197,175,622.</w:t>
      </w:r>
      <w:r w:rsidR="004E554C" w:rsidRPr="007C5F36">
        <w:rPr>
          <w:rFonts w:ascii="Helvetica" w:hAnsi="Helvetica" w:cs="Helvetica"/>
          <w:sz w:val="24"/>
          <w:szCs w:val="24"/>
        </w:rPr>
        <w:t>12</w:t>
      </w:r>
      <w:r w:rsidR="0092740B" w:rsidRPr="007C5F36">
        <w:rPr>
          <w:rFonts w:ascii="Helvetica" w:hAnsi="Helvetica" w:cs="Helvetica"/>
          <w:sz w:val="24"/>
          <w:szCs w:val="24"/>
        </w:rPr>
        <w:t>.</w:t>
      </w:r>
      <w:r w:rsidR="002F3281" w:rsidRPr="007C5F36">
        <w:rPr>
          <w:rFonts w:ascii="Helvetica" w:hAnsi="Helvetica" w:cs="Helvetica"/>
          <w:sz w:val="24"/>
          <w:szCs w:val="24"/>
        </w:rPr>
        <w:t xml:space="preserve"> Por lo que, se recomienda priorizar las asignaciones presupuestarias a las instituciones responsables y corresponsables en función de los avances mostrados en las metas costeadas, considerando</w:t>
      </w:r>
      <w:r w:rsidR="008321CE" w:rsidRPr="007C5F36">
        <w:rPr>
          <w:rFonts w:ascii="Helvetica" w:hAnsi="Helvetica" w:cs="Helvetica"/>
          <w:sz w:val="24"/>
          <w:szCs w:val="24"/>
        </w:rPr>
        <w:t xml:space="preserve"> </w:t>
      </w:r>
      <w:r w:rsidR="002F3281" w:rsidRPr="007C5F36">
        <w:rPr>
          <w:rFonts w:ascii="Helvetica" w:hAnsi="Helvetica" w:cs="Helvetica"/>
          <w:sz w:val="24"/>
          <w:szCs w:val="24"/>
        </w:rPr>
        <w:t xml:space="preserve">el esfuerzo </w:t>
      </w:r>
      <w:r w:rsidR="008321CE" w:rsidRPr="007C5F36">
        <w:rPr>
          <w:rFonts w:ascii="Helvetica" w:hAnsi="Helvetica" w:cs="Helvetica"/>
          <w:sz w:val="24"/>
          <w:szCs w:val="24"/>
        </w:rPr>
        <w:t xml:space="preserve">financiero adicional que requiere </w:t>
      </w:r>
      <w:r w:rsidR="002F3281" w:rsidRPr="007C5F36">
        <w:rPr>
          <w:rFonts w:ascii="Helvetica" w:hAnsi="Helvetica" w:cs="Helvetica"/>
          <w:sz w:val="24"/>
          <w:szCs w:val="24"/>
        </w:rPr>
        <w:t xml:space="preserve">en las metas que </w:t>
      </w:r>
      <w:r w:rsidR="008321CE" w:rsidRPr="007C5F36">
        <w:rPr>
          <w:rFonts w:ascii="Helvetica" w:hAnsi="Helvetica" w:cs="Helvetica"/>
          <w:sz w:val="24"/>
          <w:szCs w:val="24"/>
        </w:rPr>
        <w:t>tuvieron bajo desempeño</w:t>
      </w:r>
      <w:r w:rsidR="002F3281" w:rsidRPr="007C5F36">
        <w:rPr>
          <w:rFonts w:ascii="Helvetica" w:hAnsi="Helvetica" w:cs="Helvetica"/>
          <w:sz w:val="24"/>
          <w:szCs w:val="24"/>
        </w:rPr>
        <w:t xml:space="preserve"> en el 2020.</w:t>
      </w:r>
    </w:p>
    <w:p w14:paraId="656585C7" w14:textId="484A2092" w:rsidR="00020479" w:rsidRPr="007C5F36" w:rsidRDefault="0092740B" w:rsidP="00D26FB5">
      <w:pPr>
        <w:pStyle w:val="Sinespaciado"/>
        <w:spacing w:before="240" w:after="240"/>
        <w:jc w:val="both"/>
        <w:rPr>
          <w:rFonts w:ascii="Helvetica" w:hAnsi="Helvetica" w:cs="Helvetica"/>
          <w:sz w:val="24"/>
          <w:szCs w:val="24"/>
        </w:rPr>
      </w:pPr>
      <w:r w:rsidRPr="007C5F36">
        <w:rPr>
          <w:rFonts w:ascii="Helvetica" w:hAnsi="Helvetica" w:cs="Helvetica"/>
          <w:sz w:val="24"/>
          <w:szCs w:val="24"/>
        </w:rPr>
        <w:t>F</w:t>
      </w:r>
      <w:r w:rsidR="00D473FF" w:rsidRPr="007C5F36">
        <w:rPr>
          <w:rFonts w:ascii="Helvetica" w:hAnsi="Helvetica" w:cs="Helvetica"/>
          <w:sz w:val="24"/>
          <w:szCs w:val="24"/>
        </w:rPr>
        <w:t xml:space="preserve">inalmente, las 12 acciones que no muestran avance durante el año </w:t>
      </w:r>
      <w:r w:rsidRPr="007C5F36">
        <w:rPr>
          <w:rFonts w:ascii="Helvetica" w:hAnsi="Helvetica" w:cs="Helvetica"/>
          <w:sz w:val="24"/>
          <w:szCs w:val="24"/>
        </w:rPr>
        <w:t>2020</w:t>
      </w:r>
      <w:r w:rsidR="00D473FF" w:rsidRPr="007C5F36">
        <w:rPr>
          <w:rFonts w:ascii="Helvetica" w:hAnsi="Helvetica" w:cs="Helvetica"/>
          <w:sz w:val="24"/>
          <w:szCs w:val="24"/>
        </w:rPr>
        <w:t xml:space="preserve"> se presentan </w:t>
      </w:r>
      <w:r w:rsidRPr="007C5F36">
        <w:rPr>
          <w:rFonts w:ascii="Helvetica" w:hAnsi="Helvetica" w:cs="Helvetica"/>
          <w:sz w:val="24"/>
          <w:szCs w:val="24"/>
        </w:rPr>
        <w:t>a continuación:</w:t>
      </w:r>
    </w:p>
    <w:p w14:paraId="0DE773BF" w14:textId="06C72A6B"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 xml:space="preserve">Para el año 2023 se ha incrementado en 2.60 puntos porcentuales la tasa de crecimiento del PIB real. </w:t>
      </w:r>
      <w:r w:rsidR="007A41C1">
        <w:rPr>
          <w:rFonts w:ascii="Helvetica" w:hAnsi="Helvetica" w:cs="Helvetica"/>
          <w:sz w:val="24"/>
          <w:szCs w:val="24"/>
        </w:rPr>
        <w:t xml:space="preserve">Se ubicó en </w:t>
      </w:r>
      <w:r w:rsidRPr="007C5F36">
        <w:rPr>
          <w:rFonts w:ascii="Helvetica" w:hAnsi="Helvetica" w:cs="Helvetica"/>
          <w:sz w:val="24"/>
          <w:szCs w:val="24"/>
        </w:rPr>
        <w:t>-1.50%.</w:t>
      </w:r>
    </w:p>
    <w:p w14:paraId="03501752"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el país ocupa la posición 85 en el ranking del índice de competitividad global. Se mantuvo en 98.</w:t>
      </w:r>
    </w:p>
    <w:p w14:paraId="329B495B"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 xml:space="preserve">Para el año 2023 el país ocupa la posición 88 en el ranking del </w:t>
      </w:r>
      <w:proofErr w:type="spellStart"/>
      <w:r w:rsidRPr="007C5F36">
        <w:rPr>
          <w:rFonts w:ascii="Helvetica" w:hAnsi="Helvetica" w:cs="Helvetica"/>
          <w:sz w:val="24"/>
          <w:szCs w:val="24"/>
        </w:rPr>
        <w:t>Doing</w:t>
      </w:r>
      <w:proofErr w:type="spellEnd"/>
      <w:r w:rsidRPr="007C5F36">
        <w:rPr>
          <w:rFonts w:ascii="Helvetica" w:hAnsi="Helvetica" w:cs="Helvetica"/>
          <w:sz w:val="24"/>
          <w:szCs w:val="24"/>
        </w:rPr>
        <w:t xml:space="preserve"> Business. De 98 pasó a 96.</w:t>
      </w:r>
    </w:p>
    <w:p w14:paraId="0A59F41E"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el porcentaje de la población analfabeta en 5.09 puntos porcentuales. De 19.19 pasó a 18.08.</w:t>
      </w:r>
    </w:p>
    <w:p w14:paraId="37F6D507"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en 8,000 el número de maestros. Se mantuvo en 144,196.</w:t>
      </w:r>
    </w:p>
    <w:p w14:paraId="135734E1"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la razón de mortalidad materna en 14.4 puntos porcentuales. Se mantuvo en 105.</w:t>
      </w:r>
    </w:p>
    <w:p w14:paraId="13944C38" w14:textId="4E65F7AD"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la tasa desnutrición crónica en 7 puntos porcentuales. De 46.50% pasó a 47%.</w:t>
      </w:r>
    </w:p>
    <w:p w14:paraId="3B3CC7D3"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la pobreza general en 9.3 puntos porcentuales. Se mantuvo en 59.3%.</w:t>
      </w:r>
    </w:p>
    <w:p w14:paraId="25CACE6F"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redujo la pobreza extrema en 5 puntos porcentuales. Se mantuvo en 23.4%.</w:t>
      </w:r>
    </w:p>
    <w:p w14:paraId="705E3790"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en Q 17.0 millones el monto asignado al fondo social para la atención a desastres. Se mantuvo en Q8,000,000.00.</w:t>
      </w:r>
    </w:p>
    <w:p w14:paraId="698674D7"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en 4 el número de centros penitenciarios. Se mantuvo en 22.</w:t>
      </w:r>
    </w:p>
    <w:p w14:paraId="663D3ABD" w14:textId="77777777"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Para el año 2023 se ha incrementado en 5,000 el número de agentes de la Policía Nacional Civil. Se mantuvo en 41,597.</w:t>
      </w:r>
    </w:p>
    <w:p w14:paraId="56034E4F" w14:textId="64E6B3B4" w:rsidR="00D473FF" w:rsidRPr="007C5F36" w:rsidRDefault="00D473FF"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Número de Ministerios con programa E-</w:t>
      </w:r>
      <w:proofErr w:type="spellStart"/>
      <w:r w:rsidRPr="007C5F36">
        <w:rPr>
          <w:rFonts w:ascii="Helvetica" w:hAnsi="Helvetica" w:cs="Helvetica"/>
          <w:sz w:val="24"/>
          <w:szCs w:val="24"/>
        </w:rPr>
        <w:t>goverment</w:t>
      </w:r>
      <w:proofErr w:type="spellEnd"/>
      <w:r w:rsidRPr="007C5F36">
        <w:rPr>
          <w:rFonts w:ascii="Helvetica" w:hAnsi="Helvetica" w:cs="Helvetica"/>
          <w:sz w:val="24"/>
          <w:szCs w:val="24"/>
        </w:rPr>
        <w:t>. Se mantuvo en 0.</w:t>
      </w:r>
    </w:p>
    <w:p w14:paraId="0188F1E9" w14:textId="3DF20294" w:rsidR="0092740B" w:rsidRPr="007C5F36" w:rsidRDefault="0092740B" w:rsidP="00984BA9">
      <w:pPr>
        <w:pStyle w:val="Sinespaciado"/>
        <w:numPr>
          <w:ilvl w:val="0"/>
          <w:numId w:val="4"/>
        </w:numPr>
        <w:spacing w:before="240" w:after="240"/>
        <w:jc w:val="both"/>
        <w:rPr>
          <w:rFonts w:ascii="Helvetica" w:hAnsi="Helvetica" w:cs="Helvetica"/>
          <w:sz w:val="24"/>
          <w:szCs w:val="24"/>
        </w:rPr>
      </w:pPr>
      <w:r w:rsidRPr="007C5F36">
        <w:rPr>
          <w:rFonts w:ascii="Helvetica" w:hAnsi="Helvetica" w:cs="Helvetica"/>
          <w:sz w:val="24"/>
          <w:szCs w:val="24"/>
        </w:rPr>
        <w:t>Porcentaje de implementación de la descentralización en la gestión pública. Se mantuvo en 0%.</w:t>
      </w:r>
    </w:p>
    <w:p w14:paraId="7A3E1B47" w14:textId="04486344" w:rsidR="0092740B" w:rsidRPr="007C5F36" w:rsidRDefault="0092740B" w:rsidP="0092740B">
      <w:pPr>
        <w:pStyle w:val="Sinespaciado"/>
        <w:spacing w:before="240" w:after="240"/>
        <w:ind w:left="360"/>
        <w:jc w:val="both"/>
        <w:rPr>
          <w:rFonts w:ascii="Helvetica" w:hAnsi="Helvetica" w:cs="Helvetica"/>
          <w:sz w:val="24"/>
          <w:szCs w:val="24"/>
        </w:rPr>
      </w:pPr>
      <w:r w:rsidRPr="007C5F36">
        <w:rPr>
          <w:rFonts w:ascii="Helvetica" w:hAnsi="Helvetica" w:cs="Helvetica"/>
          <w:sz w:val="24"/>
          <w:szCs w:val="24"/>
        </w:rPr>
        <w:t xml:space="preserve">De las 14 metas, 8 fueron costeadas por la SEGEPLAN, resultando que la inversión al año 2020 </w:t>
      </w:r>
      <w:r w:rsidR="00856012" w:rsidRPr="007C5F36">
        <w:rPr>
          <w:rFonts w:ascii="Helvetica" w:hAnsi="Helvetica" w:cs="Helvetica"/>
          <w:sz w:val="24"/>
          <w:szCs w:val="24"/>
        </w:rPr>
        <w:t>debía ascender</w:t>
      </w:r>
      <w:r w:rsidRPr="007C5F36">
        <w:rPr>
          <w:rFonts w:ascii="Helvetica" w:hAnsi="Helvetica" w:cs="Helvetica"/>
          <w:sz w:val="24"/>
          <w:szCs w:val="24"/>
        </w:rPr>
        <w:t xml:space="preserve"> a Q 7,062,597,374.00.</w:t>
      </w:r>
      <w:r w:rsidR="008321CE" w:rsidRPr="007C5F36">
        <w:rPr>
          <w:rFonts w:ascii="Helvetica" w:hAnsi="Helvetica" w:cs="Helvetica"/>
          <w:sz w:val="24"/>
          <w:szCs w:val="24"/>
        </w:rPr>
        <w:t xml:space="preserve"> Por lo que se recomienda priorizar las asignaciones presupuestarias a las instituciones responsables y corresponsables para procurar los avances en las mismas, considerando además el esfuerzo financiero para procurar el cumplimiento del total de las</w:t>
      </w:r>
      <w:r w:rsidR="00856012" w:rsidRPr="007C5F36">
        <w:rPr>
          <w:rFonts w:ascii="Helvetica" w:hAnsi="Helvetica" w:cs="Helvetica"/>
          <w:sz w:val="24"/>
          <w:szCs w:val="24"/>
        </w:rPr>
        <w:t xml:space="preserve"> meta</w:t>
      </w:r>
      <w:r w:rsidR="008321CE" w:rsidRPr="007C5F36">
        <w:rPr>
          <w:rFonts w:ascii="Helvetica" w:hAnsi="Helvetica" w:cs="Helvetica"/>
          <w:sz w:val="24"/>
          <w:szCs w:val="24"/>
        </w:rPr>
        <w:t>s</w:t>
      </w:r>
      <w:r w:rsidR="00856012" w:rsidRPr="007C5F36">
        <w:rPr>
          <w:rFonts w:ascii="Helvetica" w:hAnsi="Helvetica" w:cs="Helvetica"/>
          <w:sz w:val="24"/>
          <w:szCs w:val="24"/>
        </w:rPr>
        <w:t xml:space="preserve"> del año 2020 y</w:t>
      </w:r>
      <w:r w:rsidR="008321CE" w:rsidRPr="007C5F36">
        <w:rPr>
          <w:rFonts w:ascii="Helvetica" w:hAnsi="Helvetica" w:cs="Helvetica"/>
          <w:sz w:val="24"/>
          <w:szCs w:val="24"/>
        </w:rPr>
        <w:t xml:space="preserve"> las</w:t>
      </w:r>
      <w:r w:rsidR="00856012" w:rsidRPr="007C5F36">
        <w:rPr>
          <w:rFonts w:ascii="Helvetica" w:hAnsi="Helvetica" w:cs="Helvetica"/>
          <w:sz w:val="24"/>
          <w:szCs w:val="24"/>
        </w:rPr>
        <w:t xml:space="preserve"> del año 2021.</w:t>
      </w:r>
    </w:p>
    <w:p w14:paraId="7F8FD2A7" w14:textId="565B90F3" w:rsidR="00020479" w:rsidRPr="007C5F36" w:rsidRDefault="00C13596" w:rsidP="00C13596">
      <w:pPr>
        <w:pStyle w:val="Sinespaciado"/>
        <w:spacing w:before="240" w:after="240"/>
        <w:ind w:left="360"/>
        <w:jc w:val="both"/>
        <w:rPr>
          <w:rFonts w:ascii="Helvetica" w:hAnsi="Helvetica" w:cs="Helvetica"/>
          <w:sz w:val="24"/>
          <w:szCs w:val="24"/>
        </w:rPr>
      </w:pPr>
      <w:r w:rsidRPr="007C5F36">
        <w:rPr>
          <w:rFonts w:ascii="Helvetica" w:hAnsi="Helvetica" w:cs="Helvetica"/>
          <w:sz w:val="24"/>
          <w:szCs w:val="24"/>
        </w:rPr>
        <w:t>Por otra parte, p</w:t>
      </w:r>
      <w:r w:rsidR="00020479" w:rsidRPr="007C5F36">
        <w:rPr>
          <w:rFonts w:ascii="Helvetica" w:hAnsi="Helvetica" w:cs="Helvetica"/>
          <w:sz w:val="24"/>
          <w:szCs w:val="24"/>
        </w:rPr>
        <w:t xml:space="preserve">ara las </w:t>
      </w:r>
      <w:r w:rsidRPr="007C5F36">
        <w:rPr>
          <w:rFonts w:ascii="Helvetica" w:hAnsi="Helvetica" w:cs="Helvetica"/>
          <w:sz w:val="24"/>
          <w:szCs w:val="24"/>
        </w:rPr>
        <w:t>250</w:t>
      </w:r>
      <w:r w:rsidR="00020479" w:rsidRPr="007C5F36">
        <w:rPr>
          <w:rFonts w:ascii="Helvetica" w:hAnsi="Helvetica" w:cs="Helvetica"/>
          <w:sz w:val="24"/>
          <w:szCs w:val="24"/>
        </w:rPr>
        <w:t xml:space="preserve"> acciones estratégicas definidas en la Política General de Gobierno 20</w:t>
      </w:r>
      <w:r w:rsidRPr="007C5F36">
        <w:rPr>
          <w:rFonts w:ascii="Helvetica" w:hAnsi="Helvetica" w:cs="Helvetica"/>
          <w:sz w:val="24"/>
          <w:szCs w:val="24"/>
        </w:rPr>
        <w:t>20-2024</w:t>
      </w:r>
      <w:r w:rsidR="00020479" w:rsidRPr="007C5F36">
        <w:rPr>
          <w:rFonts w:ascii="Helvetica" w:hAnsi="Helvetica" w:cs="Helvetica"/>
          <w:sz w:val="24"/>
          <w:szCs w:val="24"/>
        </w:rPr>
        <w:t xml:space="preserve">, los resultados de la evaluación reflejaron que </w:t>
      </w:r>
      <w:r w:rsidRPr="007C5F36">
        <w:rPr>
          <w:rFonts w:ascii="Helvetica" w:hAnsi="Helvetica" w:cs="Helvetica"/>
          <w:sz w:val="24"/>
          <w:szCs w:val="24"/>
        </w:rPr>
        <w:t>las instituciones mantuvieron el compromiso en avanzar en su cumplimiento</w:t>
      </w:r>
      <w:r w:rsidR="007A41C1">
        <w:rPr>
          <w:rFonts w:ascii="Helvetica" w:hAnsi="Helvetica" w:cs="Helvetica"/>
          <w:sz w:val="24"/>
          <w:szCs w:val="24"/>
        </w:rPr>
        <w:t>; l</w:t>
      </w:r>
      <w:r w:rsidRPr="007C5F36">
        <w:rPr>
          <w:rFonts w:ascii="Helvetica" w:hAnsi="Helvetica" w:cs="Helvetica"/>
          <w:sz w:val="24"/>
          <w:szCs w:val="24"/>
        </w:rPr>
        <w:t>o cual se mostró a través de las actividades que implementaron para el efecto.</w:t>
      </w:r>
    </w:p>
    <w:p w14:paraId="66D9A5F4" w14:textId="6B05936E" w:rsidR="00C13596" w:rsidRPr="007C5F36" w:rsidRDefault="00C13596" w:rsidP="00C13596">
      <w:pPr>
        <w:pStyle w:val="Sinespaciado"/>
        <w:spacing w:before="240" w:after="240"/>
        <w:ind w:left="360"/>
        <w:jc w:val="both"/>
        <w:rPr>
          <w:rFonts w:ascii="Helvetica" w:hAnsi="Helvetica" w:cs="Helvetica"/>
          <w:sz w:val="24"/>
          <w:szCs w:val="24"/>
        </w:rPr>
      </w:pPr>
      <w:r w:rsidRPr="007C5F36">
        <w:rPr>
          <w:rFonts w:ascii="Helvetica" w:hAnsi="Helvetica" w:cs="Helvetica"/>
          <w:sz w:val="24"/>
          <w:szCs w:val="24"/>
        </w:rPr>
        <w:t xml:space="preserve">Puede observarse cómo a pesar de las complicaciones que enfrentaron las instituciones, a pesar de la pandemia por COVID 19, los efectos de ETA e IOTA, entre otros factores, puede considerarse como satisfactorio. </w:t>
      </w:r>
    </w:p>
    <w:p w14:paraId="6E90BB06" w14:textId="2681CF32" w:rsidR="00AB298B" w:rsidRPr="007C5F36" w:rsidRDefault="00020479" w:rsidP="002902C5">
      <w:pPr>
        <w:pStyle w:val="Sinespaciado"/>
        <w:spacing w:before="240" w:after="240"/>
        <w:ind w:left="360"/>
        <w:jc w:val="both"/>
        <w:rPr>
          <w:rFonts w:ascii="Helvetica" w:hAnsi="Helvetica" w:cs="Helvetica"/>
          <w:sz w:val="24"/>
          <w:szCs w:val="24"/>
        </w:rPr>
      </w:pPr>
      <w:r w:rsidRPr="00E4088B">
        <w:rPr>
          <w:rFonts w:ascii="Helvetica" w:hAnsi="Helvetica" w:cs="Helvetica"/>
          <w:sz w:val="24"/>
          <w:szCs w:val="24"/>
        </w:rPr>
        <w:t xml:space="preserve">Como parte de los resultados de la evaluación, se presentó para cada uno de los </w:t>
      </w:r>
      <w:r w:rsidR="00C13596" w:rsidRPr="00E4088B">
        <w:rPr>
          <w:rFonts w:ascii="Helvetica" w:hAnsi="Helvetica" w:cs="Helvetica"/>
          <w:sz w:val="24"/>
          <w:szCs w:val="24"/>
        </w:rPr>
        <w:t>pilares</w:t>
      </w:r>
      <w:r w:rsidRPr="00E4088B">
        <w:rPr>
          <w:rFonts w:ascii="Helvetica" w:hAnsi="Helvetica" w:cs="Helvetica"/>
          <w:sz w:val="24"/>
          <w:szCs w:val="24"/>
        </w:rPr>
        <w:t xml:space="preserve"> una serie de conclusiones que debieran ser considerados para la elaboración de los lineamientos generales de Política Pública que tienen como finalidad brindar las orientaciones </w:t>
      </w:r>
      <w:r w:rsidR="00C13596" w:rsidRPr="00E4088B">
        <w:rPr>
          <w:rFonts w:ascii="Helvetica" w:hAnsi="Helvetica" w:cs="Helvetica"/>
          <w:sz w:val="24"/>
          <w:szCs w:val="24"/>
        </w:rPr>
        <w:t>para la</w:t>
      </w:r>
      <w:r w:rsidRPr="00E4088B">
        <w:rPr>
          <w:rFonts w:ascii="Helvetica" w:hAnsi="Helvetica" w:cs="Helvetica"/>
          <w:sz w:val="24"/>
          <w:szCs w:val="24"/>
        </w:rPr>
        <w:t xml:space="preserve"> planificación y presupuesto multianual 202</w:t>
      </w:r>
      <w:r w:rsidR="00C13596" w:rsidRPr="00E4088B">
        <w:rPr>
          <w:rFonts w:ascii="Helvetica" w:hAnsi="Helvetica" w:cs="Helvetica"/>
          <w:sz w:val="24"/>
          <w:szCs w:val="24"/>
        </w:rPr>
        <w:t>2</w:t>
      </w:r>
      <w:r w:rsidRPr="00E4088B">
        <w:rPr>
          <w:rFonts w:ascii="Helvetica" w:hAnsi="Helvetica" w:cs="Helvetica"/>
          <w:sz w:val="24"/>
          <w:szCs w:val="24"/>
        </w:rPr>
        <w:t>-202</w:t>
      </w:r>
      <w:r w:rsidR="00C13596" w:rsidRPr="00E4088B">
        <w:rPr>
          <w:rFonts w:ascii="Helvetica" w:hAnsi="Helvetica" w:cs="Helvetica"/>
          <w:sz w:val="24"/>
          <w:szCs w:val="24"/>
        </w:rPr>
        <w:t>6</w:t>
      </w:r>
      <w:r w:rsidRPr="00E4088B">
        <w:rPr>
          <w:rFonts w:ascii="Helvetica" w:hAnsi="Helvetica" w:cs="Helvetica"/>
          <w:sz w:val="24"/>
          <w:szCs w:val="24"/>
        </w:rPr>
        <w:t xml:space="preserve"> como est</w:t>
      </w:r>
      <w:r w:rsidR="007A41C1">
        <w:rPr>
          <w:rFonts w:ascii="Helvetica" w:hAnsi="Helvetica" w:cs="Helvetica"/>
          <w:sz w:val="24"/>
          <w:szCs w:val="24"/>
        </w:rPr>
        <w:t>á</w:t>
      </w:r>
      <w:r w:rsidRPr="00E4088B">
        <w:rPr>
          <w:rFonts w:ascii="Helvetica" w:hAnsi="Helvetica" w:cs="Helvetica"/>
          <w:sz w:val="24"/>
          <w:szCs w:val="24"/>
        </w:rPr>
        <w:t xml:space="preserve"> normado por las leyes vigentes en el país</w:t>
      </w:r>
      <w:r w:rsidR="0083517B" w:rsidRPr="00E4088B">
        <w:rPr>
          <w:rFonts w:ascii="Helvetica" w:hAnsi="Helvetica" w:cs="Helvetica"/>
          <w:sz w:val="24"/>
          <w:szCs w:val="24"/>
        </w:rPr>
        <w:t>.</w:t>
      </w:r>
    </w:p>
    <w:p w14:paraId="4348870B" w14:textId="01A7029C" w:rsidR="00AB298B" w:rsidRDefault="00AB298B" w:rsidP="00AB298B">
      <w:pPr>
        <w:pStyle w:val="Sinespaciado"/>
        <w:spacing w:before="240" w:after="240"/>
        <w:ind w:left="360"/>
        <w:rPr>
          <w:rFonts w:ascii="Helvetica" w:hAnsi="Helvetica" w:cs="Helvetica"/>
          <w:sz w:val="24"/>
          <w:szCs w:val="24"/>
        </w:rPr>
      </w:pPr>
    </w:p>
    <w:p w14:paraId="7F1BD08B" w14:textId="691C5556" w:rsidR="006E3297" w:rsidRDefault="006E3297" w:rsidP="00AB298B">
      <w:pPr>
        <w:pStyle w:val="Sinespaciado"/>
        <w:spacing w:before="240" w:after="240"/>
        <w:ind w:left="360"/>
        <w:rPr>
          <w:rFonts w:ascii="Helvetica" w:hAnsi="Helvetica" w:cs="Helvetica"/>
          <w:sz w:val="24"/>
          <w:szCs w:val="24"/>
        </w:rPr>
      </w:pPr>
    </w:p>
    <w:p w14:paraId="7F02BEBF" w14:textId="275CA4EB" w:rsidR="006E3297" w:rsidRDefault="006E3297" w:rsidP="00AB298B">
      <w:pPr>
        <w:pStyle w:val="Sinespaciado"/>
        <w:spacing w:before="240" w:after="240"/>
        <w:ind w:left="360"/>
        <w:rPr>
          <w:rFonts w:ascii="Helvetica" w:hAnsi="Helvetica" w:cs="Helvetica"/>
          <w:sz w:val="24"/>
          <w:szCs w:val="24"/>
        </w:rPr>
      </w:pPr>
    </w:p>
    <w:p w14:paraId="282F84D8" w14:textId="42081228" w:rsidR="006E3297" w:rsidRDefault="006E3297" w:rsidP="00AB298B">
      <w:pPr>
        <w:pStyle w:val="Sinespaciado"/>
        <w:spacing w:before="240" w:after="240"/>
        <w:ind w:left="360"/>
        <w:rPr>
          <w:rFonts w:ascii="Helvetica" w:hAnsi="Helvetica" w:cs="Helvetica"/>
          <w:sz w:val="24"/>
          <w:szCs w:val="24"/>
        </w:rPr>
      </w:pPr>
    </w:p>
    <w:p w14:paraId="4AAD7181" w14:textId="7AE84E0E" w:rsidR="006E3297" w:rsidRDefault="006E3297" w:rsidP="00AB298B">
      <w:pPr>
        <w:pStyle w:val="Sinespaciado"/>
        <w:spacing w:before="240" w:after="240"/>
        <w:ind w:left="360"/>
        <w:rPr>
          <w:rFonts w:ascii="Helvetica" w:hAnsi="Helvetica" w:cs="Helvetica"/>
          <w:sz w:val="24"/>
          <w:szCs w:val="24"/>
        </w:rPr>
      </w:pPr>
    </w:p>
    <w:p w14:paraId="0BA1ADA4" w14:textId="5CF688D4" w:rsidR="00C55E32" w:rsidRDefault="00C55E32" w:rsidP="00B95DA5">
      <w:pPr>
        <w:pStyle w:val="Ttulo1"/>
        <w:numPr>
          <w:ilvl w:val="0"/>
          <w:numId w:val="0"/>
        </w:numPr>
      </w:pPr>
    </w:p>
    <w:p w14:paraId="78EC1AC8" w14:textId="14CC6ED5" w:rsidR="007A41C1" w:rsidRDefault="007A41C1" w:rsidP="007A41C1"/>
    <w:p w14:paraId="01C4A4BE" w14:textId="6FF0CBD0" w:rsidR="007A41C1" w:rsidRDefault="007A41C1" w:rsidP="007A41C1"/>
    <w:p w14:paraId="03C7CCA6" w14:textId="2302BDDE" w:rsidR="007A41C1" w:rsidRDefault="007A41C1" w:rsidP="007A41C1"/>
    <w:p w14:paraId="3B3AC504" w14:textId="58A4FC59" w:rsidR="007A41C1" w:rsidRDefault="007A41C1" w:rsidP="007A41C1"/>
    <w:p w14:paraId="4C71D0A0" w14:textId="77777777" w:rsidR="007A41C1" w:rsidRPr="007A41C1" w:rsidRDefault="007A41C1" w:rsidP="007A41C1"/>
    <w:p w14:paraId="1F6BDC74" w14:textId="77777777" w:rsidR="00B95DA5" w:rsidRPr="00B95DA5" w:rsidRDefault="00B95DA5" w:rsidP="00B95DA5"/>
    <w:p w14:paraId="5358CD04" w14:textId="77777777" w:rsidR="00C55E32" w:rsidRDefault="00C55E32" w:rsidP="006E3297">
      <w:pPr>
        <w:pStyle w:val="Ttulo1"/>
        <w:numPr>
          <w:ilvl w:val="0"/>
          <w:numId w:val="0"/>
        </w:numPr>
        <w:ind w:left="432"/>
      </w:pPr>
    </w:p>
    <w:p w14:paraId="5416CA21" w14:textId="63C7BF65" w:rsidR="006E3297" w:rsidRDefault="006E3297" w:rsidP="006E3297">
      <w:pPr>
        <w:pStyle w:val="Ttulo1"/>
        <w:numPr>
          <w:ilvl w:val="0"/>
          <w:numId w:val="0"/>
        </w:numPr>
        <w:ind w:left="432"/>
      </w:pPr>
      <w:bookmarkStart w:id="158" w:name="_Toc67589100"/>
      <w:r>
        <w:t>C</w:t>
      </w:r>
      <w:r w:rsidR="003C786E">
        <w:t>onclusiones</w:t>
      </w:r>
      <w:bookmarkEnd w:id="158"/>
    </w:p>
    <w:p w14:paraId="4DAA2920" w14:textId="13F88333" w:rsidR="00F53520" w:rsidRDefault="00F53520" w:rsidP="00F53520"/>
    <w:p w14:paraId="3FCDF572" w14:textId="6FCCD332" w:rsidR="00F53520" w:rsidRDefault="000032C6" w:rsidP="008424E7">
      <w:pPr>
        <w:autoSpaceDE w:val="0"/>
        <w:autoSpaceDN w:val="0"/>
        <w:adjustRightInd w:val="0"/>
        <w:jc w:val="both"/>
        <w:rPr>
          <w:rFonts w:ascii="Helvetica" w:eastAsia="Calibri" w:hAnsi="Helvetica" w:cs="Helvetica"/>
          <w:sz w:val="24"/>
          <w:szCs w:val="24"/>
        </w:rPr>
      </w:pPr>
      <w:r>
        <w:rPr>
          <w:rFonts w:ascii="Helvetica" w:eastAsia="Calibri" w:hAnsi="Helvetica" w:cs="Helvetica"/>
          <w:sz w:val="24"/>
          <w:szCs w:val="24"/>
        </w:rPr>
        <w:t>Después de presentar los resultados del desempeño de la institucionalidad pública, a partir de la</w:t>
      </w:r>
      <w:r w:rsidR="00B90592" w:rsidRPr="00431FEA">
        <w:rPr>
          <w:rFonts w:ascii="Helvetica" w:eastAsia="Calibri" w:hAnsi="Helvetica" w:cs="Helvetica"/>
          <w:sz w:val="24"/>
          <w:szCs w:val="24"/>
        </w:rPr>
        <w:t xml:space="preserve"> conjugación de los principios de eficiencia, eficacia y</w:t>
      </w:r>
      <w:r w:rsidR="007A41C1">
        <w:rPr>
          <w:rFonts w:ascii="Helvetica" w:eastAsia="Calibri" w:hAnsi="Helvetica" w:cs="Helvetica"/>
          <w:sz w:val="24"/>
          <w:szCs w:val="24"/>
        </w:rPr>
        <w:t xml:space="preserve"> </w:t>
      </w:r>
      <w:r w:rsidRPr="00431FEA">
        <w:rPr>
          <w:rFonts w:ascii="Helvetica" w:eastAsia="Calibri" w:hAnsi="Helvetica" w:cs="Helvetica"/>
          <w:sz w:val="24"/>
          <w:szCs w:val="24"/>
        </w:rPr>
        <w:t>equidad</w:t>
      </w:r>
      <w:r w:rsidR="008424E7">
        <w:rPr>
          <w:rFonts w:ascii="Helvetica" w:eastAsia="Calibri" w:hAnsi="Helvetica" w:cs="Helvetica"/>
          <w:sz w:val="24"/>
          <w:szCs w:val="24"/>
        </w:rPr>
        <w:t>, en el cumplimiento de la</w:t>
      </w:r>
      <w:r w:rsidR="00E6187A">
        <w:rPr>
          <w:rFonts w:ascii="Helvetica" w:eastAsia="Calibri" w:hAnsi="Helvetica" w:cs="Helvetica"/>
          <w:sz w:val="24"/>
          <w:szCs w:val="24"/>
        </w:rPr>
        <w:t xml:space="preserve"> </w:t>
      </w:r>
      <w:r w:rsidR="006B2C52">
        <w:rPr>
          <w:rFonts w:ascii="Helvetica" w:eastAsia="Calibri" w:hAnsi="Helvetica" w:cs="Helvetica"/>
          <w:sz w:val="24"/>
          <w:szCs w:val="24"/>
        </w:rPr>
        <w:t>planificación y la programación de los recursos asignados</w:t>
      </w:r>
      <w:r w:rsidR="00487598">
        <w:rPr>
          <w:rFonts w:ascii="Helvetica" w:eastAsia="Calibri" w:hAnsi="Helvetica" w:cs="Helvetica"/>
          <w:sz w:val="24"/>
          <w:szCs w:val="24"/>
        </w:rPr>
        <w:t xml:space="preserve"> y que se trasladan al cumplimiento de la PGG 2020-2024</w:t>
      </w:r>
      <w:r w:rsidR="00E17E27">
        <w:rPr>
          <w:rFonts w:ascii="Helvetica" w:eastAsia="Calibri" w:hAnsi="Helvetica" w:cs="Helvetica"/>
          <w:sz w:val="24"/>
          <w:szCs w:val="24"/>
        </w:rPr>
        <w:t>,</w:t>
      </w:r>
      <w:r w:rsidR="008424E7">
        <w:rPr>
          <w:rFonts w:ascii="Helvetica" w:eastAsia="Calibri" w:hAnsi="Helvetica" w:cs="Helvetica"/>
          <w:sz w:val="24"/>
          <w:szCs w:val="24"/>
        </w:rPr>
        <w:t xml:space="preserve"> se puede concluir:</w:t>
      </w:r>
    </w:p>
    <w:p w14:paraId="6A0FDDFD" w14:textId="77777777" w:rsidR="003356FB" w:rsidRPr="00E7036E" w:rsidRDefault="003356FB" w:rsidP="00E7036E">
      <w:pPr>
        <w:pStyle w:val="Prrafodelista"/>
        <w:autoSpaceDE w:val="0"/>
        <w:autoSpaceDN w:val="0"/>
        <w:adjustRightInd w:val="0"/>
        <w:spacing w:after="0" w:line="240" w:lineRule="auto"/>
        <w:jc w:val="both"/>
        <w:rPr>
          <w:rFonts w:ascii="Helvetica" w:eastAsia="Times New Roman" w:hAnsi="Helvetica" w:cs="Helvetica"/>
          <w:sz w:val="24"/>
          <w:szCs w:val="24"/>
        </w:rPr>
      </w:pPr>
    </w:p>
    <w:p w14:paraId="27173E13" w14:textId="55413010" w:rsidR="00487598" w:rsidRPr="00487598" w:rsidRDefault="00487598" w:rsidP="00487598">
      <w:pPr>
        <w:numPr>
          <w:ilvl w:val="0"/>
          <w:numId w:val="33"/>
        </w:numPr>
        <w:spacing w:after="0" w:line="240" w:lineRule="auto"/>
        <w:contextualSpacing/>
        <w:jc w:val="both"/>
        <w:rPr>
          <w:rFonts w:ascii="Helvetica" w:eastAsia="Calibri" w:hAnsi="Helvetica" w:cs="Times New Roman"/>
          <w:sz w:val="24"/>
          <w:szCs w:val="24"/>
        </w:rPr>
      </w:pPr>
      <w:r w:rsidRPr="00487598">
        <w:rPr>
          <w:rFonts w:ascii="Helvetica" w:eastAsia="Calibri" w:hAnsi="Helvetica" w:cs="Times New Roman"/>
          <w:sz w:val="24"/>
          <w:szCs w:val="24"/>
        </w:rPr>
        <w:t xml:space="preserve">En el Pilar 1, económico, se alcanzaron logros importantes para apuntalar la economía nacional en función social, tratando de optimizar el aprovechamiento de los recursos. En materia de inversión, se alcanzó </w:t>
      </w:r>
      <w:r w:rsidR="007A41C1">
        <w:rPr>
          <w:rFonts w:ascii="Helvetica" w:eastAsia="Calibri" w:hAnsi="Helvetica" w:cs="Times New Roman"/>
          <w:sz w:val="24"/>
          <w:szCs w:val="24"/>
        </w:rPr>
        <w:t>una</w:t>
      </w:r>
      <w:r w:rsidRPr="00487598">
        <w:rPr>
          <w:rFonts w:ascii="Helvetica" w:eastAsia="Calibri" w:hAnsi="Helvetica" w:cs="Times New Roman"/>
          <w:sz w:val="24"/>
          <w:szCs w:val="24"/>
        </w:rPr>
        <w:t xml:space="preserve"> cifra sin precedentes de Q 21,726.86 millones asignados, con un 82 % de ejecución equivalente a Q 17,960.6 millones. Destaca en este contexto la fuerte asignación de transferencias de capital para el desarrollo local o comunitario (casi Q 7,600 millones a las municipalidades y más de Q 3,600 millones a los Consejos de Desarrollo, los cuales alcanzaron un 91 % de ejecución). Vale agregar el incremento a la inversión física para infraestructura, especialmente a través del CIV y el MSPAS, a este último con grandes asignaciones en el marco de la pandemia. También sobresalen los avances en la diversificación del sector eléctrico, con una tasa de energía renovable asignada del 59.36 % y un 71 % de energías limpias, dos terceras partes de ellas provenientes de hidroeléctricas, así como el aporte social para electricidad. No menos importante es el apoyo a las MIPYMES, con una asignación de Q 581 millones en créditos y la capacitación de más de 18,000 micro, pequeños y medianos empresarios.</w:t>
      </w:r>
    </w:p>
    <w:p w14:paraId="41B5159A" w14:textId="77777777" w:rsidR="00487598" w:rsidRPr="00487598" w:rsidRDefault="00487598" w:rsidP="00487598">
      <w:pPr>
        <w:spacing w:after="0" w:line="240" w:lineRule="auto"/>
        <w:jc w:val="both"/>
        <w:rPr>
          <w:rFonts w:ascii="Helvetica" w:eastAsia="Calibri" w:hAnsi="Helvetica" w:cs="Times New Roman"/>
          <w:sz w:val="24"/>
          <w:szCs w:val="24"/>
        </w:rPr>
      </w:pPr>
    </w:p>
    <w:p w14:paraId="5B0A7F59" w14:textId="61031ACE" w:rsidR="00487598" w:rsidRPr="00487598" w:rsidRDefault="00487598" w:rsidP="00487598">
      <w:pPr>
        <w:numPr>
          <w:ilvl w:val="0"/>
          <w:numId w:val="33"/>
        </w:numPr>
        <w:spacing w:after="0" w:line="240" w:lineRule="auto"/>
        <w:contextualSpacing/>
        <w:jc w:val="both"/>
        <w:rPr>
          <w:rFonts w:ascii="Helvetica" w:eastAsia="Times New Roman" w:hAnsi="Helvetica" w:cs="Times New Roman"/>
          <w:sz w:val="24"/>
          <w:szCs w:val="24"/>
          <w:lang w:eastAsia="es-GT"/>
        </w:rPr>
      </w:pPr>
      <w:r w:rsidRPr="00487598">
        <w:rPr>
          <w:rFonts w:ascii="Helvetica" w:eastAsia="Calibri" w:hAnsi="Helvetica" w:cs="Times New Roman"/>
          <w:sz w:val="24"/>
          <w:szCs w:val="24"/>
        </w:rPr>
        <w:t>Puede decirse lo mismo del Pilar 2, en el cual destacan las fuertes erogaciones que, pese a la pandemia, se realizaron en los campos más importantes de las políticas sociales, con la finalidad de atenuar los efectos de la pandemia y mejorar las condiciones de vida de la población, especialmente la más vulnerable. En materia educativa, entre muchos logros destacan la atención a más de 136,000 personas en programas de alfabetización y de educación en casa, para evitar contagio del C</w:t>
      </w:r>
      <w:r w:rsidR="007A41C1">
        <w:rPr>
          <w:rFonts w:ascii="Helvetica" w:eastAsia="Calibri" w:hAnsi="Helvetica" w:cs="Times New Roman"/>
          <w:sz w:val="24"/>
          <w:szCs w:val="24"/>
        </w:rPr>
        <w:t>OVID</w:t>
      </w:r>
      <w:r w:rsidRPr="00487598">
        <w:rPr>
          <w:rFonts w:ascii="Helvetica" w:eastAsia="Calibri" w:hAnsi="Helvetica" w:cs="Times New Roman"/>
          <w:sz w:val="24"/>
          <w:szCs w:val="24"/>
        </w:rPr>
        <w:t xml:space="preserve">-19. Asimismo, se brindaron clases virtuales a casi 1,200,000 estudiantes por el Canal de Gobierno y las redes sociales. En materia de salud, </w:t>
      </w:r>
      <w:r w:rsidRPr="00487598">
        <w:rPr>
          <w:rFonts w:ascii="Helvetica" w:eastAsia="Times New Roman" w:hAnsi="Helvetica" w:cs="Times New Roman"/>
          <w:sz w:val="24"/>
          <w:szCs w:val="24"/>
          <w:lang w:eastAsia="es-GT"/>
        </w:rPr>
        <w:t>se entregaron 38,000 bolsas de alimentos y se distribuyeron más de 100,000 kits de medicamentos para pacientes con síntomas leves de C</w:t>
      </w:r>
      <w:r w:rsidR="007A41C1">
        <w:rPr>
          <w:rFonts w:ascii="Helvetica" w:eastAsia="Times New Roman" w:hAnsi="Helvetica" w:cs="Times New Roman"/>
          <w:sz w:val="24"/>
          <w:szCs w:val="24"/>
          <w:lang w:eastAsia="es-GT"/>
        </w:rPr>
        <w:t>OVID</w:t>
      </w:r>
      <w:r w:rsidRPr="00487598">
        <w:rPr>
          <w:rFonts w:ascii="Helvetica" w:eastAsia="Times New Roman" w:hAnsi="Helvetica" w:cs="Times New Roman"/>
          <w:sz w:val="24"/>
          <w:szCs w:val="24"/>
          <w:lang w:eastAsia="es-GT"/>
        </w:rPr>
        <w:t>.  En nutrición, se atendió a más de 711,000 niños, con énfasis en los que manifestaran síntomas de desnutrición (más de 26,000) y en el campo de la vivienda se construyeron más de 4,000 soluciones habitacionales en los 22 departamentos.</w:t>
      </w:r>
    </w:p>
    <w:p w14:paraId="3CC46155" w14:textId="77777777" w:rsidR="00487598" w:rsidRPr="00487598" w:rsidRDefault="00487598" w:rsidP="00487598">
      <w:pPr>
        <w:spacing w:after="0" w:line="240" w:lineRule="auto"/>
        <w:jc w:val="both"/>
        <w:rPr>
          <w:rFonts w:ascii="Helvetica" w:eastAsia="Times New Roman" w:hAnsi="Helvetica" w:cs="Times New Roman"/>
          <w:sz w:val="24"/>
          <w:szCs w:val="24"/>
          <w:lang w:eastAsia="es-GT"/>
        </w:rPr>
      </w:pPr>
    </w:p>
    <w:p w14:paraId="54D6D836" w14:textId="77777777" w:rsidR="00487598" w:rsidRPr="00487598" w:rsidRDefault="00487598" w:rsidP="00487598">
      <w:pPr>
        <w:numPr>
          <w:ilvl w:val="0"/>
          <w:numId w:val="33"/>
        </w:numPr>
        <w:spacing w:after="0" w:line="240" w:lineRule="auto"/>
        <w:contextualSpacing/>
        <w:jc w:val="both"/>
        <w:rPr>
          <w:rFonts w:ascii="Helvetica" w:eastAsia="Times New Roman" w:hAnsi="Helvetica" w:cs="Times New Roman"/>
          <w:sz w:val="24"/>
          <w:szCs w:val="24"/>
          <w:lang w:eastAsia="es-GT"/>
        </w:rPr>
      </w:pPr>
      <w:r w:rsidRPr="00487598">
        <w:rPr>
          <w:rFonts w:ascii="Helvetica" w:eastAsia="Times New Roman" w:hAnsi="Helvetica" w:cs="Times New Roman"/>
          <w:sz w:val="24"/>
          <w:szCs w:val="24"/>
          <w:lang w:eastAsia="es-GT"/>
        </w:rPr>
        <w:t xml:space="preserve">La misma lógica de optimizar el uso de los recursos en tiempos de pandemia, incrementando los beneficios para la población, se siguió en el Pilar 3 (gobernabilidad y seguridad). Se redujeron los niveles de criminalidad y homicidios, en 18.89 y 6,3 % respectivamente, superando las metas de 2020. Vale agregar que se lograron incrementos sin precedentes en patrullajes, destrucción de estructuras criminales y lucha contra el narcotráfico, tanto en la incautación de drogas como en el decomiso y la extinción de bienes de procedencia ilícita en poder de los narcotraficantes. </w:t>
      </w:r>
    </w:p>
    <w:p w14:paraId="513183C1" w14:textId="77777777" w:rsidR="00487598" w:rsidRPr="00487598" w:rsidRDefault="00487598" w:rsidP="00487598">
      <w:pPr>
        <w:spacing w:after="0" w:line="240" w:lineRule="auto"/>
        <w:jc w:val="both"/>
        <w:rPr>
          <w:rFonts w:ascii="Helvetica" w:eastAsia="Times New Roman" w:hAnsi="Helvetica" w:cs="Times New Roman"/>
          <w:sz w:val="24"/>
          <w:szCs w:val="24"/>
          <w:lang w:eastAsia="es-GT"/>
        </w:rPr>
      </w:pPr>
    </w:p>
    <w:p w14:paraId="739871C8" w14:textId="7F6A0E15" w:rsidR="00487598" w:rsidRPr="00487598" w:rsidRDefault="00487598" w:rsidP="00487598">
      <w:pPr>
        <w:numPr>
          <w:ilvl w:val="0"/>
          <w:numId w:val="33"/>
        </w:numPr>
        <w:spacing w:after="0" w:line="240" w:lineRule="auto"/>
        <w:contextualSpacing/>
        <w:jc w:val="both"/>
        <w:rPr>
          <w:rFonts w:ascii="Helvetica" w:eastAsia="Calibri" w:hAnsi="Helvetica" w:cs="Times New Roman"/>
          <w:sz w:val="24"/>
          <w:szCs w:val="24"/>
        </w:rPr>
      </w:pPr>
      <w:r w:rsidRPr="00487598">
        <w:rPr>
          <w:rFonts w:ascii="Helvetica" w:eastAsia="Times New Roman" w:hAnsi="Helvetica" w:cs="Times New Roman"/>
          <w:sz w:val="24"/>
          <w:szCs w:val="24"/>
          <w:lang w:eastAsia="es-GT"/>
        </w:rPr>
        <w:t xml:space="preserve">En el Pilar 4, se aplicaron los criterios de calidad del gasto en términos de eficacia y eficiencia, mediante la unificación de tres instancias que podían generar duplicidades y subutilización de recursos en una sola, más funcional y que requiere menos gastos, mediante la eliminación de SEPAZ, COPREDEH y la SAA y su integración en una sola Comisión Presidencial de Derechos Humanos (COPADEH). Es igualmente importante para mejorar el funcionamiento del Estado la creación de la Comisión Presidencial contra la Corrupción. No menos importante, en materia de descentralización </w:t>
      </w:r>
      <w:r w:rsidRPr="00487598">
        <w:rPr>
          <w:rFonts w:ascii="Helvetica" w:eastAsia="Calibri" w:hAnsi="Helvetica" w:cs="Times New Roman"/>
          <w:sz w:val="24"/>
          <w:szCs w:val="24"/>
        </w:rPr>
        <w:t xml:space="preserve">se alcanzó en 2020 la cifra récord del 78.61 %, superando por un monto significativo de 6.99 puntos porcentuales </w:t>
      </w:r>
      <w:r w:rsidR="007A41C1">
        <w:rPr>
          <w:rFonts w:ascii="Helvetica" w:eastAsia="Calibri" w:hAnsi="Helvetica" w:cs="Times New Roman"/>
          <w:sz w:val="24"/>
          <w:szCs w:val="24"/>
        </w:rPr>
        <w:t>a</w:t>
      </w:r>
      <w:r w:rsidRPr="00487598">
        <w:rPr>
          <w:rFonts w:ascii="Helvetica" w:eastAsia="Calibri" w:hAnsi="Helvetica" w:cs="Times New Roman"/>
          <w:sz w:val="24"/>
          <w:szCs w:val="24"/>
        </w:rPr>
        <w:t>l porcentaje alcanzado en 2019. Vale agregar que los Consejos de Desarrollo cuentan con 3,282 proyectos</w:t>
      </w:r>
      <w:r w:rsidR="007A41C1">
        <w:rPr>
          <w:rFonts w:ascii="Helvetica" w:eastAsia="Calibri" w:hAnsi="Helvetica" w:cs="Times New Roman"/>
          <w:sz w:val="24"/>
          <w:szCs w:val="24"/>
        </w:rPr>
        <w:t>, entre ellas:</w:t>
      </w:r>
      <w:r w:rsidRPr="00487598">
        <w:rPr>
          <w:rFonts w:ascii="Helvetica" w:eastAsia="Calibri" w:hAnsi="Helvetica" w:cs="Times New Roman"/>
          <w:sz w:val="24"/>
          <w:szCs w:val="24"/>
        </w:rPr>
        <w:t xml:space="preserve"> la creación de la Comisión Presidencial de Asuntos Municipales (COPRESAM). </w:t>
      </w:r>
    </w:p>
    <w:p w14:paraId="3A51EA5C" w14:textId="77777777" w:rsidR="00487598" w:rsidRPr="00487598" w:rsidRDefault="00487598" w:rsidP="00487598">
      <w:pPr>
        <w:spacing w:after="0" w:line="240" w:lineRule="auto"/>
        <w:ind w:left="720"/>
        <w:contextualSpacing/>
        <w:jc w:val="both"/>
        <w:rPr>
          <w:rFonts w:ascii="Helvetica" w:eastAsia="Calibri" w:hAnsi="Helvetica" w:cs="Times New Roman"/>
          <w:sz w:val="24"/>
          <w:szCs w:val="24"/>
        </w:rPr>
      </w:pPr>
    </w:p>
    <w:p w14:paraId="7398AA0E" w14:textId="22AB4739" w:rsidR="00487598" w:rsidRPr="00487598" w:rsidRDefault="00487598" w:rsidP="00487598">
      <w:pPr>
        <w:numPr>
          <w:ilvl w:val="0"/>
          <w:numId w:val="33"/>
        </w:numPr>
        <w:spacing w:after="0" w:line="240" w:lineRule="auto"/>
        <w:contextualSpacing/>
        <w:jc w:val="both"/>
        <w:rPr>
          <w:rFonts w:ascii="Helvetica" w:eastAsia="Calibri" w:hAnsi="Helvetica" w:cs="Times New Roman"/>
          <w:sz w:val="24"/>
          <w:szCs w:val="24"/>
        </w:rPr>
      </w:pPr>
      <w:r w:rsidRPr="00487598">
        <w:rPr>
          <w:rFonts w:ascii="Helvetica" w:eastAsia="Calibri" w:hAnsi="Helvetica" w:cs="Times New Roman"/>
          <w:sz w:val="24"/>
          <w:szCs w:val="24"/>
        </w:rPr>
        <w:t>En el campo de las relaciones exteriores, Pilar 5, destaca la suscripción de proyectos de cooperación con los Estados Unidos en materia de energía, infraestructura, cooperación y construcción de mercados y de cielos abiertos con El Salvador, además de los avances en convenios similares con México y Honduras, la apertura de mercados con los países nórdicos</w:t>
      </w:r>
      <w:r w:rsidR="007A41C1">
        <w:rPr>
          <w:rFonts w:ascii="Helvetica" w:eastAsia="Calibri" w:hAnsi="Helvetica" w:cs="Times New Roman"/>
          <w:sz w:val="24"/>
          <w:szCs w:val="24"/>
        </w:rPr>
        <w:t>,</w:t>
      </w:r>
      <w:r w:rsidRPr="00487598">
        <w:rPr>
          <w:rFonts w:ascii="Helvetica" w:eastAsia="Calibri" w:hAnsi="Helvetica" w:cs="Times New Roman"/>
          <w:sz w:val="24"/>
          <w:szCs w:val="24"/>
        </w:rPr>
        <w:t xml:space="preserve"> la reapertura de la Embajada de Guatemala en Suecia. De suma importancia es la atención a cientos de miles de migrantes en materia de documentación, asistencia consular, protección consular y la apertura de 3 nuevos consulados. Destaca el convenio de cooperación en materia de turismo entre los ministerios de Relaciones Exteriores y Economía y el INGUAT.</w:t>
      </w:r>
    </w:p>
    <w:p w14:paraId="56058202" w14:textId="77777777" w:rsidR="00C55E32" w:rsidRDefault="00C55E32" w:rsidP="00942A7C">
      <w:pPr>
        <w:jc w:val="both"/>
        <w:rPr>
          <w:rFonts w:ascii="Helvetica" w:eastAsia="Candara" w:hAnsi="Helvetica" w:cs="Helvetica"/>
          <w:b/>
          <w:iCs/>
          <w:sz w:val="24"/>
          <w:szCs w:val="24"/>
          <w:lang w:eastAsia="es-GT"/>
        </w:rPr>
      </w:pPr>
    </w:p>
    <w:p w14:paraId="27BC96D1" w14:textId="77777777" w:rsidR="006E3297" w:rsidRPr="007C5F36" w:rsidRDefault="006E3297" w:rsidP="00AB298B">
      <w:pPr>
        <w:pStyle w:val="Sinespaciado"/>
        <w:spacing w:before="240" w:after="240"/>
        <w:ind w:left="360"/>
        <w:rPr>
          <w:rFonts w:ascii="Helvetica" w:hAnsi="Helvetica" w:cs="Helvetica"/>
          <w:sz w:val="24"/>
          <w:szCs w:val="24"/>
        </w:rPr>
      </w:pPr>
    </w:p>
    <w:sectPr w:rsidR="006E3297" w:rsidRPr="007C5F36" w:rsidSect="00BA17A3">
      <w:headerReference w:type="default" r:id="rId4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A48194" w14:textId="77777777" w:rsidR="00D36B17" w:rsidRDefault="00D36B17" w:rsidP="001B519A">
      <w:pPr>
        <w:spacing w:after="0" w:line="240" w:lineRule="auto"/>
      </w:pPr>
      <w:r>
        <w:separator/>
      </w:r>
    </w:p>
  </w:endnote>
  <w:endnote w:type="continuationSeparator" w:id="0">
    <w:p w14:paraId="72C0AF4B" w14:textId="77777777" w:rsidR="00D36B17" w:rsidRDefault="00D36B17" w:rsidP="001B51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ndara">
    <w:altName w:val="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F38583" w14:textId="14C2BB9F" w:rsidR="003C786E" w:rsidRDefault="003C786E">
    <w:pPr>
      <w:pStyle w:val="Piedepgina"/>
      <w:jc w:val="right"/>
    </w:pPr>
  </w:p>
  <w:p w14:paraId="5483A4C1" w14:textId="77777777" w:rsidR="003C786E" w:rsidRDefault="003C786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D3404" w14:textId="0B176759" w:rsidR="003C786E" w:rsidRDefault="003C786E">
    <w:pPr>
      <w:pStyle w:val="Piedepgina"/>
      <w:jc w:val="right"/>
    </w:pPr>
  </w:p>
  <w:p w14:paraId="1192415D" w14:textId="77777777" w:rsidR="003C786E" w:rsidRDefault="003C786E">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8076776"/>
      <w:docPartObj>
        <w:docPartGallery w:val="Page Numbers (Bottom of Page)"/>
        <w:docPartUnique/>
      </w:docPartObj>
    </w:sdtPr>
    <w:sdtEndPr/>
    <w:sdtContent>
      <w:p w14:paraId="6168AA2D" w14:textId="75907A22" w:rsidR="003C786E" w:rsidRDefault="003C786E">
        <w:pPr>
          <w:pStyle w:val="Piedepgina"/>
          <w:jc w:val="right"/>
        </w:pPr>
        <w:r>
          <w:fldChar w:fldCharType="begin"/>
        </w:r>
        <w:r>
          <w:instrText>PAGE   \* MERGEFORMAT</w:instrText>
        </w:r>
        <w:r>
          <w:fldChar w:fldCharType="separate"/>
        </w:r>
        <w:r w:rsidR="000017CF" w:rsidRPr="000017CF">
          <w:rPr>
            <w:noProof/>
            <w:lang w:val="es-ES"/>
          </w:rPr>
          <w:t>2</w:t>
        </w:r>
        <w:r>
          <w:fldChar w:fldCharType="end"/>
        </w:r>
      </w:p>
    </w:sdtContent>
  </w:sdt>
  <w:p w14:paraId="3F2E98AC" w14:textId="31DF5FBD" w:rsidR="003C786E" w:rsidRDefault="003C786E" w:rsidP="00B3395F">
    <w:pPr>
      <w:pStyle w:val="Piedepgina"/>
      <w:tabs>
        <w:tab w:val="clear" w:pos="4419"/>
        <w:tab w:val="clear" w:pos="8838"/>
        <w:tab w:val="left" w:pos="8275"/>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9066531"/>
      <w:docPartObj>
        <w:docPartGallery w:val="Page Numbers (Bottom of Page)"/>
        <w:docPartUnique/>
      </w:docPartObj>
    </w:sdtPr>
    <w:sdtEndPr/>
    <w:sdtContent>
      <w:p w14:paraId="4906AE47" w14:textId="071DF1F3" w:rsidR="003C786E" w:rsidRDefault="003C786E">
        <w:pPr>
          <w:pStyle w:val="Piedepgina"/>
          <w:jc w:val="right"/>
        </w:pPr>
        <w:r>
          <w:fldChar w:fldCharType="begin"/>
        </w:r>
        <w:r>
          <w:instrText>PAGE   \* MERGEFORMAT</w:instrText>
        </w:r>
        <w:r>
          <w:fldChar w:fldCharType="separate"/>
        </w:r>
        <w:r w:rsidR="000017CF" w:rsidRPr="000017CF">
          <w:rPr>
            <w:noProof/>
            <w:lang w:val="es-ES"/>
          </w:rPr>
          <w:t>1</w:t>
        </w:r>
        <w:r>
          <w:fldChar w:fldCharType="end"/>
        </w:r>
      </w:p>
    </w:sdtContent>
  </w:sdt>
  <w:p w14:paraId="504CEEC1" w14:textId="77777777" w:rsidR="003C786E" w:rsidRDefault="003C786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C6D5FA" w14:textId="77777777" w:rsidR="00D36B17" w:rsidRDefault="00D36B17" w:rsidP="001B519A">
      <w:pPr>
        <w:spacing w:after="0" w:line="240" w:lineRule="auto"/>
      </w:pPr>
      <w:r>
        <w:separator/>
      </w:r>
    </w:p>
  </w:footnote>
  <w:footnote w:type="continuationSeparator" w:id="0">
    <w:p w14:paraId="776F974F" w14:textId="77777777" w:rsidR="00D36B17" w:rsidRDefault="00D36B17" w:rsidP="001B519A">
      <w:pPr>
        <w:spacing w:after="0" w:line="240" w:lineRule="auto"/>
      </w:pPr>
      <w:r>
        <w:continuationSeparator/>
      </w:r>
    </w:p>
  </w:footnote>
  <w:footnote w:id="1">
    <w:p w14:paraId="1CC13903" w14:textId="29B8A694" w:rsidR="003C786E" w:rsidRPr="005E4110" w:rsidRDefault="003C786E">
      <w:pPr>
        <w:pStyle w:val="Textonotapie"/>
        <w:rPr>
          <w:sz w:val="18"/>
        </w:rPr>
      </w:pPr>
      <w:r>
        <w:rPr>
          <w:rStyle w:val="Refdenotaalpie"/>
        </w:rPr>
        <w:footnoteRef/>
      </w:r>
      <w:r>
        <w:t xml:space="preserve"> </w:t>
      </w:r>
      <w:r w:rsidRPr="005E4110">
        <w:rPr>
          <w:rFonts w:ascii="Helvetica" w:eastAsia="Calibri" w:hAnsi="Helvetica" w:cs="Helvetica"/>
          <w:szCs w:val="24"/>
        </w:rPr>
        <w:t>Calidad del gasto público y reformas institucionales en América Latina. CEPAL, Agosto 2014</w:t>
      </w:r>
      <w:r>
        <w:rPr>
          <w:rFonts w:ascii="Helvetica" w:eastAsia="Calibri" w:hAnsi="Helvetica" w:cs="Helvetica"/>
          <w:szCs w:val="24"/>
        </w:rPr>
        <w:t>.</w:t>
      </w:r>
    </w:p>
  </w:footnote>
  <w:footnote w:id="2">
    <w:p w14:paraId="34DB3677" w14:textId="77777777" w:rsidR="003C786E" w:rsidRDefault="003C786E" w:rsidP="00A87EEB">
      <w:pPr>
        <w:pStyle w:val="Textonotapie"/>
      </w:pPr>
      <w:r w:rsidRPr="00394E9B">
        <w:rPr>
          <w:rStyle w:val="Refdenotaalpie"/>
          <w:sz w:val="18"/>
        </w:rPr>
        <w:footnoteRef/>
      </w:r>
      <w:r w:rsidRPr="00394E9B">
        <w:rPr>
          <w:sz w:val="18"/>
        </w:rPr>
        <w:t xml:space="preserve"> Los ministerios que presentan </w:t>
      </w:r>
      <w:r>
        <w:rPr>
          <w:sz w:val="18"/>
        </w:rPr>
        <w:t>una mayor</w:t>
      </w:r>
      <w:r w:rsidRPr="00394E9B">
        <w:rPr>
          <w:sz w:val="18"/>
        </w:rPr>
        <w:t xml:space="preserve"> asignación presupuestaria según la meta financiera vigente en SICOIN, </w:t>
      </w:r>
      <w:r>
        <w:rPr>
          <w:sz w:val="18"/>
        </w:rPr>
        <w:t xml:space="preserve">responde en </w:t>
      </w:r>
      <w:r w:rsidRPr="00394E9B">
        <w:rPr>
          <w:sz w:val="18"/>
        </w:rPr>
        <w:t>su mayoría</w:t>
      </w:r>
      <w:r>
        <w:rPr>
          <w:sz w:val="18"/>
        </w:rPr>
        <w:t>, a incrementos en el presupuesto a través de modificaciones presupuestarias para la atención de la emergencia de COVID-19.</w:t>
      </w:r>
    </w:p>
  </w:footnote>
  <w:footnote w:id="3">
    <w:p w14:paraId="58C541E7" w14:textId="77777777" w:rsidR="003C786E" w:rsidRDefault="003C786E" w:rsidP="00A87EEB">
      <w:pPr>
        <w:pStyle w:val="Textonotapie"/>
      </w:pPr>
      <w:r w:rsidRPr="00FC3C0D">
        <w:rPr>
          <w:rStyle w:val="Refdenotaalpie"/>
          <w:sz w:val="18"/>
          <w:szCs w:val="18"/>
        </w:rPr>
        <w:footnoteRef/>
      </w:r>
      <w:r w:rsidRPr="00FC3C0D">
        <w:rPr>
          <w:sz w:val="18"/>
          <w:szCs w:val="18"/>
        </w:rPr>
        <w:t xml:space="preserve"> Derivado de registros incompletos de reprogramaciones </w:t>
      </w:r>
      <w:r>
        <w:rPr>
          <w:sz w:val="18"/>
          <w:szCs w:val="18"/>
        </w:rPr>
        <w:t xml:space="preserve">de metas financieras </w:t>
      </w:r>
      <w:r w:rsidRPr="00FC3C0D">
        <w:rPr>
          <w:sz w:val="18"/>
          <w:szCs w:val="18"/>
        </w:rPr>
        <w:t>en SIPLAN, se observa que el porcentaje de ejecución sobrepasa el 100%.</w:t>
      </w:r>
    </w:p>
  </w:footnote>
  <w:footnote w:id="4">
    <w:p w14:paraId="227E307C" w14:textId="77777777" w:rsidR="003C786E" w:rsidRDefault="003C786E" w:rsidP="00A87EEB">
      <w:pPr>
        <w:pStyle w:val="Textonotapie"/>
      </w:pPr>
      <w:r>
        <w:rPr>
          <w:rStyle w:val="Refdenotaalpie"/>
        </w:rPr>
        <w:footnoteRef/>
      </w:r>
      <w:r>
        <w:t xml:space="preserve"> </w:t>
      </w:r>
      <w:r w:rsidRPr="00FC3C0D">
        <w:rPr>
          <w:sz w:val="18"/>
          <w:szCs w:val="18"/>
        </w:rPr>
        <w:t xml:space="preserve">Derivado de registros incompletos de reprogramaciones </w:t>
      </w:r>
      <w:r>
        <w:rPr>
          <w:sz w:val="18"/>
          <w:szCs w:val="18"/>
        </w:rPr>
        <w:t xml:space="preserve">de metas financieras </w:t>
      </w:r>
      <w:r w:rsidRPr="00FC3C0D">
        <w:rPr>
          <w:sz w:val="18"/>
          <w:szCs w:val="18"/>
        </w:rPr>
        <w:t>en SIPLAN, se observa que el porcentaje de ejecución sobrepasa el 100%.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DADF5D" w14:textId="55A17EA3" w:rsidR="003C786E" w:rsidRDefault="003C786E">
    <w:pPr>
      <w:pStyle w:val="Encabezado"/>
    </w:pPr>
    <w:r>
      <w:rPr>
        <w:noProof/>
        <w:lang w:eastAsia="es-GT"/>
      </w:rPr>
      <w:drawing>
        <wp:anchor distT="0" distB="0" distL="114300" distR="114300" simplePos="0" relativeHeight="251661312" behindDoc="1" locked="0" layoutInCell="1" allowOverlap="1" wp14:anchorId="2F840F61" wp14:editId="6BAA15C5">
          <wp:simplePos x="0" y="0"/>
          <wp:positionH relativeFrom="page">
            <wp:align>right</wp:align>
          </wp:positionH>
          <wp:positionV relativeFrom="paragraph">
            <wp:posOffset>-457835</wp:posOffset>
          </wp:positionV>
          <wp:extent cx="7772400" cy="10048875"/>
          <wp:effectExtent l="0" t="0" r="0" b="95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488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228AC5" w14:textId="315D27CB" w:rsidR="003C786E" w:rsidRDefault="003C786E">
    <w:pPr>
      <w:pStyle w:val="Encabezado"/>
    </w:pPr>
    <w:r>
      <w:rPr>
        <w:noProof/>
        <w:lang w:eastAsia="es-GT"/>
      </w:rPr>
      <w:drawing>
        <wp:anchor distT="0" distB="0" distL="114300" distR="114300" simplePos="0" relativeHeight="251658239" behindDoc="1" locked="0" layoutInCell="1" allowOverlap="1" wp14:anchorId="5DCC6259" wp14:editId="1A504FA0">
          <wp:simplePos x="0" y="0"/>
          <wp:positionH relativeFrom="page">
            <wp:align>right</wp:align>
          </wp:positionH>
          <wp:positionV relativeFrom="paragraph">
            <wp:posOffset>-451011</wp:posOffset>
          </wp:positionV>
          <wp:extent cx="7772400" cy="10048875"/>
          <wp:effectExtent l="0" t="0" r="0"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488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10448" w14:textId="77777777" w:rsidR="003C786E" w:rsidRDefault="003C786E">
    <w:pPr>
      <w:pStyle w:val="Encabezado"/>
    </w:pPr>
    <w:r>
      <w:rPr>
        <w:noProof/>
        <w:lang w:eastAsia="es-GT"/>
      </w:rPr>
      <w:drawing>
        <wp:anchor distT="0" distB="0" distL="114300" distR="114300" simplePos="0" relativeHeight="251663360" behindDoc="1" locked="0" layoutInCell="1" allowOverlap="1" wp14:anchorId="22FE324C" wp14:editId="0CDC5612">
          <wp:simplePos x="0" y="0"/>
          <wp:positionH relativeFrom="page">
            <wp:align>right</wp:align>
          </wp:positionH>
          <wp:positionV relativeFrom="paragraph">
            <wp:posOffset>-457835</wp:posOffset>
          </wp:positionV>
          <wp:extent cx="7772400" cy="10048875"/>
          <wp:effectExtent l="0" t="0" r="0" b="952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488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7DB48" w14:textId="77777777" w:rsidR="003C786E" w:rsidRDefault="003C786E">
    <w:pPr>
      <w:pStyle w:val="Encabezado"/>
    </w:pPr>
    <w:r>
      <w:rPr>
        <w:noProof/>
        <w:lang w:eastAsia="es-GT"/>
      </w:rPr>
      <w:drawing>
        <wp:anchor distT="0" distB="0" distL="114300" distR="114300" simplePos="0" relativeHeight="251665408" behindDoc="1" locked="0" layoutInCell="1" allowOverlap="1" wp14:anchorId="3354183F" wp14:editId="3C33007A">
          <wp:simplePos x="0" y="0"/>
          <wp:positionH relativeFrom="page">
            <wp:align>right</wp:align>
          </wp:positionH>
          <wp:positionV relativeFrom="paragraph">
            <wp:posOffset>-451011</wp:posOffset>
          </wp:positionV>
          <wp:extent cx="7772400" cy="10048875"/>
          <wp:effectExtent l="0" t="0" r="0" b="952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488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BB0627" w14:textId="59EDC51E" w:rsidR="003C786E" w:rsidRDefault="003C786E">
    <w:pPr>
      <w:pStyle w:val="Encabezado"/>
    </w:pPr>
    <w:r w:rsidRPr="002902C5">
      <w:rPr>
        <w:rFonts w:ascii="Calibri" w:eastAsia="Calibri" w:hAnsi="Calibri" w:cs="Times New Roman"/>
        <w:noProof/>
        <w:lang w:eastAsia="es-GT"/>
      </w:rPr>
      <w:drawing>
        <wp:anchor distT="0" distB="0" distL="114300" distR="114300" simplePos="0" relativeHeight="251659264" behindDoc="1" locked="0" layoutInCell="1" allowOverlap="1" wp14:anchorId="69A53C74" wp14:editId="1F83A0B8">
          <wp:simplePos x="0" y="0"/>
          <wp:positionH relativeFrom="page">
            <wp:align>left</wp:align>
          </wp:positionH>
          <wp:positionV relativeFrom="paragraph">
            <wp:posOffset>-450803</wp:posOffset>
          </wp:positionV>
          <wp:extent cx="7802310" cy="10238106"/>
          <wp:effectExtent l="0" t="0" r="825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2310" cy="1023810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020F5C2"/>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16F3C6A"/>
    <w:multiLevelType w:val="hybridMultilevel"/>
    <w:tmpl w:val="297011C6"/>
    <w:lvl w:ilvl="0" w:tplc="5DFCFC6E">
      <w:start w:val="1"/>
      <w:numFmt w:val="decimal"/>
      <w:pStyle w:val="TITULOSINFORMENUEVO"/>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nsid w:val="03C00626"/>
    <w:multiLevelType w:val="hybridMultilevel"/>
    <w:tmpl w:val="7FDE069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nsid w:val="06232764"/>
    <w:multiLevelType w:val="hybridMultilevel"/>
    <w:tmpl w:val="7FDE069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0C0E2E50"/>
    <w:multiLevelType w:val="hybridMultilevel"/>
    <w:tmpl w:val="F3A476E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nsid w:val="10233A3F"/>
    <w:multiLevelType w:val="hybridMultilevel"/>
    <w:tmpl w:val="58B2FBB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12020648"/>
    <w:multiLevelType w:val="hybridMultilevel"/>
    <w:tmpl w:val="EE3E5A9C"/>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7">
    <w:nsid w:val="128945ED"/>
    <w:multiLevelType w:val="hybridMultilevel"/>
    <w:tmpl w:val="6A303C3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nsid w:val="18332377"/>
    <w:multiLevelType w:val="hybridMultilevel"/>
    <w:tmpl w:val="F71457E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1A456D60"/>
    <w:multiLevelType w:val="hybridMultilevel"/>
    <w:tmpl w:val="F83A6434"/>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nsid w:val="1C0C1C76"/>
    <w:multiLevelType w:val="hybridMultilevel"/>
    <w:tmpl w:val="D12AF464"/>
    <w:lvl w:ilvl="0" w:tplc="41E683EE">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nsid w:val="1D4470ED"/>
    <w:multiLevelType w:val="hybridMultilevel"/>
    <w:tmpl w:val="0BF2C71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nsid w:val="24725783"/>
    <w:multiLevelType w:val="hybridMultilevel"/>
    <w:tmpl w:val="ED4AB9F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nsid w:val="25530978"/>
    <w:multiLevelType w:val="hybridMultilevel"/>
    <w:tmpl w:val="03D0BE9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nsid w:val="321627D9"/>
    <w:multiLevelType w:val="hybridMultilevel"/>
    <w:tmpl w:val="DA56A822"/>
    <w:lvl w:ilvl="0" w:tplc="9B5EE93C">
      <w:start w:val="3"/>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nsid w:val="3C9B3D30"/>
    <w:multiLevelType w:val="hybridMultilevel"/>
    <w:tmpl w:val="7EE2139C"/>
    <w:lvl w:ilvl="0" w:tplc="B7C2027A">
      <w:start w:val="1"/>
      <w:numFmt w:val="decimal"/>
      <w:lvlText w:val="%1."/>
      <w:lvlJc w:val="left"/>
      <w:pPr>
        <w:ind w:left="720" w:hanging="360"/>
      </w:pPr>
      <w:rPr>
        <w:b w:val="0"/>
        <w:bCs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nsid w:val="3FC76BAD"/>
    <w:multiLevelType w:val="hybridMultilevel"/>
    <w:tmpl w:val="D3FC2980"/>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447E666E"/>
    <w:multiLevelType w:val="hybridMultilevel"/>
    <w:tmpl w:val="B58C3ECA"/>
    <w:lvl w:ilvl="0" w:tplc="3CA62326">
      <w:start w:val="1"/>
      <w:numFmt w:val="decimal"/>
      <w:lvlText w:val="%1."/>
      <w:lvlJc w:val="left"/>
      <w:pPr>
        <w:ind w:left="1077" w:hanging="360"/>
      </w:pPr>
      <w:rPr>
        <w:b w:val="0"/>
        <w:bCs w:val="0"/>
      </w:rPr>
    </w:lvl>
    <w:lvl w:ilvl="1" w:tplc="100A0019" w:tentative="1">
      <w:start w:val="1"/>
      <w:numFmt w:val="lowerLetter"/>
      <w:lvlText w:val="%2."/>
      <w:lvlJc w:val="left"/>
      <w:pPr>
        <w:ind w:left="1797" w:hanging="360"/>
      </w:pPr>
    </w:lvl>
    <w:lvl w:ilvl="2" w:tplc="100A001B" w:tentative="1">
      <w:start w:val="1"/>
      <w:numFmt w:val="lowerRoman"/>
      <w:lvlText w:val="%3."/>
      <w:lvlJc w:val="right"/>
      <w:pPr>
        <w:ind w:left="2517" w:hanging="180"/>
      </w:pPr>
    </w:lvl>
    <w:lvl w:ilvl="3" w:tplc="100A000F" w:tentative="1">
      <w:start w:val="1"/>
      <w:numFmt w:val="decimal"/>
      <w:lvlText w:val="%4."/>
      <w:lvlJc w:val="left"/>
      <w:pPr>
        <w:ind w:left="3237" w:hanging="360"/>
      </w:pPr>
    </w:lvl>
    <w:lvl w:ilvl="4" w:tplc="100A0019" w:tentative="1">
      <w:start w:val="1"/>
      <w:numFmt w:val="lowerLetter"/>
      <w:lvlText w:val="%5."/>
      <w:lvlJc w:val="left"/>
      <w:pPr>
        <w:ind w:left="3957" w:hanging="360"/>
      </w:pPr>
    </w:lvl>
    <w:lvl w:ilvl="5" w:tplc="100A001B" w:tentative="1">
      <w:start w:val="1"/>
      <w:numFmt w:val="lowerRoman"/>
      <w:lvlText w:val="%6."/>
      <w:lvlJc w:val="right"/>
      <w:pPr>
        <w:ind w:left="4677" w:hanging="180"/>
      </w:pPr>
    </w:lvl>
    <w:lvl w:ilvl="6" w:tplc="100A000F" w:tentative="1">
      <w:start w:val="1"/>
      <w:numFmt w:val="decimal"/>
      <w:lvlText w:val="%7."/>
      <w:lvlJc w:val="left"/>
      <w:pPr>
        <w:ind w:left="5397" w:hanging="360"/>
      </w:pPr>
    </w:lvl>
    <w:lvl w:ilvl="7" w:tplc="100A0019" w:tentative="1">
      <w:start w:val="1"/>
      <w:numFmt w:val="lowerLetter"/>
      <w:lvlText w:val="%8."/>
      <w:lvlJc w:val="left"/>
      <w:pPr>
        <w:ind w:left="6117" w:hanging="360"/>
      </w:pPr>
    </w:lvl>
    <w:lvl w:ilvl="8" w:tplc="100A001B" w:tentative="1">
      <w:start w:val="1"/>
      <w:numFmt w:val="lowerRoman"/>
      <w:lvlText w:val="%9."/>
      <w:lvlJc w:val="right"/>
      <w:pPr>
        <w:ind w:left="6837" w:hanging="180"/>
      </w:pPr>
    </w:lvl>
  </w:abstractNum>
  <w:abstractNum w:abstractNumId="18">
    <w:nsid w:val="46421D8E"/>
    <w:multiLevelType w:val="hybridMultilevel"/>
    <w:tmpl w:val="B784BB84"/>
    <w:lvl w:ilvl="0" w:tplc="55E46EFC">
      <w:start w:val="1"/>
      <w:numFmt w:val="decimal"/>
      <w:lvlText w:val="%1."/>
      <w:lvlJc w:val="left"/>
      <w:pPr>
        <w:ind w:left="720" w:hanging="360"/>
      </w:pPr>
      <w:rPr>
        <w:b w:val="0"/>
        <w:bCs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474B40A5"/>
    <w:multiLevelType w:val="hybridMultilevel"/>
    <w:tmpl w:val="6EE81964"/>
    <w:lvl w:ilvl="0" w:tplc="100A001B">
      <w:start w:val="1"/>
      <w:numFmt w:val="lowerRoman"/>
      <w:lvlText w:val="%1."/>
      <w:lvlJc w:val="right"/>
      <w:pPr>
        <w:ind w:left="1068" w:hanging="360"/>
      </w:pPr>
    </w:lvl>
    <w:lvl w:ilvl="1" w:tplc="100A0019" w:tentative="1">
      <w:start w:val="1"/>
      <w:numFmt w:val="lowerLetter"/>
      <w:lvlText w:val="%2."/>
      <w:lvlJc w:val="left"/>
      <w:pPr>
        <w:ind w:left="1788" w:hanging="360"/>
      </w:pPr>
    </w:lvl>
    <w:lvl w:ilvl="2" w:tplc="100A001B" w:tentative="1">
      <w:start w:val="1"/>
      <w:numFmt w:val="lowerRoman"/>
      <w:lvlText w:val="%3."/>
      <w:lvlJc w:val="right"/>
      <w:pPr>
        <w:ind w:left="2508" w:hanging="180"/>
      </w:pPr>
    </w:lvl>
    <w:lvl w:ilvl="3" w:tplc="100A000F" w:tentative="1">
      <w:start w:val="1"/>
      <w:numFmt w:val="decimal"/>
      <w:lvlText w:val="%4."/>
      <w:lvlJc w:val="left"/>
      <w:pPr>
        <w:ind w:left="3228" w:hanging="360"/>
      </w:pPr>
    </w:lvl>
    <w:lvl w:ilvl="4" w:tplc="100A0019" w:tentative="1">
      <w:start w:val="1"/>
      <w:numFmt w:val="lowerLetter"/>
      <w:lvlText w:val="%5."/>
      <w:lvlJc w:val="left"/>
      <w:pPr>
        <w:ind w:left="3948" w:hanging="360"/>
      </w:pPr>
    </w:lvl>
    <w:lvl w:ilvl="5" w:tplc="100A001B" w:tentative="1">
      <w:start w:val="1"/>
      <w:numFmt w:val="lowerRoman"/>
      <w:lvlText w:val="%6."/>
      <w:lvlJc w:val="right"/>
      <w:pPr>
        <w:ind w:left="4668" w:hanging="180"/>
      </w:pPr>
    </w:lvl>
    <w:lvl w:ilvl="6" w:tplc="100A000F" w:tentative="1">
      <w:start w:val="1"/>
      <w:numFmt w:val="decimal"/>
      <w:lvlText w:val="%7."/>
      <w:lvlJc w:val="left"/>
      <w:pPr>
        <w:ind w:left="5388" w:hanging="360"/>
      </w:pPr>
    </w:lvl>
    <w:lvl w:ilvl="7" w:tplc="100A0019" w:tentative="1">
      <w:start w:val="1"/>
      <w:numFmt w:val="lowerLetter"/>
      <w:lvlText w:val="%8."/>
      <w:lvlJc w:val="left"/>
      <w:pPr>
        <w:ind w:left="6108" w:hanging="360"/>
      </w:pPr>
    </w:lvl>
    <w:lvl w:ilvl="8" w:tplc="100A001B" w:tentative="1">
      <w:start w:val="1"/>
      <w:numFmt w:val="lowerRoman"/>
      <w:lvlText w:val="%9."/>
      <w:lvlJc w:val="right"/>
      <w:pPr>
        <w:ind w:left="6828" w:hanging="180"/>
      </w:pPr>
    </w:lvl>
  </w:abstractNum>
  <w:abstractNum w:abstractNumId="20">
    <w:nsid w:val="47CE69D3"/>
    <w:multiLevelType w:val="hybridMultilevel"/>
    <w:tmpl w:val="1B281FC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nsid w:val="490D4876"/>
    <w:multiLevelType w:val="hybridMultilevel"/>
    <w:tmpl w:val="5B600F1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nsid w:val="4CBA37CE"/>
    <w:multiLevelType w:val="multilevel"/>
    <w:tmpl w:val="1D583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52F24919"/>
    <w:multiLevelType w:val="hybridMultilevel"/>
    <w:tmpl w:val="46187C5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nsid w:val="536E62A8"/>
    <w:multiLevelType w:val="hybridMultilevel"/>
    <w:tmpl w:val="3C4CB06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5">
    <w:nsid w:val="5D1D6BAF"/>
    <w:multiLevelType w:val="hybridMultilevel"/>
    <w:tmpl w:val="B784BB84"/>
    <w:lvl w:ilvl="0" w:tplc="55E46EFC">
      <w:start w:val="1"/>
      <w:numFmt w:val="decimal"/>
      <w:lvlText w:val="%1."/>
      <w:lvlJc w:val="left"/>
      <w:pPr>
        <w:ind w:left="720" w:hanging="360"/>
      </w:pPr>
      <w:rPr>
        <w:b w:val="0"/>
        <w:bCs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nsid w:val="62AD5376"/>
    <w:multiLevelType w:val="multilevel"/>
    <w:tmpl w:val="8294C88C"/>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62"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nsid w:val="67625F20"/>
    <w:multiLevelType w:val="multilevel"/>
    <w:tmpl w:val="8AA2DE0A"/>
    <w:lvl w:ilvl="0">
      <w:start w:val="1"/>
      <w:numFmt w:val="decimal"/>
      <w:pStyle w:val="Listaconvietas4"/>
      <w:lvlText w:val="%1"/>
      <w:lvlJc w:val="left"/>
      <w:pPr>
        <w:tabs>
          <w:tab w:val="num" w:pos="360"/>
        </w:tabs>
        <w:ind w:left="360" w:hanging="360"/>
      </w:pPr>
      <w:rPr>
        <w:rFonts w:hint="default"/>
        <w:b/>
        <w:bCs/>
        <w:sz w:val="32"/>
        <w:szCs w:val="32"/>
      </w:rPr>
    </w:lvl>
    <w:lvl w:ilvl="1">
      <w:start w:val="1"/>
      <w:numFmt w:val="decimal"/>
      <w:lvlText w:val="%1.%2"/>
      <w:lvlJc w:val="left"/>
      <w:pPr>
        <w:tabs>
          <w:tab w:val="num" w:pos="360"/>
        </w:tabs>
        <w:ind w:left="360" w:hanging="360"/>
      </w:pPr>
      <w:rPr>
        <w:rFonts w:hint="default"/>
        <w:b/>
        <w:bCs/>
        <w:color w:val="auto"/>
      </w:rPr>
    </w:lvl>
    <w:lvl w:ilvl="2">
      <w:start w:val="1"/>
      <w:numFmt w:val="decimal"/>
      <w:lvlText w:val="%1.%2.%3"/>
      <w:lvlJc w:val="left"/>
      <w:pPr>
        <w:tabs>
          <w:tab w:val="num" w:pos="720"/>
        </w:tabs>
        <w:ind w:left="720" w:hanging="720"/>
      </w:pPr>
      <w:rPr>
        <w:rFonts w:hint="default"/>
        <w:b/>
        <w:bCs/>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68960143"/>
    <w:multiLevelType w:val="hybridMultilevel"/>
    <w:tmpl w:val="31E47480"/>
    <w:lvl w:ilvl="0" w:tplc="100A0017">
      <w:start w:val="1"/>
      <w:numFmt w:val="lowerLetter"/>
      <w:lvlText w:val="%1)"/>
      <w:lvlJc w:val="left"/>
      <w:pPr>
        <w:ind w:left="1080" w:hanging="360"/>
      </w:p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9">
    <w:nsid w:val="756E5446"/>
    <w:multiLevelType w:val="hybridMultilevel"/>
    <w:tmpl w:val="CDB4E83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0">
    <w:nsid w:val="7CEC3A11"/>
    <w:multiLevelType w:val="hybridMultilevel"/>
    <w:tmpl w:val="00A03CE0"/>
    <w:lvl w:ilvl="0" w:tplc="B9E2B1B8">
      <w:start w:val="1"/>
      <w:numFmt w:val="decimal"/>
      <w:lvlText w:val="%1."/>
      <w:lvlJc w:val="left"/>
      <w:pPr>
        <w:ind w:left="720" w:hanging="360"/>
      </w:pPr>
      <w:rPr>
        <w:b w:val="0"/>
        <w:bCs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26"/>
  </w:num>
  <w:num w:numId="2">
    <w:abstractNumId w:val="2"/>
  </w:num>
  <w:num w:numId="3">
    <w:abstractNumId w:val="3"/>
  </w:num>
  <w:num w:numId="4">
    <w:abstractNumId w:val="21"/>
  </w:num>
  <w:num w:numId="5">
    <w:abstractNumId w:val="5"/>
  </w:num>
  <w:num w:numId="6">
    <w:abstractNumId w:val="9"/>
  </w:num>
  <w:num w:numId="7">
    <w:abstractNumId w:val="12"/>
  </w:num>
  <w:num w:numId="8">
    <w:abstractNumId w:val="16"/>
  </w:num>
  <w:num w:numId="9">
    <w:abstractNumId w:val="28"/>
  </w:num>
  <w:num w:numId="10">
    <w:abstractNumId w:val="27"/>
  </w:num>
  <w:num w:numId="11">
    <w:abstractNumId w:val="10"/>
  </w:num>
  <w:num w:numId="12">
    <w:abstractNumId w:val="13"/>
  </w:num>
  <w:num w:numId="13">
    <w:abstractNumId w:val="11"/>
  </w:num>
  <w:num w:numId="14">
    <w:abstractNumId w:val="24"/>
  </w:num>
  <w:num w:numId="15">
    <w:abstractNumId w:val="19"/>
  </w:num>
  <w:num w:numId="16">
    <w:abstractNumId w:val="29"/>
  </w:num>
  <w:num w:numId="17">
    <w:abstractNumId w:val="0"/>
  </w:num>
  <w:num w:numId="18">
    <w:abstractNumId w:val="1"/>
  </w:num>
  <w:num w:numId="19">
    <w:abstractNumId w:val="18"/>
  </w:num>
  <w:num w:numId="20">
    <w:abstractNumId w:val="30"/>
  </w:num>
  <w:num w:numId="21">
    <w:abstractNumId w:val="23"/>
  </w:num>
  <w:num w:numId="22">
    <w:abstractNumId w:val="17"/>
  </w:num>
  <w:num w:numId="23">
    <w:abstractNumId w:val="15"/>
  </w:num>
  <w:num w:numId="24">
    <w:abstractNumId w:val="4"/>
  </w:num>
  <w:num w:numId="25">
    <w:abstractNumId w:val="14"/>
  </w:num>
  <w:num w:numId="26">
    <w:abstractNumId w:val="26"/>
  </w:num>
  <w:num w:numId="27">
    <w:abstractNumId w:val="26"/>
  </w:num>
  <w:num w:numId="28">
    <w:abstractNumId w:val="26"/>
  </w:num>
  <w:num w:numId="29">
    <w:abstractNumId w:val="7"/>
  </w:num>
  <w:num w:numId="30">
    <w:abstractNumId w:val="6"/>
  </w:num>
  <w:num w:numId="31">
    <w:abstractNumId w:val="22"/>
  </w:num>
  <w:num w:numId="32">
    <w:abstractNumId w:val="8"/>
  </w:num>
  <w:num w:numId="33">
    <w:abstractNumId w:val="20"/>
  </w:num>
  <w:num w:numId="34">
    <w:abstractNumId w:val="2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7EF6"/>
    <w:rsid w:val="000017CF"/>
    <w:rsid w:val="000032C6"/>
    <w:rsid w:val="000120C0"/>
    <w:rsid w:val="00016865"/>
    <w:rsid w:val="00020479"/>
    <w:rsid w:val="000222A5"/>
    <w:rsid w:val="00027D2D"/>
    <w:rsid w:val="0004362D"/>
    <w:rsid w:val="00043EF1"/>
    <w:rsid w:val="00047E7F"/>
    <w:rsid w:val="000528AF"/>
    <w:rsid w:val="000567DA"/>
    <w:rsid w:val="000810BD"/>
    <w:rsid w:val="00085107"/>
    <w:rsid w:val="00091F84"/>
    <w:rsid w:val="000B241B"/>
    <w:rsid w:val="000B71C6"/>
    <w:rsid w:val="000D669E"/>
    <w:rsid w:val="000D7A07"/>
    <w:rsid w:val="000E0F9D"/>
    <w:rsid w:val="000E2727"/>
    <w:rsid w:val="000E632D"/>
    <w:rsid w:val="00111CDE"/>
    <w:rsid w:val="00116F74"/>
    <w:rsid w:val="00127791"/>
    <w:rsid w:val="00145E91"/>
    <w:rsid w:val="00154839"/>
    <w:rsid w:val="00176810"/>
    <w:rsid w:val="00183143"/>
    <w:rsid w:val="0018772F"/>
    <w:rsid w:val="001912B8"/>
    <w:rsid w:val="001A3760"/>
    <w:rsid w:val="001A3805"/>
    <w:rsid w:val="001A55F1"/>
    <w:rsid w:val="001B519A"/>
    <w:rsid w:val="001C011A"/>
    <w:rsid w:val="001D41E5"/>
    <w:rsid w:val="001E1EB0"/>
    <w:rsid w:val="001E25B9"/>
    <w:rsid w:val="001F2C60"/>
    <w:rsid w:val="00201277"/>
    <w:rsid w:val="002126CE"/>
    <w:rsid w:val="00214C47"/>
    <w:rsid w:val="00216644"/>
    <w:rsid w:val="00224606"/>
    <w:rsid w:val="002407A8"/>
    <w:rsid w:val="00240D65"/>
    <w:rsid w:val="00242B70"/>
    <w:rsid w:val="00263085"/>
    <w:rsid w:val="0026384C"/>
    <w:rsid w:val="00275F91"/>
    <w:rsid w:val="002902C5"/>
    <w:rsid w:val="00293225"/>
    <w:rsid w:val="002A0798"/>
    <w:rsid w:val="002A4A18"/>
    <w:rsid w:val="002C1587"/>
    <w:rsid w:val="002C1F2D"/>
    <w:rsid w:val="002C291F"/>
    <w:rsid w:val="002C61A9"/>
    <w:rsid w:val="002F3281"/>
    <w:rsid w:val="00307F8F"/>
    <w:rsid w:val="003104D9"/>
    <w:rsid w:val="0031420A"/>
    <w:rsid w:val="00316FAD"/>
    <w:rsid w:val="00325439"/>
    <w:rsid w:val="003356FB"/>
    <w:rsid w:val="00336B69"/>
    <w:rsid w:val="0034725B"/>
    <w:rsid w:val="003562C1"/>
    <w:rsid w:val="0036296F"/>
    <w:rsid w:val="00372445"/>
    <w:rsid w:val="00377EF6"/>
    <w:rsid w:val="00393AD0"/>
    <w:rsid w:val="003943C6"/>
    <w:rsid w:val="00395113"/>
    <w:rsid w:val="003964D8"/>
    <w:rsid w:val="003B0029"/>
    <w:rsid w:val="003B1BD8"/>
    <w:rsid w:val="003B7B3E"/>
    <w:rsid w:val="003B7E83"/>
    <w:rsid w:val="003C786E"/>
    <w:rsid w:val="003E1E24"/>
    <w:rsid w:val="00402DBA"/>
    <w:rsid w:val="00403F9C"/>
    <w:rsid w:val="0041346A"/>
    <w:rsid w:val="00414FFF"/>
    <w:rsid w:val="0041744F"/>
    <w:rsid w:val="00431FEA"/>
    <w:rsid w:val="00434145"/>
    <w:rsid w:val="00444E51"/>
    <w:rsid w:val="00453120"/>
    <w:rsid w:val="00485038"/>
    <w:rsid w:val="00486211"/>
    <w:rsid w:val="00487598"/>
    <w:rsid w:val="004D30D9"/>
    <w:rsid w:val="004E1B81"/>
    <w:rsid w:val="004E554C"/>
    <w:rsid w:val="00501DF2"/>
    <w:rsid w:val="00503246"/>
    <w:rsid w:val="00504599"/>
    <w:rsid w:val="005436C6"/>
    <w:rsid w:val="00547B76"/>
    <w:rsid w:val="00554324"/>
    <w:rsid w:val="00557E17"/>
    <w:rsid w:val="0056431A"/>
    <w:rsid w:val="00567F4C"/>
    <w:rsid w:val="005707B9"/>
    <w:rsid w:val="005744AB"/>
    <w:rsid w:val="005809CC"/>
    <w:rsid w:val="0059105E"/>
    <w:rsid w:val="005B6392"/>
    <w:rsid w:val="005D0A86"/>
    <w:rsid w:val="005D4123"/>
    <w:rsid w:val="005D4383"/>
    <w:rsid w:val="005D512F"/>
    <w:rsid w:val="005E02B9"/>
    <w:rsid w:val="005E4110"/>
    <w:rsid w:val="005F5DE6"/>
    <w:rsid w:val="00601148"/>
    <w:rsid w:val="00603B92"/>
    <w:rsid w:val="006042DC"/>
    <w:rsid w:val="00615643"/>
    <w:rsid w:val="006378CC"/>
    <w:rsid w:val="0064339C"/>
    <w:rsid w:val="00660B95"/>
    <w:rsid w:val="00660E8C"/>
    <w:rsid w:val="006640DA"/>
    <w:rsid w:val="0067473B"/>
    <w:rsid w:val="00677923"/>
    <w:rsid w:val="006840F8"/>
    <w:rsid w:val="00691B67"/>
    <w:rsid w:val="006936D2"/>
    <w:rsid w:val="00693BD9"/>
    <w:rsid w:val="006A3648"/>
    <w:rsid w:val="006A389A"/>
    <w:rsid w:val="006A7C8F"/>
    <w:rsid w:val="006B292E"/>
    <w:rsid w:val="006B2C52"/>
    <w:rsid w:val="006C2487"/>
    <w:rsid w:val="006D203B"/>
    <w:rsid w:val="006D6825"/>
    <w:rsid w:val="006E3297"/>
    <w:rsid w:val="006E5797"/>
    <w:rsid w:val="006E62FF"/>
    <w:rsid w:val="006F386B"/>
    <w:rsid w:val="00711ABF"/>
    <w:rsid w:val="00740721"/>
    <w:rsid w:val="007575CC"/>
    <w:rsid w:val="00763391"/>
    <w:rsid w:val="0078103A"/>
    <w:rsid w:val="007879C1"/>
    <w:rsid w:val="00791533"/>
    <w:rsid w:val="007A41C1"/>
    <w:rsid w:val="007C065D"/>
    <w:rsid w:val="007C4761"/>
    <w:rsid w:val="007C5F36"/>
    <w:rsid w:val="007D13B7"/>
    <w:rsid w:val="007D2B24"/>
    <w:rsid w:val="007D4C7A"/>
    <w:rsid w:val="007E67C4"/>
    <w:rsid w:val="007F134F"/>
    <w:rsid w:val="007F2900"/>
    <w:rsid w:val="00823E67"/>
    <w:rsid w:val="00825577"/>
    <w:rsid w:val="00826652"/>
    <w:rsid w:val="008308B4"/>
    <w:rsid w:val="008321CE"/>
    <w:rsid w:val="0083517B"/>
    <w:rsid w:val="008424E7"/>
    <w:rsid w:val="00856012"/>
    <w:rsid w:val="00860F32"/>
    <w:rsid w:val="00873F9D"/>
    <w:rsid w:val="00897412"/>
    <w:rsid w:val="008C0C9C"/>
    <w:rsid w:val="008D4595"/>
    <w:rsid w:val="008D5922"/>
    <w:rsid w:val="008D6F67"/>
    <w:rsid w:val="008F7682"/>
    <w:rsid w:val="00902357"/>
    <w:rsid w:val="0092740B"/>
    <w:rsid w:val="00937F36"/>
    <w:rsid w:val="00942A7C"/>
    <w:rsid w:val="00945853"/>
    <w:rsid w:val="00950C5F"/>
    <w:rsid w:val="00981710"/>
    <w:rsid w:val="00984BA9"/>
    <w:rsid w:val="00994906"/>
    <w:rsid w:val="009A2D23"/>
    <w:rsid w:val="009D323A"/>
    <w:rsid w:val="009F235F"/>
    <w:rsid w:val="00A02D42"/>
    <w:rsid w:val="00A03DB8"/>
    <w:rsid w:val="00A2709A"/>
    <w:rsid w:val="00A31E02"/>
    <w:rsid w:val="00A47FDD"/>
    <w:rsid w:val="00A56642"/>
    <w:rsid w:val="00A6139A"/>
    <w:rsid w:val="00A61F2C"/>
    <w:rsid w:val="00A84285"/>
    <w:rsid w:val="00A87EEB"/>
    <w:rsid w:val="00AA2202"/>
    <w:rsid w:val="00AA2593"/>
    <w:rsid w:val="00AA6557"/>
    <w:rsid w:val="00AA6A39"/>
    <w:rsid w:val="00AB298B"/>
    <w:rsid w:val="00AB4A35"/>
    <w:rsid w:val="00AC1B5C"/>
    <w:rsid w:val="00AD5249"/>
    <w:rsid w:val="00AD5ABC"/>
    <w:rsid w:val="00AD7DE7"/>
    <w:rsid w:val="00AE743B"/>
    <w:rsid w:val="00B0643E"/>
    <w:rsid w:val="00B11FA1"/>
    <w:rsid w:val="00B3395F"/>
    <w:rsid w:val="00B638AA"/>
    <w:rsid w:val="00B66B48"/>
    <w:rsid w:val="00B74478"/>
    <w:rsid w:val="00B90592"/>
    <w:rsid w:val="00B910DD"/>
    <w:rsid w:val="00B95DA5"/>
    <w:rsid w:val="00BA17A3"/>
    <w:rsid w:val="00BB561C"/>
    <w:rsid w:val="00BC13E9"/>
    <w:rsid w:val="00BC2B6E"/>
    <w:rsid w:val="00BE59F4"/>
    <w:rsid w:val="00BF1125"/>
    <w:rsid w:val="00BF3C29"/>
    <w:rsid w:val="00C0751A"/>
    <w:rsid w:val="00C13596"/>
    <w:rsid w:val="00C13D0D"/>
    <w:rsid w:val="00C15B4E"/>
    <w:rsid w:val="00C25B7E"/>
    <w:rsid w:val="00C3126D"/>
    <w:rsid w:val="00C55E32"/>
    <w:rsid w:val="00C60BCA"/>
    <w:rsid w:val="00C75033"/>
    <w:rsid w:val="00C85F38"/>
    <w:rsid w:val="00C9328C"/>
    <w:rsid w:val="00CA5062"/>
    <w:rsid w:val="00CA78AF"/>
    <w:rsid w:val="00CB6587"/>
    <w:rsid w:val="00CD281D"/>
    <w:rsid w:val="00CE3D5C"/>
    <w:rsid w:val="00CF6A54"/>
    <w:rsid w:val="00D00F1A"/>
    <w:rsid w:val="00D0650C"/>
    <w:rsid w:val="00D1390F"/>
    <w:rsid w:val="00D209BE"/>
    <w:rsid w:val="00D219CB"/>
    <w:rsid w:val="00D26FB5"/>
    <w:rsid w:val="00D36B17"/>
    <w:rsid w:val="00D473FF"/>
    <w:rsid w:val="00D5716C"/>
    <w:rsid w:val="00D8035D"/>
    <w:rsid w:val="00D80CD5"/>
    <w:rsid w:val="00DB1179"/>
    <w:rsid w:val="00DB5C36"/>
    <w:rsid w:val="00DC2646"/>
    <w:rsid w:val="00DF6B20"/>
    <w:rsid w:val="00E158F1"/>
    <w:rsid w:val="00E17E27"/>
    <w:rsid w:val="00E20319"/>
    <w:rsid w:val="00E2486F"/>
    <w:rsid w:val="00E4088B"/>
    <w:rsid w:val="00E432AD"/>
    <w:rsid w:val="00E47618"/>
    <w:rsid w:val="00E47805"/>
    <w:rsid w:val="00E554AC"/>
    <w:rsid w:val="00E60C4F"/>
    <w:rsid w:val="00E6187A"/>
    <w:rsid w:val="00E7036E"/>
    <w:rsid w:val="00E73C62"/>
    <w:rsid w:val="00E75D59"/>
    <w:rsid w:val="00E87E33"/>
    <w:rsid w:val="00E92111"/>
    <w:rsid w:val="00EC473E"/>
    <w:rsid w:val="00EC739D"/>
    <w:rsid w:val="00ED2DA4"/>
    <w:rsid w:val="00EE284B"/>
    <w:rsid w:val="00EF070A"/>
    <w:rsid w:val="00EF46CE"/>
    <w:rsid w:val="00F12A77"/>
    <w:rsid w:val="00F16EBE"/>
    <w:rsid w:val="00F171A6"/>
    <w:rsid w:val="00F2181E"/>
    <w:rsid w:val="00F407CB"/>
    <w:rsid w:val="00F41C9C"/>
    <w:rsid w:val="00F52482"/>
    <w:rsid w:val="00F53520"/>
    <w:rsid w:val="00F61921"/>
    <w:rsid w:val="00F646B2"/>
    <w:rsid w:val="00F709A7"/>
    <w:rsid w:val="00F72E65"/>
    <w:rsid w:val="00F85BD4"/>
    <w:rsid w:val="00F919E4"/>
    <w:rsid w:val="00F9694E"/>
    <w:rsid w:val="00FB217C"/>
    <w:rsid w:val="00FB3DF5"/>
    <w:rsid w:val="00FC7FBF"/>
    <w:rsid w:val="00FD138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018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2445"/>
  </w:style>
  <w:style w:type="paragraph" w:styleId="Ttulo1">
    <w:name w:val="heading 1"/>
    <w:basedOn w:val="Normal"/>
    <w:next w:val="Normal"/>
    <w:link w:val="Ttulo1Car"/>
    <w:uiPriority w:val="9"/>
    <w:qFormat/>
    <w:rsid w:val="007C5F36"/>
    <w:pPr>
      <w:keepNext/>
      <w:keepLines/>
      <w:numPr>
        <w:numId w:val="1"/>
      </w:numPr>
      <w:spacing w:after="0" w:line="240" w:lineRule="auto"/>
      <w:outlineLvl w:val="0"/>
    </w:pPr>
    <w:rPr>
      <w:rFonts w:ascii="Helvetica" w:eastAsiaTheme="majorEastAsia" w:hAnsi="Helvetica" w:cstheme="majorBidi"/>
      <w:b/>
      <w:color w:val="002060"/>
      <w:sz w:val="32"/>
      <w:szCs w:val="32"/>
    </w:rPr>
  </w:style>
  <w:style w:type="paragraph" w:styleId="Ttulo2">
    <w:name w:val="heading 2"/>
    <w:basedOn w:val="Normal"/>
    <w:next w:val="Normal"/>
    <w:link w:val="Ttulo2Car"/>
    <w:uiPriority w:val="9"/>
    <w:unhideWhenUsed/>
    <w:qFormat/>
    <w:rsid w:val="00393AD0"/>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393AD0"/>
    <w:pPr>
      <w:keepNext/>
      <w:keepLines/>
      <w:numPr>
        <w:ilvl w:val="2"/>
        <w:numId w:val="1"/>
      </w:numPr>
      <w:spacing w:before="40" w:after="0"/>
      <w:ind w:left="72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393AD0"/>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393AD0"/>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393AD0"/>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393AD0"/>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393AD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93AD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D26FB5"/>
    <w:pPr>
      <w:spacing w:after="0" w:line="240" w:lineRule="auto"/>
    </w:pPr>
  </w:style>
  <w:style w:type="character" w:customStyle="1" w:styleId="SinespaciadoCar">
    <w:name w:val="Sin espaciado Car"/>
    <w:link w:val="Sinespaciado"/>
    <w:uiPriority w:val="1"/>
    <w:locked/>
    <w:rsid w:val="00D26FB5"/>
  </w:style>
  <w:style w:type="character" w:customStyle="1" w:styleId="Ttulo1Car">
    <w:name w:val="Título 1 Car"/>
    <w:basedOn w:val="Fuentedeprrafopredeter"/>
    <w:link w:val="Ttulo1"/>
    <w:uiPriority w:val="9"/>
    <w:rsid w:val="007C5F36"/>
    <w:rPr>
      <w:rFonts w:ascii="Helvetica" w:eastAsiaTheme="majorEastAsia" w:hAnsi="Helvetica" w:cstheme="majorBidi"/>
      <w:b/>
      <w:color w:val="002060"/>
      <w:sz w:val="32"/>
      <w:szCs w:val="32"/>
    </w:rPr>
  </w:style>
  <w:style w:type="character" w:customStyle="1" w:styleId="Ttulo2Car">
    <w:name w:val="Título 2 Car"/>
    <w:basedOn w:val="Fuentedeprrafopredeter"/>
    <w:link w:val="Ttulo2"/>
    <w:uiPriority w:val="9"/>
    <w:rsid w:val="00393AD0"/>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393AD0"/>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393AD0"/>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393AD0"/>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393AD0"/>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393AD0"/>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393AD0"/>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93AD0"/>
    <w:rPr>
      <w:rFonts w:asciiTheme="majorHAnsi" w:eastAsiaTheme="majorEastAsia" w:hAnsiTheme="majorHAnsi" w:cstheme="majorBidi"/>
      <w:i/>
      <w:iCs/>
      <w:color w:val="272727" w:themeColor="text1" w:themeTint="D8"/>
      <w:sz w:val="21"/>
      <w:szCs w:val="21"/>
    </w:rPr>
  </w:style>
  <w:style w:type="paragraph" w:customStyle="1" w:styleId="Normal1">
    <w:name w:val="Normal1"/>
    <w:rsid w:val="00020479"/>
    <w:pPr>
      <w:jc w:val="both"/>
    </w:pPr>
    <w:rPr>
      <w:rFonts w:ascii="Candara" w:eastAsia="Candara" w:hAnsi="Candara" w:cs="Candara"/>
      <w:lang w:eastAsia="es-GT"/>
    </w:rPr>
  </w:style>
  <w:style w:type="paragraph" w:styleId="Encabezado">
    <w:name w:val="header"/>
    <w:basedOn w:val="Normal"/>
    <w:link w:val="EncabezadoCar"/>
    <w:uiPriority w:val="99"/>
    <w:unhideWhenUsed/>
    <w:rsid w:val="001B519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B519A"/>
  </w:style>
  <w:style w:type="paragraph" w:styleId="Piedepgina">
    <w:name w:val="footer"/>
    <w:basedOn w:val="Normal"/>
    <w:link w:val="PiedepginaCar"/>
    <w:uiPriority w:val="99"/>
    <w:unhideWhenUsed/>
    <w:rsid w:val="001B519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B519A"/>
  </w:style>
  <w:style w:type="table" w:styleId="Tablaconcuadrcula">
    <w:name w:val="Table Grid"/>
    <w:basedOn w:val="Tablanormal"/>
    <w:uiPriority w:val="39"/>
    <w:rsid w:val="00AD7D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6A3648"/>
    <w:pPr>
      <w:ind w:left="720"/>
      <w:contextualSpacing/>
    </w:pPr>
  </w:style>
  <w:style w:type="paragraph" w:styleId="TtulodeTDC">
    <w:name w:val="TOC Heading"/>
    <w:basedOn w:val="Ttulo1"/>
    <w:next w:val="Normal"/>
    <w:uiPriority w:val="39"/>
    <w:unhideWhenUsed/>
    <w:qFormat/>
    <w:rsid w:val="00937F36"/>
    <w:pPr>
      <w:numPr>
        <w:numId w:val="0"/>
      </w:numPr>
      <w:spacing w:before="240" w:line="259" w:lineRule="auto"/>
      <w:outlineLvl w:val="9"/>
    </w:pPr>
    <w:rPr>
      <w:rFonts w:asciiTheme="majorHAnsi" w:hAnsiTheme="majorHAnsi"/>
      <w:b w:val="0"/>
      <w:color w:val="2F5496" w:themeColor="accent1" w:themeShade="BF"/>
      <w:lang w:eastAsia="es-GT"/>
    </w:rPr>
  </w:style>
  <w:style w:type="paragraph" w:styleId="TDC2">
    <w:name w:val="toc 2"/>
    <w:basedOn w:val="Normal"/>
    <w:next w:val="Normal"/>
    <w:autoRedefine/>
    <w:uiPriority w:val="39"/>
    <w:unhideWhenUsed/>
    <w:rsid w:val="00937F36"/>
    <w:pPr>
      <w:spacing w:after="100"/>
      <w:ind w:left="220"/>
    </w:pPr>
    <w:rPr>
      <w:rFonts w:eastAsiaTheme="minorEastAsia" w:cs="Times New Roman"/>
      <w:lang w:eastAsia="es-GT"/>
    </w:rPr>
  </w:style>
  <w:style w:type="paragraph" w:styleId="TDC1">
    <w:name w:val="toc 1"/>
    <w:basedOn w:val="Normal"/>
    <w:next w:val="Normal"/>
    <w:autoRedefine/>
    <w:uiPriority w:val="39"/>
    <w:unhideWhenUsed/>
    <w:rsid w:val="00937F36"/>
    <w:pPr>
      <w:spacing w:after="100"/>
    </w:pPr>
    <w:rPr>
      <w:rFonts w:eastAsiaTheme="minorEastAsia" w:cs="Times New Roman"/>
      <w:lang w:eastAsia="es-GT"/>
    </w:rPr>
  </w:style>
  <w:style w:type="paragraph" w:styleId="TDC3">
    <w:name w:val="toc 3"/>
    <w:basedOn w:val="Normal"/>
    <w:next w:val="Normal"/>
    <w:autoRedefine/>
    <w:uiPriority w:val="39"/>
    <w:unhideWhenUsed/>
    <w:rsid w:val="00937F36"/>
    <w:pPr>
      <w:spacing w:after="100"/>
      <w:ind w:left="440"/>
    </w:pPr>
    <w:rPr>
      <w:rFonts w:eastAsiaTheme="minorEastAsia" w:cs="Times New Roman"/>
      <w:lang w:eastAsia="es-GT"/>
    </w:rPr>
  </w:style>
  <w:style w:type="character" w:styleId="Hipervnculo">
    <w:name w:val="Hyperlink"/>
    <w:basedOn w:val="Fuentedeprrafopredeter"/>
    <w:uiPriority w:val="99"/>
    <w:unhideWhenUsed/>
    <w:rsid w:val="00937F36"/>
    <w:rPr>
      <w:color w:val="0563C1" w:themeColor="hyperlink"/>
      <w:u w:val="single"/>
    </w:rPr>
  </w:style>
  <w:style w:type="paragraph" w:styleId="Listaconvietas4">
    <w:name w:val="List Bullet 4"/>
    <w:basedOn w:val="Normal"/>
    <w:uiPriority w:val="99"/>
    <w:rsid w:val="00F85BD4"/>
    <w:pPr>
      <w:numPr>
        <w:numId w:val="10"/>
      </w:numPr>
      <w:tabs>
        <w:tab w:val="clear" w:pos="360"/>
        <w:tab w:val="num" w:pos="1209"/>
      </w:tabs>
      <w:spacing w:after="200" w:line="252" w:lineRule="auto"/>
      <w:ind w:left="1209"/>
    </w:pPr>
    <w:rPr>
      <w:rFonts w:asciiTheme="majorHAnsi" w:eastAsiaTheme="majorEastAsia" w:hAnsiTheme="majorHAnsi" w:cstheme="majorBidi"/>
      <w:lang w:eastAsia="es-GT"/>
    </w:rPr>
  </w:style>
  <w:style w:type="table" w:customStyle="1" w:styleId="Tabladecuadrcula5oscura-nfasis11">
    <w:name w:val="Tabla de cuadrícula 5 oscura - Énfasis 11"/>
    <w:basedOn w:val="Tablanormal"/>
    <w:uiPriority w:val="50"/>
    <w:rsid w:val="00F85BD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aconcuadrcula5oscura-nfasis411">
    <w:name w:val="Tabla con cuadrícula 5 oscura - Énfasis 411"/>
    <w:basedOn w:val="Tablanormal"/>
    <w:uiPriority w:val="50"/>
    <w:rsid w:val="00F85BD4"/>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paragraph" w:styleId="Textodeglobo">
    <w:name w:val="Balloon Text"/>
    <w:basedOn w:val="Normal"/>
    <w:link w:val="TextodegloboCar"/>
    <w:uiPriority w:val="99"/>
    <w:semiHidden/>
    <w:unhideWhenUsed/>
    <w:rsid w:val="00DB117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B1179"/>
    <w:rPr>
      <w:rFonts w:ascii="Segoe UI" w:hAnsi="Segoe UI" w:cs="Segoe UI"/>
      <w:sz w:val="18"/>
      <w:szCs w:val="18"/>
    </w:rPr>
  </w:style>
  <w:style w:type="table" w:customStyle="1" w:styleId="Tabladecuadrcula4-nfasis11">
    <w:name w:val="Tabla de cuadrícula 4 - Énfasis 11"/>
    <w:basedOn w:val="Tablanormal"/>
    <w:uiPriority w:val="49"/>
    <w:rsid w:val="001912B8"/>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notaalfinal">
    <w:name w:val="endnote text"/>
    <w:basedOn w:val="Normal"/>
    <w:link w:val="TextonotaalfinalCar"/>
    <w:uiPriority w:val="99"/>
    <w:semiHidden/>
    <w:unhideWhenUsed/>
    <w:rsid w:val="001912B8"/>
    <w:pPr>
      <w:spacing w:after="0" w:line="240" w:lineRule="auto"/>
    </w:pPr>
    <w:rPr>
      <w:noProof/>
      <w:sz w:val="20"/>
      <w:szCs w:val="20"/>
    </w:rPr>
  </w:style>
  <w:style w:type="character" w:customStyle="1" w:styleId="TextonotaalfinalCar">
    <w:name w:val="Texto nota al final Car"/>
    <w:basedOn w:val="Fuentedeprrafopredeter"/>
    <w:link w:val="Textonotaalfinal"/>
    <w:uiPriority w:val="99"/>
    <w:semiHidden/>
    <w:rsid w:val="001912B8"/>
    <w:rPr>
      <w:noProof/>
      <w:sz w:val="20"/>
      <w:szCs w:val="20"/>
    </w:rPr>
  </w:style>
  <w:style w:type="character" w:styleId="Refdenotaalfinal">
    <w:name w:val="endnote reference"/>
    <w:basedOn w:val="Fuentedeprrafopredeter"/>
    <w:uiPriority w:val="99"/>
    <w:semiHidden/>
    <w:unhideWhenUsed/>
    <w:rsid w:val="001912B8"/>
    <w:rPr>
      <w:vertAlign w:val="superscript"/>
    </w:rPr>
  </w:style>
  <w:style w:type="paragraph" w:styleId="Textonotapie">
    <w:name w:val="footnote text"/>
    <w:aliases w:val=" Car,Texto nota pie Car Car Car Car,Texto nota pie1,ft,single space,fn,FOOTNOTES,Texto nota pie Car Car Car Car Car Car,Texto nota pie Car Car Car Car Car Car Car,Texto nota pie Car Car Car Car Car Car Ca,Char,Footnote Text Char2,Car"/>
    <w:basedOn w:val="Normal"/>
    <w:link w:val="TextonotapieCar"/>
    <w:uiPriority w:val="99"/>
    <w:unhideWhenUsed/>
    <w:rsid w:val="001912B8"/>
    <w:pPr>
      <w:spacing w:after="0" w:line="240" w:lineRule="auto"/>
    </w:pPr>
    <w:rPr>
      <w:noProof/>
      <w:sz w:val="20"/>
      <w:szCs w:val="20"/>
    </w:rPr>
  </w:style>
  <w:style w:type="character" w:customStyle="1" w:styleId="TextonotapieCar">
    <w:name w:val="Texto nota pie Car"/>
    <w:aliases w:val=" Car Car,Texto nota pie Car Car Car Car Car,Texto nota pie1 Car,ft Car,single space Car,fn Car,FOOTNOTES Car,Texto nota pie Car Car Car Car Car Car Car1,Texto nota pie Car Car Car Car Car Car Car Car,Char Car,Footnote Text Char2 Car"/>
    <w:basedOn w:val="Fuentedeprrafopredeter"/>
    <w:link w:val="Textonotapie"/>
    <w:uiPriority w:val="99"/>
    <w:rsid w:val="001912B8"/>
    <w:rPr>
      <w:noProof/>
      <w:sz w:val="20"/>
      <w:szCs w:val="20"/>
    </w:rPr>
  </w:style>
  <w:style w:type="character" w:styleId="Refdenotaalpie">
    <w:name w:val="footnote reference"/>
    <w:basedOn w:val="Fuentedeprrafopredeter"/>
    <w:uiPriority w:val="99"/>
    <w:unhideWhenUsed/>
    <w:rsid w:val="001912B8"/>
    <w:rPr>
      <w:vertAlign w:val="superscript"/>
    </w:rPr>
  </w:style>
  <w:style w:type="table" w:customStyle="1" w:styleId="Tabladecuadrcula2-nfasis11">
    <w:name w:val="Tabla de cuadrícula 2 - Énfasis 11"/>
    <w:basedOn w:val="Tablanormal"/>
    <w:uiPriority w:val="47"/>
    <w:rsid w:val="001912B8"/>
    <w:pPr>
      <w:spacing w:after="0" w:line="240" w:lineRule="auto"/>
    </w:p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decuadrcula4-nfasis51">
    <w:name w:val="Tabla de cuadrícula 4 - Énfasis 51"/>
    <w:basedOn w:val="Tablanormal"/>
    <w:uiPriority w:val="49"/>
    <w:rsid w:val="001912B8"/>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1912B8"/>
    <w:pPr>
      <w:autoSpaceDE w:val="0"/>
      <w:autoSpaceDN w:val="0"/>
      <w:adjustRightInd w:val="0"/>
      <w:spacing w:after="0" w:line="240" w:lineRule="auto"/>
    </w:pPr>
    <w:rPr>
      <w:rFonts w:ascii="Candara" w:eastAsiaTheme="minorEastAsia" w:hAnsi="Candara" w:cs="Candara"/>
      <w:color w:val="000000"/>
      <w:sz w:val="24"/>
      <w:szCs w:val="24"/>
      <w:lang w:eastAsia="es-GT"/>
    </w:rPr>
  </w:style>
  <w:style w:type="table" w:styleId="Cuadrculamedia3-nfasis1">
    <w:name w:val="Medium Grid 3 Accent 1"/>
    <w:basedOn w:val="Tablanormal"/>
    <w:uiPriority w:val="69"/>
    <w:rsid w:val="001912B8"/>
    <w:pPr>
      <w:widowControl w:val="0"/>
      <w:spacing w:after="0" w:line="240" w:lineRule="auto"/>
    </w:pPr>
    <w:rPr>
      <w:rFonts w:eastAsiaTheme="minorEastAsia"/>
      <w:kern w:val="2"/>
      <w:sz w:val="21"/>
      <w:lang w:val="en-US" w:eastAsia="zh-CN"/>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Tablaconcuadrcula4-nfasis11">
    <w:name w:val="Tabla con cuadrícula 4 - Énfasis 11"/>
    <w:basedOn w:val="Tablanormal"/>
    <w:uiPriority w:val="49"/>
    <w:rsid w:val="001912B8"/>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concuadrcula4-nfasis51">
    <w:name w:val="Tabla con cuadrícula 4 - Énfasis 51"/>
    <w:basedOn w:val="Tablanormal"/>
    <w:uiPriority w:val="49"/>
    <w:rsid w:val="001912B8"/>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Refdecomentario">
    <w:name w:val="annotation reference"/>
    <w:basedOn w:val="Fuentedeprrafopredeter"/>
    <w:uiPriority w:val="99"/>
    <w:semiHidden/>
    <w:unhideWhenUsed/>
    <w:rsid w:val="001912B8"/>
    <w:rPr>
      <w:sz w:val="16"/>
      <w:szCs w:val="16"/>
    </w:rPr>
  </w:style>
  <w:style w:type="paragraph" w:styleId="Textocomentario">
    <w:name w:val="annotation text"/>
    <w:basedOn w:val="Normal"/>
    <w:link w:val="TextocomentarioCar"/>
    <w:uiPriority w:val="99"/>
    <w:semiHidden/>
    <w:unhideWhenUsed/>
    <w:rsid w:val="001912B8"/>
    <w:pPr>
      <w:spacing w:line="240" w:lineRule="auto"/>
    </w:pPr>
    <w:rPr>
      <w:noProof/>
      <w:sz w:val="20"/>
      <w:szCs w:val="20"/>
    </w:rPr>
  </w:style>
  <w:style w:type="character" w:customStyle="1" w:styleId="TextocomentarioCar">
    <w:name w:val="Texto comentario Car"/>
    <w:basedOn w:val="Fuentedeprrafopredeter"/>
    <w:link w:val="Textocomentario"/>
    <w:uiPriority w:val="99"/>
    <w:semiHidden/>
    <w:rsid w:val="001912B8"/>
    <w:rPr>
      <w:noProof/>
      <w:sz w:val="20"/>
      <w:szCs w:val="20"/>
    </w:rPr>
  </w:style>
  <w:style w:type="character" w:customStyle="1" w:styleId="Ninguno">
    <w:name w:val="Ninguno"/>
    <w:rsid w:val="001912B8"/>
  </w:style>
  <w:style w:type="paragraph" w:styleId="Asuntodelcomentario">
    <w:name w:val="annotation subject"/>
    <w:basedOn w:val="Textocomentario"/>
    <w:next w:val="Textocomentario"/>
    <w:link w:val="AsuntodelcomentarioCar"/>
    <w:uiPriority w:val="99"/>
    <w:semiHidden/>
    <w:unhideWhenUsed/>
    <w:rsid w:val="001912B8"/>
    <w:rPr>
      <w:b/>
      <w:bCs/>
    </w:rPr>
  </w:style>
  <w:style w:type="character" w:customStyle="1" w:styleId="AsuntodelcomentarioCar">
    <w:name w:val="Asunto del comentario Car"/>
    <w:basedOn w:val="TextocomentarioCar"/>
    <w:link w:val="Asuntodelcomentario"/>
    <w:uiPriority w:val="99"/>
    <w:semiHidden/>
    <w:rsid w:val="001912B8"/>
    <w:rPr>
      <w:b/>
      <w:bCs/>
      <w:noProof/>
      <w:sz w:val="20"/>
      <w:szCs w:val="20"/>
    </w:rPr>
  </w:style>
  <w:style w:type="paragraph" w:styleId="Revisin">
    <w:name w:val="Revision"/>
    <w:hidden/>
    <w:uiPriority w:val="99"/>
    <w:semiHidden/>
    <w:rsid w:val="001912B8"/>
    <w:pPr>
      <w:spacing w:after="0" w:line="240" w:lineRule="auto"/>
    </w:pPr>
    <w:rPr>
      <w:noProof/>
    </w:rPr>
  </w:style>
  <w:style w:type="paragraph" w:customStyle="1" w:styleId="Contenido">
    <w:name w:val="Contenido"/>
    <w:basedOn w:val="Normal"/>
    <w:link w:val="ContenidoCar"/>
    <w:qFormat/>
    <w:rsid w:val="001912B8"/>
    <w:pPr>
      <w:spacing w:line="240" w:lineRule="auto"/>
      <w:jc w:val="both"/>
    </w:pPr>
    <w:rPr>
      <w:rFonts w:ascii="Arial" w:hAnsi="Arial"/>
    </w:rPr>
  </w:style>
  <w:style w:type="character" w:customStyle="1" w:styleId="ContenidoCar">
    <w:name w:val="Contenido Car"/>
    <w:basedOn w:val="Fuentedeprrafopredeter"/>
    <w:link w:val="Contenido"/>
    <w:rsid w:val="001912B8"/>
    <w:rPr>
      <w:rFonts w:ascii="Arial" w:hAnsi="Arial"/>
    </w:rPr>
  </w:style>
  <w:style w:type="paragraph" w:customStyle="1" w:styleId="Ttulo41">
    <w:name w:val="Título 41"/>
    <w:basedOn w:val="Normal"/>
    <w:next w:val="Normal"/>
    <w:uiPriority w:val="9"/>
    <w:unhideWhenUsed/>
    <w:qFormat/>
    <w:rsid w:val="001912B8"/>
    <w:pPr>
      <w:keepNext/>
      <w:keepLines/>
      <w:spacing w:before="40" w:after="0"/>
      <w:outlineLvl w:val="3"/>
    </w:pPr>
    <w:rPr>
      <w:rFonts w:ascii="Calibri Light" w:eastAsia="Times New Roman" w:hAnsi="Calibri Light" w:cs="Times New Roman"/>
      <w:i/>
      <w:iCs/>
      <w:noProof/>
      <w:color w:val="365F91"/>
    </w:rPr>
  </w:style>
  <w:style w:type="numbering" w:customStyle="1" w:styleId="Sinlista1">
    <w:name w:val="Sin lista1"/>
    <w:next w:val="Sinlista"/>
    <w:uiPriority w:val="99"/>
    <w:semiHidden/>
    <w:unhideWhenUsed/>
    <w:rsid w:val="001912B8"/>
  </w:style>
  <w:style w:type="paragraph" w:customStyle="1" w:styleId="TDC21">
    <w:name w:val="TDC 21"/>
    <w:basedOn w:val="Normal"/>
    <w:next w:val="Normal"/>
    <w:autoRedefine/>
    <w:uiPriority w:val="39"/>
    <w:unhideWhenUsed/>
    <w:rsid w:val="001912B8"/>
    <w:pPr>
      <w:tabs>
        <w:tab w:val="left" w:pos="284"/>
        <w:tab w:val="right" w:leader="dot" w:pos="8828"/>
      </w:tabs>
      <w:spacing w:after="100"/>
    </w:pPr>
    <w:rPr>
      <w:rFonts w:ascii="Calibri" w:eastAsia="Times New Roman" w:hAnsi="Calibri" w:cs="Times New Roman"/>
      <w:noProof/>
      <w:lang w:eastAsia="es-GT"/>
    </w:rPr>
  </w:style>
  <w:style w:type="paragraph" w:customStyle="1" w:styleId="TDC11">
    <w:name w:val="TDC 11"/>
    <w:basedOn w:val="Normal"/>
    <w:next w:val="Normal"/>
    <w:autoRedefine/>
    <w:uiPriority w:val="39"/>
    <w:unhideWhenUsed/>
    <w:rsid w:val="001912B8"/>
    <w:pPr>
      <w:spacing w:after="100"/>
    </w:pPr>
    <w:rPr>
      <w:rFonts w:ascii="Calibri" w:eastAsia="Times New Roman" w:hAnsi="Calibri" w:cs="Times New Roman"/>
      <w:noProof/>
      <w:lang w:eastAsia="es-GT"/>
    </w:rPr>
  </w:style>
  <w:style w:type="paragraph" w:customStyle="1" w:styleId="TDC31">
    <w:name w:val="TDC 31"/>
    <w:basedOn w:val="Normal"/>
    <w:next w:val="Normal"/>
    <w:autoRedefine/>
    <w:uiPriority w:val="39"/>
    <w:unhideWhenUsed/>
    <w:rsid w:val="001912B8"/>
    <w:pPr>
      <w:tabs>
        <w:tab w:val="right" w:leader="dot" w:pos="8828"/>
      </w:tabs>
      <w:spacing w:after="100"/>
    </w:pPr>
    <w:rPr>
      <w:rFonts w:ascii="Calibri" w:eastAsia="Times New Roman" w:hAnsi="Calibri" w:cs="Times New Roman"/>
      <w:noProof/>
      <w:lang w:eastAsia="es-GT"/>
    </w:rPr>
  </w:style>
  <w:style w:type="character" w:customStyle="1" w:styleId="Hipervnculo1">
    <w:name w:val="Hipervínculo1"/>
    <w:basedOn w:val="Fuentedeprrafopredeter"/>
    <w:uiPriority w:val="99"/>
    <w:unhideWhenUsed/>
    <w:rsid w:val="001912B8"/>
    <w:rPr>
      <w:color w:val="0000FF"/>
      <w:u w:val="single"/>
    </w:rPr>
  </w:style>
  <w:style w:type="table" w:customStyle="1" w:styleId="Cuadrculamedia3-nfasis11">
    <w:name w:val="Cuadrícula media 3 - Énfasis 11"/>
    <w:basedOn w:val="Tablanormal"/>
    <w:next w:val="Cuadrculamedia3-nfasis1"/>
    <w:uiPriority w:val="69"/>
    <w:rsid w:val="001912B8"/>
    <w:pPr>
      <w:widowControl w:val="0"/>
      <w:spacing w:after="0" w:line="240" w:lineRule="auto"/>
    </w:pPr>
    <w:rPr>
      <w:rFonts w:eastAsia="Times New Roman"/>
      <w:kern w:val="2"/>
      <w:sz w:val="21"/>
      <w:lang w:val="en-US" w:eastAsia="zh-C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Ttulo4Car1">
    <w:name w:val="Título 4 Car1"/>
    <w:basedOn w:val="Fuentedeprrafopredeter"/>
    <w:uiPriority w:val="9"/>
    <w:semiHidden/>
    <w:rsid w:val="001912B8"/>
    <w:rPr>
      <w:rFonts w:asciiTheme="majorHAnsi" w:eastAsiaTheme="majorEastAsia" w:hAnsiTheme="majorHAnsi" w:cstheme="majorBidi"/>
      <w:i/>
      <w:iCs/>
      <w:color w:val="2F5496" w:themeColor="accent1" w:themeShade="BF"/>
    </w:rPr>
  </w:style>
  <w:style w:type="paragraph" w:customStyle="1" w:styleId="ttulosgrficas">
    <w:name w:val="títulos gráficas"/>
    <w:basedOn w:val="Normal"/>
    <w:link w:val="ttulosgrficasCar"/>
    <w:qFormat/>
    <w:rsid w:val="00316FAD"/>
    <w:pPr>
      <w:spacing w:after="0" w:line="240" w:lineRule="auto"/>
      <w:jc w:val="center"/>
    </w:pPr>
    <w:rPr>
      <w:rFonts w:ascii="Helvetica" w:hAnsi="Helvetica" w:cs="Helvetica"/>
      <w:b/>
      <w:bCs/>
      <w:color w:val="1F3864" w:themeColor="accent1" w:themeShade="80"/>
      <w:sz w:val="24"/>
      <w:szCs w:val="24"/>
    </w:rPr>
  </w:style>
  <w:style w:type="numbering" w:customStyle="1" w:styleId="Sinlista2">
    <w:name w:val="Sin lista2"/>
    <w:next w:val="Sinlista"/>
    <w:uiPriority w:val="99"/>
    <w:semiHidden/>
    <w:unhideWhenUsed/>
    <w:rsid w:val="00CE3D5C"/>
  </w:style>
  <w:style w:type="character" w:customStyle="1" w:styleId="ttulosgrficasCar">
    <w:name w:val="títulos gráficas Car"/>
    <w:basedOn w:val="Fuentedeprrafopredeter"/>
    <w:link w:val="ttulosgrficas"/>
    <w:rsid w:val="00316FAD"/>
    <w:rPr>
      <w:rFonts w:ascii="Helvetica" w:hAnsi="Helvetica" w:cs="Helvetica"/>
      <w:b/>
      <w:bCs/>
      <w:color w:val="1F3864" w:themeColor="accent1" w:themeShade="80"/>
      <w:sz w:val="24"/>
      <w:szCs w:val="24"/>
    </w:rPr>
  </w:style>
  <w:style w:type="character" w:customStyle="1" w:styleId="Heading1Char">
    <w:name w:val="Heading 1 Char"/>
    <w:uiPriority w:val="99"/>
    <w:locked/>
    <w:rsid w:val="00CE3D5C"/>
    <w:rPr>
      <w:rFonts w:ascii="Cambria" w:hAnsi="Cambria" w:cs="Cambria"/>
      <w:b/>
      <w:bCs/>
      <w:kern w:val="32"/>
      <w:sz w:val="32"/>
      <w:szCs w:val="32"/>
      <w:lang w:val="es-ES" w:eastAsia="en-US"/>
    </w:rPr>
  </w:style>
  <w:style w:type="paragraph" w:customStyle="1" w:styleId="Prrafodelista1">
    <w:name w:val="Párrafo de lista1"/>
    <w:basedOn w:val="Normal"/>
    <w:uiPriority w:val="99"/>
    <w:rsid w:val="00CE3D5C"/>
    <w:pPr>
      <w:spacing w:after="200" w:line="252" w:lineRule="auto"/>
      <w:ind w:left="720"/>
    </w:pPr>
    <w:rPr>
      <w:rFonts w:ascii="Calibri" w:eastAsia="Times New Roman" w:hAnsi="Calibri" w:cs="Times New Roman"/>
      <w:lang w:eastAsia="es-GT"/>
    </w:rPr>
  </w:style>
  <w:style w:type="character" w:styleId="Nmerodepgina">
    <w:name w:val="page number"/>
    <w:basedOn w:val="Fuentedeprrafopredeter"/>
    <w:uiPriority w:val="99"/>
    <w:rsid w:val="00CE3D5C"/>
  </w:style>
  <w:style w:type="table" w:customStyle="1" w:styleId="Tablaconcuadrcula1">
    <w:name w:val="Tabla con cuadrícula1"/>
    <w:basedOn w:val="Tablanormal"/>
    <w:next w:val="Tablaconcuadrcula"/>
    <w:uiPriority w:val="59"/>
    <w:locked/>
    <w:rsid w:val="00CE3D5C"/>
    <w:pPr>
      <w:spacing w:after="200" w:line="276" w:lineRule="auto"/>
    </w:pPr>
    <w:rPr>
      <w:rFonts w:ascii="Calibri" w:eastAsia="Times New Roman" w:hAnsi="Calibri" w:cs="Calibri"/>
      <w:lang w:eastAsia="es-G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Web1">
    <w:name w:val="Normal (Web)1"/>
    <w:basedOn w:val="Normal"/>
    <w:next w:val="NormalWeb"/>
    <w:uiPriority w:val="99"/>
    <w:semiHidden/>
    <w:unhideWhenUsed/>
    <w:rsid w:val="00CE3D5C"/>
    <w:pPr>
      <w:spacing w:before="100" w:beforeAutospacing="1" w:after="100" w:afterAutospacing="1" w:line="240" w:lineRule="auto"/>
    </w:pPr>
    <w:rPr>
      <w:rFonts w:ascii="Times New Roman" w:eastAsia="MS PGothic" w:hAnsi="Times New Roman" w:cs="Times New Roman"/>
      <w:sz w:val="24"/>
      <w:szCs w:val="24"/>
      <w:lang w:eastAsia="es-GT"/>
    </w:rPr>
  </w:style>
  <w:style w:type="paragraph" w:styleId="Saludo">
    <w:name w:val="Salutation"/>
    <w:basedOn w:val="Normal"/>
    <w:next w:val="Normal"/>
    <w:link w:val="SaludoCar"/>
    <w:uiPriority w:val="99"/>
    <w:unhideWhenUsed/>
    <w:rsid w:val="00CE3D5C"/>
    <w:pPr>
      <w:spacing w:after="200" w:line="252" w:lineRule="auto"/>
    </w:pPr>
    <w:rPr>
      <w:rFonts w:ascii="Calibri" w:eastAsia="MS PGothic" w:hAnsi="Calibri" w:cs="Times New Roman"/>
      <w:lang w:eastAsia="es-GT"/>
    </w:rPr>
  </w:style>
  <w:style w:type="character" w:customStyle="1" w:styleId="SaludoCar">
    <w:name w:val="Saludo Car"/>
    <w:basedOn w:val="Fuentedeprrafopredeter"/>
    <w:link w:val="Saludo"/>
    <w:uiPriority w:val="99"/>
    <w:rsid w:val="00CE3D5C"/>
    <w:rPr>
      <w:rFonts w:ascii="Calibri" w:eastAsia="MS PGothic" w:hAnsi="Calibri" w:cs="Times New Roman"/>
      <w:lang w:eastAsia="es-GT"/>
    </w:rPr>
  </w:style>
  <w:style w:type="paragraph" w:styleId="Listaconvietas2">
    <w:name w:val="List Bullet 2"/>
    <w:basedOn w:val="Normal"/>
    <w:uiPriority w:val="99"/>
    <w:unhideWhenUsed/>
    <w:rsid w:val="00CE3D5C"/>
    <w:pPr>
      <w:numPr>
        <w:numId w:val="17"/>
      </w:numPr>
      <w:tabs>
        <w:tab w:val="clear" w:pos="643"/>
      </w:tabs>
      <w:spacing w:after="200" w:line="252" w:lineRule="auto"/>
      <w:ind w:left="1080" w:hanging="720"/>
      <w:contextualSpacing/>
    </w:pPr>
    <w:rPr>
      <w:rFonts w:ascii="Calibri" w:eastAsia="MS PGothic" w:hAnsi="Calibri" w:cs="Times New Roman"/>
      <w:lang w:eastAsia="es-GT"/>
    </w:rPr>
  </w:style>
  <w:style w:type="paragraph" w:styleId="Textoindependiente">
    <w:name w:val="Body Text"/>
    <w:basedOn w:val="Normal"/>
    <w:link w:val="TextoindependienteCar"/>
    <w:uiPriority w:val="99"/>
    <w:unhideWhenUsed/>
    <w:rsid w:val="00CE3D5C"/>
    <w:pPr>
      <w:spacing w:after="120" w:line="252" w:lineRule="auto"/>
    </w:pPr>
    <w:rPr>
      <w:rFonts w:ascii="Calibri" w:eastAsia="MS PGothic" w:hAnsi="Calibri" w:cs="Times New Roman"/>
      <w:lang w:eastAsia="es-GT"/>
    </w:rPr>
  </w:style>
  <w:style w:type="character" w:customStyle="1" w:styleId="TextoindependienteCar">
    <w:name w:val="Texto independiente Car"/>
    <w:basedOn w:val="Fuentedeprrafopredeter"/>
    <w:link w:val="Textoindependiente"/>
    <w:uiPriority w:val="99"/>
    <w:rsid w:val="00CE3D5C"/>
    <w:rPr>
      <w:rFonts w:ascii="Calibri" w:eastAsia="MS PGothic" w:hAnsi="Calibri" w:cs="Times New Roman"/>
      <w:lang w:eastAsia="es-GT"/>
    </w:rPr>
  </w:style>
  <w:style w:type="paragraph" w:styleId="Textoindependienteprimerasangra">
    <w:name w:val="Body Text First Indent"/>
    <w:basedOn w:val="Textoindependiente"/>
    <w:link w:val="TextoindependienteprimerasangraCar"/>
    <w:uiPriority w:val="99"/>
    <w:unhideWhenUsed/>
    <w:rsid w:val="00CE3D5C"/>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CE3D5C"/>
    <w:rPr>
      <w:rFonts w:ascii="Calibri" w:eastAsia="MS PGothic" w:hAnsi="Calibri" w:cs="Times New Roman"/>
      <w:lang w:eastAsia="es-GT"/>
    </w:rPr>
  </w:style>
  <w:style w:type="paragraph" w:styleId="Epgrafe">
    <w:name w:val="caption"/>
    <w:basedOn w:val="Normal"/>
    <w:next w:val="Normal"/>
    <w:uiPriority w:val="35"/>
    <w:unhideWhenUsed/>
    <w:qFormat/>
    <w:rsid w:val="00CE3D5C"/>
    <w:pPr>
      <w:spacing w:after="200" w:line="252" w:lineRule="auto"/>
    </w:pPr>
    <w:rPr>
      <w:rFonts w:ascii="Calibri" w:eastAsia="MS PGothic" w:hAnsi="Calibri" w:cs="Times New Roman"/>
      <w:caps/>
      <w:spacing w:val="10"/>
      <w:sz w:val="18"/>
      <w:szCs w:val="18"/>
      <w:lang w:eastAsia="es-GT"/>
    </w:rPr>
  </w:style>
  <w:style w:type="paragraph" w:customStyle="1" w:styleId="Ttulo10">
    <w:name w:val="Título1"/>
    <w:basedOn w:val="Normal"/>
    <w:next w:val="Normal"/>
    <w:uiPriority w:val="10"/>
    <w:qFormat/>
    <w:locked/>
    <w:rsid w:val="00CE3D5C"/>
    <w:pPr>
      <w:pBdr>
        <w:top w:val="dotted" w:sz="2" w:space="1" w:color="143F6A"/>
        <w:bottom w:val="dotted" w:sz="2" w:space="6" w:color="143F6A"/>
      </w:pBdr>
      <w:spacing w:before="500" w:after="300" w:line="240" w:lineRule="auto"/>
      <w:jc w:val="center"/>
    </w:pPr>
    <w:rPr>
      <w:rFonts w:ascii="Calibri" w:eastAsia="MS PGothic" w:hAnsi="Calibri" w:cs="Times New Roman"/>
      <w:caps/>
      <w:color w:val="143F6A"/>
      <w:spacing w:val="50"/>
      <w:sz w:val="44"/>
      <w:szCs w:val="44"/>
      <w:lang w:eastAsia="es-GT"/>
    </w:rPr>
  </w:style>
  <w:style w:type="character" w:customStyle="1" w:styleId="TtuloCar">
    <w:name w:val="Título Car"/>
    <w:basedOn w:val="Fuentedeprrafopredeter"/>
    <w:link w:val="Ttulo"/>
    <w:uiPriority w:val="10"/>
    <w:rsid w:val="00CE3D5C"/>
    <w:rPr>
      <w:caps/>
      <w:color w:val="143F6A"/>
      <w:spacing w:val="50"/>
      <w:sz w:val="44"/>
      <w:szCs w:val="44"/>
    </w:rPr>
  </w:style>
  <w:style w:type="paragraph" w:styleId="Subttulo">
    <w:name w:val="Subtitle"/>
    <w:basedOn w:val="Normal"/>
    <w:next w:val="Normal"/>
    <w:link w:val="SubttuloCar"/>
    <w:uiPriority w:val="11"/>
    <w:qFormat/>
    <w:rsid w:val="00CE3D5C"/>
    <w:pPr>
      <w:spacing w:after="560" w:line="240" w:lineRule="auto"/>
      <w:jc w:val="center"/>
    </w:pPr>
    <w:rPr>
      <w:rFonts w:ascii="Calibri" w:eastAsia="MS PGothic" w:hAnsi="Calibri" w:cs="Times New Roman"/>
      <w:caps/>
      <w:spacing w:val="20"/>
      <w:sz w:val="18"/>
      <w:szCs w:val="18"/>
      <w:lang w:eastAsia="es-GT"/>
    </w:rPr>
  </w:style>
  <w:style w:type="character" w:customStyle="1" w:styleId="SubttuloCar">
    <w:name w:val="Subtítulo Car"/>
    <w:basedOn w:val="Fuentedeprrafopredeter"/>
    <w:link w:val="Subttulo"/>
    <w:uiPriority w:val="11"/>
    <w:rsid w:val="00CE3D5C"/>
    <w:rPr>
      <w:rFonts w:ascii="Calibri" w:eastAsia="MS PGothic" w:hAnsi="Calibri" w:cs="Times New Roman"/>
      <w:caps/>
      <w:spacing w:val="20"/>
      <w:sz w:val="18"/>
      <w:szCs w:val="18"/>
      <w:lang w:eastAsia="es-GT"/>
    </w:rPr>
  </w:style>
  <w:style w:type="character" w:customStyle="1" w:styleId="Textoennegrita1">
    <w:name w:val="Texto en negrita1"/>
    <w:uiPriority w:val="22"/>
    <w:qFormat/>
    <w:locked/>
    <w:rsid w:val="00CE3D5C"/>
    <w:rPr>
      <w:b/>
      <w:bCs/>
      <w:color w:val="1E5E9F"/>
      <w:spacing w:val="5"/>
    </w:rPr>
  </w:style>
  <w:style w:type="character" w:styleId="nfasis">
    <w:name w:val="Emphasis"/>
    <w:uiPriority w:val="20"/>
    <w:qFormat/>
    <w:rsid w:val="00CE3D5C"/>
    <w:rPr>
      <w:caps/>
      <w:spacing w:val="5"/>
      <w:sz w:val="20"/>
      <w:szCs w:val="20"/>
    </w:rPr>
  </w:style>
  <w:style w:type="paragraph" w:styleId="Cita">
    <w:name w:val="Quote"/>
    <w:basedOn w:val="Normal"/>
    <w:next w:val="Normal"/>
    <w:link w:val="CitaCar"/>
    <w:uiPriority w:val="29"/>
    <w:qFormat/>
    <w:rsid w:val="00CE3D5C"/>
    <w:pPr>
      <w:spacing w:after="200" w:line="252" w:lineRule="auto"/>
    </w:pPr>
    <w:rPr>
      <w:rFonts w:ascii="Calibri" w:eastAsia="MS PGothic" w:hAnsi="Calibri" w:cs="Times New Roman"/>
      <w:i/>
      <w:iCs/>
      <w:lang w:eastAsia="es-GT"/>
    </w:rPr>
  </w:style>
  <w:style w:type="character" w:customStyle="1" w:styleId="CitaCar">
    <w:name w:val="Cita Car"/>
    <w:basedOn w:val="Fuentedeprrafopredeter"/>
    <w:link w:val="Cita"/>
    <w:uiPriority w:val="29"/>
    <w:rsid w:val="00CE3D5C"/>
    <w:rPr>
      <w:rFonts w:ascii="Calibri" w:eastAsia="MS PGothic" w:hAnsi="Calibri" w:cs="Times New Roman"/>
      <w:i/>
      <w:iCs/>
      <w:lang w:eastAsia="es-GT"/>
    </w:rPr>
  </w:style>
  <w:style w:type="paragraph" w:customStyle="1" w:styleId="Citadestacada1">
    <w:name w:val="Cita destacada1"/>
    <w:basedOn w:val="Normal"/>
    <w:next w:val="Normal"/>
    <w:uiPriority w:val="30"/>
    <w:qFormat/>
    <w:rsid w:val="00CE3D5C"/>
    <w:pPr>
      <w:pBdr>
        <w:top w:val="dotted" w:sz="2" w:space="10" w:color="143F6A"/>
        <w:bottom w:val="dotted" w:sz="2" w:space="4" w:color="143F6A"/>
      </w:pBdr>
      <w:spacing w:before="160" w:after="200" w:line="300" w:lineRule="auto"/>
      <w:ind w:left="1440" w:right="1440"/>
    </w:pPr>
    <w:rPr>
      <w:rFonts w:ascii="Calibri" w:eastAsia="MS PGothic" w:hAnsi="Calibri" w:cs="Times New Roman"/>
      <w:caps/>
      <w:color w:val="143E69"/>
      <w:spacing w:val="5"/>
      <w:sz w:val="20"/>
      <w:szCs w:val="20"/>
      <w:lang w:eastAsia="es-GT"/>
    </w:rPr>
  </w:style>
  <w:style w:type="character" w:customStyle="1" w:styleId="CitadestacadaCar">
    <w:name w:val="Cita destacada Car"/>
    <w:basedOn w:val="Fuentedeprrafopredeter"/>
    <w:link w:val="Citadestacada"/>
    <w:uiPriority w:val="30"/>
    <w:rsid w:val="00CE3D5C"/>
    <w:rPr>
      <w:caps/>
      <w:color w:val="143E69"/>
      <w:spacing w:val="5"/>
      <w:sz w:val="20"/>
      <w:szCs w:val="20"/>
    </w:rPr>
  </w:style>
  <w:style w:type="character" w:styleId="nfasissutil">
    <w:name w:val="Subtle Emphasis"/>
    <w:uiPriority w:val="19"/>
    <w:qFormat/>
    <w:rsid w:val="00CE3D5C"/>
    <w:rPr>
      <w:i/>
      <w:iCs/>
    </w:rPr>
  </w:style>
  <w:style w:type="character" w:styleId="nfasisintenso">
    <w:name w:val="Intense Emphasis"/>
    <w:uiPriority w:val="21"/>
    <w:qFormat/>
    <w:rsid w:val="00CE3D5C"/>
    <w:rPr>
      <w:i/>
      <w:iCs/>
      <w:caps/>
      <w:spacing w:val="10"/>
      <w:sz w:val="20"/>
      <w:szCs w:val="20"/>
    </w:rPr>
  </w:style>
  <w:style w:type="character" w:customStyle="1" w:styleId="Referenciasutil1">
    <w:name w:val="Referencia sutil1"/>
    <w:basedOn w:val="Fuentedeprrafopredeter"/>
    <w:uiPriority w:val="31"/>
    <w:qFormat/>
    <w:rsid w:val="00CE3D5C"/>
    <w:rPr>
      <w:rFonts w:ascii="Calibri" w:eastAsia="MS PGothic" w:hAnsi="Calibri" w:cs="Times New Roman"/>
      <w:i/>
      <w:iCs/>
      <w:color w:val="143E69"/>
    </w:rPr>
  </w:style>
  <w:style w:type="character" w:customStyle="1" w:styleId="Referenciaintensa1">
    <w:name w:val="Referencia intensa1"/>
    <w:uiPriority w:val="32"/>
    <w:qFormat/>
    <w:rsid w:val="00CE3D5C"/>
    <w:rPr>
      <w:rFonts w:ascii="Calibri" w:eastAsia="MS PGothic" w:hAnsi="Calibri" w:cs="Times New Roman"/>
      <w:b/>
      <w:bCs/>
      <w:i/>
      <w:iCs/>
      <w:color w:val="143E69"/>
    </w:rPr>
  </w:style>
  <w:style w:type="character" w:customStyle="1" w:styleId="Ttulodellibro1">
    <w:name w:val="Título del libro1"/>
    <w:uiPriority w:val="33"/>
    <w:qFormat/>
    <w:rsid w:val="00CE3D5C"/>
    <w:rPr>
      <w:caps/>
      <w:color w:val="143E69"/>
      <w:spacing w:val="5"/>
      <w:u w:color="143E69"/>
    </w:rPr>
  </w:style>
  <w:style w:type="table" w:customStyle="1" w:styleId="Tabladecuadrcula4-nfasis21">
    <w:name w:val="Tabla de cuadrícula 4 - Énfasis 21"/>
    <w:basedOn w:val="Tablanormal"/>
    <w:uiPriority w:val="49"/>
    <w:rsid w:val="00CE3D5C"/>
    <w:pPr>
      <w:spacing w:after="0" w:line="240" w:lineRule="auto"/>
    </w:pPr>
    <w:rPr>
      <w:rFonts w:ascii="Calibri" w:eastAsia="MS PGothic" w:hAnsi="Calibri" w:cs="Times New Roman"/>
      <w:lang w:eastAsia="es-GT"/>
    </w:rPr>
    <w:tblPr>
      <w:tblStyleRowBandSize w:val="1"/>
      <w:tblStyleColBandSize w:val="1"/>
      <w:tblInd w:w="0" w:type="dxa"/>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CellMar>
        <w:top w:w="0" w:type="dxa"/>
        <w:left w:w="108" w:type="dxa"/>
        <w:bottom w:w="0" w:type="dxa"/>
        <w:right w:w="108" w:type="dxa"/>
      </w:tblCellMar>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bCs/>
      </w:rPr>
      <w:tblPr/>
      <w:tcPr>
        <w:tcBorders>
          <w:top w:val="double" w:sz="4" w:space="0" w:color="297FD5"/>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paragraph" w:styleId="NormalWeb">
    <w:name w:val="Normal (Web)"/>
    <w:basedOn w:val="Normal"/>
    <w:uiPriority w:val="99"/>
    <w:semiHidden/>
    <w:unhideWhenUsed/>
    <w:rsid w:val="00CE3D5C"/>
    <w:rPr>
      <w:rFonts w:ascii="Times New Roman" w:hAnsi="Times New Roman" w:cs="Times New Roman"/>
      <w:sz w:val="24"/>
      <w:szCs w:val="24"/>
    </w:rPr>
  </w:style>
  <w:style w:type="paragraph" w:styleId="Ttulo">
    <w:name w:val="Title"/>
    <w:basedOn w:val="Normal"/>
    <w:next w:val="Normal"/>
    <w:link w:val="TtuloCar"/>
    <w:uiPriority w:val="10"/>
    <w:qFormat/>
    <w:rsid w:val="00CE3D5C"/>
    <w:pPr>
      <w:spacing w:after="0" w:line="240" w:lineRule="auto"/>
      <w:contextualSpacing/>
    </w:pPr>
    <w:rPr>
      <w:caps/>
      <w:color w:val="143F6A"/>
      <w:spacing w:val="50"/>
      <w:sz w:val="44"/>
      <w:szCs w:val="44"/>
    </w:rPr>
  </w:style>
  <w:style w:type="character" w:customStyle="1" w:styleId="TtuloCar1">
    <w:name w:val="Título Car1"/>
    <w:basedOn w:val="Fuentedeprrafopredeter"/>
    <w:uiPriority w:val="10"/>
    <w:rsid w:val="00CE3D5C"/>
    <w:rPr>
      <w:rFonts w:asciiTheme="majorHAnsi" w:eastAsiaTheme="majorEastAsia" w:hAnsiTheme="majorHAnsi" w:cstheme="majorBidi"/>
      <w:spacing w:val="-10"/>
      <w:kern w:val="28"/>
      <w:sz w:val="56"/>
      <w:szCs w:val="56"/>
    </w:rPr>
  </w:style>
  <w:style w:type="character" w:styleId="Textoennegrita">
    <w:name w:val="Strong"/>
    <w:basedOn w:val="Fuentedeprrafopredeter"/>
    <w:uiPriority w:val="22"/>
    <w:qFormat/>
    <w:rsid w:val="00CE3D5C"/>
    <w:rPr>
      <w:b/>
      <w:bCs/>
    </w:rPr>
  </w:style>
  <w:style w:type="paragraph" w:styleId="Citadestacada">
    <w:name w:val="Intense Quote"/>
    <w:basedOn w:val="Normal"/>
    <w:next w:val="Normal"/>
    <w:link w:val="CitadestacadaCar"/>
    <w:uiPriority w:val="30"/>
    <w:qFormat/>
    <w:rsid w:val="00CE3D5C"/>
    <w:pPr>
      <w:pBdr>
        <w:top w:val="single" w:sz="4" w:space="10" w:color="4472C4" w:themeColor="accent1"/>
        <w:bottom w:val="single" w:sz="4" w:space="10" w:color="4472C4" w:themeColor="accent1"/>
      </w:pBdr>
      <w:spacing w:before="360" w:after="360"/>
      <w:ind w:left="864" w:right="864"/>
      <w:jc w:val="center"/>
    </w:pPr>
    <w:rPr>
      <w:caps/>
      <w:color w:val="143E69"/>
      <w:spacing w:val="5"/>
      <w:sz w:val="20"/>
      <w:szCs w:val="20"/>
    </w:rPr>
  </w:style>
  <w:style w:type="character" w:customStyle="1" w:styleId="CitadestacadaCar1">
    <w:name w:val="Cita destacada Car1"/>
    <w:basedOn w:val="Fuentedeprrafopredeter"/>
    <w:uiPriority w:val="30"/>
    <w:rsid w:val="00CE3D5C"/>
    <w:rPr>
      <w:i/>
      <w:iCs/>
      <w:color w:val="4472C4" w:themeColor="accent1"/>
    </w:rPr>
  </w:style>
  <w:style w:type="character" w:styleId="Referenciasutil">
    <w:name w:val="Subtle Reference"/>
    <w:basedOn w:val="Fuentedeprrafopredeter"/>
    <w:uiPriority w:val="31"/>
    <w:qFormat/>
    <w:rsid w:val="00CE3D5C"/>
    <w:rPr>
      <w:smallCaps/>
      <w:color w:val="5A5A5A" w:themeColor="text1" w:themeTint="A5"/>
    </w:rPr>
  </w:style>
  <w:style w:type="character" w:styleId="Referenciaintensa">
    <w:name w:val="Intense Reference"/>
    <w:basedOn w:val="Fuentedeprrafopredeter"/>
    <w:uiPriority w:val="32"/>
    <w:qFormat/>
    <w:rsid w:val="00CE3D5C"/>
    <w:rPr>
      <w:b/>
      <w:bCs/>
      <w:smallCaps/>
      <w:color w:val="4472C4" w:themeColor="accent1"/>
      <w:spacing w:val="5"/>
    </w:rPr>
  </w:style>
  <w:style w:type="character" w:styleId="Ttulodellibro">
    <w:name w:val="Book Title"/>
    <w:basedOn w:val="Fuentedeprrafopredeter"/>
    <w:uiPriority w:val="33"/>
    <w:qFormat/>
    <w:rsid w:val="00CE3D5C"/>
    <w:rPr>
      <w:b/>
      <w:bCs/>
      <w:i/>
      <w:iCs/>
      <w:spacing w:val="5"/>
    </w:rPr>
  </w:style>
  <w:style w:type="paragraph" w:customStyle="1" w:styleId="normalinforme">
    <w:name w:val="normal informe"/>
    <w:basedOn w:val="Normal"/>
    <w:link w:val="normalinformeCar"/>
    <w:qFormat/>
    <w:rsid w:val="000567DA"/>
    <w:pPr>
      <w:ind w:left="432" w:hanging="432"/>
    </w:pPr>
    <w:rPr>
      <w:rFonts w:eastAsia="Times New Roman"/>
      <w:lang w:val="es-ES"/>
    </w:rPr>
  </w:style>
  <w:style w:type="character" w:customStyle="1" w:styleId="normalinformeCar">
    <w:name w:val="normal informe Car"/>
    <w:basedOn w:val="Fuentedeprrafopredeter"/>
    <w:link w:val="normalinforme"/>
    <w:rsid w:val="000567DA"/>
    <w:rPr>
      <w:rFonts w:eastAsia="Times New Roman"/>
      <w:lang w:val="es-ES"/>
    </w:rPr>
  </w:style>
  <w:style w:type="paragraph" w:customStyle="1" w:styleId="TITULOSINFORMENUEVO">
    <w:name w:val="TITULOS INFORME NUEVO"/>
    <w:basedOn w:val="Normal1"/>
    <w:next w:val="Normal1"/>
    <w:link w:val="TITULOSINFORMENUEVOCar"/>
    <w:qFormat/>
    <w:rsid w:val="00A87EEB"/>
    <w:pPr>
      <w:numPr>
        <w:numId w:val="18"/>
      </w:numPr>
    </w:pPr>
    <w:rPr>
      <w:b/>
      <w:bCs/>
      <w:iCs/>
      <w:color w:val="1F4E79" w:themeColor="accent5" w:themeShade="80"/>
      <w:sz w:val="32"/>
      <w:szCs w:val="40"/>
    </w:rPr>
  </w:style>
  <w:style w:type="character" w:customStyle="1" w:styleId="TITULOSINFORMENUEVOCar">
    <w:name w:val="TITULOS INFORME NUEVO Car"/>
    <w:basedOn w:val="Fuentedeprrafopredeter"/>
    <w:link w:val="TITULOSINFORMENUEVO"/>
    <w:rsid w:val="00A87EEB"/>
    <w:rPr>
      <w:rFonts w:ascii="Candara" w:eastAsia="Candara" w:hAnsi="Candara" w:cs="Candara"/>
      <w:b/>
      <w:bCs/>
      <w:iCs/>
      <w:color w:val="1F4E79" w:themeColor="accent5" w:themeShade="80"/>
      <w:sz w:val="32"/>
      <w:szCs w:val="40"/>
      <w:lang w:eastAsia="es-GT"/>
    </w:rPr>
  </w:style>
  <w:style w:type="numbering" w:customStyle="1" w:styleId="Sinlista3">
    <w:name w:val="Sin lista3"/>
    <w:next w:val="Sinlista"/>
    <w:uiPriority w:val="99"/>
    <w:semiHidden/>
    <w:unhideWhenUsed/>
    <w:rsid w:val="00693BD9"/>
  </w:style>
  <w:style w:type="character" w:styleId="Hipervnculovisitado">
    <w:name w:val="FollowedHyperlink"/>
    <w:basedOn w:val="Fuentedeprrafopredeter"/>
    <w:uiPriority w:val="99"/>
    <w:semiHidden/>
    <w:unhideWhenUsed/>
    <w:rsid w:val="00693BD9"/>
    <w:rPr>
      <w:color w:val="954F72"/>
      <w:u w:val="single"/>
    </w:rPr>
  </w:style>
  <w:style w:type="paragraph" w:customStyle="1" w:styleId="msonormal0">
    <w:name w:val="msonormal"/>
    <w:basedOn w:val="Normal"/>
    <w:rsid w:val="00693BD9"/>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customStyle="1" w:styleId="xl65">
    <w:name w:val="xl65"/>
    <w:basedOn w:val="Normal"/>
    <w:rsid w:val="00693BD9"/>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customStyle="1" w:styleId="xl66">
    <w:name w:val="xl66"/>
    <w:basedOn w:val="Normal"/>
    <w:rsid w:val="00693B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s-GT"/>
    </w:rPr>
  </w:style>
  <w:style w:type="paragraph" w:customStyle="1" w:styleId="xl67">
    <w:name w:val="xl67"/>
    <w:basedOn w:val="Normal"/>
    <w:rsid w:val="00693BD9"/>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68">
    <w:name w:val="xl68"/>
    <w:basedOn w:val="Normal"/>
    <w:rsid w:val="00693BD9"/>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69">
    <w:name w:val="xl69"/>
    <w:basedOn w:val="Normal"/>
    <w:rsid w:val="00693BD9"/>
    <w:pPr>
      <w:pBdr>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70">
    <w:name w:val="xl70"/>
    <w:basedOn w:val="Normal"/>
    <w:rsid w:val="00693BD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71">
    <w:name w:val="xl71"/>
    <w:basedOn w:val="Normal"/>
    <w:rsid w:val="00693BD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72">
    <w:name w:val="xl72"/>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3">
    <w:name w:val="xl73"/>
    <w:basedOn w:val="Normal"/>
    <w:rsid w:val="00693B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36"/>
      <w:szCs w:val="36"/>
      <w:lang w:eastAsia="es-GT"/>
    </w:rPr>
  </w:style>
  <w:style w:type="paragraph" w:customStyle="1" w:styleId="xl74">
    <w:name w:val="xl74"/>
    <w:basedOn w:val="Normal"/>
    <w:rsid w:val="00693BD9"/>
    <w:pPr>
      <w:pBdr>
        <w:top w:val="single" w:sz="8" w:space="0" w:color="auto"/>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5">
    <w:name w:val="xl75"/>
    <w:basedOn w:val="Normal"/>
    <w:rsid w:val="00693BD9"/>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6">
    <w:name w:val="xl76"/>
    <w:basedOn w:val="Normal"/>
    <w:rsid w:val="00693BD9"/>
    <w:pPr>
      <w:pBdr>
        <w:top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7">
    <w:name w:val="xl77"/>
    <w:basedOn w:val="Normal"/>
    <w:rsid w:val="00693BD9"/>
    <w:pPr>
      <w:pBdr>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8">
    <w:name w:val="xl78"/>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9">
    <w:name w:val="xl79"/>
    <w:basedOn w:val="Normal"/>
    <w:rsid w:val="00693BD9"/>
    <w:pPr>
      <w:pBdr>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0">
    <w:name w:val="xl80"/>
    <w:basedOn w:val="Normal"/>
    <w:rsid w:val="00693BD9"/>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1">
    <w:name w:val="xl81"/>
    <w:basedOn w:val="Normal"/>
    <w:rsid w:val="00693BD9"/>
    <w:pPr>
      <w:pBdr>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2">
    <w:name w:val="xl82"/>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3">
    <w:name w:val="xl83"/>
    <w:basedOn w:val="Normal"/>
    <w:rsid w:val="00693BD9"/>
    <w:pPr>
      <w:pBdr>
        <w:left w:val="single" w:sz="8"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4">
    <w:name w:val="xl84"/>
    <w:basedOn w:val="Normal"/>
    <w:rsid w:val="00693BD9"/>
    <w:pP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5">
    <w:name w:val="xl85"/>
    <w:basedOn w:val="Normal"/>
    <w:rsid w:val="00693BD9"/>
    <w:pPr>
      <w:pBdr>
        <w:right w:val="single" w:sz="8"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6">
    <w:name w:val="xl86"/>
    <w:basedOn w:val="Normal"/>
    <w:rsid w:val="00693BD9"/>
    <w:pPr>
      <w:pBdr>
        <w:left w:val="single" w:sz="8"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7">
    <w:name w:val="xl87"/>
    <w:basedOn w:val="Normal"/>
    <w:rsid w:val="00693BD9"/>
    <w:pP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8">
    <w:name w:val="xl88"/>
    <w:basedOn w:val="Normal"/>
    <w:rsid w:val="00693BD9"/>
    <w:pPr>
      <w:pBdr>
        <w:left w:val="single" w:sz="8" w:space="0" w:color="auto"/>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9">
    <w:name w:val="xl89"/>
    <w:basedOn w:val="Normal"/>
    <w:rsid w:val="00693BD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0">
    <w:name w:val="xl90"/>
    <w:basedOn w:val="Normal"/>
    <w:rsid w:val="00693BD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1">
    <w:name w:val="xl91"/>
    <w:basedOn w:val="Normal"/>
    <w:rsid w:val="00693BD9"/>
    <w:pPr>
      <w:pBdr>
        <w:left w:val="single" w:sz="8" w:space="0" w:color="auto"/>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2">
    <w:name w:val="xl92"/>
    <w:basedOn w:val="Normal"/>
    <w:rsid w:val="00693BD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3">
    <w:name w:val="xl93"/>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table" w:customStyle="1" w:styleId="GridTable2Accent1">
    <w:name w:val="Grid Table 2 Accent 1"/>
    <w:basedOn w:val="Tablanormal"/>
    <w:uiPriority w:val="47"/>
    <w:rsid w:val="000B241B"/>
    <w:pPr>
      <w:spacing w:after="0" w:line="240" w:lineRule="auto"/>
    </w:p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1LightAccent5">
    <w:name w:val="Grid Table 1 Light Accent 5"/>
    <w:basedOn w:val="Tablanormal"/>
    <w:uiPriority w:val="46"/>
    <w:rsid w:val="000B241B"/>
    <w:pPr>
      <w:spacing w:after="0" w:line="240" w:lineRule="auto"/>
    </w:pPr>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4Accent1">
    <w:name w:val="Grid Table 4 Accent 1"/>
    <w:basedOn w:val="Tablanormal"/>
    <w:uiPriority w:val="49"/>
    <w:rsid w:val="000B241B"/>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abladeilustraciones">
    <w:name w:val="table of figures"/>
    <w:basedOn w:val="Normal"/>
    <w:next w:val="Normal"/>
    <w:uiPriority w:val="99"/>
    <w:unhideWhenUsed/>
    <w:rsid w:val="0018772F"/>
    <w:pPr>
      <w:spacing w:after="0"/>
    </w:pPr>
    <w:rPr>
      <w:rFonts w:cstheme="minorHAnsi"/>
      <w:i/>
      <w:iCs/>
      <w:sz w:val="20"/>
      <w:szCs w:val="20"/>
    </w:rPr>
  </w:style>
  <w:style w:type="table" w:customStyle="1" w:styleId="GridTableLight">
    <w:name w:val="Grid Table Light"/>
    <w:basedOn w:val="Tablanormal"/>
    <w:uiPriority w:val="40"/>
    <w:rsid w:val="00487598"/>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2445"/>
  </w:style>
  <w:style w:type="paragraph" w:styleId="Ttulo1">
    <w:name w:val="heading 1"/>
    <w:basedOn w:val="Normal"/>
    <w:next w:val="Normal"/>
    <w:link w:val="Ttulo1Car"/>
    <w:uiPriority w:val="9"/>
    <w:qFormat/>
    <w:rsid w:val="007C5F36"/>
    <w:pPr>
      <w:keepNext/>
      <w:keepLines/>
      <w:numPr>
        <w:numId w:val="1"/>
      </w:numPr>
      <w:spacing w:after="0" w:line="240" w:lineRule="auto"/>
      <w:outlineLvl w:val="0"/>
    </w:pPr>
    <w:rPr>
      <w:rFonts w:ascii="Helvetica" w:eastAsiaTheme="majorEastAsia" w:hAnsi="Helvetica" w:cstheme="majorBidi"/>
      <w:b/>
      <w:color w:val="002060"/>
      <w:sz w:val="32"/>
      <w:szCs w:val="32"/>
    </w:rPr>
  </w:style>
  <w:style w:type="paragraph" w:styleId="Ttulo2">
    <w:name w:val="heading 2"/>
    <w:basedOn w:val="Normal"/>
    <w:next w:val="Normal"/>
    <w:link w:val="Ttulo2Car"/>
    <w:uiPriority w:val="9"/>
    <w:unhideWhenUsed/>
    <w:qFormat/>
    <w:rsid w:val="00393AD0"/>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393AD0"/>
    <w:pPr>
      <w:keepNext/>
      <w:keepLines/>
      <w:numPr>
        <w:ilvl w:val="2"/>
        <w:numId w:val="1"/>
      </w:numPr>
      <w:spacing w:before="40" w:after="0"/>
      <w:ind w:left="72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393AD0"/>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393AD0"/>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393AD0"/>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393AD0"/>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393AD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93AD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D26FB5"/>
    <w:pPr>
      <w:spacing w:after="0" w:line="240" w:lineRule="auto"/>
    </w:pPr>
  </w:style>
  <w:style w:type="character" w:customStyle="1" w:styleId="SinespaciadoCar">
    <w:name w:val="Sin espaciado Car"/>
    <w:link w:val="Sinespaciado"/>
    <w:uiPriority w:val="1"/>
    <w:locked/>
    <w:rsid w:val="00D26FB5"/>
  </w:style>
  <w:style w:type="character" w:customStyle="1" w:styleId="Ttulo1Car">
    <w:name w:val="Título 1 Car"/>
    <w:basedOn w:val="Fuentedeprrafopredeter"/>
    <w:link w:val="Ttulo1"/>
    <w:uiPriority w:val="9"/>
    <w:rsid w:val="007C5F36"/>
    <w:rPr>
      <w:rFonts w:ascii="Helvetica" w:eastAsiaTheme="majorEastAsia" w:hAnsi="Helvetica" w:cstheme="majorBidi"/>
      <w:b/>
      <w:color w:val="002060"/>
      <w:sz w:val="32"/>
      <w:szCs w:val="32"/>
    </w:rPr>
  </w:style>
  <w:style w:type="character" w:customStyle="1" w:styleId="Ttulo2Car">
    <w:name w:val="Título 2 Car"/>
    <w:basedOn w:val="Fuentedeprrafopredeter"/>
    <w:link w:val="Ttulo2"/>
    <w:uiPriority w:val="9"/>
    <w:rsid w:val="00393AD0"/>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393AD0"/>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393AD0"/>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393AD0"/>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393AD0"/>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393AD0"/>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393AD0"/>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93AD0"/>
    <w:rPr>
      <w:rFonts w:asciiTheme="majorHAnsi" w:eastAsiaTheme="majorEastAsia" w:hAnsiTheme="majorHAnsi" w:cstheme="majorBidi"/>
      <w:i/>
      <w:iCs/>
      <w:color w:val="272727" w:themeColor="text1" w:themeTint="D8"/>
      <w:sz w:val="21"/>
      <w:szCs w:val="21"/>
    </w:rPr>
  </w:style>
  <w:style w:type="paragraph" w:customStyle="1" w:styleId="Normal1">
    <w:name w:val="Normal1"/>
    <w:rsid w:val="00020479"/>
    <w:pPr>
      <w:jc w:val="both"/>
    </w:pPr>
    <w:rPr>
      <w:rFonts w:ascii="Candara" w:eastAsia="Candara" w:hAnsi="Candara" w:cs="Candara"/>
      <w:lang w:eastAsia="es-GT"/>
    </w:rPr>
  </w:style>
  <w:style w:type="paragraph" w:styleId="Encabezado">
    <w:name w:val="header"/>
    <w:basedOn w:val="Normal"/>
    <w:link w:val="EncabezadoCar"/>
    <w:uiPriority w:val="99"/>
    <w:unhideWhenUsed/>
    <w:rsid w:val="001B519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B519A"/>
  </w:style>
  <w:style w:type="paragraph" w:styleId="Piedepgina">
    <w:name w:val="footer"/>
    <w:basedOn w:val="Normal"/>
    <w:link w:val="PiedepginaCar"/>
    <w:uiPriority w:val="99"/>
    <w:unhideWhenUsed/>
    <w:rsid w:val="001B519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B519A"/>
  </w:style>
  <w:style w:type="table" w:styleId="Tablaconcuadrcula">
    <w:name w:val="Table Grid"/>
    <w:basedOn w:val="Tablanormal"/>
    <w:uiPriority w:val="39"/>
    <w:rsid w:val="00AD7D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6A3648"/>
    <w:pPr>
      <w:ind w:left="720"/>
      <w:contextualSpacing/>
    </w:pPr>
  </w:style>
  <w:style w:type="paragraph" w:styleId="TtulodeTDC">
    <w:name w:val="TOC Heading"/>
    <w:basedOn w:val="Ttulo1"/>
    <w:next w:val="Normal"/>
    <w:uiPriority w:val="39"/>
    <w:unhideWhenUsed/>
    <w:qFormat/>
    <w:rsid w:val="00937F36"/>
    <w:pPr>
      <w:numPr>
        <w:numId w:val="0"/>
      </w:numPr>
      <w:spacing w:before="240" w:line="259" w:lineRule="auto"/>
      <w:outlineLvl w:val="9"/>
    </w:pPr>
    <w:rPr>
      <w:rFonts w:asciiTheme="majorHAnsi" w:hAnsiTheme="majorHAnsi"/>
      <w:b w:val="0"/>
      <w:color w:val="2F5496" w:themeColor="accent1" w:themeShade="BF"/>
      <w:lang w:eastAsia="es-GT"/>
    </w:rPr>
  </w:style>
  <w:style w:type="paragraph" w:styleId="TDC2">
    <w:name w:val="toc 2"/>
    <w:basedOn w:val="Normal"/>
    <w:next w:val="Normal"/>
    <w:autoRedefine/>
    <w:uiPriority w:val="39"/>
    <w:unhideWhenUsed/>
    <w:rsid w:val="00937F36"/>
    <w:pPr>
      <w:spacing w:after="100"/>
      <w:ind w:left="220"/>
    </w:pPr>
    <w:rPr>
      <w:rFonts w:eastAsiaTheme="minorEastAsia" w:cs="Times New Roman"/>
      <w:lang w:eastAsia="es-GT"/>
    </w:rPr>
  </w:style>
  <w:style w:type="paragraph" w:styleId="TDC1">
    <w:name w:val="toc 1"/>
    <w:basedOn w:val="Normal"/>
    <w:next w:val="Normal"/>
    <w:autoRedefine/>
    <w:uiPriority w:val="39"/>
    <w:unhideWhenUsed/>
    <w:rsid w:val="00937F36"/>
    <w:pPr>
      <w:spacing w:after="100"/>
    </w:pPr>
    <w:rPr>
      <w:rFonts w:eastAsiaTheme="minorEastAsia" w:cs="Times New Roman"/>
      <w:lang w:eastAsia="es-GT"/>
    </w:rPr>
  </w:style>
  <w:style w:type="paragraph" w:styleId="TDC3">
    <w:name w:val="toc 3"/>
    <w:basedOn w:val="Normal"/>
    <w:next w:val="Normal"/>
    <w:autoRedefine/>
    <w:uiPriority w:val="39"/>
    <w:unhideWhenUsed/>
    <w:rsid w:val="00937F36"/>
    <w:pPr>
      <w:spacing w:after="100"/>
      <w:ind w:left="440"/>
    </w:pPr>
    <w:rPr>
      <w:rFonts w:eastAsiaTheme="minorEastAsia" w:cs="Times New Roman"/>
      <w:lang w:eastAsia="es-GT"/>
    </w:rPr>
  </w:style>
  <w:style w:type="character" w:styleId="Hipervnculo">
    <w:name w:val="Hyperlink"/>
    <w:basedOn w:val="Fuentedeprrafopredeter"/>
    <w:uiPriority w:val="99"/>
    <w:unhideWhenUsed/>
    <w:rsid w:val="00937F36"/>
    <w:rPr>
      <w:color w:val="0563C1" w:themeColor="hyperlink"/>
      <w:u w:val="single"/>
    </w:rPr>
  </w:style>
  <w:style w:type="paragraph" w:styleId="Listaconvietas4">
    <w:name w:val="List Bullet 4"/>
    <w:basedOn w:val="Normal"/>
    <w:uiPriority w:val="99"/>
    <w:rsid w:val="00F85BD4"/>
    <w:pPr>
      <w:numPr>
        <w:numId w:val="10"/>
      </w:numPr>
      <w:tabs>
        <w:tab w:val="clear" w:pos="360"/>
        <w:tab w:val="num" w:pos="1209"/>
      </w:tabs>
      <w:spacing w:after="200" w:line="252" w:lineRule="auto"/>
      <w:ind w:left="1209"/>
    </w:pPr>
    <w:rPr>
      <w:rFonts w:asciiTheme="majorHAnsi" w:eastAsiaTheme="majorEastAsia" w:hAnsiTheme="majorHAnsi" w:cstheme="majorBidi"/>
      <w:lang w:eastAsia="es-GT"/>
    </w:rPr>
  </w:style>
  <w:style w:type="table" w:customStyle="1" w:styleId="Tabladecuadrcula5oscura-nfasis11">
    <w:name w:val="Tabla de cuadrícula 5 oscura - Énfasis 11"/>
    <w:basedOn w:val="Tablanormal"/>
    <w:uiPriority w:val="50"/>
    <w:rsid w:val="00F85BD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aconcuadrcula5oscura-nfasis411">
    <w:name w:val="Tabla con cuadrícula 5 oscura - Énfasis 411"/>
    <w:basedOn w:val="Tablanormal"/>
    <w:uiPriority w:val="50"/>
    <w:rsid w:val="00F85BD4"/>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paragraph" w:styleId="Textodeglobo">
    <w:name w:val="Balloon Text"/>
    <w:basedOn w:val="Normal"/>
    <w:link w:val="TextodegloboCar"/>
    <w:uiPriority w:val="99"/>
    <w:semiHidden/>
    <w:unhideWhenUsed/>
    <w:rsid w:val="00DB117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B1179"/>
    <w:rPr>
      <w:rFonts w:ascii="Segoe UI" w:hAnsi="Segoe UI" w:cs="Segoe UI"/>
      <w:sz w:val="18"/>
      <w:szCs w:val="18"/>
    </w:rPr>
  </w:style>
  <w:style w:type="table" w:customStyle="1" w:styleId="Tabladecuadrcula4-nfasis11">
    <w:name w:val="Tabla de cuadrícula 4 - Énfasis 11"/>
    <w:basedOn w:val="Tablanormal"/>
    <w:uiPriority w:val="49"/>
    <w:rsid w:val="001912B8"/>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notaalfinal">
    <w:name w:val="endnote text"/>
    <w:basedOn w:val="Normal"/>
    <w:link w:val="TextonotaalfinalCar"/>
    <w:uiPriority w:val="99"/>
    <w:semiHidden/>
    <w:unhideWhenUsed/>
    <w:rsid w:val="001912B8"/>
    <w:pPr>
      <w:spacing w:after="0" w:line="240" w:lineRule="auto"/>
    </w:pPr>
    <w:rPr>
      <w:noProof/>
      <w:sz w:val="20"/>
      <w:szCs w:val="20"/>
    </w:rPr>
  </w:style>
  <w:style w:type="character" w:customStyle="1" w:styleId="TextonotaalfinalCar">
    <w:name w:val="Texto nota al final Car"/>
    <w:basedOn w:val="Fuentedeprrafopredeter"/>
    <w:link w:val="Textonotaalfinal"/>
    <w:uiPriority w:val="99"/>
    <w:semiHidden/>
    <w:rsid w:val="001912B8"/>
    <w:rPr>
      <w:noProof/>
      <w:sz w:val="20"/>
      <w:szCs w:val="20"/>
    </w:rPr>
  </w:style>
  <w:style w:type="character" w:styleId="Refdenotaalfinal">
    <w:name w:val="endnote reference"/>
    <w:basedOn w:val="Fuentedeprrafopredeter"/>
    <w:uiPriority w:val="99"/>
    <w:semiHidden/>
    <w:unhideWhenUsed/>
    <w:rsid w:val="001912B8"/>
    <w:rPr>
      <w:vertAlign w:val="superscript"/>
    </w:rPr>
  </w:style>
  <w:style w:type="paragraph" w:styleId="Textonotapie">
    <w:name w:val="footnote text"/>
    <w:aliases w:val=" Car,Texto nota pie Car Car Car Car,Texto nota pie1,ft,single space,fn,FOOTNOTES,Texto nota pie Car Car Car Car Car Car,Texto nota pie Car Car Car Car Car Car Car,Texto nota pie Car Car Car Car Car Car Ca,Char,Footnote Text Char2,Car"/>
    <w:basedOn w:val="Normal"/>
    <w:link w:val="TextonotapieCar"/>
    <w:uiPriority w:val="99"/>
    <w:unhideWhenUsed/>
    <w:rsid w:val="001912B8"/>
    <w:pPr>
      <w:spacing w:after="0" w:line="240" w:lineRule="auto"/>
    </w:pPr>
    <w:rPr>
      <w:noProof/>
      <w:sz w:val="20"/>
      <w:szCs w:val="20"/>
    </w:rPr>
  </w:style>
  <w:style w:type="character" w:customStyle="1" w:styleId="TextonotapieCar">
    <w:name w:val="Texto nota pie Car"/>
    <w:aliases w:val=" Car Car,Texto nota pie Car Car Car Car Car,Texto nota pie1 Car,ft Car,single space Car,fn Car,FOOTNOTES Car,Texto nota pie Car Car Car Car Car Car Car1,Texto nota pie Car Car Car Car Car Car Car Car,Char Car,Footnote Text Char2 Car"/>
    <w:basedOn w:val="Fuentedeprrafopredeter"/>
    <w:link w:val="Textonotapie"/>
    <w:uiPriority w:val="99"/>
    <w:rsid w:val="001912B8"/>
    <w:rPr>
      <w:noProof/>
      <w:sz w:val="20"/>
      <w:szCs w:val="20"/>
    </w:rPr>
  </w:style>
  <w:style w:type="character" w:styleId="Refdenotaalpie">
    <w:name w:val="footnote reference"/>
    <w:basedOn w:val="Fuentedeprrafopredeter"/>
    <w:uiPriority w:val="99"/>
    <w:unhideWhenUsed/>
    <w:rsid w:val="001912B8"/>
    <w:rPr>
      <w:vertAlign w:val="superscript"/>
    </w:rPr>
  </w:style>
  <w:style w:type="table" w:customStyle="1" w:styleId="Tabladecuadrcula2-nfasis11">
    <w:name w:val="Tabla de cuadrícula 2 - Énfasis 11"/>
    <w:basedOn w:val="Tablanormal"/>
    <w:uiPriority w:val="47"/>
    <w:rsid w:val="001912B8"/>
    <w:pPr>
      <w:spacing w:after="0" w:line="240" w:lineRule="auto"/>
    </w:p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decuadrcula4-nfasis51">
    <w:name w:val="Tabla de cuadrícula 4 - Énfasis 51"/>
    <w:basedOn w:val="Tablanormal"/>
    <w:uiPriority w:val="49"/>
    <w:rsid w:val="001912B8"/>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1912B8"/>
    <w:pPr>
      <w:autoSpaceDE w:val="0"/>
      <w:autoSpaceDN w:val="0"/>
      <w:adjustRightInd w:val="0"/>
      <w:spacing w:after="0" w:line="240" w:lineRule="auto"/>
    </w:pPr>
    <w:rPr>
      <w:rFonts w:ascii="Candara" w:eastAsiaTheme="minorEastAsia" w:hAnsi="Candara" w:cs="Candara"/>
      <w:color w:val="000000"/>
      <w:sz w:val="24"/>
      <w:szCs w:val="24"/>
      <w:lang w:eastAsia="es-GT"/>
    </w:rPr>
  </w:style>
  <w:style w:type="table" w:styleId="Cuadrculamedia3-nfasis1">
    <w:name w:val="Medium Grid 3 Accent 1"/>
    <w:basedOn w:val="Tablanormal"/>
    <w:uiPriority w:val="69"/>
    <w:rsid w:val="001912B8"/>
    <w:pPr>
      <w:widowControl w:val="0"/>
      <w:spacing w:after="0" w:line="240" w:lineRule="auto"/>
    </w:pPr>
    <w:rPr>
      <w:rFonts w:eastAsiaTheme="minorEastAsia"/>
      <w:kern w:val="2"/>
      <w:sz w:val="21"/>
      <w:lang w:val="en-US" w:eastAsia="zh-CN"/>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Tablaconcuadrcula4-nfasis11">
    <w:name w:val="Tabla con cuadrícula 4 - Énfasis 11"/>
    <w:basedOn w:val="Tablanormal"/>
    <w:uiPriority w:val="49"/>
    <w:rsid w:val="001912B8"/>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concuadrcula4-nfasis51">
    <w:name w:val="Tabla con cuadrícula 4 - Énfasis 51"/>
    <w:basedOn w:val="Tablanormal"/>
    <w:uiPriority w:val="49"/>
    <w:rsid w:val="001912B8"/>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Refdecomentario">
    <w:name w:val="annotation reference"/>
    <w:basedOn w:val="Fuentedeprrafopredeter"/>
    <w:uiPriority w:val="99"/>
    <w:semiHidden/>
    <w:unhideWhenUsed/>
    <w:rsid w:val="001912B8"/>
    <w:rPr>
      <w:sz w:val="16"/>
      <w:szCs w:val="16"/>
    </w:rPr>
  </w:style>
  <w:style w:type="paragraph" w:styleId="Textocomentario">
    <w:name w:val="annotation text"/>
    <w:basedOn w:val="Normal"/>
    <w:link w:val="TextocomentarioCar"/>
    <w:uiPriority w:val="99"/>
    <w:semiHidden/>
    <w:unhideWhenUsed/>
    <w:rsid w:val="001912B8"/>
    <w:pPr>
      <w:spacing w:line="240" w:lineRule="auto"/>
    </w:pPr>
    <w:rPr>
      <w:noProof/>
      <w:sz w:val="20"/>
      <w:szCs w:val="20"/>
    </w:rPr>
  </w:style>
  <w:style w:type="character" w:customStyle="1" w:styleId="TextocomentarioCar">
    <w:name w:val="Texto comentario Car"/>
    <w:basedOn w:val="Fuentedeprrafopredeter"/>
    <w:link w:val="Textocomentario"/>
    <w:uiPriority w:val="99"/>
    <w:semiHidden/>
    <w:rsid w:val="001912B8"/>
    <w:rPr>
      <w:noProof/>
      <w:sz w:val="20"/>
      <w:szCs w:val="20"/>
    </w:rPr>
  </w:style>
  <w:style w:type="character" w:customStyle="1" w:styleId="Ninguno">
    <w:name w:val="Ninguno"/>
    <w:rsid w:val="001912B8"/>
  </w:style>
  <w:style w:type="paragraph" w:styleId="Asuntodelcomentario">
    <w:name w:val="annotation subject"/>
    <w:basedOn w:val="Textocomentario"/>
    <w:next w:val="Textocomentario"/>
    <w:link w:val="AsuntodelcomentarioCar"/>
    <w:uiPriority w:val="99"/>
    <w:semiHidden/>
    <w:unhideWhenUsed/>
    <w:rsid w:val="001912B8"/>
    <w:rPr>
      <w:b/>
      <w:bCs/>
    </w:rPr>
  </w:style>
  <w:style w:type="character" w:customStyle="1" w:styleId="AsuntodelcomentarioCar">
    <w:name w:val="Asunto del comentario Car"/>
    <w:basedOn w:val="TextocomentarioCar"/>
    <w:link w:val="Asuntodelcomentario"/>
    <w:uiPriority w:val="99"/>
    <w:semiHidden/>
    <w:rsid w:val="001912B8"/>
    <w:rPr>
      <w:b/>
      <w:bCs/>
      <w:noProof/>
      <w:sz w:val="20"/>
      <w:szCs w:val="20"/>
    </w:rPr>
  </w:style>
  <w:style w:type="paragraph" w:styleId="Revisin">
    <w:name w:val="Revision"/>
    <w:hidden/>
    <w:uiPriority w:val="99"/>
    <w:semiHidden/>
    <w:rsid w:val="001912B8"/>
    <w:pPr>
      <w:spacing w:after="0" w:line="240" w:lineRule="auto"/>
    </w:pPr>
    <w:rPr>
      <w:noProof/>
    </w:rPr>
  </w:style>
  <w:style w:type="paragraph" w:customStyle="1" w:styleId="Contenido">
    <w:name w:val="Contenido"/>
    <w:basedOn w:val="Normal"/>
    <w:link w:val="ContenidoCar"/>
    <w:qFormat/>
    <w:rsid w:val="001912B8"/>
    <w:pPr>
      <w:spacing w:line="240" w:lineRule="auto"/>
      <w:jc w:val="both"/>
    </w:pPr>
    <w:rPr>
      <w:rFonts w:ascii="Arial" w:hAnsi="Arial"/>
    </w:rPr>
  </w:style>
  <w:style w:type="character" w:customStyle="1" w:styleId="ContenidoCar">
    <w:name w:val="Contenido Car"/>
    <w:basedOn w:val="Fuentedeprrafopredeter"/>
    <w:link w:val="Contenido"/>
    <w:rsid w:val="001912B8"/>
    <w:rPr>
      <w:rFonts w:ascii="Arial" w:hAnsi="Arial"/>
    </w:rPr>
  </w:style>
  <w:style w:type="paragraph" w:customStyle="1" w:styleId="Ttulo41">
    <w:name w:val="Título 41"/>
    <w:basedOn w:val="Normal"/>
    <w:next w:val="Normal"/>
    <w:uiPriority w:val="9"/>
    <w:unhideWhenUsed/>
    <w:qFormat/>
    <w:rsid w:val="001912B8"/>
    <w:pPr>
      <w:keepNext/>
      <w:keepLines/>
      <w:spacing w:before="40" w:after="0"/>
      <w:outlineLvl w:val="3"/>
    </w:pPr>
    <w:rPr>
      <w:rFonts w:ascii="Calibri Light" w:eastAsia="Times New Roman" w:hAnsi="Calibri Light" w:cs="Times New Roman"/>
      <w:i/>
      <w:iCs/>
      <w:noProof/>
      <w:color w:val="365F91"/>
    </w:rPr>
  </w:style>
  <w:style w:type="numbering" w:customStyle="1" w:styleId="Sinlista1">
    <w:name w:val="Sin lista1"/>
    <w:next w:val="Sinlista"/>
    <w:uiPriority w:val="99"/>
    <w:semiHidden/>
    <w:unhideWhenUsed/>
    <w:rsid w:val="001912B8"/>
  </w:style>
  <w:style w:type="paragraph" w:customStyle="1" w:styleId="TDC21">
    <w:name w:val="TDC 21"/>
    <w:basedOn w:val="Normal"/>
    <w:next w:val="Normal"/>
    <w:autoRedefine/>
    <w:uiPriority w:val="39"/>
    <w:unhideWhenUsed/>
    <w:rsid w:val="001912B8"/>
    <w:pPr>
      <w:tabs>
        <w:tab w:val="left" w:pos="284"/>
        <w:tab w:val="right" w:leader="dot" w:pos="8828"/>
      </w:tabs>
      <w:spacing w:after="100"/>
    </w:pPr>
    <w:rPr>
      <w:rFonts w:ascii="Calibri" w:eastAsia="Times New Roman" w:hAnsi="Calibri" w:cs="Times New Roman"/>
      <w:noProof/>
      <w:lang w:eastAsia="es-GT"/>
    </w:rPr>
  </w:style>
  <w:style w:type="paragraph" w:customStyle="1" w:styleId="TDC11">
    <w:name w:val="TDC 11"/>
    <w:basedOn w:val="Normal"/>
    <w:next w:val="Normal"/>
    <w:autoRedefine/>
    <w:uiPriority w:val="39"/>
    <w:unhideWhenUsed/>
    <w:rsid w:val="001912B8"/>
    <w:pPr>
      <w:spacing w:after="100"/>
    </w:pPr>
    <w:rPr>
      <w:rFonts w:ascii="Calibri" w:eastAsia="Times New Roman" w:hAnsi="Calibri" w:cs="Times New Roman"/>
      <w:noProof/>
      <w:lang w:eastAsia="es-GT"/>
    </w:rPr>
  </w:style>
  <w:style w:type="paragraph" w:customStyle="1" w:styleId="TDC31">
    <w:name w:val="TDC 31"/>
    <w:basedOn w:val="Normal"/>
    <w:next w:val="Normal"/>
    <w:autoRedefine/>
    <w:uiPriority w:val="39"/>
    <w:unhideWhenUsed/>
    <w:rsid w:val="001912B8"/>
    <w:pPr>
      <w:tabs>
        <w:tab w:val="right" w:leader="dot" w:pos="8828"/>
      </w:tabs>
      <w:spacing w:after="100"/>
    </w:pPr>
    <w:rPr>
      <w:rFonts w:ascii="Calibri" w:eastAsia="Times New Roman" w:hAnsi="Calibri" w:cs="Times New Roman"/>
      <w:noProof/>
      <w:lang w:eastAsia="es-GT"/>
    </w:rPr>
  </w:style>
  <w:style w:type="character" w:customStyle="1" w:styleId="Hipervnculo1">
    <w:name w:val="Hipervínculo1"/>
    <w:basedOn w:val="Fuentedeprrafopredeter"/>
    <w:uiPriority w:val="99"/>
    <w:unhideWhenUsed/>
    <w:rsid w:val="001912B8"/>
    <w:rPr>
      <w:color w:val="0000FF"/>
      <w:u w:val="single"/>
    </w:rPr>
  </w:style>
  <w:style w:type="table" w:customStyle="1" w:styleId="Cuadrculamedia3-nfasis11">
    <w:name w:val="Cuadrícula media 3 - Énfasis 11"/>
    <w:basedOn w:val="Tablanormal"/>
    <w:next w:val="Cuadrculamedia3-nfasis1"/>
    <w:uiPriority w:val="69"/>
    <w:rsid w:val="001912B8"/>
    <w:pPr>
      <w:widowControl w:val="0"/>
      <w:spacing w:after="0" w:line="240" w:lineRule="auto"/>
    </w:pPr>
    <w:rPr>
      <w:rFonts w:eastAsia="Times New Roman"/>
      <w:kern w:val="2"/>
      <w:sz w:val="21"/>
      <w:lang w:val="en-US" w:eastAsia="zh-C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Ttulo4Car1">
    <w:name w:val="Título 4 Car1"/>
    <w:basedOn w:val="Fuentedeprrafopredeter"/>
    <w:uiPriority w:val="9"/>
    <w:semiHidden/>
    <w:rsid w:val="001912B8"/>
    <w:rPr>
      <w:rFonts w:asciiTheme="majorHAnsi" w:eastAsiaTheme="majorEastAsia" w:hAnsiTheme="majorHAnsi" w:cstheme="majorBidi"/>
      <w:i/>
      <w:iCs/>
      <w:color w:val="2F5496" w:themeColor="accent1" w:themeShade="BF"/>
    </w:rPr>
  </w:style>
  <w:style w:type="paragraph" w:customStyle="1" w:styleId="ttulosgrficas">
    <w:name w:val="títulos gráficas"/>
    <w:basedOn w:val="Normal"/>
    <w:link w:val="ttulosgrficasCar"/>
    <w:qFormat/>
    <w:rsid w:val="00316FAD"/>
    <w:pPr>
      <w:spacing w:after="0" w:line="240" w:lineRule="auto"/>
      <w:jc w:val="center"/>
    </w:pPr>
    <w:rPr>
      <w:rFonts w:ascii="Helvetica" w:hAnsi="Helvetica" w:cs="Helvetica"/>
      <w:b/>
      <w:bCs/>
      <w:color w:val="1F3864" w:themeColor="accent1" w:themeShade="80"/>
      <w:sz w:val="24"/>
      <w:szCs w:val="24"/>
    </w:rPr>
  </w:style>
  <w:style w:type="numbering" w:customStyle="1" w:styleId="Sinlista2">
    <w:name w:val="Sin lista2"/>
    <w:next w:val="Sinlista"/>
    <w:uiPriority w:val="99"/>
    <w:semiHidden/>
    <w:unhideWhenUsed/>
    <w:rsid w:val="00CE3D5C"/>
  </w:style>
  <w:style w:type="character" w:customStyle="1" w:styleId="ttulosgrficasCar">
    <w:name w:val="títulos gráficas Car"/>
    <w:basedOn w:val="Fuentedeprrafopredeter"/>
    <w:link w:val="ttulosgrficas"/>
    <w:rsid w:val="00316FAD"/>
    <w:rPr>
      <w:rFonts w:ascii="Helvetica" w:hAnsi="Helvetica" w:cs="Helvetica"/>
      <w:b/>
      <w:bCs/>
      <w:color w:val="1F3864" w:themeColor="accent1" w:themeShade="80"/>
      <w:sz w:val="24"/>
      <w:szCs w:val="24"/>
    </w:rPr>
  </w:style>
  <w:style w:type="character" w:customStyle="1" w:styleId="Heading1Char">
    <w:name w:val="Heading 1 Char"/>
    <w:uiPriority w:val="99"/>
    <w:locked/>
    <w:rsid w:val="00CE3D5C"/>
    <w:rPr>
      <w:rFonts w:ascii="Cambria" w:hAnsi="Cambria" w:cs="Cambria"/>
      <w:b/>
      <w:bCs/>
      <w:kern w:val="32"/>
      <w:sz w:val="32"/>
      <w:szCs w:val="32"/>
      <w:lang w:val="es-ES" w:eastAsia="en-US"/>
    </w:rPr>
  </w:style>
  <w:style w:type="paragraph" w:customStyle="1" w:styleId="Prrafodelista1">
    <w:name w:val="Párrafo de lista1"/>
    <w:basedOn w:val="Normal"/>
    <w:uiPriority w:val="99"/>
    <w:rsid w:val="00CE3D5C"/>
    <w:pPr>
      <w:spacing w:after="200" w:line="252" w:lineRule="auto"/>
      <w:ind w:left="720"/>
    </w:pPr>
    <w:rPr>
      <w:rFonts w:ascii="Calibri" w:eastAsia="Times New Roman" w:hAnsi="Calibri" w:cs="Times New Roman"/>
      <w:lang w:eastAsia="es-GT"/>
    </w:rPr>
  </w:style>
  <w:style w:type="character" w:styleId="Nmerodepgina">
    <w:name w:val="page number"/>
    <w:basedOn w:val="Fuentedeprrafopredeter"/>
    <w:uiPriority w:val="99"/>
    <w:rsid w:val="00CE3D5C"/>
  </w:style>
  <w:style w:type="table" w:customStyle="1" w:styleId="Tablaconcuadrcula1">
    <w:name w:val="Tabla con cuadrícula1"/>
    <w:basedOn w:val="Tablanormal"/>
    <w:next w:val="Tablaconcuadrcula"/>
    <w:uiPriority w:val="59"/>
    <w:locked/>
    <w:rsid w:val="00CE3D5C"/>
    <w:pPr>
      <w:spacing w:after="200" w:line="276" w:lineRule="auto"/>
    </w:pPr>
    <w:rPr>
      <w:rFonts w:ascii="Calibri" w:eastAsia="Times New Roman" w:hAnsi="Calibri" w:cs="Calibri"/>
      <w:lang w:eastAsia="es-G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Web1">
    <w:name w:val="Normal (Web)1"/>
    <w:basedOn w:val="Normal"/>
    <w:next w:val="NormalWeb"/>
    <w:uiPriority w:val="99"/>
    <w:semiHidden/>
    <w:unhideWhenUsed/>
    <w:rsid w:val="00CE3D5C"/>
    <w:pPr>
      <w:spacing w:before="100" w:beforeAutospacing="1" w:after="100" w:afterAutospacing="1" w:line="240" w:lineRule="auto"/>
    </w:pPr>
    <w:rPr>
      <w:rFonts w:ascii="Times New Roman" w:eastAsia="MS PGothic" w:hAnsi="Times New Roman" w:cs="Times New Roman"/>
      <w:sz w:val="24"/>
      <w:szCs w:val="24"/>
      <w:lang w:eastAsia="es-GT"/>
    </w:rPr>
  </w:style>
  <w:style w:type="paragraph" w:styleId="Saludo">
    <w:name w:val="Salutation"/>
    <w:basedOn w:val="Normal"/>
    <w:next w:val="Normal"/>
    <w:link w:val="SaludoCar"/>
    <w:uiPriority w:val="99"/>
    <w:unhideWhenUsed/>
    <w:rsid w:val="00CE3D5C"/>
    <w:pPr>
      <w:spacing w:after="200" w:line="252" w:lineRule="auto"/>
    </w:pPr>
    <w:rPr>
      <w:rFonts w:ascii="Calibri" w:eastAsia="MS PGothic" w:hAnsi="Calibri" w:cs="Times New Roman"/>
      <w:lang w:eastAsia="es-GT"/>
    </w:rPr>
  </w:style>
  <w:style w:type="character" w:customStyle="1" w:styleId="SaludoCar">
    <w:name w:val="Saludo Car"/>
    <w:basedOn w:val="Fuentedeprrafopredeter"/>
    <w:link w:val="Saludo"/>
    <w:uiPriority w:val="99"/>
    <w:rsid w:val="00CE3D5C"/>
    <w:rPr>
      <w:rFonts w:ascii="Calibri" w:eastAsia="MS PGothic" w:hAnsi="Calibri" w:cs="Times New Roman"/>
      <w:lang w:eastAsia="es-GT"/>
    </w:rPr>
  </w:style>
  <w:style w:type="paragraph" w:styleId="Listaconvietas2">
    <w:name w:val="List Bullet 2"/>
    <w:basedOn w:val="Normal"/>
    <w:uiPriority w:val="99"/>
    <w:unhideWhenUsed/>
    <w:rsid w:val="00CE3D5C"/>
    <w:pPr>
      <w:numPr>
        <w:numId w:val="17"/>
      </w:numPr>
      <w:tabs>
        <w:tab w:val="clear" w:pos="643"/>
      </w:tabs>
      <w:spacing w:after="200" w:line="252" w:lineRule="auto"/>
      <w:ind w:left="1080" w:hanging="720"/>
      <w:contextualSpacing/>
    </w:pPr>
    <w:rPr>
      <w:rFonts w:ascii="Calibri" w:eastAsia="MS PGothic" w:hAnsi="Calibri" w:cs="Times New Roman"/>
      <w:lang w:eastAsia="es-GT"/>
    </w:rPr>
  </w:style>
  <w:style w:type="paragraph" w:styleId="Textoindependiente">
    <w:name w:val="Body Text"/>
    <w:basedOn w:val="Normal"/>
    <w:link w:val="TextoindependienteCar"/>
    <w:uiPriority w:val="99"/>
    <w:unhideWhenUsed/>
    <w:rsid w:val="00CE3D5C"/>
    <w:pPr>
      <w:spacing w:after="120" w:line="252" w:lineRule="auto"/>
    </w:pPr>
    <w:rPr>
      <w:rFonts w:ascii="Calibri" w:eastAsia="MS PGothic" w:hAnsi="Calibri" w:cs="Times New Roman"/>
      <w:lang w:eastAsia="es-GT"/>
    </w:rPr>
  </w:style>
  <w:style w:type="character" w:customStyle="1" w:styleId="TextoindependienteCar">
    <w:name w:val="Texto independiente Car"/>
    <w:basedOn w:val="Fuentedeprrafopredeter"/>
    <w:link w:val="Textoindependiente"/>
    <w:uiPriority w:val="99"/>
    <w:rsid w:val="00CE3D5C"/>
    <w:rPr>
      <w:rFonts w:ascii="Calibri" w:eastAsia="MS PGothic" w:hAnsi="Calibri" w:cs="Times New Roman"/>
      <w:lang w:eastAsia="es-GT"/>
    </w:rPr>
  </w:style>
  <w:style w:type="paragraph" w:styleId="Textoindependienteprimerasangra">
    <w:name w:val="Body Text First Indent"/>
    <w:basedOn w:val="Textoindependiente"/>
    <w:link w:val="TextoindependienteprimerasangraCar"/>
    <w:uiPriority w:val="99"/>
    <w:unhideWhenUsed/>
    <w:rsid w:val="00CE3D5C"/>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CE3D5C"/>
    <w:rPr>
      <w:rFonts w:ascii="Calibri" w:eastAsia="MS PGothic" w:hAnsi="Calibri" w:cs="Times New Roman"/>
      <w:lang w:eastAsia="es-GT"/>
    </w:rPr>
  </w:style>
  <w:style w:type="paragraph" w:styleId="Epgrafe">
    <w:name w:val="caption"/>
    <w:basedOn w:val="Normal"/>
    <w:next w:val="Normal"/>
    <w:uiPriority w:val="35"/>
    <w:unhideWhenUsed/>
    <w:qFormat/>
    <w:rsid w:val="00CE3D5C"/>
    <w:pPr>
      <w:spacing w:after="200" w:line="252" w:lineRule="auto"/>
    </w:pPr>
    <w:rPr>
      <w:rFonts w:ascii="Calibri" w:eastAsia="MS PGothic" w:hAnsi="Calibri" w:cs="Times New Roman"/>
      <w:caps/>
      <w:spacing w:val="10"/>
      <w:sz w:val="18"/>
      <w:szCs w:val="18"/>
      <w:lang w:eastAsia="es-GT"/>
    </w:rPr>
  </w:style>
  <w:style w:type="paragraph" w:customStyle="1" w:styleId="Ttulo10">
    <w:name w:val="Título1"/>
    <w:basedOn w:val="Normal"/>
    <w:next w:val="Normal"/>
    <w:uiPriority w:val="10"/>
    <w:qFormat/>
    <w:locked/>
    <w:rsid w:val="00CE3D5C"/>
    <w:pPr>
      <w:pBdr>
        <w:top w:val="dotted" w:sz="2" w:space="1" w:color="143F6A"/>
        <w:bottom w:val="dotted" w:sz="2" w:space="6" w:color="143F6A"/>
      </w:pBdr>
      <w:spacing w:before="500" w:after="300" w:line="240" w:lineRule="auto"/>
      <w:jc w:val="center"/>
    </w:pPr>
    <w:rPr>
      <w:rFonts w:ascii="Calibri" w:eastAsia="MS PGothic" w:hAnsi="Calibri" w:cs="Times New Roman"/>
      <w:caps/>
      <w:color w:val="143F6A"/>
      <w:spacing w:val="50"/>
      <w:sz w:val="44"/>
      <w:szCs w:val="44"/>
      <w:lang w:eastAsia="es-GT"/>
    </w:rPr>
  </w:style>
  <w:style w:type="character" w:customStyle="1" w:styleId="TtuloCar">
    <w:name w:val="Título Car"/>
    <w:basedOn w:val="Fuentedeprrafopredeter"/>
    <w:link w:val="Ttulo"/>
    <w:uiPriority w:val="10"/>
    <w:rsid w:val="00CE3D5C"/>
    <w:rPr>
      <w:caps/>
      <w:color w:val="143F6A"/>
      <w:spacing w:val="50"/>
      <w:sz w:val="44"/>
      <w:szCs w:val="44"/>
    </w:rPr>
  </w:style>
  <w:style w:type="paragraph" w:styleId="Subttulo">
    <w:name w:val="Subtitle"/>
    <w:basedOn w:val="Normal"/>
    <w:next w:val="Normal"/>
    <w:link w:val="SubttuloCar"/>
    <w:uiPriority w:val="11"/>
    <w:qFormat/>
    <w:rsid w:val="00CE3D5C"/>
    <w:pPr>
      <w:spacing w:after="560" w:line="240" w:lineRule="auto"/>
      <w:jc w:val="center"/>
    </w:pPr>
    <w:rPr>
      <w:rFonts w:ascii="Calibri" w:eastAsia="MS PGothic" w:hAnsi="Calibri" w:cs="Times New Roman"/>
      <w:caps/>
      <w:spacing w:val="20"/>
      <w:sz w:val="18"/>
      <w:szCs w:val="18"/>
      <w:lang w:eastAsia="es-GT"/>
    </w:rPr>
  </w:style>
  <w:style w:type="character" w:customStyle="1" w:styleId="SubttuloCar">
    <w:name w:val="Subtítulo Car"/>
    <w:basedOn w:val="Fuentedeprrafopredeter"/>
    <w:link w:val="Subttulo"/>
    <w:uiPriority w:val="11"/>
    <w:rsid w:val="00CE3D5C"/>
    <w:rPr>
      <w:rFonts w:ascii="Calibri" w:eastAsia="MS PGothic" w:hAnsi="Calibri" w:cs="Times New Roman"/>
      <w:caps/>
      <w:spacing w:val="20"/>
      <w:sz w:val="18"/>
      <w:szCs w:val="18"/>
      <w:lang w:eastAsia="es-GT"/>
    </w:rPr>
  </w:style>
  <w:style w:type="character" w:customStyle="1" w:styleId="Textoennegrita1">
    <w:name w:val="Texto en negrita1"/>
    <w:uiPriority w:val="22"/>
    <w:qFormat/>
    <w:locked/>
    <w:rsid w:val="00CE3D5C"/>
    <w:rPr>
      <w:b/>
      <w:bCs/>
      <w:color w:val="1E5E9F"/>
      <w:spacing w:val="5"/>
    </w:rPr>
  </w:style>
  <w:style w:type="character" w:styleId="nfasis">
    <w:name w:val="Emphasis"/>
    <w:uiPriority w:val="20"/>
    <w:qFormat/>
    <w:rsid w:val="00CE3D5C"/>
    <w:rPr>
      <w:caps/>
      <w:spacing w:val="5"/>
      <w:sz w:val="20"/>
      <w:szCs w:val="20"/>
    </w:rPr>
  </w:style>
  <w:style w:type="paragraph" w:styleId="Cita">
    <w:name w:val="Quote"/>
    <w:basedOn w:val="Normal"/>
    <w:next w:val="Normal"/>
    <w:link w:val="CitaCar"/>
    <w:uiPriority w:val="29"/>
    <w:qFormat/>
    <w:rsid w:val="00CE3D5C"/>
    <w:pPr>
      <w:spacing w:after="200" w:line="252" w:lineRule="auto"/>
    </w:pPr>
    <w:rPr>
      <w:rFonts w:ascii="Calibri" w:eastAsia="MS PGothic" w:hAnsi="Calibri" w:cs="Times New Roman"/>
      <w:i/>
      <w:iCs/>
      <w:lang w:eastAsia="es-GT"/>
    </w:rPr>
  </w:style>
  <w:style w:type="character" w:customStyle="1" w:styleId="CitaCar">
    <w:name w:val="Cita Car"/>
    <w:basedOn w:val="Fuentedeprrafopredeter"/>
    <w:link w:val="Cita"/>
    <w:uiPriority w:val="29"/>
    <w:rsid w:val="00CE3D5C"/>
    <w:rPr>
      <w:rFonts w:ascii="Calibri" w:eastAsia="MS PGothic" w:hAnsi="Calibri" w:cs="Times New Roman"/>
      <w:i/>
      <w:iCs/>
      <w:lang w:eastAsia="es-GT"/>
    </w:rPr>
  </w:style>
  <w:style w:type="paragraph" w:customStyle="1" w:styleId="Citadestacada1">
    <w:name w:val="Cita destacada1"/>
    <w:basedOn w:val="Normal"/>
    <w:next w:val="Normal"/>
    <w:uiPriority w:val="30"/>
    <w:qFormat/>
    <w:rsid w:val="00CE3D5C"/>
    <w:pPr>
      <w:pBdr>
        <w:top w:val="dotted" w:sz="2" w:space="10" w:color="143F6A"/>
        <w:bottom w:val="dotted" w:sz="2" w:space="4" w:color="143F6A"/>
      </w:pBdr>
      <w:spacing w:before="160" w:after="200" w:line="300" w:lineRule="auto"/>
      <w:ind w:left="1440" w:right="1440"/>
    </w:pPr>
    <w:rPr>
      <w:rFonts w:ascii="Calibri" w:eastAsia="MS PGothic" w:hAnsi="Calibri" w:cs="Times New Roman"/>
      <w:caps/>
      <w:color w:val="143E69"/>
      <w:spacing w:val="5"/>
      <w:sz w:val="20"/>
      <w:szCs w:val="20"/>
      <w:lang w:eastAsia="es-GT"/>
    </w:rPr>
  </w:style>
  <w:style w:type="character" w:customStyle="1" w:styleId="CitadestacadaCar">
    <w:name w:val="Cita destacada Car"/>
    <w:basedOn w:val="Fuentedeprrafopredeter"/>
    <w:link w:val="Citadestacada"/>
    <w:uiPriority w:val="30"/>
    <w:rsid w:val="00CE3D5C"/>
    <w:rPr>
      <w:caps/>
      <w:color w:val="143E69"/>
      <w:spacing w:val="5"/>
      <w:sz w:val="20"/>
      <w:szCs w:val="20"/>
    </w:rPr>
  </w:style>
  <w:style w:type="character" w:styleId="nfasissutil">
    <w:name w:val="Subtle Emphasis"/>
    <w:uiPriority w:val="19"/>
    <w:qFormat/>
    <w:rsid w:val="00CE3D5C"/>
    <w:rPr>
      <w:i/>
      <w:iCs/>
    </w:rPr>
  </w:style>
  <w:style w:type="character" w:styleId="nfasisintenso">
    <w:name w:val="Intense Emphasis"/>
    <w:uiPriority w:val="21"/>
    <w:qFormat/>
    <w:rsid w:val="00CE3D5C"/>
    <w:rPr>
      <w:i/>
      <w:iCs/>
      <w:caps/>
      <w:spacing w:val="10"/>
      <w:sz w:val="20"/>
      <w:szCs w:val="20"/>
    </w:rPr>
  </w:style>
  <w:style w:type="character" w:customStyle="1" w:styleId="Referenciasutil1">
    <w:name w:val="Referencia sutil1"/>
    <w:basedOn w:val="Fuentedeprrafopredeter"/>
    <w:uiPriority w:val="31"/>
    <w:qFormat/>
    <w:rsid w:val="00CE3D5C"/>
    <w:rPr>
      <w:rFonts w:ascii="Calibri" w:eastAsia="MS PGothic" w:hAnsi="Calibri" w:cs="Times New Roman"/>
      <w:i/>
      <w:iCs/>
      <w:color w:val="143E69"/>
    </w:rPr>
  </w:style>
  <w:style w:type="character" w:customStyle="1" w:styleId="Referenciaintensa1">
    <w:name w:val="Referencia intensa1"/>
    <w:uiPriority w:val="32"/>
    <w:qFormat/>
    <w:rsid w:val="00CE3D5C"/>
    <w:rPr>
      <w:rFonts w:ascii="Calibri" w:eastAsia="MS PGothic" w:hAnsi="Calibri" w:cs="Times New Roman"/>
      <w:b/>
      <w:bCs/>
      <w:i/>
      <w:iCs/>
      <w:color w:val="143E69"/>
    </w:rPr>
  </w:style>
  <w:style w:type="character" w:customStyle="1" w:styleId="Ttulodellibro1">
    <w:name w:val="Título del libro1"/>
    <w:uiPriority w:val="33"/>
    <w:qFormat/>
    <w:rsid w:val="00CE3D5C"/>
    <w:rPr>
      <w:caps/>
      <w:color w:val="143E69"/>
      <w:spacing w:val="5"/>
      <w:u w:color="143E69"/>
    </w:rPr>
  </w:style>
  <w:style w:type="table" w:customStyle="1" w:styleId="Tabladecuadrcula4-nfasis21">
    <w:name w:val="Tabla de cuadrícula 4 - Énfasis 21"/>
    <w:basedOn w:val="Tablanormal"/>
    <w:uiPriority w:val="49"/>
    <w:rsid w:val="00CE3D5C"/>
    <w:pPr>
      <w:spacing w:after="0" w:line="240" w:lineRule="auto"/>
    </w:pPr>
    <w:rPr>
      <w:rFonts w:ascii="Calibri" w:eastAsia="MS PGothic" w:hAnsi="Calibri" w:cs="Times New Roman"/>
      <w:lang w:eastAsia="es-GT"/>
    </w:rPr>
    <w:tblPr>
      <w:tblStyleRowBandSize w:val="1"/>
      <w:tblStyleColBandSize w:val="1"/>
      <w:tblInd w:w="0" w:type="dxa"/>
      <w:tblBorders>
        <w:top w:val="single" w:sz="4" w:space="0" w:color="7EB1E6"/>
        <w:left w:val="single" w:sz="4" w:space="0" w:color="7EB1E6"/>
        <w:bottom w:val="single" w:sz="4" w:space="0" w:color="7EB1E6"/>
        <w:right w:val="single" w:sz="4" w:space="0" w:color="7EB1E6"/>
        <w:insideH w:val="single" w:sz="4" w:space="0" w:color="7EB1E6"/>
        <w:insideV w:val="single" w:sz="4" w:space="0" w:color="7EB1E6"/>
      </w:tblBorders>
      <w:tblCellMar>
        <w:top w:w="0" w:type="dxa"/>
        <w:left w:w="108" w:type="dxa"/>
        <w:bottom w:w="0" w:type="dxa"/>
        <w:right w:w="108" w:type="dxa"/>
      </w:tblCellMar>
    </w:tblPr>
    <w:tblStylePr w:type="firstRow">
      <w:rPr>
        <w:b/>
        <w:bCs/>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bCs/>
      </w:rPr>
      <w:tblPr/>
      <w:tcPr>
        <w:tcBorders>
          <w:top w:val="double" w:sz="4" w:space="0" w:color="297FD5"/>
        </w:tcBorders>
      </w:tcPr>
    </w:tblStylePr>
    <w:tblStylePr w:type="firstCol">
      <w:rPr>
        <w:b/>
        <w:bCs/>
      </w:rPr>
    </w:tblStylePr>
    <w:tblStylePr w:type="lastCol">
      <w:rPr>
        <w:b/>
        <w:bCs/>
      </w:rPr>
    </w:tblStylePr>
    <w:tblStylePr w:type="band1Vert">
      <w:tblPr/>
      <w:tcPr>
        <w:shd w:val="clear" w:color="auto" w:fill="D3E5F6"/>
      </w:tcPr>
    </w:tblStylePr>
    <w:tblStylePr w:type="band1Horz">
      <w:tblPr/>
      <w:tcPr>
        <w:shd w:val="clear" w:color="auto" w:fill="D3E5F6"/>
      </w:tcPr>
    </w:tblStylePr>
  </w:style>
  <w:style w:type="paragraph" w:styleId="NormalWeb">
    <w:name w:val="Normal (Web)"/>
    <w:basedOn w:val="Normal"/>
    <w:uiPriority w:val="99"/>
    <w:semiHidden/>
    <w:unhideWhenUsed/>
    <w:rsid w:val="00CE3D5C"/>
    <w:rPr>
      <w:rFonts w:ascii="Times New Roman" w:hAnsi="Times New Roman" w:cs="Times New Roman"/>
      <w:sz w:val="24"/>
      <w:szCs w:val="24"/>
    </w:rPr>
  </w:style>
  <w:style w:type="paragraph" w:styleId="Ttulo">
    <w:name w:val="Title"/>
    <w:basedOn w:val="Normal"/>
    <w:next w:val="Normal"/>
    <w:link w:val="TtuloCar"/>
    <w:uiPriority w:val="10"/>
    <w:qFormat/>
    <w:rsid w:val="00CE3D5C"/>
    <w:pPr>
      <w:spacing w:after="0" w:line="240" w:lineRule="auto"/>
      <w:contextualSpacing/>
    </w:pPr>
    <w:rPr>
      <w:caps/>
      <w:color w:val="143F6A"/>
      <w:spacing w:val="50"/>
      <w:sz w:val="44"/>
      <w:szCs w:val="44"/>
    </w:rPr>
  </w:style>
  <w:style w:type="character" w:customStyle="1" w:styleId="TtuloCar1">
    <w:name w:val="Título Car1"/>
    <w:basedOn w:val="Fuentedeprrafopredeter"/>
    <w:uiPriority w:val="10"/>
    <w:rsid w:val="00CE3D5C"/>
    <w:rPr>
      <w:rFonts w:asciiTheme="majorHAnsi" w:eastAsiaTheme="majorEastAsia" w:hAnsiTheme="majorHAnsi" w:cstheme="majorBidi"/>
      <w:spacing w:val="-10"/>
      <w:kern w:val="28"/>
      <w:sz w:val="56"/>
      <w:szCs w:val="56"/>
    </w:rPr>
  </w:style>
  <w:style w:type="character" w:styleId="Textoennegrita">
    <w:name w:val="Strong"/>
    <w:basedOn w:val="Fuentedeprrafopredeter"/>
    <w:uiPriority w:val="22"/>
    <w:qFormat/>
    <w:rsid w:val="00CE3D5C"/>
    <w:rPr>
      <w:b/>
      <w:bCs/>
    </w:rPr>
  </w:style>
  <w:style w:type="paragraph" w:styleId="Citadestacada">
    <w:name w:val="Intense Quote"/>
    <w:basedOn w:val="Normal"/>
    <w:next w:val="Normal"/>
    <w:link w:val="CitadestacadaCar"/>
    <w:uiPriority w:val="30"/>
    <w:qFormat/>
    <w:rsid w:val="00CE3D5C"/>
    <w:pPr>
      <w:pBdr>
        <w:top w:val="single" w:sz="4" w:space="10" w:color="4472C4" w:themeColor="accent1"/>
        <w:bottom w:val="single" w:sz="4" w:space="10" w:color="4472C4" w:themeColor="accent1"/>
      </w:pBdr>
      <w:spacing w:before="360" w:after="360"/>
      <w:ind w:left="864" w:right="864"/>
      <w:jc w:val="center"/>
    </w:pPr>
    <w:rPr>
      <w:caps/>
      <w:color w:val="143E69"/>
      <w:spacing w:val="5"/>
      <w:sz w:val="20"/>
      <w:szCs w:val="20"/>
    </w:rPr>
  </w:style>
  <w:style w:type="character" w:customStyle="1" w:styleId="CitadestacadaCar1">
    <w:name w:val="Cita destacada Car1"/>
    <w:basedOn w:val="Fuentedeprrafopredeter"/>
    <w:uiPriority w:val="30"/>
    <w:rsid w:val="00CE3D5C"/>
    <w:rPr>
      <w:i/>
      <w:iCs/>
      <w:color w:val="4472C4" w:themeColor="accent1"/>
    </w:rPr>
  </w:style>
  <w:style w:type="character" w:styleId="Referenciasutil">
    <w:name w:val="Subtle Reference"/>
    <w:basedOn w:val="Fuentedeprrafopredeter"/>
    <w:uiPriority w:val="31"/>
    <w:qFormat/>
    <w:rsid w:val="00CE3D5C"/>
    <w:rPr>
      <w:smallCaps/>
      <w:color w:val="5A5A5A" w:themeColor="text1" w:themeTint="A5"/>
    </w:rPr>
  </w:style>
  <w:style w:type="character" w:styleId="Referenciaintensa">
    <w:name w:val="Intense Reference"/>
    <w:basedOn w:val="Fuentedeprrafopredeter"/>
    <w:uiPriority w:val="32"/>
    <w:qFormat/>
    <w:rsid w:val="00CE3D5C"/>
    <w:rPr>
      <w:b/>
      <w:bCs/>
      <w:smallCaps/>
      <w:color w:val="4472C4" w:themeColor="accent1"/>
      <w:spacing w:val="5"/>
    </w:rPr>
  </w:style>
  <w:style w:type="character" w:styleId="Ttulodellibro">
    <w:name w:val="Book Title"/>
    <w:basedOn w:val="Fuentedeprrafopredeter"/>
    <w:uiPriority w:val="33"/>
    <w:qFormat/>
    <w:rsid w:val="00CE3D5C"/>
    <w:rPr>
      <w:b/>
      <w:bCs/>
      <w:i/>
      <w:iCs/>
      <w:spacing w:val="5"/>
    </w:rPr>
  </w:style>
  <w:style w:type="paragraph" w:customStyle="1" w:styleId="normalinforme">
    <w:name w:val="normal informe"/>
    <w:basedOn w:val="Normal"/>
    <w:link w:val="normalinformeCar"/>
    <w:qFormat/>
    <w:rsid w:val="000567DA"/>
    <w:pPr>
      <w:ind w:left="432" w:hanging="432"/>
    </w:pPr>
    <w:rPr>
      <w:rFonts w:eastAsia="Times New Roman"/>
      <w:lang w:val="es-ES"/>
    </w:rPr>
  </w:style>
  <w:style w:type="character" w:customStyle="1" w:styleId="normalinformeCar">
    <w:name w:val="normal informe Car"/>
    <w:basedOn w:val="Fuentedeprrafopredeter"/>
    <w:link w:val="normalinforme"/>
    <w:rsid w:val="000567DA"/>
    <w:rPr>
      <w:rFonts w:eastAsia="Times New Roman"/>
      <w:lang w:val="es-ES"/>
    </w:rPr>
  </w:style>
  <w:style w:type="paragraph" w:customStyle="1" w:styleId="TITULOSINFORMENUEVO">
    <w:name w:val="TITULOS INFORME NUEVO"/>
    <w:basedOn w:val="Normal1"/>
    <w:next w:val="Normal1"/>
    <w:link w:val="TITULOSINFORMENUEVOCar"/>
    <w:qFormat/>
    <w:rsid w:val="00A87EEB"/>
    <w:pPr>
      <w:numPr>
        <w:numId w:val="18"/>
      </w:numPr>
    </w:pPr>
    <w:rPr>
      <w:b/>
      <w:bCs/>
      <w:iCs/>
      <w:color w:val="1F4E79" w:themeColor="accent5" w:themeShade="80"/>
      <w:sz w:val="32"/>
      <w:szCs w:val="40"/>
    </w:rPr>
  </w:style>
  <w:style w:type="character" w:customStyle="1" w:styleId="TITULOSINFORMENUEVOCar">
    <w:name w:val="TITULOS INFORME NUEVO Car"/>
    <w:basedOn w:val="Fuentedeprrafopredeter"/>
    <w:link w:val="TITULOSINFORMENUEVO"/>
    <w:rsid w:val="00A87EEB"/>
    <w:rPr>
      <w:rFonts w:ascii="Candara" w:eastAsia="Candara" w:hAnsi="Candara" w:cs="Candara"/>
      <w:b/>
      <w:bCs/>
      <w:iCs/>
      <w:color w:val="1F4E79" w:themeColor="accent5" w:themeShade="80"/>
      <w:sz w:val="32"/>
      <w:szCs w:val="40"/>
      <w:lang w:eastAsia="es-GT"/>
    </w:rPr>
  </w:style>
  <w:style w:type="numbering" w:customStyle="1" w:styleId="Sinlista3">
    <w:name w:val="Sin lista3"/>
    <w:next w:val="Sinlista"/>
    <w:uiPriority w:val="99"/>
    <w:semiHidden/>
    <w:unhideWhenUsed/>
    <w:rsid w:val="00693BD9"/>
  </w:style>
  <w:style w:type="character" w:styleId="Hipervnculovisitado">
    <w:name w:val="FollowedHyperlink"/>
    <w:basedOn w:val="Fuentedeprrafopredeter"/>
    <w:uiPriority w:val="99"/>
    <w:semiHidden/>
    <w:unhideWhenUsed/>
    <w:rsid w:val="00693BD9"/>
    <w:rPr>
      <w:color w:val="954F72"/>
      <w:u w:val="single"/>
    </w:rPr>
  </w:style>
  <w:style w:type="paragraph" w:customStyle="1" w:styleId="msonormal0">
    <w:name w:val="msonormal"/>
    <w:basedOn w:val="Normal"/>
    <w:rsid w:val="00693BD9"/>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customStyle="1" w:styleId="xl65">
    <w:name w:val="xl65"/>
    <w:basedOn w:val="Normal"/>
    <w:rsid w:val="00693BD9"/>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customStyle="1" w:styleId="xl66">
    <w:name w:val="xl66"/>
    <w:basedOn w:val="Normal"/>
    <w:rsid w:val="00693B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es-GT"/>
    </w:rPr>
  </w:style>
  <w:style w:type="paragraph" w:customStyle="1" w:styleId="xl67">
    <w:name w:val="xl67"/>
    <w:basedOn w:val="Normal"/>
    <w:rsid w:val="00693BD9"/>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68">
    <w:name w:val="xl68"/>
    <w:basedOn w:val="Normal"/>
    <w:rsid w:val="00693BD9"/>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69">
    <w:name w:val="xl69"/>
    <w:basedOn w:val="Normal"/>
    <w:rsid w:val="00693BD9"/>
    <w:pPr>
      <w:pBdr>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70">
    <w:name w:val="xl70"/>
    <w:basedOn w:val="Normal"/>
    <w:rsid w:val="00693BD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71">
    <w:name w:val="xl71"/>
    <w:basedOn w:val="Normal"/>
    <w:rsid w:val="00693BD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GT"/>
    </w:rPr>
  </w:style>
  <w:style w:type="paragraph" w:customStyle="1" w:styleId="xl72">
    <w:name w:val="xl72"/>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3">
    <w:name w:val="xl73"/>
    <w:basedOn w:val="Normal"/>
    <w:rsid w:val="00693B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36"/>
      <w:szCs w:val="36"/>
      <w:lang w:eastAsia="es-GT"/>
    </w:rPr>
  </w:style>
  <w:style w:type="paragraph" w:customStyle="1" w:styleId="xl74">
    <w:name w:val="xl74"/>
    <w:basedOn w:val="Normal"/>
    <w:rsid w:val="00693BD9"/>
    <w:pPr>
      <w:pBdr>
        <w:top w:val="single" w:sz="8" w:space="0" w:color="auto"/>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5">
    <w:name w:val="xl75"/>
    <w:basedOn w:val="Normal"/>
    <w:rsid w:val="00693BD9"/>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6">
    <w:name w:val="xl76"/>
    <w:basedOn w:val="Normal"/>
    <w:rsid w:val="00693BD9"/>
    <w:pPr>
      <w:pBdr>
        <w:top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7">
    <w:name w:val="xl77"/>
    <w:basedOn w:val="Normal"/>
    <w:rsid w:val="00693BD9"/>
    <w:pPr>
      <w:pBdr>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8">
    <w:name w:val="xl78"/>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79">
    <w:name w:val="xl79"/>
    <w:basedOn w:val="Normal"/>
    <w:rsid w:val="00693BD9"/>
    <w:pPr>
      <w:pBdr>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0">
    <w:name w:val="xl80"/>
    <w:basedOn w:val="Normal"/>
    <w:rsid w:val="00693BD9"/>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1">
    <w:name w:val="xl81"/>
    <w:basedOn w:val="Normal"/>
    <w:rsid w:val="00693BD9"/>
    <w:pPr>
      <w:pBdr>
        <w:lef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2">
    <w:name w:val="xl82"/>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3">
    <w:name w:val="xl83"/>
    <w:basedOn w:val="Normal"/>
    <w:rsid w:val="00693BD9"/>
    <w:pPr>
      <w:pBdr>
        <w:left w:val="single" w:sz="8"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4">
    <w:name w:val="xl84"/>
    <w:basedOn w:val="Normal"/>
    <w:rsid w:val="00693BD9"/>
    <w:pP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5">
    <w:name w:val="xl85"/>
    <w:basedOn w:val="Normal"/>
    <w:rsid w:val="00693BD9"/>
    <w:pPr>
      <w:pBdr>
        <w:right w:val="single" w:sz="8"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6">
    <w:name w:val="xl86"/>
    <w:basedOn w:val="Normal"/>
    <w:rsid w:val="00693BD9"/>
    <w:pPr>
      <w:pBdr>
        <w:left w:val="single" w:sz="8"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7">
    <w:name w:val="xl87"/>
    <w:basedOn w:val="Normal"/>
    <w:rsid w:val="00693BD9"/>
    <w:pP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8">
    <w:name w:val="xl88"/>
    <w:basedOn w:val="Normal"/>
    <w:rsid w:val="00693BD9"/>
    <w:pPr>
      <w:pBdr>
        <w:left w:val="single" w:sz="8" w:space="0" w:color="auto"/>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89">
    <w:name w:val="xl89"/>
    <w:basedOn w:val="Normal"/>
    <w:rsid w:val="00693BD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0">
    <w:name w:val="xl90"/>
    <w:basedOn w:val="Normal"/>
    <w:rsid w:val="00693BD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1">
    <w:name w:val="xl91"/>
    <w:basedOn w:val="Normal"/>
    <w:rsid w:val="00693BD9"/>
    <w:pPr>
      <w:pBdr>
        <w:left w:val="single" w:sz="8" w:space="0" w:color="auto"/>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2">
    <w:name w:val="xl92"/>
    <w:basedOn w:val="Normal"/>
    <w:rsid w:val="00693BD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paragraph" w:customStyle="1" w:styleId="xl93">
    <w:name w:val="xl93"/>
    <w:basedOn w:val="Normal"/>
    <w:rsid w:val="00693BD9"/>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s-GT"/>
    </w:rPr>
  </w:style>
  <w:style w:type="table" w:customStyle="1" w:styleId="GridTable2Accent1">
    <w:name w:val="Grid Table 2 Accent 1"/>
    <w:basedOn w:val="Tablanormal"/>
    <w:uiPriority w:val="47"/>
    <w:rsid w:val="000B241B"/>
    <w:pPr>
      <w:spacing w:after="0" w:line="240" w:lineRule="auto"/>
    </w:p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1LightAccent5">
    <w:name w:val="Grid Table 1 Light Accent 5"/>
    <w:basedOn w:val="Tablanormal"/>
    <w:uiPriority w:val="46"/>
    <w:rsid w:val="000B241B"/>
    <w:pPr>
      <w:spacing w:after="0" w:line="240" w:lineRule="auto"/>
    </w:pPr>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4Accent1">
    <w:name w:val="Grid Table 4 Accent 1"/>
    <w:basedOn w:val="Tablanormal"/>
    <w:uiPriority w:val="49"/>
    <w:rsid w:val="000B241B"/>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abladeilustraciones">
    <w:name w:val="table of figures"/>
    <w:basedOn w:val="Normal"/>
    <w:next w:val="Normal"/>
    <w:uiPriority w:val="99"/>
    <w:unhideWhenUsed/>
    <w:rsid w:val="0018772F"/>
    <w:pPr>
      <w:spacing w:after="0"/>
    </w:pPr>
    <w:rPr>
      <w:rFonts w:cstheme="minorHAnsi"/>
      <w:i/>
      <w:iCs/>
      <w:sz w:val="20"/>
      <w:szCs w:val="20"/>
    </w:rPr>
  </w:style>
  <w:style w:type="table" w:customStyle="1" w:styleId="GridTableLight">
    <w:name w:val="Grid Table Light"/>
    <w:basedOn w:val="Tablanormal"/>
    <w:uiPriority w:val="40"/>
    <w:rsid w:val="00487598"/>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45623">
      <w:bodyDiv w:val="1"/>
      <w:marLeft w:val="0"/>
      <w:marRight w:val="0"/>
      <w:marTop w:val="0"/>
      <w:marBottom w:val="0"/>
      <w:divBdr>
        <w:top w:val="none" w:sz="0" w:space="0" w:color="auto"/>
        <w:left w:val="none" w:sz="0" w:space="0" w:color="auto"/>
        <w:bottom w:val="none" w:sz="0" w:space="0" w:color="auto"/>
        <w:right w:val="none" w:sz="0" w:space="0" w:color="auto"/>
      </w:divBdr>
    </w:div>
    <w:div w:id="517740432">
      <w:bodyDiv w:val="1"/>
      <w:marLeft w:val="0"/>
      <w:marRight w:val="0"/>
      <w:marTop w:val="0"/>
      <w:marBottom w:val="0"/>
      <w:divBdr>
        <w:top w:val="none" w:sz="0" w:space="0" w:color="auto"/>
        <w:left w:val="none" w:sz="0" w:space="0" w:color="auto"/>
        <w:bottom w:val="none" w:sz="0" w:space="0" w:color="auto"/>
        <w:right w:val="none" w:sz="0" w:space="0" w:color="auto"/>
      </w:divBdr>
    </w:div>
    <w:div w:id="523859296">
      <w:bodyDiv w:val="1"/>
      <w:marLeft w:val="0"/>
      <w:marRight w:val="0"/>
      <w:marTop w:val="0"/>
      <w:marBottom w:val="0"/>
      <w:divBdr>
        <w:top w:val="none" w:sz="0" w:space="0" w:color="auto"/>
        <w:left w:val="none" w:sz="0" w:space="0" w:color="auto"/>
        <w:bottom w:val="none" w:sz="0" w:space="0" w:color="auto"/>
        <w:right w:val="none" w:sz="0" w:space="0" w:color="auto"/>
      </w:divBdr>
    </w:div>
    <w:div w:id="720861758">
      <w:bodyDiv w:val="1"/>
      <w:marLeft w:val="0"/>
      <w:marRight w:val="0"/>
      <w:marTop w:val="0"/>
      <w:marBottom w:val="0"/>
      <w:divBdr>
        <w:top w:val="none" w:sz="0" w:space="0" w:color="auto"/>
        <w:left w:val="none" w:sz="0" w:space="0" w:color="auto"/>
        <w:bottom w:val="none" w:sz="0" w:space="0" w:color="auto"/>
        <w:right w:val="none" w:sz="0" w:space="0" w:color="auto"/>
      </w:divBdr>
    </w:div>
    <w:div w:id="962033722">
      <w:bodyDiv w:val="1"/>
      <w:marLeft w:val="0"/>
      <w:marRight w:val="0"/>
      <w:marTop w:val="0"/>
      <w:marBottom w:val="0"/>
      <w:divBdr>
        <w:top w:val="none" w:sz="0" w:space="0" w:color="auto"/>
        <w:left w:val="none" w:sz="0" w:space="0" w:color="auto"/>
        <w:bottom w:val="none" w:sz="0" w:space="0" w:color="auto"/>
        <w:right w:val="none" w:sz="0" w:space="0" w:color="auto"/>
      </w:divBdr>
    </w:div>
    <w:div w:id="1010911695">
      <w:bodyDiv w:val="1"/>
      <w:marLeft w:val="0"/>
      <w:marRight w:val="0"/>
      <w:marTop w:val="0"/>
      <w:marBottom w:val="0"/>
      <w:divBdr>
        <w:top w:val="none" w:sz="0" w:space="0" w:color="auto"/>
        <w:left w:val="none" w:sz="0" w:space="0" w:color="auto"/>
        <w:bottom w:val="none" w:sz="0" w:space="0" w:color="auto"/>
        <w:right w:val="none" w:sz="0" w:space="0" w:color="auto"/>
      </w:divBdr>
    </w:div>
    <w:div w:id="1216352666">
      <w:bodyDiv w:val="1"/>
      <w:marLeft w:val="0"/>
      <w:marRight w:val="0"/>
      <w:marTop w:val="0"/>
      <w:marBottom w:val="0"/>
      <w:divBdr>
        <w:top w:val="none" w:sz="0" w:space="0" w:color="auto"/>
        <w:left w:val="none" w:sz="0" w:space="0" w:color="auto"/>
        <w:bottom w:val="none" w:sz="0" w:space="0" w:color="auto"/>
        <w:right w:val="none" w:sz="0" w:space="0" w:color="auto"/>
      </w:divBdr>
    </w:div>
    <w:div w:id="1309096279">
      <w:bodyDiv w:val="1"/>
      <w:marLeft w:val="0"/>
      <w:marRight w:val="0"/>
      <w:marTop w:val="0"/>
      <w:marBottom w:val="0"/>
      <w:divBdr>
        <w:top w:val="none" w:sz="0" w:space="0" w:color="auto"/>
        <w:left w:val="none" w:sz="0" w:space="0" w:color="auto"/>
        <w:bottom w:val="none" w:sz="0" w:space="0" w:color="auto"/>
        <w:right w:val="none" w:sz="0" w:space="0" w:color="auto"/>
      </w:divBdr>
    </w:div>
    <w:div w:id="1337152662">
      <w:bodyDiv w:val="1"/>
      <w:marLeft w:val="0"/>
      <w:marRight w:val="0"/>
      <w:marTop w:val="0"/>
      <w:marBottom w:val="0"/>
      <w:divBdr>
        <w:top w:val="none" w:sz="0" w:space="0" w:color="auto"/>
        <w:left w:val="none" w:sz="0" w:space="0" w:color="auto"/>
        <w:bottom w:val="none" w:sz="0" w:space="0" w:color="auto"/>
        <w:right w:val="none" w:sz="0" w:space="0" w:color="auto"/>
      </w:divBdr>
    </w:div>
    <w:div w:id="1579943919">
      <w:bodyDiv w:val="1"/>
      <w:marLeft w:val="0"/>
      <w:marRight w:val="0"/>
      <w:marTop w:val="0"/>
      <w:marBottom w:val="0"/>
      <w:divBdr>
        <w:top w:val="none" w:sz="0" w:space="0" w:color="auto"/>
        <w:left w:val="none" w:sz="0" w:space="0" w:color="auto"/>
        <w:bottom w:val="none" w:sz="0" w:space="0" w:color="auto"/>
        <w:right w:val="none" w:sz="0" w:space="0" w:color="auto"/>
      </w:divBdr>
    </w:div>
    <w:div w:id="1592084767">
      <w:bodyDiv w:val="1"/>
      <w:marLeft w:val="0"/>
      <w:marRight w:val="0"/>
      <w:marTop w:val="0"/>
      <w:marBottom w:val="0"/>
      <w:divBdr>
        <w:top w:val="none" w:sz="0" w:space="0" w:color="auto"/>
        <w:left w:val="none" w:sz="0" w:space="0" w:color="auto"/>
        <w:bottom w:val="none" w:sz="0" w:space="0" w:color="auto"/>
        <w:right w:val="none" w:sz="0" w:space="0" w:color="auto"/>
      </w:divBdr>
    </w:div>
    <w:div w:id="1657807670">
      <w:bodyDiv w:val="1"/>
      <w:marLeft w:val="0"/>
      <w:marRight w:val="0"/>
      <w:marTop w:val="0"/>
      <w:marBottom w:val="0"/>
      <w:divBdr>
        <w:top w:val="none" w:sz="0" w:space="0" w:color="auto"/>
        <w:left w:val="none" w:sz="0" w:space="0" w:color="auto"/>
        <w:bottom w:val="none" w:sz="0" w:space="0" w:color="auto"/>
        <w:right w:val="none" w:sz="0" w:space="0" w:color="auto"/>
      </w:divBdr>
    </w:div>
    <w:div w:id="1743672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nfile.com/leyes/index.php?id=181&amp;id_publicacion=68891" TargetMode="External"/><Relationship Id="rId18" Type="http://schemas.openxmlformats.org/officeDocument/2006/relationships/image" Target="media/image4.emf"/><Relationship Id="rId26" Type="http://schemas.openxmlformats.org/officeDocument/2006/relationships/image" Target="media/image10.png"/><Relationship Id="rId39" Type="http://schemas.openxmlformats.org/officeDocument/2006/relationships/chart" Target="charts/chart8.xml"/><Relationship Id="rId21" Type="http://schemas.openxmlformats.org/officeDocument/2006/relationships/image" Target="media/image7.emf"/><Relationship Id="rId34" Type="http://schemas.openxmlformats.org/officeDocument/2006/relationships/footer" Target="footer4.xml"/><Relationship Id="rId42" Type="http://schemas.openxmlformats.org/officeDocument/2006/relationships/chart" Target="charts/chart11.xml"/><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chart" Target="charts/chart3.xml"/><Relationship Id="rId32" Type="http://schemas.openxmlformats.org/officeDocument/2006/relationships/footer" Target="footer3.xm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chart" Target="charts/chart2.xml"/><Relationship Id="rId28" Type="http://schemas.openxmlformats.org/officeDocument/2006/relationships/image" Target="media/image11.emf"/><Relationship Id="rId36" Type="http://schemas.openxmlformats.org/officeDocument/2006/relationships/chart" Target="charts/chart5.xml"/><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header" Target="header3.xml"/><Relationship Id="rId44" Type="http://schemas.openxmlformats.org/officeDocument/2006/relationships/chart" Target="charts/chart13.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infile.com/leyes/index.php?id=181&amp;id_publicacion=68891" TargetMode="External"/><Relationship Id="rId22" Type="http://schemas.openxmlformats.org/officeDocument/2006/relationships/image" Target="media/image8.emf"/><Relationship Id="rId27" Type="http://schemas.openxmlformats.org/officeDocument/2006/relationships/chart" Target="charts/chart4.xml"/><Relationship Id="rId30" Type="http://schemas.openxmlformats.org/officeDocument/2006/relationships/image" Target="media/image13.png"/><Relationship Id="rId35" Type="http://schemas.openxmlformats.org/officeDocument/2006/relationships/image" Target="media/image14.emf"/><Relationship Id="rId43" Type="http://schemas.openxmlformats.org/officeDocument/2006/relationships/chart" Target="charts/chart12.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emf"/><Relationship Id="rId25" Type="http://schemas.openxmlformats.org/officeDocument/2006/relationships/image" Target="media/image9.emf"/><Relationship Id="rId33" Type="http://schemas.openxmlformats.org/officeDocument/2006/relationships/header" Target="header4.xml"/><Relationship Id="rId38" Type="http://schemas.openxmlformats.org/officeDocument/2006/relationships/chart" Target="charts/chart7.xml"/><Relationship Id="rId46" Type="http://schemas.openxmlformats.org/officeDocument/2006/relationships/fontTable" Target="fontTable.xml"/><Relationship Id="rId20" Type="http://schemas.openxmlformats.org/officeDocument/2006/relationships/image" Target="media/image6.emf"/><Relationship Id="rId41" Type="http://schemas.openxmlformats.org/officeDocument/2006/relationships/chart" Target="charts/chart10.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G:\INFORME%20CUATRIMESTRAL%20MUNIS\Tercer%20Informe%20cuatrimestral%202020\MAESTRO_INGRESO11012021133326346.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E:\DICIEMBRE%202020\DICIEMBRE%20REPORTES\2021_01_02%20Cuadros%20para%20Informe%20DICIEMBRE%202020-Versi&#243;n%20Revisada%20NZG.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oleObject" Target="file:///E:\DICIEMBRE%202020\DICIEMBRE%20REPORTES\2021_01_02%20Cuadros%20para%20Informe%20DICIEMBRE%202020-Versi&#243;n%20Revisada%20NZG.xlsx" TargetMode="External"/><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Excel7.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oleObject" Target="file:///G:\Tercer%20Informe%20cuatrimestral%202020\Modificaciones%20al%20POA.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Hoja_de_c_lculo_de_Microsoft_Excel5.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Hoja_de_c_lculo_de_Microsoft_Excel6.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36"/>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C4A0-4682-9FB8-E3935127BD9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C4A0-4682-9FB8-E3935127BD9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C4A0-4682-9FB8-E3935127BD9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C4A0-4682-9FB8-E3935127BD9A}"/>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C4A0-4682-9FB8-E3935127BD9A}"/>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C4A0-4682-9FB8-E3935127BD9A}"/>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C4A0-4682-9FB8-E3935127BD9A}"/>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C4A0-4682-9FB8-E3935127BD9A}"/>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C4A0-4682-9FB8-E3935127BD9A}"/>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3-C4A0-4682-9FB8-E3935127BD9A}"/>
              </c:ext>
            </c:extLst>
          </c:dPt>
          <c:dLbls>
            <c:dLbl>
              <c:idx val="0"/>
              <c:layout>
                <c:manualLayout>
                  <c:x val="-3.5224038097432145E-2"/>
                  <c:y val="-2.830188679245284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GT"/>
                </a:p>
              </c:txPr>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4A0-4682-9FB8-E3935127BD9A}"/>
                </c:ext>
              </c:extLst>
            </c:dLbl>
            <c:dLbl>
              <c:idx val="1"/>
              <c:layout>
                <c:manualLayout>
                  <c:x val="-3.5224038097432069E-2"/>
                  <c:y val="-2.515723270440254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GT"/>
                </a:p>
              </c:txPr>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4A0-4682-9FB8-E3935127BD9A}"/>
                </c:ext>
              </c:extLst>
            </c:dLbl>
            <c:dLbl>
              <c:idx val="2"/>
              <c:layout>
                <c:manualLayout>
                  <c:x val="8.2880089641016633E-2"/>
                  <c:y val="-7.547169811320755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GT"/>
                </a:p>
              </c:txPr>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4A0-4682-9FB8-E3935127BD9A}"/>
                </c:ext>
              </c:extLst>
            </c:dLbl>
            <c:dLbl>
              <c:idx val="3"/>
              <c:layout>
                <c:manualLayout>
                  <c:x val="8.7024094123067469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GT"/>
                </a:p>
              </c:txPr>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4A0-4682-9FB8-E3935127BD9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GT"/>
                </a:p>
              </c:txPr>
              <c:dLblPos val="outEnd"/>
              <c:showLegendKey val="1"/>
              <c:showVal val="0"/>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GT"/>
                </a:p>
              </c:txPr>
              <c:dLblPos val="outEnd"/>
              <c:showLegendKey val="1"/>
              <c:showVal val="0"/>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es-GT"/>
                </a:p>
              </c:txPr>
              <c:dLblPos val="outEnd"/>
              <c:showLegendKey val="1"/>
              <c:showVal val="0"/>
              <c:showCatName val="0"/>
              <c:showSerName val="0"/>
              <c:showPercent val="1"/>
              <c:showBubbleSize val="0"/>
            </c:dLbl>
            <c:dLbl>
              <c:idx val="7"/>
              <c:layout>
                <c:manualLayout>
                  <c:x val="-4.9728053784609982E-2"/>
                  <c:y val="-1.572327044025157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es-GT"/>
                </a:p>
              </c:txPr>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4A0-4682-9FB8-E3935127BD9A}"/>
                </c:ext>
              </c:extLst>
            </c:dLbl>
            <c:dLbl>
              <c:idx val="8"/>
              <c:layout>
                <c:manualLayout>
                  <c:x val="0"/>
                  <c:y val="-4.088050314465408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es-GT"/>
                </a:p>
              </c:txPr>
              <c:dLblPos val="bestFit"/>
              <c:showLegendKey val="1"/>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C4A0-4682-9FB8-E3935127BD9A}"/>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es-GT"/>
                </a:p>
              </c:txPr>
              <c:dLblPos val="outEnd"/>
              <c:showLegendKey val="1"/>
              <c:showVal val="0"/>
              <c:showCatName val="0"/>
              <c:showSerName val="0"/>
              <c:showPercent val="1"/>
              <c:showBubbleSize val="0"/>
            </c:dLbl>
            <c:spPr>
              <a:noFill/>
              <a:ln>
                <a:noFill/>
              </a:ln>
              <a:effectLst/>
            </c:spPr>
            <c:dLblPos val="out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'Tabla cruzada'!$B$3:$B$12</c:f>
              <c:strCache>
                <c:ptCount val="10"/>
                <c:pt idx="0">
                  <c:v>DISMINUCIÓN  DE CAJA Y BANCOS DE INGRESOS PROPIOS</c:v>
                </c:pt>
                <c:pt idx="1">
                  <c:v>DISMINUCIÓN DE CAJA Y BANCOS DE PRÉSTAMOS INTERNOS</c:v>
                </c:pt>
                <c:pt idx="2">
                  <c:v>DONACIONES EXTERNAS</c:v>
                </c:pt>
                <c:pt idx="3">
                  <c:v>DONACIONES INTERNAS</c:v>
                </c:pt>
                <c:pt idx="4">
                  <c:v>INGRESOS ORDINARIOS DE APORTE CONSTITUCIONAL</c:v>
                </c:pt>
                <c:pt idx="5">
                  <c:v>INGRESOS PROPIOS</c:v>
                </c:pt>
                <c:pt idx="6">
                  <c:v>INGRESOS TRIBUTARIOS IVA PAZ</c:v>
                </c:pt>
                <c:pt idx="7">
                  <c:v>OPERACIONES PATRIMONIALES</c:v>
                </c:pt>
                <c:pt idx="8">
                  <c:v>OTROS RECURSOS DEL TESORO CON AFECTACIÓN ESPECÍFICA</c:v>
                </c:pt>
                <c:pt idx="9">
                  <c:v>PRÉSTAMOS INTERNOS</c:v>
                </c:pt>
              </c:strCache>
            </c:strRef>
          </c:cat>
          <c:val>
            <c:numRef>
              <c:f>'Tabla cruzada'!$E$3:$E$12</c:f>
              <c:numCache>
                <c:formatCode>#,##0.00;\-#,##0.00;#,##0.00;\@</c:formatCode>
                <c:ptCount val="10"/>
                <c:pt idx="0" formatCode="#,##0.00;&quot;(&quot;#,##0.00&quot;)&quot;;#,##0.00;\@">
                  <c:v>2023249769.1400001</c:v>
                </c:pt>
                <c:pt idx="1">
                  <c:v>0</c:v>
                </c:pt>
                <c:pt idx="2" formatCode="#,##0.00;&quot;(&quot;#,##0.00&quot;)&quot;;#,##0.00;\@">
                  <c:v>48017202.020000003</c:v>
                </c:pt>
                <c:pt idx="3" formatCode="#,##0.00;&quot;(&quot;#,##0.00&quot;)&quot;;#,##0.00;\@">
                  <c:v>9038818.3599999994</c:v>
                </c:pt>
                <c:pt idx="4" formatCode="#,##0.00;&quot;(&quot;#,##0.00&quot;)&quot;;#,##0.00;\@">
                  <c:v>3405654312.71</c:v>
                </c:pt>
                <c:pt idx="5" formatCode="#,##0.00;&quot;(&quot;#,##0.00&quot;)&quot;;#,##0.00;\@">
                  <c:v>9084314195.7099991</c:v>
                </c:pt>
                <c:pt idx="6" formatCode="#,##0.00;&quot;(&quot;#,##0.00&quot;)&quot;;#,##0.00;\@">
                  <c:v>4044987604.8499999</c:v>
                </c:pt>
                <c:pt idx="7">
                  <c:v>0</c:v>
                </c:pt>
                <c:pt idx="8" formatCode="#,##0.00;&quot;(&quot;#,##0.00&quot;)&quot;;#,##0.00;\@">
                  <c:v>679175324.89999998</c:v>
                </c:pt>
                <c:pt idx="9" formatCode="#,##0.00;&quot;(&quot;#,##0.00&quot;)&quot;;#,##0.00;\@">
                  <c:v>465799051.02999997</c:v>
                </c:pt>
              </c:numCache>
            </c:numRef>
          </c:val>
          <c:extLst xmlns:c16r2="http://schemas.microsoft.com/office/drawing/2015/06/chart">
            <c:ext xmlns:c16="http://schemas.microsoft.com/office/drawing/2014/chart" uri="{C3380CC4-5D6E-409C-BE32-E72D297353CC}">
              <c16:uniqueId val="{00000014-C4A0-4682-9FB8-E3935127BD9A}"/>
            </c:ext>
          </c:extLst>
        </c:ser>
        <c:dLbls>
          <c:dLblPos val="outEnd"/>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1.4485253462160759E-2"/>
          <c:y val="0.7584992324072698"/>
          <c:w val="0.96688532544384487"/>
          <c:h val="0.2226328430644282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971425087464158E-2"/>
          <c:y val="0.13408587285367957"/>
          <c:w val="0.74456879407951482"/>
          <c:h val="0.8319087976598345"/>
        </c:manualLayout>
      </c:layout>
      <c:doughnutChart>
        <c:varyColors val="1"/>
        <c:ser>
          <c:idx val="0"/>
          <c:order val="0"/>
          <c:tx>
            <c:strRef>
              <c:f>'Fuente acumulada '!$E$132</c:f>
              <c:strCache>
                <c:ptCount val="1"/>
                <c:pt idx="0">
                  <c:v>Asignado 2020</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56D5-4602-8CC0-03B4476D0EB3}"/>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56D5-4602-8CC0-03B4476D0EB3}"/>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56D5-4602-8CC0-03B4476D0EB3}"/>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56D5-4602-8CC0-03B4476D0EB3}"/>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56D5-4602-8CC0-03B4476D0EB3}"/>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es-GT"/>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'Fuente acumulada '!$C$133:$C$138</c:f>
              <c:strCache>
                <c:ptCount val="5"/>
                <c:pt idx="0">
                  <c:v> BID </c:v>
                </c:pt>
                <c:pt idx="1">
                  <c:v> KFW </c:v>
                </c:pt>
                <c:pt idx="2">
                  <c:v> UE </c:v>
                </c:pt>
                <c:pt idx="3">
                  <c:v> FM </c:v>
                </c:pt>
                <c:pt idx="4">
                  <c:v> VARIOS </c:v>
                </c:pt>
              </c:strCache>
            </c:strRef>
          </c:cat>
          <c:val>
            <c:numRef>
              <c:f>'Fuente acumulada '!$E$133:$E$138</c:f>
              <c:numCache>
                <c:formatCode>_(* #,##0.00_);_(* \(#,##0.00\);_(* "-"??_);_(@_)</c:formatCode>
                <c:ptCount val="5"/>
                <c:pt idx="0">
                  <c:v>106.91999999999999</c:v>
                </c:pt>
                <c:pt idx="1">
                  <c:v>52.44</c:v>
                </c:pt>
                <c:pt idx="2">
                  <c:v>33.19</c:v>
                </c:pt>
                <c:pt idx="3">
                  <c:v>30.08</c:v>
                </c:pt>
                <c:pt idx="4">
                  <c:v>109.46000000000001</c:v>
                </c:pt>
              </c:numCache>
            </c:numRef>
          </c:val>
          <c:extLst xmlns:c16r2="http://schemas.microsoft.com/office/drawing/2015/06/chart">
            <c:ext xmlns:c16="http://schemas.microsoft.com/office/drawing/2014/chart" uri="{C3380CC4-5D6E-409C-BE32-E72D297353CC}">
              <c16:uniqueId val="{0000000A-56D5-4602-8CC0-03B4476D0EB3}"/>
            </c:ext>
          </c:extLst>
        </c:ser>
        <c:dLbls>
          <c:showLegendKey val="0"/>
          <c:showVal val="0"/>
          <c:showCatName val="0"/>
          <c:showSerName val="0"/>
          <c:showPercent val="1"/>
          <c:showBubbleSize val="0"/>
          <c:showLeaderLines val="0"/>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GT"/>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7680450458235096E-2"/>
          <c:y val="0.10329626741619088"/>
          <c:w val="0.82027506511712289"/>
          <c:h val="0.89490016294796404"/>
        </c:manualLayout>
      </c:layout>
      <c:doughnutChart>
        <c:varyColors val="1"/>
        <c:ser>
          <c:idx val="0"/>
          <c:order val="0"/>
          <c:tx>
            <c:strRef>
              <c:f>'Fuente acumulada '!$F$132</c:f>
              <c:strCache>
                <c:ptCount val="1"/>
                <c:pt idx="0">
                  <c:v>Vigente Diciembre 2020</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D756-4135-91D3-3BCD80BD3AEC}"/>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D756-4135-91D3-3BCD80BD3AEC}"/>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D756-4135-91D3-3BCD80BD3AEC}"/>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D756-4135-91D3-3BCD80BD3AEC}"/>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D756-4135-91D3-3BCD80BD3AEC}"/>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es-GT"/>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'Fuente acumulada '!$C$133:$C$138</c:f>
              <c:strCache>
                <c:ptCount val="5"/>
                <c:pt idx="0">
                  <c:v> BID </c:v>
                </c:pt>
                <c:pt idx="1">
                  <c:v> KFW </c:v>
                </c:pt>
                <c:pt idx="2">
                  <c:v> UE </c:v>
                </c:pt>
                <c:pt idx="3">
                  <c:v> FM </c:v>
                </c:pt>
                <c:pt idx="4">
                  <c:v> VARIOS </c:v>
                </c:pt>
              </c:strCache>
            </c:strRef>
          </c:cat>
          <c:val>
            <c:numRef>
              <c:f>'Fuente acumulada '!$F$133:$F$138</c:f>
              <c:numCache>
                <c:formatCode>_(* #,##0.00_);_(* \(#,##0.00\);_(* "-"??_);_(@_)</c:formatCode>
                <c:ptCount val="5"/>
                <c:pt idx="0">
                  <c:v>55.089999999999996</c:v>
                </c:pt>
                <c:pt idx="1">
                  <c:v>75.849999999999994</c:v>
                </c:pt>
                <c:pt idx="2">
                  <c:v>9.2899999999999991</c:v>
                </c:pt>
                <c:pt idx="3">
                  <c:v>29.76</c:v>
                </c:pt>
                <c:pt idx="4">
                  <c:v>77.354900000000001</c:v>
                </c:pt>
              </c:numCache>
            </c:numRef>
          </c:val>
          <c:extLst xmlns:c16r2="http://schemas.microsoft.com/office/drawing/2015/06/chart">
            <c:ext xmlns:c16="http://schemas.microsoft.com/office/drawing/2014/chart" uri="{C3380CC4-5D6E-409C-BE32-E72D297353CC}">
              <c16:uniqueId val="{0000000A-D756-4135-91D3-3BCD80BD3AEC}"/>
            </c:ext>
          </c:extLst>
        </c:ser>
        <c:dLbls>
          <c:showLegendKey val="0"/>
          <c:showVal val="0"/>
          <c:showCatName val="0"/>
          <c:showSerName val="0"/>
          <c:showPercent val="1"/>
          <c:showBubbleSize val="0"/>
          <c:showLeaderLines val="0"/>
        </c:dLbls>
        <c:firstSliceAng val="0"/>
        <c:holeSize val="50"/>
      </c:doughnutChart>
      <c:spPr>
        <a:noFill/>
        <a:ln>
          <a:noFill/>
        </a:ln>
        <a:effectLst/>
      </c:spPr>
    </c:plotArea>
    <c:legend>
      <c:legendPos val="t"/>
      <c:layout>
        <c:manualLayout>
          <c:xMode val="edge"/>
          <c:yMode val="edge"/>
          <c:x val="4.2234367762853178E-2"/>
          <c:y val="1.1724137506592904E-2"/>
          <c:w val="0.9053049812623688"/>
          <c:h val="7.205482588271061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GT"/>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strRef>
              <c:f>'Fuente acumulada '!$N$132:$N$133</c:f>
              <c:strCache>
                <c:ptCount val="2"/>
                <c:pt idx="0">
                  <c:v>Ejecución abril 2019 millones de quetzales</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6D8-4FDA-8A4D-44715912BD6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6D8-4FDA-8A4D-44715912BD65}"/>
              </c:ext>
            </c:extLst>
          </c:dPt>
          <c:dLbls>
            <c:dLbl>
              <c:idx val="0"/>
              <c:layout>
                <c:manualLayout>
                  <c:x val="0.15845491941244561"/>
                  <c:y val="-3.653624929536863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6D8-4FDA-8A4D-44715912BD65}"/>
                </c:ext>
              </c:extLst>
            </c:dLbl>
            <c:dLbl>
              <c:idx val="1"/>
              <c:layout>
                <c:manualLayout>
                  <c:x val="-0.2435474611533843"/>
                  <c:y val="-3.61111084783385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6D8-4FDA-8A4D-44715912BD65}"/>
                </c:ext>
              </c:extLst>
            </c:dLbl>
            <c:dLbl>
              <c:idx val="2"/>
              <c:layout>
                <c:manualLayout>
                  <c:x val="1.0385455782490987E-2"/>
                  <c:y val="0.2185639792029585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6D8-4FDA-8A4D-44715912BD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'Fuente acumulada '!$M$134:$M$135</c:f>
              <c:strCache>
                <c:ptCount val="2"/>
                <c:pt idx="0">
                  <c:v>Vigente diciembre</c:v>
                </c:pt>
                <c:pt idx="1">
                  <c:v>Ejecución diciembre</c:v>
                </c:pt>
              </c:strCache>
            </c:strRef>
          </c:cat>
          <c:val>
            <c:numRef>
              <c:f>'Fuente acumulada '!$N$134:$N$135</c:f>
              <c:numCache>
                <c:formatCode>"Q"#,##0.00</c:formatCode>
                <c:ptCount val="2"/>
                <c:pt idx="0">
                  <c:v>169.98999999999998</c:v>
                </c:pt>
                <c:pt idx="1">
                  <c:v>74.215100000000007</c:v>
                </c:pt>
              </c:numCache>
            </c:numRef>
          </c:val>
          <c:extLst xmlns:c16r2="http://schemas.microsoft.com/office/drawing/2015/06/chart">
            <c:ext xmlns:c16="http://schemas.microsoft.com/office/drawing/2014/chart" uri="{C3380CC4-5D6E-409C-BE32-E72D297353CC}">
              <c16:uniqueId val="{00000005-D6D8-4FDA-8A4D-44715912BD65}"/>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317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'Fuente acumulada '!$E$132</c:f>
              <c:strCache>
                <c:ptCount val="1"/>
                <c:pt idx="0">
                  <c:v>Asignado 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'Fuente acumulada '!$C$133:$C$138</c:f>
              <c:strCache>
                <c:ptCount val="5"/>
                <c:pt idx="0">
                  <c:v> BID </c:v>
                </c:pt>
                <c:pt idx="1">
                  <c:v> KFW </c:v>
                </c:pt>
                <c:pt idx="2">
                  <c:v> UE </c:v>
                </c:pt>
                <c:pt idx="3">
                  <c:v> FM </c:v>
                </c:pt>
                <c:pt idx="4">
                  <c:v> VARIOS </c:v>
                </c:pt>
              </c:strCache>
            </c:strRef>
          </c:cat>
          <c:val>
            <c:numRef>
              <c:f>'Fuente acumulada '!$E$133:$E$138</c:f>
              <c:numCache>
                <c:formatCode>_(* #,##0.00_);_(* \(#,##0.00\);_(* "-"??_);_(@_)</c:formatCode>
                <c:ptCount val="5"/>
                <c:pt idx="0">
                  <c:v>106.91999999999999</c:v>
                </c:pt>
                <c:pt idx="1">
                  <c:v>52.44</c:v>
                </c:pt>
                <c:pt idx="2">
                  <c:v>33.19</c:v>
                </c:pt>
                <c:pt idx="3">
                  <c:v>30.08</c:v>
                </c:pt>
                <c:pt idx="4">
                  <c:v>109.46000000000001</c:v>
                </c:pt>
              </c:numCache>
            </c:numRef>
          </c:val>
          <c:extLst xmlns:c16r2="http://schemas.microsoft.com/office/drawing/2015/06/chart">
            <c:ext xmlns:c16="http://schemas.microsoft.com/office/drawing/2014/chart" uri="{C3380CC4-5D6E-409C-BE32-E72D297353CC}">
              <c16:uniqueId val="{00000000-E43C-49C1-8ED8-D4348A302C18}"/>
            </c:ext>
          </c:extLst>
        </c:ser>
        <c:ser>
          <c:idx val="1"/>
          <c:order val="1"/>
          <c:tx>
            <c:strRef>
              <c:f>'Fuente acumulada '!$F$132</c:f>
              <c:strCache>
                <c:ptCount val="1"/>
                <c:pt idx="0">
                  <c:v>Vigente Diciembre 2020</c:v>
                </c:pt>
              </c:strCache>
            </c:strRef>
          </c:tx>
          <c:spPr>
            <a:solidFill>
              <a:schemeClr val="accent2"/>
            </a:solidFill>
            <a:ln>
              <a:noFill/>
            </a:ln>
            <a:effectLst/>
          </c:spPr>
          <c:invertIfNegative val="0"/>
          <c:dLbls>
            <c:dLbl>
              <c:idx val="3"/>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'Fuente acumulada '!$C$133:$C$138</c:f>
              <c:strCache>
                <c:ptCount val="5"/>
                <c:pt idx="0">
                  <c:v> BID </c:v>
                </c:pt>
                <c:pt idx="1">
                  <c:v> KFW </c:v>
                </c:pt>
                <c:pt idx="2">
                  <c:v> UE </c:v>
                </c:pt>
                <c:pt idx="3">
                  <c:v> FM </c:v>
                </c:pt>
                <c:pt idx="4">
                  <c:v> VARIOS </c:v>
                </c:pt>
              </c:strCache>
            </c:strRef>
          </c:cat>
          <c:val>
            <c:numRef>
              <c:f>'Fuente acumulada '!$F$133:$F$138</c:f>
              <c:numCache>
                <c:formatCode>_(* #,##0.00_);_(* \(#,##0.00\);_(* "-"??_);_(@_)</c:formatCode>
                <c:ptCount val="5"/>
                <c:pt idx="0">
                  <c:v>55.089999999999996</c:v>
                </c:pt>
                <c:pt idx="1">
                  <c:v>75.849999999999994</c:v>
                </c:pt>
                <c:pt idx="2">
                  <c:v>9.2899999999999991</c:v>
                </c:pt>
                <c:pt idx="3">
                  <c:v>29.76</c:v>
                </c:pt>
                <c:pt idx="4">
                  <c:v>77.354900000000001</c:v>
                </c:pt>
              </c:numCache>
            </c:numRef>
          </c:val>
          <c:extLst xmlns:c16r2="http://schemas.microsoft.com/office/drawing/2015/06/chart">
            <c:ext xmlns:c16="http://schemas.microsoft.com/office/drawing/2014/chart" uri="{C3380CC4-5D6E-409C-BE32-E72D297353CC}">
              <c16:uniqueId val="{00000002-E43C-49C1-8ED8-D4348A302C18}"/>
            </c:ext>
          </c:extLst>
        </c:ser>
        <c:ser>
          <c:idx val="2"/>
          <c:order val="2"/>
          <c:tx>
            <c:strRef>
              <c:f>'Fuente acumulada '!$I$132</c:f>
              <c:strCache>
                <c:ptCount val="1"/>
                <c:pt idx="0">
                  <c:v>Ejecución  2020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'Fuente acumulada '!$C$133:$C$138</c:f>
              <c:strCache>
                <c:ptCount val="5"/>
                <c:pt idx="0">
                  <c:v> BID </c:v>
                </c:pt>
                <c:pt idx="1">
                  <c:v> KFW </c:v>
                </c:pt>
                <c:pt idx="2">
                  <c:v> UE </c:v>
                </c:pt>
                <c:pt idx="3">
                  <c:v> FM </c:v>
                </c:pt>
                <c:pt idx="4">
                  <c:v> VARIOS </c:v>
                </c:pt>
              </c:strCache>
            </c:strRef>
          </c:cat>
          <c:val>
            <c:numRef>
              <c:f>'Fuente acumulada '!$I$133:$I$138</c:f>
              <c:numCache>
                <c:formatCode>_(* #,##0.00_);_(* \(#,##0.00\);_(* "-"??_);_(@_)</c:formatCode>
                <c:ptCount val="5"/>
                <c:pt idx="0">
                  <c:v>36.270000000000003</c:v>
                </c:pt>
                <c:pt idx="1">
                  <c:v>28.415100000000002</c:v>
                </c:pt>
                <c:pt idx="2">
                  <c:v>4.34</c:v>
                </c:pt>
                <c:pt idx="3">
                  <c:v>5.19</c:v>
                </c:pt>
                <c:pt idx="4">
                  <c:v>42.395099999999999</c:v>
                </c:pt>
              </c:numCache>
            </c:numRef>
          </c:val>
          <c:extLst xmlns:c16r2="http://schemas.microsoft.com/office/drawing/2015/06/chart">
            <c:ext xmlns:c16="http://schemas.microsoft.com/office/drawing/2014/chart" uri="{C3380CC4-5D6E-409C-BE32-E72D297353CC}">
              <c16:uniqueId val="{00000003-E43C-49C1-8ED8-D4348A302C18}"/>
            </c:ext>
          </c:extLst>
        </c:ser>
        <c:dLbls>
          <c:showLegendKey val="0"/>
          <c:showVal val="0"/>
          <c:showCatName val="0"/>
          <c:showSerName val="0"/>
          <c:showPercent val="0"/>
          <c:showBubbleSize val="0"/>
        </c:dLbls>
        <c:gapWidth val="219"/>
        <c:overlap val="-27"/>
        <c:axId val="200729088"/>
        <c:axId val="168251328"/>
      </c:barChart>
      <c:catAx>
        <c:axId val="20072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68251328"/>
        <c:crosses val="autoZero"/>
        <c:auto val="1"/>
        <c:lblAlgn val="ctr"/>
        <c:lblOffset val="100"/>
        <c:noMultiLvlLbl val="0"/>
      </c:catAx>
      <c:valAx>
        <c:axId val="168251328"/>
        <c:scaling>
          <c:orientation val="minMax"/>
        </c:scaling>
        <c:delete val="1"/>
        <c:axPos val="l"/>
        <c:numFmt formatCode="_(* #,##0.00_);_(* \(#,##0.00\);_(* &quot;-&quot;??_);_(@_)" sourceLinked="1"/>
        <c:majorTickMark val="none"/>
        <c:minorTickMark val="none"/>
        <c:tickLblPos val="nextTo"/>
        <c:crossAx val="200729088"/>
        <c:crosses val="autoZero"/>
        <c:crossBetween val="between"/>
      </c:valAx>
      <c:spPr>
        <a:noFill/>
        <a:ln>
          <a:noFill/>
        </a:ln>
        <a:effectLst/>
      </c:spPr>
    </c:plotArea>
    <c:legend>
      <c:legendPos val="b"/>
      <c:layout>
        <c:manualLayout>
          <c:xMode val="edge"/>
          <c:yMode val="edge"/>
          <c:x val="0.17983801425561871"/>
          <c:y val="0.88516031481613944"/>
          <c:w val="0.61600351287002286"/>
          <c:h val="9.939917784364196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Hoja3!$E$1</c:f>
              <c:strCache>
                <c:ptCount val="1"/>
                <c:pt idx="0">
                  <c:v>Reprogramación financiera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Hoja3!$A$2:$A$23</c:f>
              <c:strCache>
                <c:ptCount val="22"/>
                <c:pt idx="0">
                  <c:v>Alta Verapaz</c:v>
                </c:pt>
                <c:pt idx="1">
                  <c:v>Jalapa</c:v>
                </c:pt>
                <c:pt idx="2">
                  <c:v>Baja Verapaz</c:v>
                </c:pt>
                <c:pt idx="3">
                  <c:v>Chimaltenango</c:v>
                </c:pt>
                <c:pt idx="4">
                  <c:v>Petén</c:v>
                </c:pt>
                <c:pt idx="5">
                  <c:v>San Marcos</c:v>
                </c:pt>
                <c:pt idx="6">
                  <c:v>Zacapa</c:v>
                </c:pt>
                <c:pt idx="7">
                  <c:v>Sacatepéquez</c:v>
                </c:pt>
                <c:pt idx="8">
                  <c:v>Sololá</c:v>
                </c:pt>
                <c:pt idx="9">
                  <c:v>Chiquimula</c:v>
                </c:pt>
                <c:pt idx="10">
                  <c:v>El Progreso</c:v>
                </c:pt>
                <c:pt idx="11">
                  <c:v>Izabal</c:v>
                </c:pt>
                <c:pt idx="12">
                  <c:v>Quetzaltenango</c:v>
                </c:pt>
                <c:pt idx="13">
                  <c:v>Totonicapán</c:v>
                </c:pt>
                <c:pt idx="14">
                  <c:v>Escuintla</c:v>
                </c:pt>
                <c:pt idx="15">
                  <c:v>Guatemala</c:v>
                </c:pt>
                <c:pt idx="16">
                  <c:v>Quiché</c:v>
                </c:pt>
                <c:pt idx="17">
                  <c:v>Retalhuleu</c:v>
                </c:pt>
                <c:pt idx="18">
                  <c:v>Santa Rosa</c:v>
                </c:pt>
                <c:pt idx="19">
                  <c:v>Huehuetenango</c:v>
                </c:pt>
                <c:pt idx="20">
                  <c:v>Suchitepéquez</c:v>
                </c:pt>
                <c:pt idx="21">
                  <c:v>Jutiapa</c:v>
                </c:pt>
              </c:strCache>
            </c:strRef>
          </c:cat>
          <c:val>
            <c:numRef>
              <c:f>Hoja3!$E$2:$E$23</c:f>
              <c:numCache>
                <c:formatCode>General</c:formatCode>
                <c:ptCount val="22"/>
                <c:pt idx="0">
                  <c:v>230</c:v>
                </c:pt>
                <c:pt idx="1">
                  <c:v>183</c:v>
                </c:pt>
                <c:pt idx="2">
                  <c:v>132</c:v>
                </c:pt>
                <c:pt idx="3">
                  <c:v>126</c:v>
                </c:pt>
                <c:pt idx="4">
                  <c:v>118</c:v>
                </c:pt>
                <c:pt idx="5">
                  <c:v>115</c:v>
                </c:pt>
                <c:pt idx="6">
                  <c:v>109</c:v>
                </c:pt>
                <c:pt idx="7">
                  <c:v>106</c:v>
                </c:pt>
                <c:pt idx="8">
                  <c:v>102</c:v>
                </c:pt>
                <c:pt idx="9">
                  <c:v>71</c:v>
                </c:pt>
                <c:pt idx="10">
                  <c:v>60</c:v>
                </c:pt>
                <c:pt idx="11">
                  <c:v>53</c:v>
                </c:pt>
                <c:pt idx="12">
                  <c:v>50</c:v>
                </c:pt>
                <c:pt idx="13">
                  <c:v>42</c:v>
                </c:pt>
                <c:pt idx="14">
                  <c:v>41</c:v>
                </c:pt>
                <c:pt idx="15">
                  <c:v>36</c:v>
                </c:pt>
                <c:pt idx="16">
                  <c:v>32</c:v>
                </c:pt>
                <c:pt idx="17">
                  <c:v>31</c:v>
                </c:pt>
                <c:pt idx="18">
                  <c:v>19</c:v>
                </c:pt>
                <c:pt idx="19">
                  <c:v>18</c:v>
                </c:pt>
                <c:pt idx="20">
                  <c:v>10</c:v>
                </c:pt>
                <c:pt idx="21">
                  <c:v>6</c:v>
                </c:pt>
              </c:numCache>
            </c:numRef>
          </c:val>
          <c:extLst xmlns:c16r2="http://schemas.microsoft.com/office/drawing/2015/06/chart">
            <c:ext xmlns:c16="http://schemas.microsoft.com/office/drawing/2014/chart" uri="{C3380CC4-5D6E-409C-BE32-E72D297353CC}">
              <c16:uniqueId val="{00000000-70AC-4279-B8AD-9A3C4D228E3B}"/>
            </c:ext>
          </c:extLst>
        </c:ser>
        <c:dLbls>
          <c:showLegendKey val="0"/>
          <c:showVal val="0"/>
          <c:showCatName val="0"/>
          <c:showSerName val="0"/>
          <c:showPercent val="0"/>
          <c:showBubbleSize val="0"/>
        </c:dLbls>
        <c:gapWidth val="219"/>
        <c:overlap val="-27"/>
        <c:axId val="165375488"/>
        <c:axId val="151089664"/>
      </c:barChart>
      <c:catAx>
        <c:axId val="16537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51089664"/>
        <c:crosses val="autoZero"/>
        <c:auto val="1"/>
        <c:lblAlgn val="ctr"/>
        <c:lblOffset val="100"/>
        <c:noMultiLvlLbl val="0"/>
      </c:catAx>
      <c:valAx>
        <c:axId val="151089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65375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Hoja2!$A$3:$A$24</c:f>
              <c:strCache>
                <c:ptCount val="22"/>
                <c:pt idx="0">
                  <c:v>Alta Verapaz</c:v>
                </c:pt>
                <c:pt idx="1">
                  <c:v>Quiché</c:v>
                </c:pt>
                <c:pt idx="2">
                  <c:v>Chimaltenango</c:v>
                </c:pt>
                <c:pt idx="3">
                  <c:v>Sololá</c:v>
                </c:pt>
                <c:pt idx="4">
                  <c:v>Zacapa</c:v>
                </c:pt>
                <c:pt idx="5">
                  <c:v>Sacatepéquez</c:v>
                </c:pt>
                <c:pt idx="6">
                  <c:v>El Progreso</c:v>
                </c:pt>
                <c:pt idx="7">
                  <c:v>Jalapa</c:v>
                </c:pt>
                <c:pt idx="8">
                  <c:v>Totonicapán</c:v>
                </c:pt>
                <c:pt idx="9">
                  <c:v>Retalhuleu</c:v>
                </c:pt>
                <c:pt idx="10">
                  <c:v>Petén</c:v>
                </c:pt>
                <c:pt idx="11">
                  <c:v>Escuintla</c:v>
                </c:pt>
                <c:pt idx="12">
                  <c:v>Guatemala</c:v>
                </c:pt>
                <c:pt idx="13">
                  <c:v>San Marcos</c:v>
                </c:pt>
                <c:pt idx="14">
                  <c:v>Izabal</c:v>
                </c:pt>
                <c:pt idx="15">
                  <c:v>Chiquimula</c:v>
                </c:pt>
                <c:pt idx="16">
                  <c:v>Huehuetenango</c:v>
                </c:pt>
                <c:pt idx="17">
                  <c:v>Baja Verapaz</c:v>
                </c:pt>
                <c:pt idx="18">
                  <c:v>Suchitepéquez</c:v>
                </c:pt>
                <c:pt idx="19">
                  <c:v>Quetzaltenango</c:v>
                </c:pt>
                <c:pt idx="20">
                  <c:v>Jutiapa</c:v>
                </c:pt>
                <c:pt idx="21">
                  <c:v>Santa Rosa</c:v>
                </c:pt>
              </c:strCache>
            </c:strRef>
          </c:cat>
          <c:val>
            <c:numRef>
              <c:f>Hoja2!$I$3:$I$24</c:f>
              <c:numCache>
                <c:formatCode>#,##0.00</c:formatCode>
                <c:ptCount val="22"/>
                <c:pt idx="0">
                  <c:v>10.566252159999999</c:v>
                </c:pt>
                <c:pt idx="1">
                  <c:v>8.4491455000000002</c:v>
                </c:pt>
                <c:pt idx="2">
                  <c:v>4.2732040099999997</c:v>
                </c:pt>
                <c:pt idx="3">
                  <c:v>3.8062272699999999</c:v>
                </c:pt>
                <c:pt idx="4">
                  <c:v>3.8023338099999995</c:v>
                </c:pt>
                <c:pt idx="5">
                  <c:v>3.5795327800000001</c:v>
                </c:pt>
                <c:pt idx="6">
                  <c:v>3.30831688</c:v>
                </c:pt>
                <c:pt idx="7">
                  <c:v>2.6792239900000001</c:v>
                </c:pt>
                <c:pt idx="8">
                  <c:v>2.4935274999999999</c:v>
                </c:pt>
                <c:pt idx="9">
                  <c:v>2.4701478699999999</c:v>
                </c:pt>
                <c:pt idx="10">
                  <c:v>1.7438723500000002</c:v>
                </c:pt>
                <c:pt idx="11">
                  <c:v>1.6778703399999999</c:v>
                </c:pt>
                <c:pt idx="12">
                  <c:v>1.5767911499999998</c:v>
                </c:pt>
                <c:pt idx="13">
                  <c:v>1.54283952</c:v>
                </c:pt>
                <c:pt idx="14">
                  <c:v>1.325059</c:v>
                </c:pt>
                <c:pt idx="15">
                  <c:v>1.2779334199999999</c:v>
                </c:pt>
                <c:pt idx="16">
                  <c:v>1.2140669499999999</c:v>
                </c:pt>
                <c:pt idx="17">
                  <c:v>0.90596350000000003</c:v>
                </c:pt>
                <c:pt idx="18">
                  <c:v>0.64</c:v>
                </c:pt>
                <c:pt idx="19">
                  <c:v>0.38864199999999999</c:v>
                </c:pt>
                <c:pt idx="20">
                  <c:v>1.0133350000000001E-2</c:v>
                </c:pt>
                <c:pt idx="21">
                  <c:v>0</c:v>
                </c:pt>
              </c:numCache>
            </c:numRef>
          </c:val>
          <c:extLst xmlns:c16r2="http://schemas.microsoft.com/office/drawing/2015/06/chart">
            <c:ext xmlns:c16="http://schemas.microsoft.com/office/drawing/2014/chart" uri="{C3380CC4-5D6E-409C-BE32-E72D297353CC}">
              <c16:uniqueId val="{00000000-4C0E-4ACD-93DF-D56D4219A696}"/>
            </c:ext>
          </c:extLst>
        </c:ser>
        <c:dLbls>
          <c:showLegendKey val="0"/>
          <c:showVal val="1"/>
          <c:showCatName val="0"/>
          <c:showSerName val="0"/>
          <c:showPercent val="0"/>
          <c:showBubbleSize val="0"/>
        </c:dLbls>
        <c:gapWidth val="75"/>
        <c:axId val="87404032"/>
        <c:axId val="151090240"/>
      </c:barChart>
      <c:catAx>
        <c:axId val="8740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51090240"/>
        <c:crosses val="autoZero"/>
        <c:auto val="1"/>
        <c:lblAlgn val="ctr"/>
        <c:lblOffset val="100"/>
        <c:noMultiLvlLbl val="0"/>
      </c:catAx>
      <c:valAx>
        <c:axId val="15109024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8740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[Gráfico en Microsoft Word]nacional!NAC 1.1</c:name>
    <c:fmtId val="-1"/>
  </c:pivotSource>
  <c:char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a:solidFill>
                  <a:sysClr val="windowText" lastClr="000000"/>
                </a:solidFill>
                <a:latin typeface="Times New Roman" panose="02020603050405020304" pitchFamily="18" charset="0"/>
                <a:cs typeface="Times New Roman" panose="02020603050405020304" pitchFamily="18" charset="0"/>
              </a:rPr>
              <a:t>Proyectos</a:t>
            </a:r>
          </a:p>
        </c:rich>
      </c:tx>
      <c:overlay val="0"/>
      <c:spPr>
        <a:noFill/>
        <a:ln>
          <a:noFill/>
        </a:ln>
        <a:effectLst/>
      </c:spPr>
    </c:title>
    <c:autoTitleDeleted val="0"/>
    <c:pivotFmts>
      <c:pivotFmt>
        <c:idx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B6B75350-C48E-4734-8495-349FC0662320}"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39.99%</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2"/>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7.4264000628028529E-3"/>
              <c:y val="-4.5991613592223868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F73D6F58-C149-41B1-B9E6-59BF70300EB4}"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44.02%</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3"/>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1.5285592593832492E-2"/>
              <c:y val="-1.7599135950560205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E81D1E84-A46D-43D0-9919-DB354089605E}"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47.09%</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5955206981816217"/>
                  <c:h val="0.15278234582627215"/>
                </c:manualLayout>
              </c15:layout>
              <c15:dlblFieldTable/>
              <c15:showDataLabelsRange val="0"/>
            </c:ext>
          </c:extLst>
        </c:dLbl>
      </c:pivotFmt>
      <c:pivotFmt>
        <c:idx val="4"/>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2.5992400219809884E-2"/>
              <c:y val="-3.679329087377918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4EAAB030-CFC5-4029-98B7-8F3E5B16DF22}"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44.66%</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5"/>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delete val="1"/>
          <c:extLst xmlns:c16r2="http://schemas.microsoft.com/office/drawing/2015/06/chart">
            <c:ext xmlns:c15="http://schemas.microsoft.com/office/drawing/2012/chart" uri="{CE6537A1-D6FC-4f65-9D91-7224C49458BB}"/>
          </c:extLst>
        </c:dLbl>
      </c:pivotFmt>
      <c:pivotFmt>
        <c:idx val="6"/>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delete val="1"/>
          <c:extLst xmlns:c16r2="http://schemas.microsoft.com/office/drawing/2015/06/chart">
            <c:ext xmlns:c15="http://schemas.microsoft.com/office/drawing/2012/chart" uri="{CE6537A1-D6FC-4f65-9D91-7224C49458BB}"/>
          </c:extLst>
        </c:dLbl>
      </c:pivotFmt>
      <c:pivotFmt>
        <c:idx val="7"/>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delete val="1"/>
          <c:extLst xmlns:c16r2="http://schemas.microsoft.com/office/drawing/2015/06/chart">
            <c:ext xmlns:c15="http://schemas.microsoft.com/office/drawing/2012/chart" uri="{CE6537A1-D6FC-4f65-9D91-7224C49458BB}"/>
          </c:extLst>
        </c:dLbl>
      </c:pivotFmt>
      <c:pivotFmt>
        <c:idx val="8"/>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delete val="1"/>
          <c:extLst xmlns:c16r2="http://schemas.microsoft.com/office/drawing/2015/06/chart">
            <c:ext xmlns:c15="http://schemas.microsoft.com/office/drawing/2012/chart" uri="{CE6537A1-D6FC-4f65-9D91-7224C49458BB}"/>
          </c:extLst>
        </c:dLbl>
      </c:pivotFmt>
      <c:pivotFmt>
        <c:idx val="9"/>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delete val="1"/>
          <c:extLst xmlns:c16r2="http://schemas.microsoft.com/office/drawing/2015/06/chart">
            <c:ext xmlns:c15="http://schemas.microsoft.com/office/drawing/2012/chart" uri="{CE6537A1-D6FC-4f65-9D91-7224C49458BB}"/>
          </c:extLst>
        </c:dLbl>
      </c:pivotFmt>
      <c:pivotFmt>
        <c:idx val="1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B6B75350-C48E-4734-8495-349FC0662320}"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39.99%</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12"/>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7.4264000628028529E-3"/>
              <c:y val="-4.5991613592223868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F73D6F58-C149-41B1-B9E6-59BF70300EB4}"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44.02%</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13"/>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2.5992400219809884E-2"/>
              <c:y val="-3.679329087377918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4EAAB030-CFC5-4029-98B7-8F3E5B16DF22}"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44.66%</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14"/>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1.5285592593832492E-2"/>
              <c:y val="-1.7599135950560205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E81D1E84-A46D-43D0-9919-DB354089605E}"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47.09%</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5955206981816217"/>
                  <c:h val="0.15278234582627215"/>
                </c:manualLayout>
              </c15:layout>
              <c15:dlblFieldTable/>
              <c15:showDataLabelsRange val="0"/>
            </c:ext>
          </c:extLst>
        </c:dLbl>
      </c:pivotFmt>
      <c:pivotFmt>
        <c:idx val="15"/>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6"/>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B6B75350-C48E-4734-8495-349FC0662320}"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39.99%</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17"/>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7.4264000628028529E-3"/>
              <c:y val="-4.5991613592223868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F73D6F58-C149-41B1-B9E6-59BF70300EB4}"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44.02%</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18"/>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2.5992400219809884E-2"/>
              <c:y val="-3.679329087377918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4EAAB030-CFC5-4029-98B7-8F3E5B16DF22}"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44.66%</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Lst>
        </c:dLbl>
      </c:pivotFmt>
      <c:pivotFmt>
        <c:idx val="19"/>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
          <c:idx val="0"/>
          <c:layout>
            <c:manualLayout>
              <c:x val="-1.5285592593832492E-2"/>
              <c:y val="-1.7599135950560205E-2"/>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fld id="{E81D1E84-A46D-43D0-9919-DB354089605E}" type="VALUE">
                  <a:rPr lang="en-US" b="1"/>
                  <a:pPr>
                    <a:defRPr sz="1000" b="1" i="0" u="none" strike="noStrike" kern="1200" baseline="0">
                      <a:solidFill>
                        <a:schemeClr val="dk1">
                          <a:lumMod val="75000"/>
                          <a:lumOff val="25000"/>
                        </a:schemeClr>
                      </a:solidFill>
                      <a:latin typeface="+mn-lt"/>
                      <a:ea typeface="+mn-ea"/>
                      <a:cs typeface="+mn-cs"/>
                    </a:defRPr>
                  </a:pPr>
                  <a:t>[VALOR]</a:t>
                </a:fld>
                <a:endParaRPr lang="en-US" b="1"/>
              </a:p>
              <a:p>
                <a:pPr>
                  <a:defRPr sz="1000" b="1" i="0" u="none" strike="noStrike" kern="1200" baseline="0">
                    <a:solidFill>
                      <a:schemeClr val="dk1">
                        <a:lumMod val="75000"/>
                        <a:lumOff val="25000"/>
                      </a:schemeClr>
                    </a:solidFill>
                    <a:latin typeface="+mn-lt"/>
                    <a:ea typeface="+mn-ea"/>
                    <a:cs typeface="+mn-cs"/>
                  </a:defRPr>
                </a:pPr>
                <a:r>
                  <a:rPr lang="en-US" b="1"/>
                  <a:t>47.09%</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5955206981816217"/>
                  <c:h val="0.15278234582627215"/>
                </c:manualLayout>
              </c15:layout>
              <c15:dlblFieldTable/>
              <c15:showDataLabelsRange val="0"/>
            </c:ext>
          </c:extLst>
        </c:dLbl>
      </c:pivotFmt>
    </c:pivotFmts>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1776204785835065E-3"/>
          <c:y val="6.2606228275519607E-2"/>
          <c:w val="0.9988223795214165"/>
          <c:h val="0.67482888963203924"/>
        </c:manualLayout>
      </c:layout>
      <c:bar3DChart>
        <c:barDir val="col"/>
        <c:grouping val="clustered"/>
        <c:varyColors val="0"/>
        <c:ser>
          <c:idx val="0"/>
          <c:order val="0"/>
          <c:tx>
            <c:strRef>
              <c:f>nacional!$AB$6</c:f>
              <c:strCache>
                <c:ptCount val="1"/>
                <c:pt idx="0">
                  <c:v>Total</c:v>
                </c:pt>
              </c:strCache>
            </c:strRef>
          </c:tx>
          <c:spPr>
            <a:solidFill>
              <a:srgbClr val="4F81BD">
                <a:alpha val="85000"/>
              </a:srgb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2"/>
            <c:invertIfNegative val="0"/>
            <c:bubble3D val="0"/>
            <c:extLst xmlns:c16r2="http://schemas.microsoft.com/office/drawing/2015/06/chart">
              <c:ext xmlns:c16="http://schemas.microsoft.com/office/drawing/2014/chart" uri="{C3380CC4-5D6E-409C-BE32-E72D297353CC}">
                <c16:uniqueId val="{00000000-4B70-4668-9229-2460626A7059}"/>
              </c:ext>
            </c:extLst>
          </c:dPt>
          <c:dPt>
            <c:idx val="3"/>
            <c:invertIfNegative val="0"/>
            <c:bubble3D val="0"/>
            <c:extLst xmlns:c16r2="http://schemas.microsoft.com/office/drawing/2015/06/chart">
              <c:ext xmlns:c16="http://schemas.microsoft.com/office/drawing/2014/chart" uri="{C3380CC4-5D6E-409C-BE32-E72D297353CC}">
                <c16:uniqueId val="{00000001-4B70-4668-9229-2460626A7059}"/>
              </c:ext>
            </c:extLst>
          </c:dPt>
          <c:dPt>
            <c:idx val="4"/>
            <c:invertIfNegative val="0"/>
            <c:bubble3D val="0"/>
            <c:extLst xmlns:c16r2="http://schemas.microsoft.com/office/drawing/2015/06/chart">
              <c:ext xmlns:c16="http://schemas.microsoft.com/office/drawing/2014/chart" uri="{C3380CC4-5D6E-409C-BE32-E72D297353CC}">
                <c16:uniqueId val="{00000002-4B70-4668-9229-2460626A7059}"/>
              </c:ext>
            </c:extLst>
          </c:dPt>
          <c:dPt>
            <c:idx val="5"/>
            <c:invertIfNegative val="0"/>
            <c:bubble3D val="0"/>
            <c:extLst xmlns:c16r2="http://schemas.microsoft.com/office/drawing/2015/06/chart">
              <c:ext xmlns:c16="http://schemas.microsoft.com/office/drawing/2014/chart" uri="{C3380CC4-5D6E-409C-BE32-E72D297353CC}">
                <c16:uniqueId val="{00000003-4B70-4668-9229-2460626A7059}"/>
              </c:ext>
            </c:extLst>
          </c:dPt>
          <c:dLbls>
            <c:dLbl>
              <c:idx val="1"/>
              <c:tx>
                <c:rich>
                  <a:bodyPr/>
                  <a:lstStyle/>
                  <a:p>
                    <a:fld id="{26874CF6-1A97-4DBD-A909-E37B28D81E29}" type="VALUE">
                      <a:rPr lang="en-US" b="0">
                        <a:solidFill>
                          <a:sysClr val="windowText" lastClr="000000"/>
                        </a:solidFill>
                      </a:rPr>
                      <a:pPr/>
                      <a:t>[VALOR]</a:t>
                    </a:fld>
                    <a:endParaRPr lang="es-GT"/>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4B70-4668-9229-2460626A7059}"/>
                </c:ext>
              </c:extLst>
            </c:dLbl>
            <c:dLbl>
              <c:idx val="2"/>
              <c:layout>
                <c:manualLayout>
                  <c:x val="2.2599262668541176E-3"/>
                  <c:y val="-9.6269486487099779E-3"/>
                </c:manualLayout>
              </c:layout>
              <c:tx>
                <c:rich>
                  <a:bodyPr/>
                  <a:lstStyle/>
                  <a:p>
                    <a:fld id="{B6B75350-C48E-4734-8495-349FC0662320}" type="VALUE">
                      <a:rPr lang="en-US" b="0"/>
                      <a:pPr/>
                      <a:t>[VALOR]</a:t>
                    </a:fld>
                    <a:endParaRPr lang="es-GT"/>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4B70-4668-9229-2460626A7059}"/>
                </c:ext>
              </c:extLst>
            </c:dLbl>
            <c:dLbl>
              <c:idx val="3"/>
              <c:layout>
                <c:manualLayout>
                  <c:x val="-7.4264778336155914E-3"/>
                  <c:y val="-2.5399527761732488E-2"/>
                </c:manualLayout>
              </c:layout>
              <c:tx>
                <c:rich>
                  <a:bodyPr/>
                  <a:lstStyle/>
                  <a:p>
                    <a:fld id="{F73D6F58-C149-41B1-B9E6-59BF70300EB4}" type="VALUE">
                      <a:rPr lang="en-US" b="0"/>
                      <a:pPr/>
                      <a:t>[VALOR]</a:t>
                    </a:fld>
                    <a:endParaRPr lang="es-GT"/>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4B70-4668-9229-2460626A7059}"/>
                </c:ext>
              </c:extLst>
            </c:dLbl>
            <c:dLbl>
              <c:idx val="4"/>
              <c:layout>
                <c:manualLayout>
                  <c:x val="-2.5992314100669156E-2"/>
                  <c:y val="-2.1349223238987018E-2"/>
                </c:manualLayout>
              </c:layout>
              <c:tx>
                <c:rich>
                  <a:bodyPr/>
                  <a:lstStyle/>
                  <a:p>
                    <a:fld id="{4EAAB030-CFC5-4029-98B7-8F3E5B16DF22}" type="VALUE">
                      <a:rPr lang="en-US" b="0"/>
                      <a:pPr/>
                      <a:t>[VALOR]</a:t>
                    </a:fld>
                    <a:endParaRPr lang="es-GT"/>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4B70-4668-9229-2460626A7059}"/>
                </c:ext>
              </c:extLst>
            </c:dLbl>
            <c:dLbl>
              <c:idx val="5"/>
              <c:layout>
                <c:manualLayout>
                  <c:x val="-1.1965332235710863E-2"/>
                  <c:y val="-1.4895391318160157E-2"/>
                </c:manualLayout>
              </c:layout>
              <c:tx>
                <c:rich>
                  <a:bodyPr/>
                  <a:lstStyle/>
                  <a:p>
                    <a:fld id="{E81D1E84-A46D-43D0-9919-DB354089605E}" type="VALUE">
                      <a:rPr lang="en-US" b="0"/>
                      <a:pPr/>
                      <a:t>[VALOR]</a:t>
                    </a:fld>
                    <a:endParaRPr lang="es-GT"/>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8.0348637683018753E-2"/>
                      <c:h val="0.11769535652423849"/>
                    </c:manualLayout>
                  </c15:layout>
                  <c15:dlblFieldTable/>
                  <c15:showDataLabelsRange val="0"/>
                </c:ext>
                <c:ext xmlns:c16="http://schemas.microsoft.com/office/drawing/2014/chart" uri="{C3380CC4-5D6E-409C-BE32-E72D297353CC}">
                  <c16:uniqueId val="{00000003-4B70-4668-9229-2460626A705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nacional!$AA$7:$AA$12</c:f>
              <c:strCache>
                <c:ptCount val="6"/>
                <c:pt idx="0">
                  <c:v>Proyectos Registrados</c:v>
                </c:pt>
                <c:pt idx="1">
                  <c:v>Proyectos con Asignación Inicial</c:v>
                </c:pt>
                <c:pt idx="2">
                  <c:v>Proyecto con Asignación Actualizada</c:v>
                </c:pt>
                <c:pt idx="3">
                  <c:v>Proyectos con Ejecución Financiera</c:v>
                </c:pt>
                <c:pt idx="4">
                  <c:v>Proyectos con Avance Financiero</c:v>
                </c:pt>
                <c:pt idx="5">
                  <c:v>Proyectos con Avance Físico</c:v>
                </c:pt>
              </c:strCache>
            </c:strRef>
          </c:cat>
          <c:val>
            <c:numRef>
              <c:f>nacional!$AB$7:$AB$12</c:f>
              <c:numCache>
                <c:formatCode>#,##0</c:formatCode>
                <c:ptCount val="6"/>
                <c:pt idx="0">
                  <c:v>13562</c:v>
                </c:pt>
                <c:pt idx="1">
                  <c:v>5479</c:v>
                </c:pt>
                <c:pt idx="2">
                  <c:v>6515</c:v>
                </c:pt>
                <c:pt idx="3">
                  <c:v>5638</c:v>
                </c:pt>
                <c:pt idx="4">
                  <c:v>5683</c:v>
                </c:pt>
                <c:pt idx="5">
                  <c:v>5874</c:v>
                </c:pt>
              </c:numCache>
            </c:numRef>
          </c:val>
          <c:extLst xmlns:c16r2="http://schemas.microsoft.com/office/drawing/2015/06/chart">
            <c:ext xmlns:c16="http://schemas.microsoft.com/office/drawing/2014/chart" uri="{C3380CC4-5D6E-409C-BE32-E72D297353CC}">
              <c16:uniqueId val="{00000005-4B70-4668-9229-2460626A7059}"/>
            </c:ext>
          </c:extLst>
        </c:ser>
        <c:dLbls>
          <c:showLegendKey val="0"/>
          <c:showVal val="0"/>
          <c:showCatName val="0"/>
          <c:showSerName val="0"/>
          <c:showPercent val="0"/>
          <c:showBubbleSize val="0"/>
        </c:dLbls>
        <c:gapWidth val="51"/>
        <c:shape val="box"/>
        <c:axId val="200731648"/>
        <c:axId val="92084992"/>
        <c:axId val="0"/>
      </c:bar3DChart>
      <c:catAx>
        <c:axId val="2007316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92084992"/>
        <c:crosses val="autoZero"/>
        <c:auto val="1"/>
        <c:lblAlgn val="ctr"/>
        <c:lblOffset val="100"/>
        <c:noMultiLvlLbl val="0"/>
      </c:catAx>
      <c:valAx>
        <c:axId val="92084992"/>
        <c:scaling>
          <c:orientation val="minMax"/>
        </c:scaling>
        <c:delete val="0"/>
        <c:axPos val="l"/>
        <c:majorGridlines>
          <c:spPr>
            <a:ln w="9525" cap="flat" cmpd="sng" algn="ctr">
              <a:solidFill>
                <a:sysClr val="window" lastClr="FFFFFF">
                  <a:lumMod val="85000"/>
                </a:sys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200731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ysClr val="window" lastClr="FFFFFF"/>
    </a:solidFill>
    <a:ln w="9525" cap="flat" cmpd="sng" algn="ctr">
      <a:solidFill>
        <a:schemeClr val="dk1">
          <a:lumMod val="25000"/>
          <a:lumOff val="75000"/>
        </a:schemeClr>
      </a:solidFill>
      <a:round/>
    </a:ln>
    <a:effectLst/>
  </c:spPr>
  <c:txPr>
    <a:bodyPr/>
    <a:lstStyle/>
    <a:p>
      <a:pPr>
        <a:defRPr>
          <a:latin typeface="Candara" panose="020E0502030303020204" pitchFamily="34" charset="0"/>
        </a:defRPr>
      </a:pPr>
      <a:endParaRPr lang="es-GT"/>
    </a:p>
  </c:txPr>
  <c:externalData r:id="rId2">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70"/>
      <c:rAngAx val="1"/>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nacional!$BE$290</c:f>
              <c:strCache>
                <c:ptCount val="1"/>
                <c:pt idx="0">
                  <c:v>Proyectos Registrados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nacional!$BD$291:$BD$298</c:f>
              <c:strCache>
                <c:ptCount val="8"/>
                <c:pt idx="0">
                  <c:v>TRANSPORTE</c:v>
                </c:pt>
                <c:pt idx="1">
                  <c:v>AGUA Y SANEAMIENTO</c:v>
                </c:pt>
                <c:pt idx="2">
                  <c:v>EDUCACION</c:v>
                </c:pt>
                <c:pt idx="3">
                  <c:v>SALUD Y ASISTENCIA SOCIAL</c:v>
                </c:pt>
                <c:pt idx="4">
                  <c:v>DESARROLLO URBANO Y RURAL</c:v>
                </c:pt>
                <c:pt idx="5">
                  <c:v>CULTURA Y DEPORTES</c:v>
                </c:pt>
                <c:pt idx="6">
                  <c:v>MEDIO AMBIENTE</c:v>
                </c:pt>
                <c:pt idx="7">
                  <c:v>OTRAS FUNCIONES</c:v>
                </c:pt>
              </c:strCache>
            </c:strRef>
          </c:cat>
          <c:val>
            <c:numRef>
              <c:f>nacional!$BE$291:$BE$298</c:f>
              <c:numCache>
                <c:formatCode>_(* #,##0_);_(* \(#,##0\);_(* "-"_);_(@_)</c:formatCode>
                <c:ptCount val="8"/>
                <c:pt idx="0">
                  <c:v>3314</c:v>
                </c:pt>
                <c:pt idx="1">
                  <c:v>3028</c:v>
                </c:pt>
                <c:pt idx="2">
                  <c:v>2929</c:v>
                </c:pt>
                <c:pt idx="3">
                  <c:v>848</c:v>
                </c:pt>
                <c:pt idx="4">
                  <c:v>687</c:v>
                </c:pt>
                <c:pt idx="5">
                  <c:v>510</c:v>
                </c:pt>
                <c:pt idx="6">
                  <c:v>446</c:v>
                </c:pt>
                <c:pt idx="7">
                  <c:v>1800</c:v>
                </c:pt>
              </c:numCache>
            </c:numRef>
          </c:val>
          <c:extLst xmlns:c16r2="http://schemas.microsoft.com/office/drawing/2015/06/chart">
            <c:ext xmlns:c16="http://schemas.microsoft.com/office/drawing/2014/chart" uri="{C3380CC4-5D6E-409C-BE32-E72D297353CC}">
              <c16:uniqueId val="{00000000-2C2C-48C8-BB71-2813AD66FEB1}"/>
            </c:ext>
          </c:extLst>
        </c:ser>
        <c:ser>
          <c:idx val="1"/>
          <c:order val="1"/>
          <c:tx>
            <c:strRef>
              <c:f>nacional!$BF$290</c:f>
              <c:strCache>
                <c:ptCount val="1"/>
                <c:pt idx="0">
                  <c:v>Proyectos con asignación inicial</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nacional!$BD$291:$BD$298</c:f>
              <c:strCache>
                <c:ptCount val="8"/>
                <c:pt idx="0">
                  <c:v>TRANSPORTE</c:v>
                </c:pt>
                <c:pt idx="1">
                  <c:v>AGUA Y SANEAMIENTO</c:v>
                </c:pt>
                <c:pt idx="2">
                  <c:v>EDUCACION</c:v>
                </c:pt>
                <c:pt idx="3">
                  <c:v>SALUD Y ASISTENCIA SOCIAL</c:v>
                </c:pt>
                <c:pt idx="4">
                  <c:v>DESARROLLO URBANO Y RURAL</c:v>
                </c:pt>
                <c:pt idx="5">
                  <c:v>CULTURA Y DEPORTES</c:v>
                </c:pt>
                <c:pt idx="6">
                  <c:v>MEDIO AMBIENTE</c:v>
                </c:pt>
                <c:pt idx="7">
                  <c:v>OTRAS FUNCIONES</c:v>
                </c:pt>
              </c:strCache>
            </c:strRef>
          </c:cat>
          <c:val>
            <c:numRef>
              <c:f>nacional!$BF$291:$BF$298</c:f>
              <c:numCache>
                <c:formatCode>_(* #,##0_);_(* \(#,##0\);_(* "-"_);_(@_)</c:formatCode>
                <c:ptCount val="8"/>
                <c:pt idx="0">
                  <c:v>883</c:v>
                </c:pt>
                <c:pt idx="1">
                  <c:v>1417</c:v>
                </c:pt>
                <c:pt idx="2">
                  <c:v>1456</c:v>
                </c:pt>
                <c:pt idx="3">
                  <c:v>393</c:v>
                </c:pt>
                <c:pt idx="4">
                  <c:v>269</c:v>
                </c:pt>
                <c:pt idx="5">
                  <c:v>211</c:v>
                </c:pt>
                <c:pt idx="6">
                  <c:v>187</c:v>
                </c:pt>
                <c:pt idx="7">
                  <c:v>663</c:v>
                </c:pt>
              </c:numCache>
            </c:numRef>
          </c:val>
          <c:extLst xmlns:c16r2="http://schemas.microsoft.com/office/drawing/2015/06/chart">
            <c:ext xmlns:c16="http://schemas.microsoft.com/office/drawing/2014/chart" uri="{C3380CC4-5D6E-409C-BE32-E72D297353CC}">
              <c16:uniqueId val="{00000001-2C2C-48C8-BB71-2813AD66FEB1}"/>
            </c:ext>
          </c:extLst>
        </c:ser>
        <c:ser>
          <c:idx val="2"/>
          <c:order val="2"/>
          <c:tx>
            <c:strRef>
              <c:f>nacional!$BG$290</c:f>
              <c:strCache>
                <c:ptCount val="1"/>
                <c:pt idx="0">
                  <c:v>Proyectos con asignación actualizada</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nacional!$BD$291:$BD$298</c:f>
              <c:strCache>
                <c:ptCount val="8"/>
                <c:pt idx="0">
                  <c:v>TRANSPORTE</c:v>
                </c:pt>
                <c:pt idx="1">
                  <c:v>AGUA Y SANEAMIENTO</c:v>
                </c:pt>
                <c:pt idx="2">
                  <c:v>EDUCACION</c:v>
                </c:pt>
                <c:pt idx="3">
                  <c:v>SALUD Y ASISTENCIA SOCIAL</c:v>
                </c:pt>
                <c:pt idx="4">
                  <c:v>DESARROLLO URBANO Y RURAL</c:v>
                </c:pt>
                <c:pt idx="5">
                  <c:v>CULTURA Y DEPORTES</c:v>
                </c:pt>
                <c:pt idx="6">
                  <c:v>MEDIO AMBIENTE</c:v>
                </c:pt>
                <c:pt idx="7">
                  <c:v>OTRAS FUNCIONES</c:v>
                </c:pt>
              </c:strCache>
            </c:strRef>
          </c:cat>
          <c:val>
            <c:numRef>
              <c:f>nacional!$BG$291:$BG$298</c:f>
              <c:numCache>
                <c:formatCode>_(* #,##0_);_(* \(#,##0\);_(* "-"_);_(@_)</c:formatCode>
                <c:ptCount val="8"/>
                <c:pt idx="0">
                  <c:v>1737</c:v>
                </c:pt>
                <c:pt idx="1">
                  <c:v>1433</c:v>
                </c:pt>
                <c:pt idx="2">
                  <c:v>1512</c:v>
                </c:pt>
                <c:pt idx="3">
                  <c:v>364</c:v>
                </c:pt>
                <c:pt idx="4">
                  <c:v>360</c:v>
                </c:pt>
                <c:pt idx="5">
                  <c:v>224</c:v>
                </c:pt>
                <c:pt idx="6">
                  <c:v>184</c:v>
                </c:pt>
                <c:pt idx="7">
                  <c:v>701</c:v>
                </c:pt>
              </c:numCache>
            </c:numRef>
          </c:val>
          <c:extLst xmlns:c16r2="http://schemas.microsoft.com/office/drawing/2015/06/chart">
            <c:ext xmlns:c16="http://schemas.microsoft.com/office/drawing/2014/chart" uri="{C3380CC4-5D6E-409C-BE32-E72D297353CC}">
              <c16:uniqueId val="{00000002-2C2C-48C8-BB71-2813AD66FEB1}"/>
            </c:ext>
          </c:extLst>
        </c:ser>
        <c:ser>
          <c:idx val="3"/>
          <c:order val="3"/>
          <c:tx>
            <c:strRef>
              <c:f>nacional!$BH$290</c:f>
              <c:strCache>
                <c:ptCount val="1"/>
                <c:pt idx="0">
                  <c:v>Proyectos con ejecución financiera</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nacional!$BD$291:$BD$298</c:f>
              <c:strCache>
                <c:ptCount val="8"/>
                <c:pt idx="0">
                  <c:v>TRANSPORTE</c:v>
                </c:pt>
                <c:pt idx="1">
                  <c:v>AGUA Y SANEAMIENTO</c:v>
                </c:pt>
                <c:pt idx="2">
                  <c:v>EDUCACION</c:v>
                </c:pt>
                <c:pt idx="3">
                  <c:v>SALUD Y ASISTENCIA SOCIAL</c:v>
                </c:pt>
                <c:pt idx="4">
                  <c:v>DESARROLLO URBANO Y RURAL</c:v>
                </c:pt>
                <c:pt idx="5">
                  <c:v>CULTURA Y DEPORTES</c:v>
                </c:pt>
                <c:pt idx="6">
                  <c:v>MEDIO AMBIENTE</c:v>
                </c:pt>
                <c:pt idx="7">
                  <c:v>OTRAS FUNCIONES</c:v>
                </c:pt>
              </c:strCache>
            </c:strRef>
          </c:cat>
          <c:val>
            <c:numRef>
              <c:f>nacional!$BH$291:$BH$298</c:f>
              <c:numCache>
                <c:formatCode>_(* #,##0_);_(* \(#,##0\);_(* "-"_);_(@_)</c:formatCode>
                <c:ptCount val="8"/>
                <c:pt idx="0">
                  <c:v>1537</c:v>
                </c:pt>
                <c:pt idx="1">
                  <c:v>1248</c:v>
                </c:pt>
                <c:pt idx="2">
                  <c:v>1302</c:v>
                </c:pt>
                <c:pt idx="3">
                  <c:v>310</c:v>
                </c:pt>
                <c:pt idx="4">
                  <c:v>282</c:v>
                </c:pt>
                <c:pt idx="5">
                  <c:v>180</c:v>
                </c:pt>
                <c:pt idx="6">
                  <c:v>176</c:v>
                </c:pt>
                <c:pt idx="7">
                  <c:v>603</c:v>
                </c:pt>
              </c:numCache>
            </c:numRef>
          </c:val>
          <c:extLst xmlns:c16r2="http://schemas.microsoft.com/office/drawing/2015/06/chart">
            <c:ext xmlns:c16="http://schemas.microsoft.com/office/drawing/2014/chart" uri="{C3380CC4-5D6E-409C-BE32-E72D297353CC}">
              <c16:uniqueId val="{00000003-2C2C-48C8-BB71-2813AD66FEB1}"/>
            </c:ext>
          </c:extLst>
        </c:ser>
        <c:ser>
          <c:idx val="4"/>
          <c:order val="4"/>
          <c:tx>
            <c:strRef>
              <c:f>nacional!$BI$290</c:f>
              <c:strCache>
                <c:ptCount val="1"/>
                <c:pt idx="0">
                  <c:v>Proyectos con avance físico</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nacional!$BD$291:$BD$298</c:f>
              <c:strCache>
                <c:ptCount val="8"/>
                <c:pt idx="0">
                  <c:v>TRANSPORTE</c:v>
                </c:pt>
                <c:pt idx="1">
                  <c:v>AGUA Y SANEAMIENTO</c:v>
                </c:pt>
                <c:pt idx="2">
                  <c:v>EDUCACION</c:v>
                </c:pt>
                <c:pt idx="3">
                  <c:v>SALUD Y ASISTENCIA SOCIAL</c:v>
                </c:pt>
                <c:pt idx="4">
                  <c:v>DESARROLLO URBANO Y RURAL</c:v>
                </c:pt>
                <c:pt idx="5">
                  <c:v>CULTURA Y DEPORTES</c:v>
                </c:pt>
                <c:pt idx="6">
                  <c:v>MEDIO AMBIENTE</c:v>
                </c:pt>
                <c:pt idx="7">
                  <c:v>OTRAS FUNCIONES</c:v>
                </c:pt>
              </c:strCache>
            </c:strRef>
          </c:cat>
          <c:val>
            <c:numRef>
              <c:f>nacional!$BI$291:$BI$298</c:f>
              <c:numCache>
                <c:formatCode>_(* #,##0_);_(* \(#,##0\);_(* "-"_);_(@_)</c:formatCode>
                <c:ptCount val="8"/>
                <c:pt idx="0">
                  <c:v>1601</c:v>
                </c:pt>
                <c:pt idx="1">
                  <c:v>1333</c:v>
                </c:pt>
                <c:pt idx="2">
                  <c:v>1380</c:v>
                </c:pt>
                <c:pt idx="3">
                  <c:v>311</c:v>
                </c:pt>
                <c:pt idx="4">
                  <c:v>311</c:v>
                </c:pt>
                <c:pt idx="5">
                  <c:v>178</c:v>
                </c:pt>
                <c:pt idx="6">
                  <c:v>170</c:v>
                </c:pt>
                <c:pt idx="7">
                  <c:v>590</c:v>
                </c:pt>
              </c:numCache>
            </c:numRef>
          </c:val>
          <c:extLst xmlns:c16r2="http://schemas.microsoft.com/office/drawing/2015/06/chart">
            <c:ext xmlns:c16="http://schemas.microsoft.com/office/drawing/2014/chart" uri="{C3380CC4-5D6E-409C-BE32-E72D297353CC}">
              <c16:uniqueId val="{00000004-2C2C-48C8-BB71-2813AD66FEB1}"/>
            </c:ext>
          </c:extLst>
        </c:ser>
        <c:dLbls>
          <c:showLegendKey val="0"/>
          <c:showVal val="0"/>
          <c:showCatName val="0"/>
          <c:showSerName val="0"/>
          <c:showPercent val="0"/>
          <c:showBubbleSize val="0"/>
        </c:dLbls>
        <c:gapWidth val="94"/>
        <c:gapDepth val="168"/>
        <c:shape val="box"/>
        <c:axId val="90713600"/>
        <c:axId val="92085568"/>
        <c:axId val="0"/>
      </c:bar3DChart>
      <c:catAx>
        <c:axId val="907136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500" b="1" i="0" u="sng"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crossAx val="92085568"/>
        <c:crosses val="autoZero"/>
        <c:auto val="1"/>
        <c:lblAlgn val="ctr"/>
        <c:lblOffset val="100"/>
        <c:noMultiLvlLbl val="0"/>
      </c:catAx>
      <c:valAx>
        <c:axId val="92085568"/>
        <c:scaling>
          <c:orientation val="minMax"/>
        </c:scaling>
        <c:delete val="0"/>
        <c:axPos val="l"/>
        <c:majorGridlines>
          <c:spPr>
            <a:ln w="9525" cap="flat" cmpd="sng" algn="ctr">
              <a:solidFill>
                <a:schemeClr val="bg1">
                  <a:lumMod val="9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crossAx val="90713600"/>
        <c:crosses val="autoZero"/>
        <c:crossBetween val="between"/>
      </c:valAx>
      <c:spPr>
        <a:noFill/>
        <a:ln>
          <a:noFill/>
        </a:ln>
        <a:effectLst/>
      </c:spPr>
    </c:plotArea>
    <c:legend>
      <c:legendPos val="b"/>
      <c:layout>
        <c:manualLayout>
          <c:xMode val="edge"/>
          <c:yMode val="edge"/>
          <c:x val="0.10079666721904161"/>
          <c:y val="0.87050829012227127"/>
          <c:w val="0.86176923913024106"/>
          <c:h val="0.1051014659752896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b="1"/>
      </a:pPr>
      <a:endParaRPr lang="es-G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02770132823606E-2"/>
          <c:y val="4.5378140983700466E-2"/>
          <c:w val="0.84509040457974782"/>
          <c:h val="0.64391091286999524"/>
        </c:manualLayout>
      </c:layout>
      <c:barChart>
        <c:barDir val="col"/>
        <c:grouping val="clustered"/>
        <c:varyColors val="0"/>
        <c:ser>
          <c:idx val="0"/>
          <c:order val="0"/>
          <c:tx>
            <c:strRef>
              <c:f>CUATRIMESTRAL!$C$107</c:f>
              <c:strCache>
                <c:ptCount val="1"/>
                <c:pt idx="0">
                  <c:v>Proyectos registrados</c:v>
                </c:pt>
              </c:strCache>
            </c:strRef>
          </c:tx>
          <c:spPr>
            <a:solidFill>
              <a:schemeClr val="accent1"/>
            </a:solidFill>
            <a:ln>
              <a:noFill/>
            </a:ln>
            <a:effectLst/>
          </c:spPr>
          <c:invertIfNegative val="0"/>
          <c:dLbls>
            <c:numFmt formatCode="#,##0" sourceLinked="0"/>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multiLvlStrRef>
              <c:f>CUATRIMESTRAL!$D$105:$O$106</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1er. Cuatrimestre</c:v>
                  </c:pt>
                  <c:pt idx="4">
                    <c:v>2do. Cuatrimestre</c:v>
                  </c:pt>
                  <c:pt idx="8">
                    <c:v>3er.. Cuatrimestre</c:v>
                  </c:pt>
                </c:lvl>
              </c:multiLvlStrCache>
            </c:multiLvlStrRef>
          </c:cat>
          <c:val>
            <c:numRef>
              <c:f>CUATRIMESTRAL!$D$107:$O$107</c:f>
              <c:numCache>
                <c:formatCode>General</c:formatCode>
                <c:ptCount val="12"/>
                <c:pt idx="0">
                  <c:v>9425</c:v>
                </c:pt>
                <c:pt idx="1">
                  <c:v>10235</c:v>
                </c:pt>
                <c:pt idx="2">
                  <c:v>10609</c:v>
                </c:pt>
                <c:pt idx="3">
                  <c:v>10979</c:v>
                </c:pt>
                <c:pt idx="4">
                  <c:v>11373</c:v>
                </c:pt>
                <c:pt idx="5">
                  <c:v>11759</c:v>
                </c:pt>
                <c:pt idx="6">
                  <c:v>11977</c:v>
                </c:pt>
                <c:pt idx="7">
                  <c:v>12351</c:v>
                </c:pt>
                <c:pt idx="8">
                  <c:v>12771</c:v>
                </c:pt>
                <c:pt idx="9">
                  <c:v>13071</c:v>
                </c:pt>
                <c:pt idx="10">
                  <c:v>13276</c:v>
                </c:pt>
                <c:pt idx="11">
                  <c:v>13562</c:v>
                </c:pt>
              </c:numCache>
            </c:numRef>
          </c:val>
          <c:extLst xmlns:c15="http://schemas.microsoft.com/office/drawing/2012/chart" xmlns:c16r2="http://schemas.microsoft.com/office/drawing/2015/06/chart">
            <c:ext xmlns:c16="http://schemas.microsoft.com/office/drawing/2014/chart" uri="{C3380CC4-5D6E-409C-BE32-E72D297353CC}">
              <c16:uniqueId val="{00000000-AF20-46F6-A98C-78C7B8968330}"/>
            </c:ext>
          </c:extLst>
        </c:ser>
        <c:ser>
          <c:idx val="1"/>
          <c:order val="1"/>
          <c:tx>
            <c:strRef>
              <c:f>CUATRIMESTRAL!$C$108</c:f>
              <c:strCache>
                <c:ptCount val="1"/>
                <c:pt idx="0">
                  <c:v>Proyectos con asignación actualizada</c:v>
                </c:pt>
              </c:strCache>
            </c:strRef>
          </c:tx>
          <c:spPr>
            <a:solidFill>
              <a:schemeClr val="accent2"/>
            </a:solidFill>
            <a:ln>
              <a:noFill/>
            </a:ln>
            <a:effectLst/>
          </c:spPr>
          <c:invertIfNegative val="0"/>
          <c:dLbls>
            <c:numFmt formatCode="#,##0" sourceLinked="0"/>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multiLvlStrRef>
              <c:f>CUATRIMESTRAL!$D$105:$O$106</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1er. Cuatrimestre</c:v>
                  </c:pt>
                  <c:pt idx="4">
                    <c:v>2do. Cuatrimestre</c:v>
                  </c:pt>
                  <c:pt idx="8">
                    <c:v>3er.. Cuatrimestre</c:v>
                  </c:pt>
                </c:lvl>
              </c:multiLvlStrCache>
            </c:multiLvlStrRef>
          </c:cat>
          <c:val>
            <c:numRef>
              <c:f>CUATRIMESTRAL!$D$108:$O$108</c:f>
              <c:numCache>
                <c:formatCode>General</c:formatCode>
                <c:ptCount val="12"/>
                <c:pt idx="0">
                  <c:v>2707</c:v>
                </c:pt>
                <c:pt idx="1">
                  <c:v>3092</c:v>
                </c:pt>
                <c:pt idx="2">
                  <c:v>3424</c:v>
                </c:pt>
                <c:pt idx="3">
                  <c:v>3615</c:v>
                </c:pt>
                <c:pt idx="4">
                  <c:v>3876</c:v>
                </c:pt>
                <c:pt idx="5">
                  <c:v>4288</c:v>
                </c:pt>
                <c:pt idx="6">
                  <c:v>4560</c:v>
                </c:pt>
                <c:pt idx="7">
                  <c:v>4816</c:v>
                </c:pt>
                <c:pt idx="8">
                  <c:v>5327</c:v>
                </c:pt>
                <c:pt idx="9">
                  <c:v>5704</c:v>
                </c:pt>
                <c:pt idx="10">
                  <c:v>5906</c:v>
                </c:pt>
                <c:pt idx="11">
                  <c:v>6515</c:v>
                </c:pt>
              </c:numCache>
            </c:numRef>
          </c:val>
          <c:extLst xmlns:c16r2="http://schemas.microsoft.com/office/drawing/2015/06/chart">
            <c:ext xmlns:c16="http://schemas.microsoft.com/office/drawing/2014/chart" uri="{C3380CC4-5D6E-409C-BE32-E72D297353CC}">
              <c16:uniqueId val="{00000001-AF20-46F6-A98C-78C7B8968330}"/>
            </c:ext>
          </c:extLst>
        </c:ser>
        <c:ser>
          <c:idx val="2"/>
          <c:order val="2"/>
          <c:tx>
            <c:strRef>
              <c:f>CUATRIMESTRAL!$C$109</c:f>
              <c:strCache>
                <c:ptCount val="1"/>
                <c:pt idx="0">
                  <c:v>Proyectos con asignación financiera ejecutada</c:v>
                </c:pt>
              </c:strCache>
            </c:strRef>
          </c:tx>
          <c:spPr>
            <a:solidFill>
              <a:schemeClr val="accent3"/>
            </a:solidFill>
            <a:ln>
              <a:noFill/>
            </a:ln>
            <a:effectLst/>
          </c:spPr>
          <c:invertIfNegative val="0"/>
          <c:dLbls>
            <c:numFmt formatCode="#,##0" sourceLinked="0"/>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multiLvlStrRef>
              <c:f>CUATRIMESTRAL!$D$105:$O$106</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1er. Cuatrimestre</c:v>
                  </c:pt>
                  <c:pt idx="4">
                    <c:v>2do. Cuatrimestre</c:v>
                  </c:pt>
                  <c:pt idx="8">
                    <c:v>3er.. Cuatrimestre</c:v>
                  </c:pt>
                </c:lvl>
              </c:multiLvlStrCache>
            </c:multiLvlStrRef>
          </c:cat>
          <c:val>
            <c:numRef>
              <c:f>CUATRIMESTRAL!$D$109:$O$109</c:f>
              <c:numCache>
                <c:formatCode>General</c:formatCode>
                <c:ptCount val="12"/>
                <c:pt idx="0">
                  <c:v>35</c:v>
                </c:pt>
                <c:pt idx="1">
                  <c:v>246</c:v>
                </c:pt>
                <c:pt idx="2">
                  <c:v>517</c:v>
                </c:pt>
                <c:pt idx="3">
                  <c:v>623</c:v>
                </c:pt>
                <c:pt idx="4">
                  <c:v>849</c:v>
                </c:pt>
                <c:pt idx="5">
                  <c:v>1239</c:v>
                </c:pt>
                <c:pt idx="6">
                  <c:v>1459</c:v>
                </c:pt>
                <c:pt idx="7">
                  <c:v>2120</c:v>
                </c:pt>
                <c:pt idx="8">
                  <c:v>2822</c:v>
                </c:pt>
                <c:pt idx="9">
                  <c:v>3916</c:v>
                </c:pt>
                <c:pt idx="10">
                  <c:v>4646</c:v>
                </c:pt>
                <c:pt idx="11">
                  <c:v>5638</c:v>
                </c:pt>
              </c:numCache>
            </c:numRef>
          </c:val>
          <c:extLst xmlns:c16r2="http://schemas.microsoft.com/office/drawing/2015/06/chart">
            <c:ext xmlns:c16="http://schemas.microsoft.com/office/drawing/2014/chart" uri="{C3380CC4-5D6E-409C-BE32-E72D297353CC}">
              <c16:uniqueId val="{00000002-AF20-46F6-A98C-78C7B8968330}"/>
            </c:ext>
          </c:extLst>
        </c:ser>
        <c:dLbls>
          <c:showLegendKey val="0"/>
          <c:showVal val="0"/>
          <c:showCatName val="0"/>
          <c:showSerName val="0"/>
          <c:showPercent val="0"/>
          <c:showBubbleSize val="0"/>
        </c:dLbls>
        <c:gapWidth val="150"/>
        <c:axId val="156327424"/>
        <c:axId val="92078656"/>
        <c:extLst xmlns:c16r2="http://schemas.microsoft.com/office/drawing/2015/06/chart"/>
      </c:barChart>
      <c:lineChart>
        <c:grouping val="standard"/>
        <c:varyColors val="0"/>
        <c:ser>
          <c:idx val="3"/>
          <c:order val="3"/>
          <c:tx>
            <c:strRef>
              <c:f>CUATRIMESTRAL!$C$110</c:f>
              <c:strCache>
                <c:ptCount val="1"/>
                <c:pt idx="0">
                  <c:v>Porcentaje ejecutado respecto a lo actualizado</c:v>
                </c:pt>
              </c:strCache>
            </c:strRef>
          </c:tx>
          <c:spPr>
            <a:ln w="19050" cap="rnd" cmpd="sng" algn="ctr">
              <a:solidFill>
                <a:schemeClr val="accent4"/>
              </a:solidFill>
              <a:prstDash val="solid"/>
              <a:round/>
            </a:ln>
            <a:effectLst/>
          </c:spPr>
          <c:marker>
            <c:symbol val="circle"/>
            <c:size val="9"/>
            <c:spPr>
              <a:solidFill>
                <a:schemeClr val="accent4"/>
              </a:solidFill>
              <a:ln w="6350" cap="flat" cmpd="sng" algn="ctr">
                <a:solidFill>
                  <a:schemeClr val="accent4"/>
                </a:solidFill>
                <a:prstDash val="solid"/>
                <a:round/>
              </a:ln>
              <a:effectLst/>
            </c:spPr>
          </c:marker>
          <c:dLbls>
            <c:dLbl>
              <c:idx val="0"/>
              <c:layout>
                <c:manualLayout>
                  <c:x val="-2.1588594704684317E-2"/>
                  <c:y val="-9.643530107869471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F20-46F6-A98C-78C7B896833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CUATRIMESTRAL!$D$106:$O$106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CUATRIMESTRAL!$D$110:$O$110</c:f>
              <c:numCache>
                <c:formatCode>0.00%</c:formatCode>
                <c:ptCount val="12"/>
                <c:pt idx="0">
                  <c:v>1.2929442186922793E-2</c:v>
                </c:pt>
                <c:pt idx="1">
                  <c:v>7.9560155239327301E-2</c:v>
                </c:pt>
                <c:pt idx="2">
                  <c:v>0.1509929906542056</c:v>
                </c:pt>
                <c:pt idx="3">
                  <c:v>0.17233748271092669</c:v>
                </c:pt>
                <c:pt idx="4">
                  <c:v>0.21904024767801858</c:v>
                </c:pt>
                <c:pt idx="5">
                  <c:v>0.28894589552238809</c:v>
                </c:pt>
                <c:pt idx="6">
                  <c:v>0.31995614035087722</c:v>
                </c:pt>
                <c:pt idx="7">
                  <c:v>0.44019933554817275</c:v>
                </c:pt>
                <c:pt idx="8">
                  <c:v>0.5297540829735311</c:v>
                </c:pt>
                <c:pt idx="9">
                  <c:v>0.6865357643758766</c:v>
                </c:pt>
                <c:pt idx="10">
                  <c:v>0.78665763630206564</c:v>
                </c:pt>
                <c:pt idx="11">
                  <c:v>0.86538756715272447</c:v>
                </c:pt>
              </c:numCache>
            </c:numRef>
          </c:val>
          <c:smooth val="0"/>
          <c:extLst xmlns:c16r2="http://schemas.microsoft.com/office/drawing/2015/06/chart">
            <c:ext xmlns:c16="http://schemas.microsoft.com/office/drawing/2014/chart" uri="{C3380CC4-5D6E-409C-BE32-E72D297353CC}">
              <c16:uniqueId val="{00000004-AF20-46F6-A98C-78C7B8968330}"/>
            </c:ext>
          </c:extLst>
        </c:ser>
        <c:dLbls>
          <c:showLegendKey val="0"/>
          <c:showVal val="0"/>
          <c:showCatName val="0"/>
          <c:showSerName val="0"/>
          <c:showPercent val="0"/>
          <c:showBubbleSize val="0"/>
        </c:dLbls>
        <c:marker val="1"/>
        <c:smooth val="0"/>
        <c:axId val="165372416"/>
        <c:axId val="92079232"/>
      </c:lineChart>
      <c:catAx>
        <c:axId val="156327424"/>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92078656"/>
        <c:crosses val="autoZero"/>
        <c:auto val="1"/>
        <c:lblAlgn val="ctr"/>
        <c:lblOffset val="100"/>
        <c:noMultiLvlLbl val="0"/>
      </c:catAx>
      <c:valAx>
        <c:axId val="92078656"/>
        <c:scaling>
          <c:orientation val="minMax"/>
          <c:max val="14000"/>
        </c:scaling>
        <c:delete val="0"/>
        <c:axPos val="l"/>
        <c:majorGridlines>
          <c:spPr>
            <a:ln w="6350" cap="flat" cmpd="sng" algn="ctr">
              <a:solidFill>
                <a:sysClr val="window" lastClr="FFFFFF">
                  <a:lumMod val="95000"/>
                </a:sysClr>
              </a:solidFill>
              <a:prstDash val="solid"/>
              <a:round/>
            </a:ln>
            <a:effectLst/>
          </c:spPr>
        </c:majorGridlines>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700" b="0">
                    <a:latin typeface="Times New Roman" panose="02020603050405020304" pitchFamily="18" charset="0"/>
                    <a:cs typeface="Times New Roman" panose="02020603050405020304" pitchFamily="18" charset="0"/>
                  </a:rPr>
                  <a:t>Proyectos</a:t>
                </a:r>
              </a:p>
            </c:rich>
          </c:tx>
          <c:overlay val="0"/>
          <c:spPr>
            <a:noFill/>
            <a:ln>
              <a:noFill/>
            </a:ln>
            <a:effectLst/>
          </c:sp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56327424"/>
        <c:crosses val="autoZero"/>
        <c:crossBetween val="between"/>
      </c:valAx>
      <c:valAx>
        <c:axId val="92079232"/>
        <c:scaling>
          <c:orientation val="minMax"/>
        </c:scaling>
        <c:delete val="0"/>
        <c:axPos val="r"/>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700" b="0">
                    <a:latin typeface="Times New Roman" panose="02020603050405020304" pitchFamily="18" charset="0"/>
                    <a:cs typeface="Times New Roman" panose="02020603050405020304" pitchFamily="18" charset="0"/>
                  </a:rPr>
                  <a:t>Porcentajes</a:t>
                </a:r>
              </a:p>
            </c:rich>
          </c:tx>
          <c:overlay val="0"/>
          <c:spPr>
            <a:noFill/>
            <a:ln>
              <a:noFill/>
            </a:ln>
            <a:effectLst/>
          </c:spPr>
        </c:title>
        <c:numFmt formatCode="0.0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65372416"/>
        <c:crosses val="max"/>
        <c:crossBetween val="between"/>
      </c:valAx>
      <c:catAx>
        <c:axId val="165372416"/>
        <c:scaling>
          <c:orientation val="minMax"/>
        </c:scaling>
        <c:delete val="1"/>
        <c:axPos val="b"/>
        <c:numFmt formatCode="General" sourceLinked="1"/>
        <c:majorTickMark val="out"/>
        <c:minorTickMark val="none"/>
        <c:tickLblPos val="nextTo"/>
        <c:crossAx val="92079232"/>
        <c:crosses val="autoZero"/>
        <c:auto val="1"/>
        <c:lblAlgn val="ctr"/>
        <c:lblOffset val="100"/>
        <c:noMultiLvlLbl val="0"/>
      </c:catAx>
      <c:spPr>
        <a:solidFill>
          <a:schemeClr val="bg1">
            <a:lumMod val="85000"/>
          </a:schemeClr>
        </a:solidFill>
        <a:ln>
          <a:noFill/>
        </a:ln>
        <a:effectLst/>
      </c:spPr>
    </c:plotArea>
    <c:legend>
      <c:legendPos val="b"/>
      <c:layout>
        <c:manualLayout>
          <c:xMode val="edge"/>
          <c:yMode val="edge"/>
          <c:x val="8.2059764984466765E-2"/>
          <c:y val="0.93687424710209111"/>
          <c:w val="0.87067138688502266"/>
          <c:h val="5.046111257369424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lumMod val="95000"/>
      </a:schemeClr>
    </a:solidFill>
    <a:ln w="6350" cap="flat" cmpd="sng" algn="ctr">
      <a:noFill/>
      <a:prstDash val="solid"/>
      <a:round/>
    </a:ln>
    <a:effectLst>
      <a:innerShdw blurRad="63500" dist="50800" dir="2700000">
        <a:schemeClr val="bg1">
          <a:lumMod val="75000"/>
          <a:alpha val="50000"/>
        </a:schemeClr>
      </a:innerShdw>
    </a:effectLst>
  </c:spPr>
  <c:txPr>
    <a:bodyPr/>
    <a:lstStyle/>
    <a:p>
      <a:pPr>
        <a:defRPr/>
      </a:pPr>
      <a:endParaRPr lang="es-G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'seguimiento inversión  '!$C$7</c:f>
              <c:strCache>
                <c:ptCount val="1"/>
                <c:pt idx="0">
                  <c:v>Asignación actualizada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multiLvlStrRef>
              <c:f>'seguimiento inversión  '!$D$5:$O$6</c:f>
              <c:multiLvlStrCache>
                <c:ptCount val="12"/>
                <c:lvl>
                  <c:pt idx="0">
                    <c:v>Enero</c:v>
                  </c:pt>
                  <c:pt idx="1">
                    <c:v>Febrero</c:v>
                  </c:pt>
                  <c:pt idx="2">
                    <c:v>Marzo </c:v>
                  </c:pt>
                  <c:pt idx="3">
                    <c:v>Abril</c:v>
                  </c:pt>
                  <c:pt idx="4">
                    <c:v>Mayo</c:v>
                  </c:pt>
                  <c:pt idx="5">
                    <c:v>Junio</c:v>
                  </c:pt>
                  <c:pt idx="6">
                    <c:v>Julio</c:v>
                  </c:pt>
                  <c:pt idx="7">
                    <c:v>Agosto</c:v>
                  </c:pt>
                  <c:pt idx="8">
                    <c:v>Septiembre</c:v>
                  </c:pt>
                  <c:pt idx="9">
                    <c:v>Octubre</c:v>
                  </c:pt>
                  <c:pt idx="10">
                    <c:v>Noviembre</c:v>
                  </c:pt>
                  <c:pt idx="11">
                    <c:v>Diciembre</c:v>
                  </c:pt>
                </c:lvl>
                <c:lvl>
                  <c:pt idx="0">
                    <c:v>1er Cuatrimestre</c:v>
                  </c:pt>
                  <c:pt idx="4">
                    <c:v>2do.Cuatrimestre</c:v>
                  </c:pt>
                  <c:pt idx="8">
                    <c:v>3er. Cuatrimestre</c:v>
                  </c:pt>
                </c:lvl>
              </c:multiLvlStrCache>
            </c:multiLvlStrRef>
          </c:cat>
          <c:val>
            <c:numRef>
              <c:f>'seguimiento inversión  '!$D$7:$O$7</c:f>
              <c:numCache>
                <c:formatCode>#,##0.00,,</c:formatCode>
                <c:ptCount val="12"/>
                <c:pt idx="0">
                  <c:v>7162999868.4100018</c:v>
                </c:pt>
                <c:pt idx="1">
                  <c:v>7598648948.2499981</c:v>
                </c:pt>
                <c:pt idx="2">
                  <c:v>8041102310.5899992</c:v>
                </c:pt>
                <c:pt idx="3" formatCode="#,##0.0,,">
                  <c:v>8103421747.119997</c:v>
                </c:pt>
                <c:pt idx="4" formatCode="#,##0.0,,">
                  <c:v>8576584373.9100008</c:v>
                </c:pt>
                <c:pt idx="5">
                  <c:v>8782734059.1600018</c:v>
                </c:pt>
                <c:pt idx="6">
                  <c:v>8936069676.4799938</c:v>
                </c:pt>
                <c:pt idx="7">
                  <c:v>9130490396.1399994</c:v>
                </c:pt>
                <c:pt idx="8" formatCode="#,##0.0,,">
                  <c:v>9818440923.3700027</c:v>
                </c:pt>
                <c:pt idx="9">
                  <c:v>10365831660.860023</c:v>
                </c:pt>
                <c:pt idx="10" formatCode="#,##0.0,,">
                  <c:v>10550230451.01</c:v>
                </c:pt>
                <c:pt idx="11" formatCode="#,##0.0,,">
                  <c:v>10886148626.130009</c:v>
                </c:pt>
              </c:numCache>
            </c:numRef>
          </c:val>
          <c:extLst xmlns:c16r2="http://schemas.microsoft.com/office/drawing/2015/06/chart">
            <c:ext xmlns:c16="http://schemas.microsoft.com/office/drawing/2014/chart" uri="{C3380CC4-5D6E-409C-BE32-E72D297353CC}">
              <c16:uniqueId val="{00000000-A933-4E96-842A-B6292AFC8C1C}"/>
            </c:ext>
          </c:extLst>
        </c:ser>
        <c:ser>
          <c:idx val="1"/>
          <c:order val="1"/>
          <c:tx>
            <c:strRef>
              <c:f>'seguimiento inversión  '!$C$8</c:f>
              <c:strCache>
                <c:ptCount val="1"/>
                <c:pt idx="0">
                  <c:v>Asignación ejecutada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multiLvlStrRef>
              <c:f>'seguimiento inversión  '!$D$5:$O$6</c:f>
              <c:multiLvlStrCache>
                <c:ptCount val="12"/>
                <c:lvl>
                  <c:pt idx="0">
                    <c:v>Enero</c:v>
                  </c:pt>
                  <c:pt idx="1">
                    <c:v>Febrero</c:v>
                  </c:pt>
                  <c:pt idx="2">
                    <c:v>Marzo </c:v>
                  </c:pt>
                  <c:pt idx="3">
                    <c:v>Abril</c:v>
                  </c:pt>
                  <c:pt idx="4">
                    <c:v>Mayo</c:v>
                  </c:pt>
                  <c:pt idx="5">
                    <c:v>Junio</c:v>
                  </c:pt>
                  <c:pt idx="6">
                    <c:v>Julio</c:v>
                  </c:pt>
                  <c:pt idx="7">
                    <c:v>Agosto</c:v>
                  </c:pt>
                  <c:pt idx="8">
                    <c:v>Septiembre</c:v>
                  </c:pt>
                  <c:pt idx="9">
                    <c:v>Octubre</c:v>
                  </c:pt>
                  <c:pt idx="10">
                    <c:v>Noviembre</c:v>
                  </c:pt>
                  <c:pt idx="11">
                    <c:v>Diciembre</c:v>
                  </c:pt>
                </c:lvl>
                <c:lvl>
                  <c:pt idx="0">
                    <c:v>1er Cuatrimestre</c:v>
                  </c:pt>
                  <c:pt idx="4">
                    <c:v>2do.Cuatrimestre</c:v>
                  </c:pt>
                  <c:pt idx="8">
                    <c:v>3er. Cuatrimestre</c:v>
                  </c:pt>
                </c:lvl>
              </c:multiLvlStrCache>
            </c:multiLvlStrRef>
          </c:cat>
          <c:val>
            <c:numRef>
              <c:f>'seguimiento inversión  '!$D$8:$O$8</c:f>
              <c:numCache>
                <c:formatCode>#,##0.00,,</c:formatCode>
                <c:ptCount val="12"/>
                <c:pt idx="0">
                  <c:v>9737821.9899999984</c:v>
                </c:pt>
                <c:pt idx="1">
                  <c:v>49367362.420000024</c:v>
                </c:pt>
                <c:pt idx="2">
                  <c:v>290786898.02999985</c:v>
                </c:pt>
                <c:pt idx="3">
                  <c:v>764511724.79999995</c:v>
                </c:pt>
                <c:pt idx="4" formatCode="#,##0.0,,">
                  <c:v>1406650020.7599986</c:v>
                </c:pt>
                <c:pt idx="5">
                  <c:v>1716920661.3700008</c:v>
                </c:pt>
                <c:pt idx="6">
                  <c:v>1983136577.6900017</c:v>
                </c:pt>
                <c:pt idx="7">
                  <c:v>2462281803.6500077</c:v>
                </c:pt>
                <c:pt idx="8" formatCode="#,##0.0,,">
                  <c:v>2997561908.9600043</c:v>
                </c:pt>
                <c:pt idx="9">
                  <c:v>3707860633.5700092</c:v>
                </c:pt>
                <c:pt idx="10" formatCode="#,##0.0,,">
                  <c:v>4315313577.6099997</c:v>
                </c:pt>
                <c:pt idx="11" formatCode="#,##0.0,,">
                  <c:v>6474885864.1400242</c:v>
                </c:pt>
              </c:numCache>
            </c:numRef>
          </c:val>
          <c:extLst xmlns:c16r2="http://schemas.microsoft.com/office/drawing/2015/06/chart">
            <c:ext xmlns:c16="http://schemas.microsoft.com/office/drawing/2014/chart" uri="{C3380CC4-5D6E-409C-BE32-E72D297353CC}">
              <c16:uniqueId val="{00000001-A933-4E96-842A-B6292AFC8C1C}"/>
            </c:ext>
          </c:extLst>
        </c:ser>
        <c:dLbls>
          <c:showLegendKey val="0"/>
          <c:showVal val="0"/>
          <c:showCatName val="0"/>
          <c:showSerName val="0"/>
          <c:showPercent val="0"/>
          <c:showBubbleSize val="0"/>
        </c:dLbls>
        <c:gapWidth val="150"/>
        <c:axId val="165374464"/>
        <c:axId val="92080960"/>
      </c:barChart>
      <c:lineChart>
        <c:grouping val="standard"/>
        <c:varyColors val="0"/>
        <c:ser>
          <c:idx val="2"/>
          <c:order val="2"/>
          <c:tx>
            <c:strRef>
              <c:f>'seguimiento inversión  '!$C$9</c:f>
              <c:strCache>
                <c:ptCount val="1"/>
                <c:pt idx="0">
                  <c:v>Porcentaje  ejecutado</c:v>
                </c:pt>
              </c:strCache>
            </c:strRef>
          </c:tx>
          <c:spPr>
            <a:ln w="25400" cap="rnd">
              <a:solidFill>
                <a:schemeClr val="accent6"/>
              </a:solidFill>
              <a:round/>
            </a:ln>
            <a:effectLst/>
          </c:spPr>
          <c:marker>
            <c:symbol val="circle"/>
            <c:size val="5"/>
            <c:spPr>
              <a:solidFill>
                <a:schemeClr val="accent6"/>
              </a:solidFill>
              <a:ln w="12700">
                <a:solidFill>
                  <a:schemeClr val="accent6">
                    <a:lumMod val="60000"/>
                    <a:lumOff val="40000"/>
                  </a:schemeClr>
                </a:solidFill>
                <a:round/>
              </a:ln>
              <a:effectLst/>
            </c:spPr>
          </c:marker>
          <c:dPt>
            <c:idx val="6"/>
            <c:bubble3D val="0"/>
            <c:spPr>
              <a:ln w="22225" cap="rnd">
                <a:solidFill>
                  <a:schemeClr val="accent6"/>
                </a:solidFill>
                <a:round/>
              </a:ln>
              <a:effectLst/>
            </c:spPr>
            <c:extLst xmlns:c16r2="http://schemas.microsoft.com/office/drawing/2015/06/chart">
              <c:ext xmlns:c16="http://schemas.microsoft.com/office/drawing/2014/chart" uri="{C3380CC4-5D6E-409C-BE32-E72D297353CC}">
                <c16:uniqueId val="{00000003-A933-4E96-842A-B6292AFC8C1C}"/>
              </c:ext>
            </c:extLst>
          </c:dPt>
          <c:cat>
            <c:multiLvlStrRef>
              <c:f>'seguimiento inversión  '!$D$5:$O$6</c:f>
              <c:multiLvlStrCache>
                <c:ptCount val="12"/>
                <c:lvl>
                  <c:pt idx="0">
                    <c:v>Enero</c:v>
                  </c:pt>
                  <c:pt idx="1">
                    <c:v>Febrero</c:v>
                  </c:pt>
                  <c:pt idx="2">
                    <c:v>Marzo </c:v>
                  </c:pt>
                  <c:pt idx="3">
                    <c:v>Abril</c:v>
                  </c:pt>
                  <c:pt idx="4">
                    <c:v>Mayo</c:v>
                  </c:pt>
                  <c:pt idx="5">
                    <c:v>Junio</c:v>
                  </c:pt>
                  <c:pt idx="6">
                    <c:v>Julio</c:v>
                  </c:pt>
                  <c:pt idx="7">
                    <c:v>Agosto</c:v>
                  </c:pt>
                  <c:pt idx="8">
                    <c:v>Septiembre</c:v>
                  </c:pt>
                  <c:pt idx="9">
                    <c:v>Octubre</c:v>
                  </c:pt>
                  <c:pt idx="10">
                    <c:v>Noviembre</c:v>
                  </c:pt>
                  <c:pt idx="11">
                    <c:v>Diciembre</c:v>
                  </c:pt>
                </c:lvl>
                <c:lvl>
                  <c:pt idx="0">
                    <c:v>1er Cuatrimestre</c:v>
                  </c:pt>
                  <c:pt idx="4">
                    <c:v>2do.Cuatrimestre</c:v>
                  </c:pt>
                  <c:pt idx="8">
                    <c:v>3er. Cuatrimestre</c:v>
                  </c:pt>
                </c:lvl>
              </c:multiLvlStrCache>
            </c:multiLvlStrRef>
          </c:cat>
          <c:val>
            <c:numRef>
              <c:f>'seguimiento inversión  '!$D$9:$O$9</c:f>
              <c:numCache>
                <c:formatCode>0.00%</c:formatCode>
                <c:ptCount val="12"/>
                <c:pt idx="0">
                  <c:v>1.3594614224335508E-3</c:v>
                </c:pt>
                <c:pt idx="1">
                  <c:v>6.4968605282613489E-3</c:v>
                </c:pt>
                <c:pt idx="2">
                  <c:v>3.6162566623115629E-2</c:v>
                </c:pt>
                <c:pt idx="3">
                  <c:v>9.4344308942294883E-2</c:v>
                </c:pt>
                <c:pt idx="4">
                  <c:v>0.16401051507626191</c:v>
                </c:pt>
                <c:pt idx="5">
                  <c:v>0.19548817598311868</c:v>
                </c:pt>
                <c:pt idx="6">
                  <c:v>0.22192492331496444</c:v>
                </c:pt>
                <c:pt idx="7">
                  <c:v>0.26967684065370251</c:v>
                </c:pt>
                <c:pt idx="8">
                  <c:v>0.30529917451814187</c:v>
                </c:pt>
                <c:pt idx="9">
                  <c:v>0.35770025550100226</c:v>
                </c:pt>
                <c:pt idx="10">
                  <c:v>0.40902552770275113</c:v>
                </c:pt>
                <c:pt idx="11">
                  <c:v>0.5947820562176015</c:v>
                </c:pt>
              </c:numCache>
            </c:numRef>
          </c:val>
          <c:smooth val="0"/>
          <c:extLst xmlns:c16r2="http://schemas.microsoft.com/office/drawing/2015/06/chart">
            <c:ext xmlns:c16="http://schemas.microsoft.com/office/drawing/2014/chart" uri="{C3380CC4-5D6E-409C-BE32-E72D297353CC}">
              <c16:uniqueId val="{00000004-A933-4E96-842A-B6292AFC8C1C}"/>
            </c:ext>
          </c:extLst>
        </c:ser>
        <c:dLbls>
          <c:showLegendKey val="0"/>
          <c:showVal val="0"/>
          <c:showCatName val="0"/>
          <c:showSerName val="0"/>
          <c:showPercent val="0"/>
          <c:showBubbleSize val="0"/>
        </c:dLbls>
        <c:marker val="1"/>
        <c:smooth val="0"/>
        <c:axId val="200732160"/>
        <c:axId val="92081536"/>
      </c:lineChart>
      <c:catAx>
        <c:axId val="1653744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95000"/>
                    <a:lumOff val="5000"/>
                  </a:schemeClr>
                </a:solidFill>
                <a:latin typeface="+mn-lt"/>
                <a:ea typeface="+mn-ea"/>
                <a:cs typeface="+mn-cs"/>
              </a:defRPr>
            </a:pPr>
            <a:endParaRPr lang="es-GT"/>
          </a:p>
        </c:txPr>
        <c:crossAx val="92080960"/>
        <c:crosses val="autoZero"/>
        <c:auto val="1"/>
        <c:lblAlgn val="ctr"/>
        <c:lblOffset val="100"/>
        <c:noMultiLvlLbl val="0"/>
      </c:catAx>
      <c:valAx>
        <c:axId val="92080960"/>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5374464"/>
        <c:crosses val="autoZero"/>
        <c:crossBetween val="between"/>
      </c:valAx>
      <c:valAx>
        <c:axId val="92081536"/>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sz="800" b="0">
                    <a:latin typeface="Times New Roman" panose="02020603050405020304" pitchFamily="18" charset="0"/>
                    <a:cs typeface="Times New Roman" panose="02020603050405020304" pitchFamily="18" charset="0"/>
                  </a:rPr>
                  <a:t>Porcentajes de ejecución</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s-GT"/>
          </a:p>
        </c:txPr>
        <c:crossAx val="200732160"/>
        <c:crosses val="max"/>
        <c:crossBetween val="between"/>
      </c:valAx>
      <c:catAx>
        <c:axId val="200732160"/>
        <c:scaling>
          <c:orientation val="minMax"/>
        </c:scaling>
        <c:delete val="1"/>
        <c:axPos val="b"/>
        <c:numFmt formatCode="General" sourceLinked="1"/>
        <c:majorTickMark val="none"/>
        <c:minorTickMark val="none"/>
        <c:tickLblPos val="nextTo"/>
        <c:crossAx val="92081536"/>
        <c:crosses val="autoZero"/>
        <c:auto val="1"/>
        <c:lblAlgn val="ctr"/>
        <c:lblOffset val="100"/>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700" b="1" i="0" u="none" strike="noStrike" kern="1200" baseline="0">
              <a:solidFill>
                <a:schemeClr val="tx1">
                  <a:lumMod val="95000"/>
                  <a:lumOff val="5000"/>
                </a:schemeClr>
              </a:solidFill>
              <a:latin typeface="+mn-lt"/>
              <a:ea typeface="+mn-ea"/>
              <a:cs typeface="+mn-cs"/>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sz="700">
          <a:solidFill>
            <a:schemeClr val="tx1">
              <a:lumMod val="95000"/>
              <a:lumOff val="5000"/>
            </a:schemeClr>
          </a:solidFill>
        </a:defRPr>
      </a:pPr>
      <a:endParaRPr lang="es-GT"/>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404251491559"/>
          <c:y val="4.8454852019245299E-2"/>
          <c:w val="0.86286774971553104"/>
          <c:h val="0.70234964198282601"/>
        </c:manualLayout>
      </c:layout>
      <c:bar3DChart>
        <c:barDir val="col"/>
        <c:grouping val="clustered"/>
        <c:varyColors val="0"/>
        <c:ser>
          <c:idx val="0"/>
          <c:order val="0"/>
          <c:tx>
            <c:strRef>
              <c:f>'Consolidado '!$A$11</c:f>
              <c:strCache>
                <c:ptCount val="1"/>
                <c:pt idx="0">
                  <c:v>Gobierno Central </c:v>
                </c:pt>
              </c:strCache>
            </c:strRef>
          </c:tx>
          <c:spPr>
            <a:solidFill>
              <a:schemeClr val="accent6"/>
            </a:solidFill>
            <a:ln>
              <a:noFill/>
            </a:ln>
            <a:effectLst/>
            <a:sp3d/>
          </c:spPr>
          <c:invertIfNegative val="0"/>
          <c:dLbls>
            <c:dLbl>
              <c:idx val="0"/>
              <c:layout>
                <c:manualLayout>
                  <c:x val="2.11602707898738E-2"/>
                  <c:y val="-2.4023959140210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480-4018-8D17-B1BD1F29F08A}"/>
                </c:ext>
              </c:extLst>
            </c:dLbl>
            <c:dLbl>
              <c:idx val="1"/>
              <c:layout>
                <c:manualLayout>
                  <c:x val="5.16515533340417E-3"/>
                  <c:y val="-4.82047220384144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480-4018-8D17-B1BD1F29F08A}"/>
                </c:ext>
              </c:extLst>
            </c:dLbl>
            <c:dLbl>
              <c:idx val="2"/>
              <c:layout>
                <c:manualLayout>
                  <c:x val="-7.3914982815399598E-17"/>
                  <c:y val="-2.57473165880201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480-4018-8D17-B1BD1F29F08A}"/>
                </c:ext>
              </c:extLst>
            </c:dLbl>
            <c:dLbl>
              <c:idx val="3"/>
              <c:layout>
                <c:manualLayout>
                  <c:x val="-2.0158864551161979E-3"/>
                  <c:y val="-1.83909404200143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480-4018-8D17-B1BD1F29F0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'Consolidado '!$B$10:$E$10</c:f>
              <c:strCache>
                <c:ptCount val="4"/>
                <c:pt idx="0">
                  <c:v>Asignado   </c:v>
                </c:pt>
                <c:pt idx="1">
                  <c:v>Vigente  </c:v>
                </c:pt>
                <c:pt idx="2">
                  <c:v>Ejecución  </c:v>
                </c:pt>
                <c:pt idx="3">
                  <c:v>% de ejecución </c:v>
                </c:pt>
              </c:strCache>
            </c:strRef>
          </c:cat>
          <c:val>
            <c:numRef>
              <c:f>'Consolidado '!$B$11:$E$11</c:f>
              <c:numCache>
                <c:formatCode>_(* #,##0.00_);_(* \(#,##0.00\);_(* "-"??_);_(@_)</c:formatCode>
                <c:ptCount val="4"/>
                <c:pt idx="0">
                  <c:v>254.46999999999997</c:v>
                </c:pt>
                <c:pt idx="1">
                  <c:v>163.84</c:v>
                </c:pt>
                <c:pt idx="2">
                  <c:v>74.31</c:v>
                </c:pt>
                <c:pt idx="3" formatCode="0.00%">
                  <c:v>0.45355224609375</c:v>
                </c:pt>
              </c:numCache>
            </c:numRef>
          </c:val>
          <c:shape val="cylinder"/>
          <c:extLst xmlns:c16r2="http://schemas.microsoft.com/office/drawing/2015/06/chart">
            <c:ext xmlns:c16="http://schemas.microsoft.com/office/drawing/2014/chart" uri="{C3380CC4-5D6E-409C-BE32-E72D297353CC}">
              <c16:uniqueId val="{00000004-7480-4018-8D17-B1BD1F29F08A}"/>
            </c:ext>
          </c:extLst>
        </c:ser>
        <c:ser>
          <c:idx val="1"/>
          <c:order val="1"/>
          <c:tx>
            <c:strRef>
              <c:f>'Consolidado '!$A$12</c:f>
              <c:strCache>
                <c:ptCount val="1"/>
                <c:pt idx="0">
                  <c:v>Descentralizadas</c:v>
                </c:pt>
              </c:strCache>
            </c:strRef>
          </c:tx>
          <c:spPr>
            <a:solidFill>
              <a:schemeClr val="accent5"/>
            </a:solidFill>
            <a:ln>
              <a:noFill/>
            </a:ln>
            <a:effectLst/>
            <a:sp3d/>
          </c:spPr>
          <c:invertIfNegative val="0"/>
          <c:dLbls>
            <c:dLbl>
              <c:idx val="0"/>
              <c:layout>
                <c:manualLayout>
                  <c:x val="2.7199675872780067E-2"/>
                  <c:y val="-1.14940911243894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480-4018-8D17-B1BD1F29F08A}"/>
                </c:ext>
              </c:extLst>
            </c:dLbl>
            <c:dLbl>
              <c:idx val="1"/>
              <c:layout>
                <c:manualLayout>
                  <c:x val="1.16215995001594E-2"/>
                  <c:y val="-4.01706016986786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480-4018-8D17-B1BD1F29F08A}"/>
                </c:ext>
              </c:extLst>
            </c:dLbl>
            <c:dLbl>
              <c:idx val="2"/>
              <c:layout>
                <c:manualLayout>
                  <c:x val="6.0476593653481497E-3"/>
                  <c:y val="-2.57473165880201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480-4018-8D17-B1BD1F29F08A}"/>
                </c:ext>
              </c:extLst>
            </c:dLbl>
            <c:dLbl>
              <c:idx val="3"/>
              <c:layout>
                <c:manualLayout>
                  <c:x val="1.0079432275580251E-2"/>
                  <c:y val="-1.471275233601145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480-4018-8D17-B1BD1F29F0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'Consolidado '!$B$10:$E$10</c:f>
              <c:strCache>
                <c:ptCount val="4"/>
                <c:pt idx="0">
                  <c:v>Asignado   </c:v>
                </c:pt>
                <c:pt idx="1">
                  <c:v>Vigente  </c:v>
                </c:pt>
                <c:pt idx="2">
                  <c:v>Ejecución  </c:v>
                </c:pt>
                <c:pt idx="3">
                  <c:v>% de ejecución </c:v>
                </c:pt>
              </c:strCache>
            </c:strRef>
          </c:cat>
          <c:val>
            <c:numRef>
              <c:f>'Consolidado '!$B$12:$E$12</c:f>
              <c:numCache>
                <c:formatCode>_(* #,##0.00_);_(* \(#,##0.00\);_(* "-"??_);_(@_)</c:formatCode>
                <c:ptCount val="4"/>
                <c:pt idx="0">
                  <c:v>148.16999999999999</c:v>
                </c:pt>
                <c:pt idx="1">
                  <c:v>144.04538999999997</c:v>
                </c:pt>
                <c:pt idx="2">
                  <c:v>80.315399999999997</c:v>
                </c:pt>
                <c:pt idx="3" formatCode="0.00%">
                  <c:v>0.55757008259688157</c:v>
                </c:pt>
              </c:numCache>
            </c:numRef>
          </c:val>
          <c:shape val="cylinder"/>
          <c:extLst xmlns:c16r2="http://schemas.microsoft.com/office/drawing/2015/06/chart">
            <c:ext xmlns:c16="http://schemas.microsoft.com/office/drawing/2014/chart" uri="{C3380CC4-5D6E-409C-BE32-E72D297353CC}">
              <c16:uniqueId val="{00000009-7480-4018-8D17-B1BD1F29F08A}"/>
            </c:ext>
          </c:extLst>
        </c:ser>
        <c:dLbls>
          <c:showLegendKey val="0"/>
          <c:showVal val="0"/>
          <c:showCatName val="0"/>
          <c:showSerName val="0"/>
          <c:showPercent val="0"/>
          <c:showBubbleSize val="0"/>
        </c:dLbls>
        <c:gapWidth val="150"/>
        <c:shape val="box"/>
        <c:axId val="139968512"/>
        <c:axId val="92084416"/>
        <c:axId val="0"/>
      </c:bar3DChart>
      <c:catAx>
        <c:axId val="139968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2084416"/>
        <c:crosses val="autoZero"/>
        <c:auto val="1"/>
        <c:lblAlgn val="ctr"/>
        <c:lblOffset val="100"/>
        <c:noMultiLvlLbl val="0"/>
      </c:catAx>
      <c:valAx>
        <c:axId val="92084416"/>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996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752861006740302E-2"/>
          <c:y val="6.4912966654349188E-2"/>
          <c:w val="0.87643220156647705"/>
          <c:h val="0.73923068657791302"/>
        </c:manualLayout>
      </c:layout>
      <c:bar3DChart>
        <c:barDir val="col"/>
        <c:grouping val="clustered"/>
        <c:varyColors val="0"/>
        <c:ser>
          <c:idx val="0"/>
          <c:order val="0"/>
          <c:tx>
            <c:strRef>
              <c:f>'Consolidado '!$A$12</c:f>
              <c:strCache>
                <c:ptCount val="1"/>
                <c:pt idx="0">
                  <c:v>Descentralizadas</c:v>
                </c:pt>
              </c:strCache>
            </c:strRef>
          </c:tx>
          <c:spPr>
            <a:solidFill>
              <a:schemeClr val="accent1"/>
            </a:solidFill>
            <a:ln>
              <a:noFill/>
            </a:ln>
            <a:effectLst/>
            <a:sp3d/>
          </c:spPr>
          <c:invertIfNegative val="0"/>
          <c:dPt>
            <c:idx val="1"/>
            <c:invertIfNegative val="0"/>
            <c:bubble3D val="0"/>
            <c:spPr>
              <a:solidFill>
                <a:schemeClr val="accent6"/>
              </a:solidFill>
              <a:ln>
                <a:noFill/>
              </a:ln>
              <a:effectLst/>
              <a:sp3d/>
            </c:spPr>
            <c:extLst xmlns:c16r2="http://schemas.microsoft.com/office/drawing/2015/06/chart">
              <c:ext xmlns:c16="http://schemas.microsoft.com/office/drawing/2014/chart" uri="{C3380CC4-5D6E-409C-BE32-E72D297353CC}">
                <c16:uniqueId val="{00000001-A6CF-454A-B172-69A0A46B4BEC}"/>
              </c:ext>
            </c:extLst>
          </c:dPt>
          <c:dPt>
            <c:idx val="2"/>
            <c:invertIfNegative val="0"/>
            <c:bubble3D val="0"/>
            <c:spPr>
              <a:solidFill>
                <a:srgbClr val="83C937"/>
              </a:solidFill>
              <a:ln>
                <a:noFill/>
              </a:ln>
              <a:effectLst/>
              <a:sp3d/>
            </c:spPr>
            <c:extLst xmlns:c16r2="http://schemas.microsoft.com/office/drawing/2015/06/chart">
              <c:ext xmlns:c16="http://schemas.microsoft.com/office/drawing/2014/chart" uri="{C3380CC4-5D6E-409C-BE32-E72D297353CC}">
                <c16:uniqueId val="{00000003-A6CF-454A-B172-69A0A46B4BEC}"/>
              </c:ext>
            </c:extLst>
          </c:dPt>
          <c:dPt>
            <c:idx val="3"/>
            <c:invertIfNegative val="0"/>
            <c:bubble3D val="0"/>
            <c:spPr>
              <a:solidFill>
                <a:srgbClr val="00B0F0"/>
              </a:solidFill>
              <a:ln>
                <a:noFill/>
              </a:ln>
              <a:effectLst/>
              <a:sp3d/>
            </c:spPr>
            <c:extLst xmlns:c16r2="http://schemas.microsoft.com/office/drawing/2015/06/chart">
              <c:ext xmlns:c16="http://schemas.microsoft.com/office/drawing/2014/chart" uri="{C3380CC4-5D6E-409C-BE32-E72D297353CC}">
                <c16:uniqueId val="{00000005-A6CF-454A-B172-69A0A46B4BEC}"/>
              </c:ext>
            </c:extLst>
          </c:dPt>
          <c:dLbls>
            <c:dLbl>
              <c:idx val="0"/>
              <c:layout>
                <c:manualLayout>
                  <c:x val="1.560815746684935E-2"/>
                  <c:y val="-3.93684168541828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6CF-454A-B172-69A0A46B4BEC}"/>
                </c:ext>
              </c:extLst>
            </c:dLbl>
            <c:dLbl>
              <c:idx val="1"/>
              <c:layout>
                <c:manualLayout>
                  <c:x val="5.16515533340417E-3"/>
                  <c:y val="-4.82047220384144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6CF-454A-B172-69A0A46B4BEC}"/>
                </c:ext>
              </c:extLst>
            </c:dLbl>
            <c:dLbl>
              <c:idx val="2"/>
              <c:layout>
                <c:manualLayout>
                  <c:x val="2.1376656690893546E-3"/>
                  <c:y val="-3.79907133811735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6CF-454A-B172-69A0A46B4BEC}"/>
                </c:ext>
              </c:extLst>
            </c:dLbl>
            <c:dLbl>
              <c:idx val="3"/>
              <c:layout>
                <c:manualLayout>
                  <c:x val="6.412997007268063E-3"/>
                  <c:y val="-5.48754748839172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6CF-454A-B172-69A0A46B4B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'Consolidado '!$B$10:$E$10</c:f>
              <c:strCache>
                <c:ptCount val="4"/>
                <c:pt idx="0">
                  <c:v>Asignado   </c:v>
                </c:pt>
                <c:pt idx="1">
                  <c:v>Vigente  </c:v>
                </c:pt>
                <c:pt idx="2">
                  <c:v>Ejecución  </c:v>
                </c:pt>
                <c:pt idx="3">
                  <c:v>% de ejecución </c:v>
                </c:pt>
              </c:strCache>
            </c:strRef>
          </c:cat>
          <c:val>
            <c:numRef>
              <c:f>'Consolidado '!$B$12:$E$12</c:f>
              <c:numCache>
                <c:formatCode>_(* #,##0.00_);_(* \(#,##0.00\);_(* "-"??_);_(@_)</c:formatCode>
                <c:ptCount val="4"/>
                <c:pt idx="0">
                  <c:v>148.16999999999999</c:v>
                </c:pt>
                <c:pt idx="1">
                  <c:v>144.04538999999997</c:v>
                </c:pt>
                <c:pt idx="2">
                  <c:v>80.315399999999997</c:v>
                </c:pt>
                <c:pt idx="3" formatCode="0.00%">
                  <c:v>0.55757008259688157</c:v>
                </c:pt>
              </c:numCache>
            </c:numRef>
          </c:val>
          <c:shape val="cylinder"/>
          <c:extLst xmlns:c16r2="http://schemas.microsoft.com/office/drawing/2015/06/chart">
            <c:ext xmlns:c16="http://schemas.microsoft.com/office/drawing/2014/chart" uri="{C3380CC4-5D6E-409C-BE32-E72D297353CC}">
              <c16:uniqueId val="{00000007-A6CF-454A-B172-69A0A46B4BEC}"/>
            </c:ext>
          </c:extLst>
        </c:ser>
        <c:dLbls>
          <c:showLegendKey val="0"/>
          <c:showVal val="0"/>
          <c:showCatName val="0"/>
          <c:showSerName val="0"/>
          <c:showPercent val="0"/>
          <c:showBubbleSize val="0"/>
        </c:dLbls>
        <c:gapWidth val="150"/>
        <c:shape val="box"/>
        <c:axId val="139970560"/>
        <c:axId val="92083264"/>
        <c:axId val="0"/>
      </c:bar3DChart>
      <c:catAx>
        <c:axId val="1399705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2083264"/>
        <c:crosses val="autoZero"/>
        <c:auto val="1"/>
        <c:lblAlgn val="ctr"/>
        <c:lblOffset val="100"/>
        <c:noMultiLvlLbl val="0"/>
      </c:catAx>
      <c:valAx>
        <c:axId val="9208326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997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cdr:x>
      <cdr:y>0.99394</cdr:y>
    </cdr:from>
    <cdr:to>
      <cdr:x>1</cdr:x>
      <cdr:y>1</cdr:y>
    </cdr:to>
    <cdr:cxnSp macro="">
      <cdr:nvCxnSpPr>
        <cdr:cNvPr id="3" name="2 Conector recto" descr="Q. 370.54 Millones" title="Ejecución promedio de los 3 Años: ">
          <a:extLst xmlns:a="http://schemas.openxmlformats.org/drawingml/2006/main">
            <a:ext uri="{FF2B5EF4-FFF2-40B4-BE49-F238E27FC236}">
              <a16:creationId xmlns="" xmlns:a16="http://schemas.microsoft.com/office/drawing/2014/main" id="{F6D0687A-4A88-409C-8625-D13A4DEE7251}"/>
            </a:ext>
          </a:extLst>
        </cdr:cNvPr>
        <cdr:cNvCxnSpPr/>
      </cdr:nvCxnSpPr>
      <cdr:spPr>
        <a:xfrm xmlns:a="http://schemas.openxmlformats.org/drawingml/2006/main">
          <a:off x="0" y="3125932"/>
          <a:ext cx="5941001" cy="19050"/>
        </a:xfrm>
        <a:prstGeom xmlns:a="http://schemas.openxmlformats.org/drawingml/2006/main" prst="line">
          <a:avLst/>
        </a:prstGeom>
      </cdr:spPr>
      <cdr:style>
        <a:lnRef xmlns:a="http://schemas.openxmlformats.org/drawingml/2006/main" idx="3">
          <a:schemeClr val="accent4"/>
        </a:lnRef>
        <a:fillRef xmlns:a="http://schemas.openxmlformats.org/drawingml/2006/main" idx="0">
          <a:schemeClr val="accent4"/>
        </a:fillRef>
        <a:effectRef xmlns:a="http://schemas.openxmlformats.org/drawingml/2006/main" idx="2">
          <a:schemeClr val="accent4"/>
        </a:effectRef>
        <a:fontRef xmlns:a="http://schemas.openxmlformats.org/drawingml/2006/main" idx="minor">
          <a:schemeClr val="tx1"/>
        </a:fontRef>
      </cdr:style>
    </cdr:cxnSp>
  </cdr:relSizeAnchor>
  <cdr:relSizeAnchor xmlns:cdr="http://schemas.openxmlformats.org/drawingml/2006/chartDrawing">
    <cdr:from>
      <cdr:x>0</cdr:x>
      <cdr:y>0.99394</cdr:y>
    </cdr:from>
    <cdr:to>
      <cdr:x>1</cdr:x>
      <cdr:y>1</cdr:y>
    </cdr:to>
    <cdr:cxnSp macro="">
      <cdr:nvCxnSpPr>
        <cdr:cNvPr id="2" name="2 Conector recto" descr="Q. 370.54 Millones" title="Ejecución promedio de los 3 Años: ">
          <a:extLst xmlns:a="http://schemas.openxmlformats.org/drawingml/2006/main">
            <a:ext uri="{FF2B5EF4-FFF2-40B4-BE49-F238E27FC236}">
              <a16:creationId xmlns="" xmlns:a16="http://schemas.microsoft.com/office/drawing/2014/main" id="{8C06A019-851E-4F02-9095-69F5B2FE0A07}"/>
            </a:ext>
          </a:extLst>
        </cdr:cNvPr>
        <cdr:cNvCxnSpPr/>
      </cdr:nvCxnSpPr>
      <cdr:spPr>
        <a:xfrm xmlns:a="http://schemas.openxmlformats.org/drawingml/2006/main">
          <a:off x="0" y="3125932"/>
          <a:ext cx="5941001" cy="19050"/>
        </a:xfrm>
        <a:prstGeom xmlns:a="http://schemas.openxmlformats.org/drawingml/2006/main" prst="line">
          <a:avLst/>
        </a:prstGeom>
      </cdr:spPr>
      <cdr:style>
        <a:lnRef xmlns:a="http://schemas.openxmlformats.org/drawingml/2006/main" idx="3">
          <a:schemeClr val="accent4"/>
        </a:lnRef>
        <a:fillRef xmlns:a="http://schemas.openxmlformats.org/drawingml/2006/main" idx="0">
          <a:schemeClr val="accent4"/>
        </a:fillRef>
        <a:effectRef xmlns:a="http://schemas.openxmlformats.org/drawingml/2006/main" idx="2">
          <a:schemeClr val="accent4"/>
        </a:effectRef>
        <a:fontRef xmlns:a="http://schemas.openxmlformats.org/drawingml/2006/main" idx="minor">
          <a:schemeClr val="tx1"/>
        </a:fontRef>
      </cdr:style>
    </cdr:cxnSp>
  </cdr:relSizeAnchor>
  <cdr:relSizeAnchor xmlns:cdr="http://schemas.openxmlformats.org/drawingml/2006/chartDrawing">
    <cdr:from>
      <cdr:x>0</cdr:x>
      <cdr:y>0.99394</cdr:y>
    </cdr:from>
    <cdr:to>
      <cdr:x>1</cdr:x>
      <cdr:y>1</cdr:y>
    </cdr:to>
    <cdr:cxnSp macro="">
      <cdr:nvCxnSpPr>
        <cdr:cNvPr id="12" name="2 Conector recto" descr="Q. 370.54 Millones" title="Ejecución promedio de los 3 Años: ">
          <a:extLst xmlns:a="http://schemas.openxmlformats.org/drawingml/2006/main">
            <a:ext uri="{FF2B5EF4-FFF2-40B4-BE49-F238E27FC236}">
              <a16:creationId xmlns="" xmlns:a16="http://schemas.microsoft.com/office/drawing/2014/main" id="{23693B21-81A0-4308-85F7-F3FEC3433A4A}"/>
            </a:ext>
          </a:extLst>
        </cdr:cNvPr>
        <cdr:cNvCxnSpPr/>
      </cdr:nvCxnSpPr>
      <cdr:spPr>
        <a:xfrm xmlns:a="http://schemas.openxmlformats.org/drawingml/2006/main">
          <a:off x="0" y="3125932"/>
          <a:ext cx="5941001" cy="19050"/>
        </a:xfrm>
        <a:prstGeom xmlns:a="http://schemas.openxmlformats.org/drawingml/2006/main" prst="line">
          <a:avLst/>
        </a:prstGeom>
        <a:ln xmlns:a="http://schemas.openxmlformats.org/drawingml/2006/main">
          <a:solidFill>
            <a:schemeClr val="bg1"/>
          </a:solidFill>
        </a:ln>
      </cdr:spPr>
      <cdr:style>
        <a:lnRef xmlns:a="http://schemas.openxmlformats.org/drawingml/2006/main" idx="3">
          <a:schemeClr val="accent4"/>
        </a:lnRef>
        <a:fillRef xmlns:a="http://schemas.openxmlformats.org/drawingml/2006/main" idx="0">
          <a:schemeClr val="accent4"/>
        </a:fillRef>
        <a:effectRef xmlns:a="http://schemas.openxmlformats.org/drawingml/2006/main" idx="2">
          <a:schemeClr val="accent4"/>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cdr:x>
      <cdr:y>0.99394</cdr:y>
    </cdr:from>
    <cdr:to>
      <cdr:x>1</cdr:x>
      <cdr:y>1</cdr:y>
    </cdr:to>
    <cdr:cxnSp macro="">
      <cdr:nvCxnSpPr>
        <cdr:cNvPr id="3" name="2 Conector recto" descr="Q. 370.54 Millones" title="Ejecución promedio de los 3 Años: ">
          <a:extLst xmlns:a="http://schemas.openxmlformats.org/drawingml/2006/main">
            <a:ext uri="{FF2B5EF4-FFF2-40B4-BE49-F238E27FC236}">
              <a16:creationId xmlns="" xmlns:a16="http://schemas.microsoft.com/office/drawing/2014/main" id="{DD0A1B4C-3EFA-48FA-93CF-53A9A915F763}"/>
            </a:ext>
          </a:extLst>
        </cdr:cNvPr>
        <cdr:cNvCxnSpPr/>
      </cdr:nvCxnSpPr>
      <cdr:spPr>
        <a:xfrm xmlns:a="http://schemas.openxmlformats.org/drawingml/2006/main">
          <a:off x="0" y="3125932"/>
          <a:ext cx="5941001" cy="19050"/>
        </a:xfrm>
        <a:prstGeom xmlns:a="http://schemas.openxmlformats.org/drawingml/2006/main" prst="line">
          <a:avLst/>
        </a:prstGeom>
      </cdr:spPr>
      <cdr:style>
        <a:lnRef xmlns:a="http://schemas.openxmlformats.org/drawingml/2006/main" idx="3">
          <a:schemeClr val="accent4"/>
        </a:lnRef>
        <a:fillRef xmlns:a="http://schemas.openxmlformats.org/drawingml/2006/main" idx="0">
          <a:schemeClr val="accent4"/>
        </a:fillRef>
        <a:effectRef xmlns:a="http://schemas.openxmlformats.org/drawingml/2006/main" idx="2">
          <a:schemeClr val="accent4"/>
        </a:effectRef>
        <a:fontRef xmlns:a="http://schemas.openxmlformats.org/drawingml/2006/main" idx="minor">
          <a:schemeClr val="tx1"/>
        </a:fontRef>
      </cdr:style>
    </cdr:cxnSp>
  </cdr:relSizeAnchor>
  <cdr:relSizeAnchor xmlns:cdr="http://schemas.openxmlformats.org/drawingml/2006/chartDrawing">
    <cdr:from>
      <cdr:x>0</cdr:x>
      <cdr:y>0.99394</cdr:y>
    </cdr:from>
    <cdr:to>
      <cdr:x>1</cdr:x>
      <cdr:y>1</cdr:y>
    </cdr:to>
    <cdr:cxnSp macro="">
      <cdr:nvCxnSpPr>
        <cdr:cNvPr id="2" name="2 Conector recto" descr="Q. 370.54 Millones" title="Ejecución promedio de los 3 Años: ">
          <a:extLst xmlns:a="http://schemas.openxmlformats.org/drawingml/2006/main">
            <a:ext uri="{FF2B5EF4-FFF2-40B4-BE49-F238E27FC236}">
              <a16:creationId xmlns="" xmlns:a16="http://schemas.microsoft.com/office/drawing/2014/main" id="{73228C31-BE5C-40EB-B2D4-F7DE8FD76ACC}"/>
            </a:ext>
          </a:extLst>
        </cdr:cNvPr>
        <cdr:cNvCxnSpPr/>
      </cdr:nvCxnSpPr>
      <cdr:spPr>
        <a:xfrm xmlns:a="http://schemas.openxmlformats.org/drawingml/2006/main">
          <a:off x="0" y="3125932"/>
          <a:ext cx="5941001" cy="19050"/>
        </a:xfrm>
        <a:prstGeom xmlns:a="http://schemas.openxmlformats.org/drawingml/2006/main" prst="line">
          <a:avLst/>
        </a:prstGeom>
      </cdr:spPr>
      <cdr:style>
        <a:lnRef xmlns:a="http://schemas.openxmlformats.org/drawingml/2006/main" idx="3">
          <a:schemeClr val="accent4"/>
        </a:lnRef>
        <a:fillRef xmlns:a="http://schemas.openxmlformats.org/drawingml/2006/main" idx="0">
          <a:schemeClr val="accent4"/>
        </a:fillRef>
        <a:effectRef xmlns:a="http://schemas.openxmlformats.org/drawingml/2006/main" idx="2">
          <a:schemeClr val="accent4"/>
        </a:effectRef>
        <a:fontRef xmlns:a="http://schemas.openxmlformats.org/drawingml/2006/main" idx="minor">
          <a:schemeClr val="tx1"/>
        </a:fontRef>
      </cdr:style>
    </cdr:cxnSp>
  </cdr:relSizeAnchor>
  <cdr:relSizeAnchor xmlns:cdr="http://schemas.openxmlformats.org/drawingml/2006/chartDrawing">
    <cdr:from>
      <cdr:x>0</cdr:x>
      <cdr:y>0.99394</cdr:y>
    </cdr:from>
    <cdr:to>
      <cdr:x>1</cdr:x>
      <cdr:y>1</cdr:y>
    </cdr:to>
    <cdr:cxnSp macro="">
      <cdr:nvCxnSpPr>
        <cdr:cNvPr id="12" name="2 Conector recto" descr="Q. 370.54 Millones" title="Ejecución promedio de los 3 Años: ">
          <a:extLst xmlns:a="http://schemas.openxmlformats.org/drawingml/2006/main">
            <a:ext uri="{FF2B5EF4-FFF2-40B4-BE49-F238E27FC236}">
              <a16:creationId xmlns="" xmlns:a16="http://schemas.microsoft.com/office/drawing/2014/main" id="{86207D26-7688-467C-9439-3543FF93D74A}"/>
            </a:ext>
          </a:extLst>
        </cdr:cNvPr>
        <cdr:cNvCxnSpPr/>
      </cdr:nvCxnSpPr>
      <cdr:spPr>
        <a:xfrm xmlns:a="http://schemas.openxmlformats.org/drawingml/2006/main">
          <a:off x="0" y="3125932"/>
          <a:ext cx="5941001" cy="19050"/>
        </a:xfrm>
        <a:prstGeom xmlns:a="http://schemas.openxmlformats.org/drawingml/2006/main" prst="line">
          <a:avLst/>
        </a:prstGeom>
        <a:ln xmlns:a="http://schemas.openxmlformats.org/drawingml/2006/main">
          <a:solidFill>
            <a:schemeClr val="bg1">
              <a:lumMod val="50000"/>
            </a:schemeClr>
          </a:solidFill>
        </a:ln>
      </cdr:spPr>
      <cdr:style>
        <a:lnRef xmlns:a="http://schemas.openxmlformats.org/drawingml/2006/main" idx="3">
          <a:schemeClr val="accent4"/>
        </a:lnRef>
        <a:fillRef xmlns:a="http://schemas.openxmlformats.org/drawingml/2006/main" idx="0">
          <a:schemeClr val="accent4"/>
        </a:fillRef>
        <a:effectRef xmlns:a="http://schemas.openxmlformats.org/drawingml/2006/main" idx="2">
          <a:schemeClr val="accent4"/>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EC9F15F4-9744-4E09-BF6B-856C1FCDED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91</Pages>
  <Words>25808</Words>
  <Characters>141945</Characters>
  <Application>Microsoft Office Word</Application>
  <DocSecurity>0</DocSecurity>
  <Lines>1182</Lines>
  <Paragraphs>334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Rhina Maria de Leon Orantes</dc:creator>
  <cp:lastModifiedBy>Sandra Patricia Montavan</cp:lastModifiedBy>
  <cp:revision>2</cp:revision>
  <cp:lastPrinted>2021-03-18T19:19:00Z</cp:lastPrinted>
  <dcterms:created xsi:type="dcterms:W3CDTF">2021-09-13T18:45:00Z</dcterms:created>
  <dcterms:modified xsi:type="dcterms:W3CDTF">2021-09-13T18:45:00Z</dcterms:modified>
</cp:coreProperties>
</file>